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407B6" w14:textId="77777777" w:rsidR="00E44B80" w:rsidRPr="00F637B3" w:rsidRDefault="00E44B80" w:rsidP="00E44B80">
      <w:pPr>
        <w:jc w:val="center"/>
        <w:rPr>
          <w:b/>
          <w:szCs w:val="20"/>
        </w:rPr>
      </w:pPr>
      <w:r w:rsidRPr="00F637B3">
        <w:rPr>
          <w:b/>
          <w:noProof/>
          <w:szCs w:val="20"/>
          <w:lang w:eastAsia="en-AU"/>
        </w:rPr>
        <w:drawing>
          <wp:inline distT="0" distB="0" distL="0" distR="0" wp14:anchorId="36680C49" wp14:editId="50AC2097">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7E888EC8" w14:textId="77777777" w:rsidR="008B2610" w:rsidRPr="006F20CF" w:rsidRDefault="008B2610" w:rsidP="00F971CC">
      <w:pPr>
        <w:pStyle w:val="Title"/>
        <w:spacing w:before="2600"/>
      </w:pPr>
      <w:r w:rsidRPr="001906CD">
        <w:t>Application Form</w:t>
      </w:r>
    </w:p>
    <w:p w14:paraId="57DA7B4D" w14:textId="77777777" w:rsidR="001906CD" w:rsidRPr="00D73646" w:rsidRDefault="00E44B80" w:rsidP="00D73646">
      <w:pPr>
        <w:pStyle w:val="Title"/>
        <w:spacing w:before="240"/>
        <w:rPr>
          <w:sz w:val="28"/>
          <w:szCs w:val="28"/>
        </w:rPr>
      </w:pPr>
      <w:r w:rsidRPr="00D73646">
        <w:rPr>
          <w:sz w:val="28"/>
          <w:szCs w:val="28"/>
        </w:rPr>
        <w:t>(</w:t>
      </w:r>
      <w:r w:rsidR="001906CD" w:rsidRPr="00D73646">
        <w:rPr>
          <w:sz w:val="28"/>
          <w:szCs w:val="28"/>
        </w:rPr>
        <w:t>New and Amended</w:t>
      </w:r>
    </w:p>
    <w:p w14:paraId="73B9217F" w14:textId="77777777" w:rsidR="00E44B80" w:rsidRPr="00D73646" w:rsidRDefault="003433D1" w:rsidP="00D73646">
      <w:pPr>
        <w:pStyle w:val="Title"/>
        <w:spacing w:before="240"/>
        <w:rPr>
          <w:sz w:val="28"/>
          <w:szCs w:val="28"/>
        </w:rPr>
      </w:pPr>
      <w:r w:rsidRPr="00D73646">
        <w:rPr>
          <w:sz w:val="28"/>
          <w:szCs w:val="28"/>
        </w:rPr>
        <w:t>Requests for Public Funding</w:t>
      </w:r>
      <w:r w:rsidR="008B2610" w:rsidRPr="00D73646">
        <w:rPr>
          <w:sz w:val="28"/>
          <w:szCs w:val="28"/>
        </w:rPr>
        <w:t>)</w:t>
      </w:r>
    </w:p>
    <w:p w14:paraId="2046EDE4" w14:textId="77777777" w:rsidR="003013A9" w:rsidRPr="00D73646" w:rsidRDefault="003013A9" w:rsidP="00F971CC">
      <w:pPr>
        <w:pStyle w:val="Title"/>
        <w:spacing w:before="240" w:after="2600"/>
        <w:rPr>
          <w:sz w:val="28"/>
          <w:szCs w:val="28"/>
        </w:rPr>
      </w:pPr>
      <w:r w:rsidRPr="00D73646">
        <w:rPr>
          <w:sz w:val="28"/>
          <w:szCs w:val="28"/>
        </w:rPr>
        <w:t xml:space="preserve">(Version </w:t>
      </w:r>
      <w:r w:rsidR="0005089D">
        <w:rPr>
          <w:sz w:val="28"/>
          <w:szCs w:val="28"/>
        </w:rPr>
        <w:t>2.4</w:t>
      </w:r>
      <w:r w:rsidRPr="00D73646">
        <w:rPr>
          <w:sz w:val="28"/>
          <w:szCs w:val="28"/>
        </w:rPr>
        <w:t>)</w:t>
      </w:r>
    </w:p>
    <w:p w14:paraId="5C20F4E8" w14:textId="77777777" w:rsidR="00E44B80" w:rsidRPr="00154B00" w:rsidRDefault="00300EEB" w:rsidP="003F7CB9">
      <w:r>
        <w:t>T</w:t>
      </w:r>
      <w:r w:rsidR="008B2610" w:rsidRPr="00154B00">
        <w:t xml:space="preserve">his application form is to be completed for new and amended </w:t>
      </w:r>
      <w:r w:rsidR="003433D1">
        <w:t xml:space="preserve">requests for public funding (including but not limited to the </w:t>
      </w:r>
      <w:r w:rsidR="008B2610" w:rsidRPr="00154B00">
        <w:t>Medicare Benefits Schedule (MBS)</w:t>
      </w:r>
      <w:r w:rsidR="003433D1">
        <w:t>)</w:t>
      </w:r>
      <w:r w:rsidR="008B2610" w:rsidRPr="00154B00">
        <w:t>.  It describes the detailed information that the</w:t>
      </w:r>
      <w:r w:rsidR="009F5758" w:rsidRPr="00154B00">
        <w:t xml:space="preserve"> Australian Government</w:t>
      </w:r>
      <w:r w:rsidR="008B2610" w:rsidRPr="00154B00">
        <w:t xml:space="preserve"> Department of Health requires in order to determine whether </w:t>
      </w:r>
      <w:r w:rsidR="003433D1">
        <w:t>a</w:t>
      </w:r>
      <w:r w:rsidR="008B2610" w:rsidRPr="00154B00">
        <w:t xml:space="preserve"> proposed </w:t>
      </w:r>
      <w:r w:rsidR="003433D1">
        <w:t xml:space="preserve">medical </w:t>
      </w:r>
      <w:r w:rsidR="008B2610" w:rsidRPr="00154B00">
        <w:t>service is suitable.</w:t>
      </w:r>
    </w:p>
    <w:p w14:paraId="77604125" w14:textId="77777777" w:rsidR="008B2610" w:rsidRPr="00154B00" w:rsidRDefault="008B2610" w:rsidP="003F7CB9">
      <w:r w:rsidRPr="00154B00">
        <w:t>Please use this template, along with the associated Application Form Guidelines to prepare your application.  Please complete all questions that are applicable to the proposed service, providing relevant information only.</w:t>
      </w:r>
      <w:r w:rsidR="009F5758" w:rsidRPr="00154B00">
        <w:t xml:space="preserve">  Applications not completed in full will not be accepted.</w:t>
      </w:r>
    </w:p>
    <w:p w14:paraId="42B0129D" w14:textId="77777777" w:rsidR="008B2610" w:rsidRPr="00154B00" w:rsidRDefault="009F5758" w:rsidP="003F7CB9">
      <w:r w:rsidRPr="00154B00">
        <w:t>Should you require any further assistance, d</w:t>
      </w:r>
      <w:r w:rsidR="008B2610" w:rsidRPr="00154B00">
        <w:t xml:space="preserve">epartmental staff are available through the Health Technology Assessment </w:t>
      </w:r>
      <w:r w:rsidR="00A93F58">
        <w:t xml:space="preserve">Team </w:t>
      </w:r>
      <w:r w:rsidR="008B2610" w:rsidRPr="00154B00">
        <w:t>(HTA Team) on the contact numbers and email below to discuss</w:t>
      </w:r>
      <w:r w:rsidRPr="00154B00">
        <w:t xml:space="preserve"> the application form, or any other component of the Medical Services Advisory Committee process.</w:t>
      </w:r>
    </w:p>
    <w:p w14:paraId="77C6F9B5" w14:textId="77777777" w:rsidR="008B2610" w:rsidRPr="00154B00" w:rsidRDefault="009F5758" w:rsidP="003F7CB9">
      <w:pPr>
        <w:spacing w:before="0" w:after="0"/>
      </w:pPr>
      <w:r w:rsidRPr="00154B00">
        <w:t>Phone:  +61 2 6289 7550</w:t>
      </w:r>
    </w:p>
    <w:p w14:paraId="27668B71" w14:textId="77777777" w:rsidR="009F5758" w:rsidRPr="00154B00" w:rsidRDefault="009F5758" w:rsidP="003F7CB9">
      <w:pPr>
        <w:spacing w:before="0" w:after="0"/>
      </w:pPr>
      <w:r w:rsidRPr="00154B00">
        <w:t>Fax:  +61 2 6289 5540</w:t>
      </w:r>
    </w:p>
    <w:p w14:paraId="24003D1A" w14:textId="77777777" w:rsidR="009F5758" w:rsidRPr="00154B00" w:rsidRDefault="009F5758" w:rsidP="003F7CB9">
      <w:pPr>
        <w:spacing w:before="0" w:after="0"/>
      </w:pPr>
      <w:r w:rsidRPr="00154B00">
        <w:t xml:space="preserve">Email:  </w:t>
      </w:r>
      <w:hyperlink r:id="rId9" w:tooltip="click here to email the Department of Health HTA Team" w:history="1">
        <w:r w:rsidRPr="00154B00">
          <w:rPr>
            <w:rStyle w:val="Hyperlink"/>
            <w:szCs w:val="20"/>
          </w:rPr>
          <w:t>hta@health.gov.au</w:t>
        </w:r>
      </w:hyperlink>
    </w:p>
    <w:p w14:paraId="3834DA20" w14:textId="77777777" w:rsidR="009F5758" w:rsidRPr="00154B00" w:rsidRDefault="009F5758" w:rsidP="003F7CB9">
      <w:pPr>
        <w:spacing w:before="0" w:after="0"/>
      </w:pPr>
      <w:r w:rsidRPr="00154B00">
        <w:t xml:space="preserve">Website:  </w:t>
      </w:r>
      <w:hyperlink r:id="rId10" w:tooltip="click here to visit the Medical Services Advisory Committee website" w:history="1">
        <w:r w:rsidR="008E6227" w:rsidRPr="00202C1D">
          <w:rPr>
            <w:rStyle w:val="Hyperlink"/>
          </w:rPr>
          <w:t>www.msac.gov.au</w:t>
        </w:r>
      </w:hyperlink>
    </w:p>
    <w:p w14:paraId="5EA0C2A2" w14:textId="77777777" w:rsidR="00E04FB3" w:rsidRPr="00C776B1" w:rsidRDefault="00D73646" w:rsidP="00415C74">
      <w:pPr>
        <w:pStyle w:val="Heading1"/>
      </w:pPr>
      <w:bookmarkStart w:id="0" w:name="_Toc443555803"/>
      <w:r>
        <w:rPr>
          <w:rStyle w:val="IntenseReference"/>
        </w:rPr>
        <w:br w:type="page"/>
      </w:r>
      <w:bookmarkEnd w:id="0"/>
      <w:r w:rsidR="00494011">
        <w:lastRenderedPageBreak/>
        <w:t>PART 1</w:t>
      </w:r>
      <w:r w:rsidR="00F93784">
        <w:t xml:space="preserve"> – </w:t>
      </w:r>
      <w:r w:rsidR="00E04FB3" w:rsidRPr="00C776B1">
        <w:t>APPLICANT DETAILS</w:t>
      </w:r>
    </w:p>
    <w:p w14:paraId="5857A5DB" w14:textId="77777777" w:rsidR="00392F00" w:rsidRDefault="00D57F88" w:rsidP="004A0BF4">
      <w:pPr>
        <w:pStyle w:val="Heading2"/>
      </w:pPr>
      <w:r w:rsidRPr="00A8732C">
        <w:t>Applicant d</w:t>
      </w:r>
      <w:r w:rsidR="00392F00" w:rsidRPr="00A8732C">
        <w:t>etails</w:t>
      </w:r>
      <w:r w:rsidR="000D066E" w:rsidRPr="00A8732C">
        <w:t xml:space="preserve"> (primary and alternative contacts)</w:t>
      </w:r>
    </w:p>
    <w:p w14:paraId="358296B4"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Corporation / partnership details (where relevant): </w:t>
      </w:r>
    </w:p>
    <w:p w14:paraId="6DDC508E"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Corporation name: </w:t>
      </w:r>
      <w:r w:rsidR="00A83BC4">
        <w:t>Gilead Sciences</w:t>
      </w:r>
      <w:r w:rsidR="00E277E2">
        <w:t xml:space="preserve"> Pty Limited</w:t>
      </w:r>
    </w:p>
    <w:p w14:paraId="380B3745" w14:textId="77777777" w:rsidR="00E277E2" w:rsidRDefault="003C7607" w:rsidP="00C171FB">
      <w:pPr>
        <w:pBdr>
          <w:top w:val="single" w:sz="4" w:space="1" w:color="auto"/>
          <w:left w:val="single" w:sz="4" w:space="4" w:color="auto"/>
          <w:bottom w:val="single" w:sz="4" w:space="1" w:color="auto"/>
          <w:right w:val="single" w:sz="4" w:space="4" w:color="auto"/>
        </w:pBdr>
      </w:pPr>
      <w:r>
        <w:t>Redacted</w:t>
      </w:r>
    </w:p>
    <w:p w14:paraId="21542A42"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ABN: </w:t>
      </w:r>
      <w:r w:rsidR="003C7607">
        <w:t>Redacted</w:t>
      </w:r>
    </w:p>
    <w:p w14:paraId="34E5F7CD"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Business trading name: </w:t>
      </w:r>
      <w:r w:rsidR="00E277E2">
        <w:t>Gilead Sciences Pty Ltd</w:t>
      </w:r>
    </w:p>
    <w:p w14:paraId="06C872AD" w14:textId="77777777" w:rsidR="00C171FB" w:rsidRPr="00024D52" w:rsidRDefault="00C171FB" w:rsidP="00194C97">
      <w:pPr>
        <w:spacing w:before="360"/>
      </w:pPr>
      <w:r>
        <w:rPr>
          <w:b/>
        </w:rPr>
        <w:t xml:space="preserve">Primary contact name: </w:t>
      </w:r>
      <w:r w:rsidR="003C7607">
        <w:t>Redacted</w:t>
      </w:r>
    </w:p>
    <w:p w14:paraId="52E3FD23" w14:textId="77777777" w:rsidR="00C171FB" w:rsidRDefault="00C171FB" w:rsidP="00C171FB">
      <w:pPr>
        <w:pBdr>
          <w:top w:val="single" w:sz="4" w:space="1" w:color="auto"/>
          <w:left w:val="single" w:sz="4" w:space="4" w:color="auto"/>
          <w:bottom w:val="single" w:sz="4" w:space="1" w:color="auto"/>
          <w:right w:val="single" w:sz="4" w:space="4" w:color="auto"/>
        </w:pBdr>
      </w:pPr>
      <w:r>
        <w:t>Primary contact numbers</w:t>
      </w:r>
    </w:p>
    <w:p w14:paraId="0F72FA97"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3C7607">
        <w:t>Redacted</w:t>
      </w:r>
    </w:p>
    <w:p w14:paraId="49042249" w14:textId="77777777" w:rsidR="00C171FB" w:rsidRDefault="00C171FB" w:rsidP="00C171FB">
      <w:pPr>
        <w:pBdr>
          <w:top w:val="single" w:sz="4" w:space="1" w:color="auto"/>
          <w:left w:val="single" w:sz="4" w:space="4" w:color="auto"/>
          <w:bottom w:val="single" w:sz="4" w:space="1" w:color="auto"/>
          <w:right w:val="single" w:sz="4" w:space="4" w:color="auto"/>
        </w:pBdr>
      </w:pPr>
      <w:r>
        <w:t>Mobile:</w:t>
      </w:r>
      <w:r>
        <w:tab/>
      </w:r>
      <w:r w:rsidR="003C7607">
        <w:t>Redacted</w:t>
      </w:r>
    </w:p>
    <w:p w14:paraId="3EA42389"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3C7607">
        <w:t>Redacted</w:t>
      </w:r>
    </w:p>
    <w:p w14:paraId="632A784F" w14:textId="77777777" w:rsidR="00C171FB" w:rsidRPr="008F5EC9" w:rsidRDefault="00C171FB" w:rsidP="00194C97">
      <w:pPr>
        <w:numPr>
          <w:ilvl w:val="0"/>
          <w:numId w:val="1"/>
        </w:numPr>
        <w:spacing w:before="360"/>
        <w:ind w:left="357" w:hanging="357"/>
      </w:pPr>
      <w:r>
        <w:rPr>
          <w:b/>
        </w:rPr>
        <w:t>Alternative contact name:</w:t>
      </w:r>
      <w:r w:rsidR="001D3AF0">
        <w:rPr>
          <w:b/>
        </w:rPr>
        <w:t xml:space="preserve"> </w:t>
      </w:r>
      <w:r w:rsidR="003C7607">
        <w:t>Redacted</w:t>
      </w:r>
    </w:p>
    <w:p w14:paraId="6F565F2A" w14:textId="77777777" w:rsidR="00C171FB" w:rsidRDefault="00C171FB" w:rsidP="00C171FB">
      <w:pPr>
        <w:pBdr>
          <w:top w:val="single" w:sz="4" w:space="1" w:color="auto"/>
          <w:left w:val="single" w:sz="4" w:space="4" w:color="auto"/>
          <w:bottom w:val="single" w:sz="4" w:space="1" w:color="auto"/>
          <w:right w:val="single" w:sz="4" w:space="4" w:color="auto"/>
        </w:pBdr>
      </w:pPr>
      <w:r>
        <w:t>Alternative contact numbers</w:t>
      </w:r>
      <w:r>
        <w:tab/>
      </w:r>
    </w:p>
    <w:p w14:paraId="5F8DC0BF" w14:textId="77777777" w:rsidR="00E277E2" w:rsidRDefault="00C171FB" w:rsidP="00E277E2">
      <w:pPr>
        <w:pBdr>
          <w:top w:val="single" w:sz="4" w:space="1" w:color="auto"/>
          <w:left w:val="single" w:sz="4" w:space="4" w:color="auto"/>
          <w:bottom w:val="single" w:sz="4" w:space="1" w:color="auto"/>
          <w:right w:val="single" w:sz="4" w:space="4" w:color="auto"/>
        </w:pBdr>
      </w:pPr>
      <w:r>
        <w:t xml:space="preserve">Business: </w:t>
      </w:r>
      <w:r w:rsidR="003C7607">
        <w:t>Redacted</w:t>
      </w:r>
    </w:p>
    <w:p w14:paraId="5C284E34"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Mobile: </w:t>
      </w:r>
      <w:r w:rsidR="003C7607">
        <w:t>Redacted</w:t>
      </w:r>
    </w:p>
    <w:p w14:paraId="114D1389"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3C7607">
        <w:t>Redacted</w:t>
      </w:r>
    </w:p>
    <w:p w14:paraId="0DF16283" w14:textId="77777777" w:rsidR="00534C5F" w:rsidRPr="00154B00" w:rsidRDefault="00494011" w:rsidP="00194C97">
      <w:pPr>
        <w:pStyle w:val="Heading2"/>
        <w:spacing w:before="360"/>
        <w:ind w:left="357" w:hanging="357"/>
      </w:pPr>
      <w:r>
        <w:t xml:space="preserve">(a) </w:t>
      </w:r>
      <w:r w:rsidR="00534C5F">
        <w:t>Are you a lobbyist acting on behalf of an Applicant?</w:t>
      </w:r>
    </w:p>
    <w:p w14:paraId="005CEC5F" w14:textId="77777777" w:rsidR="00A6491A" w:rsidRDefault="004B72C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00A6491A" w:rsidRPr="00753C44">
        <w:rPr>
          <w:szCs w:val="20"/>
        </w:rPr>
        <w:instrText xml:space="preserve"> FORMCHECKBOX </w:instrText>
      </w:r>
      <w:r w:rsidR="003136F9">
        <w:rPr>
          <w:szCs w:val="20"/>
        </w:rPr>
      </w:r>
      <w:r w:rsidR="003136F9">
        <w:rPr>
          <w:szCs w:val="20"/>
        </w:rPr>
        <w:fldChar w:fldCharType="separate"/>
      </w:r>
      <w:r w:rsidRPr="00753C44">
        <w:rPr>
          <w:szCs w:val="20"/>
        </w:rPr>
        <w:fldChar w:fldCharType="end"/>
      </w:r>
      <w:r w:rsidR="00A6491A">
        <w:rPr>
          <w:szCs w:val="20"/>
        </w:rPr>
        <w:t xml:space="preserve"> Yes</w:t>
      </w:r>
    </w:p>
    <w:p w14:paraId="07E4B582" w14:textId="77777777" w:rsidR="00A6491A" w:rsidRPr="00753C44" w:rsidRDefault="004B72CA" w:rsidP="00A6491A">
      <w:pPr>
        <w:spacing w:before="0" w:after="0"/>
        <w:ind w:left="426"/>
        <w:rPr>
          <w:szCs w:val="20"/>
        </w:rPr>
      </w:pPr>
      <w:r>
        <w:rPr>
          <w:szCs w:val="20"/>
        </w:rPr>
        <w:fldChar w:fldCharType="begin">
          <w:ffData>
            <w:name w:val="Check2"/>
            <w:enabled/>
            <w:calcOnExit w:val="0"/>
            <w:checkBox>
              <w:sizeAuto/>
              <w:default w:val="1"/>
            </w:checkBox>
          </w:ffData>
        </w:fldChar>
      </w:r>
      <w:bookmarkStart w:id="1" w:name="Check2"/>
      <w:r w:rsidR="0056047A">
        <w:rPr>
          <w:szCs w:val="20"/>
        </w:rPr>
        <w:instrText xml:space="preserve"> FORMCHECKBOX </w:instrText>
      </w:r>
      <w:r w:rsidR="003136F9">
        <w:rPr>
          <w:szCs w:val="20"/>
        </w:rPr>
      </w:r>
      <w:r w:rsidR="003136F9">
        <w:rPr>
          <w:szCs w:val="20"/>
        </w:rPr>
        <w:fldChar w:fldCharType="separate"/>
      </w:r>
      <w:r>
        <w:rPr>
          <w:szCs w:val="20"/>
        </w:rPr>
        <w:fldChar w:fldCharType="end"/>
      </w:r>
      <w:bookmarkEnd w:id="1"/>
      <w:r w:rsidR="00A6491A">
        <w:rPr>
          <w:szCs w:val="20"/>
        </w:rPr>
        <w:t xml:space="preserve"> No</w:t>
      </w:r>
    </w:p>
    <w:p w14:paraId="6C13EA28" w14:textId="77777777" w:rsidR="00534C5F" w:rsidRPr="00154B00" w:rsidRDefault="00534C5F" w:rsidP="00494011">
      <w:pPr>
        <w:pStyle w:val="Heading2"/>
        <w:numPr>
          <w:ilvl w:val="0"/>
          <w:numId w:val="23"/>
        </w:numPr>
      </w:pPr>
      <w:r w:rsidRPr="00154B00">
        <w:t xml:space="preserve">If yes, </w:t>
      </w:r>
      <w:r>
        <w:t xml:space="preserve">are </w:t>
      </w:r>
      <w:r w:rsidRPr="00FE33A6">
        <w:t>you</w:t>
      </w:r>
      <w:r>
        <w:t xml:space="preserve"> listed on the Register of Lobbyists?</w:t>
      </w:r>
    </w:p>
    <w:p w14:paraId="530AF602" w14:textId="77777777" w:rsidR="00A6491A" w:rsidRDefault="004B72C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00A6491A" w:rsidRPr="00753C44">
        <w:rPr>
          <w:szCs w:val="20"/>
        </w:rPr>
        <w:instrText xml:space="preserve"> FORMCHECKBOX </w:instrText>
      </w:r>
      <w:r w:rsidR="003136F9">
        <w:rPr>
          <w:szCs w:val="20"/>
        </w:rPr>
      </w:r>
      <w:r w:rsidR="003136F9">
        <w:rPr>
          <w:szCs w:val="20"/>
        </w:rPr>
        <w:fldChar w:fldCharType="separate"/>
      </w:r>
      <w:r w:rsidRPr="00753C44">
        <w:rPr>
          <w:szCs w:val="20"/>
        </w:rPr>
        <w:fldChar w:fldCharType="end"/>
      </w:r>
      <w:r w:rsidR="00A6491A">
        <w:rPr>
          <w:szCs w:val="20"/>
        </w:rPr>
        <w:t xml:space="preserve"> Yes</w:t>
      </w:r>
    </w:p>
    <w:p w14:paraId="3A2DA4AC" w14:textId="7E0FCB04" w:rsidR="00E04FB3" w:rsidRPr="00194C97" w:rsidRDefault="004B72CA" w:rsidP="00194C97">
      <w:pPr>
        <w:spacing w:before="0" w:after="0"/>
        <w:ind w:left="426"/>
        <w:rPr>
          <w:szCs w:val="20"/>
        </w:rPr>
      </w:pPr>
      <w:r w:rsidRPr="00753C44">
        <w:rPr>
          <w:szCs w:val="20"/>
        </w:rPr>
        <w:fldChar w:fldCharType="begin">
          <w:ffData>
            <w:name w:val="Check2"/>
            <w:enabled/>
            <w:calcOnExit w:val="0"/>
            <w:checkBox>
              <w:sizeAuto/>
              <w:default w:val="0"/>
            </w:checkBox>
          </w:ffData>
        </w:fldChar>
      </w:r>
      <w:r w:rsidR="00A6491A" w:rsidRPr="00753C44">
        <w:rPr>
          <w:szCs w:val="20"/>
        </w:rPr>
        <w:instrText xml:space="preserve"> FORMCHECKBOX </w:instrText>
      </w:r>
      <w:r w:rsidR="003136F9">
        <w:rPr>
          <w:szCs w:val="20"/>
        </w:rPr>
      </w:r>
      <w:r w:rsidR="003136F9">
        <w:rPr>
          <w:szCs w:val="20"/>
        </w:rPr>
        <w:fldChar w:fldCharType="separate"/>
      </w:r>
      <w:r w:rsidRPr="00753C44">
        <w:rPr>
          <w:szCs w:val="20"/>
        </w:rPr>
        <w:fldChar w:fldCharType="end"/>
      </w:r>
      <w:r w:rsidR="00A6491A">
        <w:rPr>
          <w:szCs w:val="20"/>
        </w:rPr>
        <w:t xml:space="preserve"> No</w:t>
      </w:r>
      <w:r w:rsidR="00E04FB3" w:rsidRPr="00154B00">
        <w:rPr>
          <w:b/>
          <w:szCs w:val="20"/>
        </w:rPr>
        <w:br w:type="page"/>
      </w:r>
    </w:p>
    <w:p w14:paraId="04133454" w14:textId="77777777" w:rsidR="00D57F88" w:rsidRPr="00C776B1" w:rsidRDefault="00730C04" w:rsidP="00A8732C">
      <w:pPr>
        <w:pStyle w:val="Heading1"/>
      </w:pPr>
      <w:r>
        <w:lastRenderedPageBreak/>
        <w:t>PART 2</w:t>
      </w:r>
      <w:r w:rsidR="00F93784">
        <w:t xml:space="preserve"> – </w:t>
      </w:r>
      <w:r w:rsidR="00E04FB3" w:rsidRPr="00C776B1">
        <w:t>INFORMATION ABOUT THE PROPOSED MEDICAL SERVICE</w:t>
      </w:r>
    </w:p>
    <w:p w14:paraId="6FCB25D2" w14:textId="77777777" w:rsidR="000B3CD0" w:rsidRDefault="000B3CD0" w:rsidP="00730C04">
      <w:pPr>
        <w:pStyle w:val="Heading2"/>
      </w:pPr>
      <w:r w:rsidRPr="00154B00">
        <w:t>Application title</w:t>
      </w:r>
      <w:r w:rsidR="00A8732C">
        <w:t xml:space="preserve"> </w:t>
      </w:r>
    </w:p>
    <w:p w14:paraId="5F76E90A" w14:textId="77777777" w:rsidR="0053555E" w:rsidRPr="0053555E" w:rsidRDefault="00E8581D" w:rsidP="00BE3218">
      <w:pPr>
        <w:ind w:left="360"/>
        <w:rPr>
          <w:rFonts w:cs="Calibri"/>
          <w:b/>
          <w:bCs/>
          <w:lang w:val="en-US" w:eastAsia="en-AU"/>
        </w:rPr>
      </w:pPr>
      <w:bookmarkStart w:id="2" w:name="_Hlk2678138"/>
      <w:r w:rsidRPr="001278A3">
        <w:rPr>
          <w:rFonts w:cs="Arial"/>
        </w:rPr>
        <w:t xml:space="preserve">YESCARTA™ </w:t>
      </w:r>
      <w:r>
        <w:rPr>
          <w:rFonts w:cs="Arial"/>
        </w:rPr>
        <w:t>(</w:t>
      </w:r>
      <w:r>
        <w:rPr>
          <w:rFonts w:cs="Calibri"/>
          <w:lang w:eastAsia="en-AU"/>
        </w:rPr>
        <w:t>a</w:t>
      </w:r>
      <w:r w:rsidR="00950D6C" w:rsidRPr="00696A2C">
        <w:rPr>
          <w:rFonts w:cs="Calibri"/>
          <w:lang w:eastAsia="en-AU"/>
        </w:rPr>
        <w:t>xicabtagene ciloleucel [KTE-C19])</w:t>
      </w:r>
      <w:r w:rsidR="00950D6C">
        <w:rPr>
          <w:rFonts w:cs="Calibri"/>
          <w:lang w:eastAsia="en-AU"/>
        </w:rPr>
        <w:t xml:space="preserve"> </w:t>
      </w:r>
      <w:r w:rsidR="0053555E" w:rsidRPr="0053555E">
        <w:rPr>
          <w:rFonts w:cs="Calibri"/>
          <w:bCs/>
          <w:lang w:val="en-US" w:eastAsia="en-AU"/>
        </w:rPr>
        <w:t>for</w:t>
      </w:r>
      <w:r w:rsidR="00E277E2">
        <w:rPr>
          <w:rFonts w:cs="Calibri"/>
          <w:bCs/>
          <w:lang w:val="en-US" w:eastAsia="en-AU"/>
        </w:rPr>
        <w:t xml:space="preserve"> the</w:t>
      </w:r>
      <w:r w:rsidR="0053555E" w:rsidRPr="0053555E">
        <w:rPr>
          <w:rFonts w:cs="Calibri"/>
          <w:bCs/>
          <w:lang w:val="en-US" w:eastAsia="en-AU"/>
        </w:rPr>
        <w:t xml:space="preserve"> treatment of refractory</w:t>
      </w:r>
      <w:r w:rsidR="00F82174">
        <w:rPr>
          <w:rFonts w:cs="Calibri"/>
          <w:bCs/>
          <w:lang w:val="en-US" w:eastAsia="en-AU"/>
        </w:rPr>
        <w:t xml:space="preserve"> or </w:t>
      </w:r>
      <w:r w:rsidR="0053555E" w:rsidRPr="0053555E">
        <w:rPr>
          <w:rFonts w:cs="Calibri"/>
          <w:bCs/>
          <w:lang w:val="en-US" w:eastAsia="en-AU"/>
        </w:rPr>
        <w:t>relapsed CD19-positive lymphoma</w:t>
      </w:r>
      <w:r w:rsidR="0053555E">
        <w:rPr>
          <w:rFonts w:cs="Calibri"/>
          <w:bCs/>
          <w:lang w:val="en-US" w:eastAsia="en-AU"/>
        </w:rPr>
        <w:t xml:space="preserve">. </w:t>
      </w:r>
    </w:p>
    <w:bookmarkEnd w:id="2"/>
    <w:p w14:paraId="6FD7194B" w14:textId="77777777" w:rsidR="009B4E1E" w:rsidRDefault="009B4E1E" w:rsidP="004A0BF4">
      <w:pPr>
        <w:pStyle w:val="Heading2"/>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at Part F</w:t>
      </w:r>
      <w:r w:rsidR="00C847AE">
        <w:t xml:space="preserve"> of the Application Form</w:t>
      </w:r>
      <w:r w:rsidR="000955E7" w:rsidRPr="00154B00">
        <w:t>)</w:t>
      </w:r>
    </w:p>
    <w:p w14:paraId="29F24B55" w14:textId="77777777" w:rsidR="00FA2A52" w:rsidRPr="00FA2A52" w:rsidRDefault="00CB467D" w:rsidP="00E8581D">
      <w:pPr>
        <w:ind w:left="360"/>
        <w:rPr>
          <w:rFonts w:cs="Calibri"/>
          <w:lang w:eastAsia="en-AU"/>
        </w:rPr>
      </w:pPr>
      <w:bookmarkStart w:id="3" w:name="_Hlk1983182"/>
      <w:r>
        <w:rPr>
          <w:rFonts w:cs="Calibri"/>
          <w:lang w:eastAsia="en-AU"/>
        </w:rPr>
        <w:t>N</w:t>
      </w:r>
      <w:r w:rsidR="00B127CA">
        <w:rPr>
          <w:rFonts w:cs="Calibri"/>
          <w:lang w:eastAsia="en-AU"/>
        </w:rPr>
        <w:t>on-Hodgkin</w:t>
      </w:r>
      <w:r w:rsidR="00FA2A52" w:rsidRPr="00FA2A52">
        <w:rPr>
          <w:rFonts w:cs="Calibri"/>
          <w:lang w:eastAsia="en-AU"/>
        </w:rPr>
        <w:t xml:space="preserve"> lymphoma (NHL) comprises a heterogeneous group of cancers originating primarily in B lymphocytes (and, to a lesser extent, in T lymphocytes, and natural killer cells). The prognosis depends on the histologic type, stage, and treatment, along with other factors including the patient’s age and general health, whether there are certain changes in the genes, the amount of lactate dehydrogenase (LDH) in the blood, and whether the lymphoma has been newly diagnosed or has recurred (NCI, 2017).</w:t>
      </w:r>
    </w:p>
    <w:p w14:paraId="4F40C3BC" w14:textId="77777777" w:rsidR="00FA2A52" w:rsidRDefault="00FA2A52" w:rsidP="00FA2A52">
      <w:pPr>
        <w:ind w:left="360"/>
        <w:rPr>
          <w:rFonts w:cs="Calibri"/>
          <w:lang w:eastAsia="en-AU"/>
        </w:rPr>
      </w:pPr>
      <w:r w:rsidRPr="00FA2A52">
        <w:rPr>
          <w:rFonts w:cs="Calibri"/>
          <w:lang w:eastAsia="en-AU"/>
        </w:rPr>
        <w:t>Aggressive subtypes of B-cell NHL include diffuse large B-cell lymphoma (DLBCL), primary mediastinal B-cell lymphoma (PMBCL), and follicular lymphoma (FL) that has transformed histologically to DLBCL (hereafter referred to as transformed follicular lymphoma [TFL]).</w:t>
      </w:r>
    </w:p>
    <w:p w14:paraId="02A1E48F" w14:textId="77777777" w:rsidR="0011590F" w:rsidRPr="005D7E9B" w:rsidRDefault="00CC7F0E" w:rsidP="0067118F">
      <w:pPr>
        <w:ind w:left="360"/>
        <w:rPr>
          <w:b/>
        </w:rPr>
      </w:pPr>
      <w:r>
        <w:rPr>
          <w:rFonts w:cs="Calibri"/>
          <w:lang w:eastAsia="en-AU"/>
        </w:rPr>
        <w:t>A</w:t>
      </w:r>
      <w:r w:rsidRPr="00696A2C">
        <w:rPr>
          <w:rFonts w:cs="Calibri"/>
          <w:lang w:eastAsia="en-AU"/>
        </w:rPr>
        <w:t>xicabtagene ciloleucel</w:t>
      </w:r>
      <w:r w:rsidDel="00CC7F0E">
        <w:t xml:space="preserve"> </w:t>
      </w:r>
      <w:r>
        <w:t xml:space="preserve">is proposed for the treatment of relapsed or refractory </w:t>
      </w:r>
      <w:r w:rsidR="007544FA" w:rsidRPr="007544FA">
        <w:t>DLBCL</w:t>
      </w:r>
      <w:r w:rsidR="00FE01EC">
        <w:t>, including DLBCL</w:t>
      </w:r>
      <w:r w:rsidR="00024D52">
        <w:t xml:space="preserve"> </w:t>
      </w:r>
      <w:r w:rsidR="007544FA" w:rsidRPr="007544FA">
        <w:t>not otherwise specified</w:t>
      </w:r>
      <w:r>
        <w:t xml:space="preserve"> and </w:t>
      </w:r>
      <w:r w:rsidR="00CB467D" w:rsidRPr="007544FA">
        <w:t>high-grade</w:t>
      </w:r>
      <w:r w:rsidR="007544FA" w:rsidRPr="007544FA">
        <w:t xml:space="preserve"> B-cell lymphoma</w:t>
      </w:r>
      <w:r>
        <w:t xml:space="preserve">, </w:t>
      </w:r>
      <w:r w:rsidRPr="007544FA">
        <w:t>PMBCL</w:t>
      </w:r>
      <w:r>
        <w:t xml:space="preserve"> </w:t>
      </w:r>
      <w:r w:rsidR="007544FA" w:rsidRPr="007544FA">
        <w:t>and</w:t>
      </w:r>
      <w:r w:rsidR="0011590F">
        <w:t xml:space="preserve"> </w:t>
      </w:r>
      <w:r w:rsidR="00E3174E">
        <w:t>T</w:t>
      </w:r>
      <w:r w:rsidR="007544FA" w:rsidRPr="007544FA">
        <w:t>FL</w:t>
      </w:r>
      <w:r w:rsidR="00FE01EC">
        <w:t xml:space="preserve">. </w:t>
      </w:r>
    </w:p>
    <w:bookmarkEnd w:id="3"/>
    <w:p w14:paraId="17C9EC96" w14:textId="77777777" w:rsidR="000955E7" w:rsidRDefault="000955E7" w:rsidP="004A0BF4">
      <w:pPr>
        <w:pStyle w:val="Heading2"/>
      </w:pPr>
      <w:r w:rsidRPr="00154B00">
        <w:t>Prov</w:t>
      </w:r>
      <w:r w:rsidR="00D11EB1" w:rsidRPr="00154B00">
        <w:t>i</w:t>
      </w:r>
      <w:r w:rsidRPr="00154B00">
        <w:t>de a succinct description of the proposed medical service (no more than 150 words</w:t>
      </w:r>
      <w:r w:rsidR="00C847AE">
        <w:t xml:space="preserve"> </w:t>
      </w:r>
      <w:r w:rsidR="00F93784">
        <w:t xml:space="preserve">– </w:t>
      </w:r>
      <w:r w:rsidR="00C847AE">
        <w:t>further</w:t>
      </w:r>
      <w:r w:rsidR="00F93784">
        <w:t xml:space="preserve"> information will</w:t>
      </w:r>
      <w:r w:rsidR="00FA2A52">
        <w:t xml:space="preserve"> </w:t>
      </w:r>
      <w:r w:rsidR="00F93784">
        <w:t xml:space="preserve">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p>
    <w:p w14:paraId="3885F788" w14:textId="77777777" w:rsidR="00E8581D" w:rsidRDefault="00E8581D" w:rsidP="00BE3218">
      <w:pPr>
        <w:ind w:left="360"/>
        <w:rPr>
          <w:rFonts w:cs="Arial"/>
        </w:rPr>
      </w:pPr>
      <w:r>
        <w:rPr>
          <w:rFonts w:cs="Calibri"/>
          <w:lang w:eastAsia="en-AU"/>
        </w:rPr>
        <w:t>A</w:t>
      </w:r>
      <w:r w:rsidRPr="00696A2C">
        <w:rPr>
          <w:rFonts w:cs="Calibri"/>
          <w:lang w:eastAsia="en-AU"/>
        </w:rPr>
        <w:t>xicabtagene ciloleucel</w:t>
      </w:r>
      <w:r w:rsidRPr="001278A3">
        <w:rPr>
          <w:rFonts w:cs="Arial"/>
        </w:rPr>
        <w:t xml:space="preserve"> is </w:t>
      </w:r>
      <w:r>
        <w:rPr>
          <w:rFonts w:cs="Arial"/>
        </w:rPr>
        <w:t xml:space="preserve">a </w:t>
      </w:r>
      <w:r w:rsidRPr="001278A3">
        <w:rPr>
          <w:rFonts w:cs="Arial"/>
        </w:rPr>
        <w:t>chimeric antigen</w:t>
      </w:r>
      <w:r>
        <w:rPr>
          <w:rFonts w:cs="Arial"/>
        </w:rPr>
        <w:t xml:space="preserve"> receptor T</w:t>
      </w:r>
      <w:r w:rsidR="00A82901">
        <w:rPr>
          <w:rFonts w:cs="Arial"/>
        </w:rPr>
        <w:t>-</w:t>
      </w:r>
      <w:r>
        <w:rPr>
          <w:rFonts w:cs="Arial"/>
        </w:rPr>
        <w:t>cell (CAR</w:t>
      </w:r>
      <w:r w:rsidR="00A82901">
        <w:rPr>
          <w:rFonts w:cs="Arial"/>
        </w:rPr>
        <w:t>-</w:t>
      </w:r>
      <w:r>
        <w:rPr>
          <w:rFonts w:cs="Arial"/>
        </w:rPr>
        <w:t>T) therapy</w:t>
      </w:r>
      <w:r w:rsidRPr="001278A3">
        <w:rPr>
          <w:rFonts w:cs="Arial"/>
        </w:rPr>
        <w:t xml:space="preserve"> which can help to address </w:t>
      </w:r>
      <w:r>
        <w:rPr>
          <w:rFonts w:cs="Arial"/>
        </w:rPr>
        <w:t xml:space="preserve">the high </w:t>
      </w:r>
      <w:r w:rsidRPr="001278A3">
        <w:rPr>
          <w:rFonts w:cs="Arial"/>
        </w:rPr>
        <w:t>unmet need</w:t>
      </w:r>
      <w:r>
        <w:rPr>
          <w:rFonts w:cs="Arial"/>
        </w:rPr>
        <w:t xml:space="preserve"> in patients with </w:t>
      </w:r>
      <w:r w:rsidRPr="001278A3">
        <w:rPr>
          <w:rFonts w:cs="Arial"/>
        </w:rPr>
        <w:t>relapsed</w:t>
      </w:r>
      <w:r>
        <w:rPr>
          <w:rFonts w:cs="Arial"/>
        </w:rPr>
        <w:t xml:space="preserve"> or </w:t>
      </w:r>
      <w:r w:rsidRPr="001278A3">
        <w:rPr>
          <w:rFonts w:cs="Arial"/>
        </w:rPr>
        <w:t xml:space="preserve">refractory DLBCL, PMBCL </w:t>
      </w:r>
      <w:r>
        <w:rPr>
          <w:rFonts w:cs="Arial"/>
        </w:rPr>
        <w:t xml:space="preserve">or </w:t>
      </w:r>
      <w:r w:rsidRPr="001278A3">
        <w:rPr>
          <w:rFonts w:cs="Arial"/>
        </w:rPr>
        <w:t>TFL</w:t>
      </w:r>
      <w:r>
        <w:rPr>
          <w:rFonts w:cs="Arial"/>
        </w:rPr>
        <w:t>.</w:t>
      </w:r>
    </w:p>
    <w:p w14:paraId="0676005D" w14:textId="77777777" w:rsidR="00811928" w:rsidRDefault="007544FA" w:rsidP="00BE3218">
      <w:pPr>
        <w:ind w:left="360"/>
      </w:pPr>
      <w:r>
        <w:rPr>
          <w:rFonts w:cs="Calibri"/>
          <w:lang w:eastAsia="en-AU"/>
        </w:rPr>
        <w:t>A</w:t>
      </w:r>
      <w:r w:rsidRPr="00696A2C">
        <w:rPr>
          <w:rFonts w:cs="Calibri"/>
          <w:lang w:eastAsia="en-AU"/>
        </w:rPr>
        <w:t>xicabtagene ciloleucel</w:t>
      </w:r>
      <w:r w:rsidR="005D7E9B">
        <w:t xml:space="preserve"> is a CD19-directed genetically modified autologous T</w:t>
      </w:r>
      <w:r w:rsidR="00FE01EC">
        <w:t>-</w:t>
      </w:r>
      <w:r w:rsidR="005D7E9B">
        <w:t xml:space="preserve">cell immunotherapy. To prepare </w:t>
      </w:r>
      <w:r w:rsidR="004E559F" w:rsidRPr="00696A2C">
        <w:rPr>
          <w:rFonts w:cs="Calibri"/>
          <w:lang w:eastAsia="en-AU"/>
        </w:rPr>
        <w:t>axicabtagene ciloleucel</w:t>
      </w:r>
      <w:r w:rsidR="005D7E9B">
        <w:t>, patient’s own T</w:t>
      </w:r>
      <w:r w:rsidR="00FE01EC">
        <w:t>-</w:t>
      </w:r>
      <w:r w:rsidR="005D7E9B">
        <w:t>cells are harvested</w:t>
      </w:r>
      <w:r w:rsidR="005D7E9B" w:rsidRPr="005D7E9B">
        <w:t xml:space="preserve"> </w:t>
      </w:r>
      <w:r w:rsidR="005D7E9B">
        <w:t xml:space="preserve">via a standard leukapheresis procedure and genetically modified </w:t>
      </w:r>
      <w:r w:rsidR="005D7E9B" w:rsidRPr="002E1706">
        <w:rPr>
          <w:i/>
        </w:rPr>
        <w:t>ex</w:t>
      </w:r>
      <w:r w:rsidR="00FE01EC" w:rsidRPr="002E1706">
        <w:rPr>
          <w:i/>
        </w:rPr>
        <w:t>-</w:t>
      </w:r>
      <w:r w:rsidR="005D7E9B" w:rsidRPr="002E1706">
        <w:rPr>
          <w:i/>
        </w:rPr>
        <w:t>vivo</w:t>
      </w:r>
      <w:r w:rsidR="005D7E9B">
        <w:t xml:space="preserve"> by retroviral transduction to express a chimeric antigen receptor (CAR). The anti-CD19 CAR-positive viable T</w:t>
      </w:r>
      <w:r w:rsidR="00FE01EC">
        <w:t>-</w:t>
      </w:r>
      <w:r w:rsidR="005D7E9B">
        <w:t>cells are then expanded and infused back into the patient, where they can recognise and eliminate CD19 expressing target cells.</w:t>
      </w:r>
    </w:p>
    <w:p w14:paraId="77F8AF19" w14:textId="77777777" w:rsidR="00D11EB1" w:rsidRPr="0011036E" w:rsidRDefault="00E3174E" w:rsidP="004A0BF4">
      <w:pPr>
        <w:pStyle w:val="Heading2"/>
        <w:rPr>
          <w:rStyle w:val="Strong"/>
          <w:rFonts w:asciiTheme="minorHAnsi" w:eastAsiaTheme="minorHAnsi" w:hAnsiTheme="minorHAnsi" w:cstheme="minorBidi"/>
          <w:b/>
        </w:rPr>
      </w:pPr>
      <w:r w:rsidDel="00E3174E">
        <w:t xml:space="preserve"> </w:t>
      </w:r>
      <w:r w:rsidR="00730C04">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14:paraId="1A623E95" w14:textId="77777777" w:rsidR="00753C44" w:rsidRDefault="004B72CA" w:rsidP="00A6491A">
      <w:pPr>
        <w:spacing w:before="0" w:after="0"/>
        <w:ind w:left="284"/>
        <w:rPr>
          <w:szCs w:val="20"/>
        </w:rPr>
      </w:pPr>
      <w:r w:rsidRPr="00753C44">
        <w:rPr>
          <w:szCs w:val="20"/>
        </w:rPr>
        <w:fldChar w:fldCharType="begin">
          <w:ffData>
            <w:name w:val="Check1"/>
            <w:enabled/>
            <w:calcOnExit w:val="0"/>
            <w:checkBox>
              <w:sizeAuto/>
              <w:default w:val="0"/>
            </w:checkBox>
          </w:ffData>
        </w:fldChar>
      </w:r>
      <w:r w:rsidR="006B6390" w:rsidRPr="00753C44">
        <w:rPr>
          <w:szCs w:val="20"/>
        </w:rPr>
        <w:instrText xml:space="preserve"> FORMCHECKBOX </w:instrText>
      </w:r>
      <w:r w:rsidR="003136F9">
        <w:rPr>
          <w:szCs w:val="20"/>
        </w:rPr>
      </w:r>
      <w:r w:rsidR="003136F9">
        <w:rPr>
          <w:szCs w:val="20"/>
        </w:rPr>
        <w:fldChar w:fldCharType="separate"/>
      </w:r>
      <w:r w:rsidRPr="00753C44">
        <w:rPr>
          <w:szCs w:val="20"/>
        </w:rPr>
        <w:fldChar w:fldCharType="end"/>
      </w:r>
      <w:r w:rsidR="006B6390">
        <w:rPr>
          <w:szCs w:val="20"/>
        </w:rPr>
        <w:t xml:space="preserve"> Yes</w:t>
      </w:r>
    </w:p>
    <w:p w14:paraId="46078E34" w14:textId="77777777" w:rsidR="00235FFD" w:rsidRDefault="004B72CA" w:rsidP="00235FFD">
      <w:pPr>
        <w:spacing w:before="0" w:after="0"/>
        <w:ind w:left="284"/>
        <w:rPr>
          <w:szCs w:val="20"/>
        </w:rPr>
      </w:pPr>
      <w:r>
        <w:rPr>
          <w:szCs w:val="20"/>
        </w:rPr>
        <w:fldChar w:fldCharType="begin">
          <w:ffData>
            <w:name w:val=""/>
            <w:enabled/>
            <w:calcOnExit w:val="0"/>
            <w:checkBox>
              <w:sizeAuto/>
              <w:default w:val="1"/>
            </w:checkBox>
          </w:ffData>
        </w:fldChar>
      </w:r>
      <w:r w:rsidR="00D93832">
        <w:rPr>
          <w:szCs w:val="20"/>
        </w:rPr>
        <w:instrText xml:space="preserve"> FORMCHECKBOX </w:instrText>
      </w:r>
      <w:r w:rsidR="003136F9">
        <w:rPr>
          <w:szCs w:val="20"/>
        </w:rPr>
      </w:r>
      <w:r w:rsidR="003136F9">
        <w:rPr>
          <w:szCs w:val="20"/>
        </w:rPr>
        <w:fldChar w:fldCharType="separate"/>
      </w:r>
      <w:r>
        <w:rPr>
          <w:szCs w:val="20"/>
        </w:rPr>
        <w:fldChar w:fldCharType="end"/>
      </w:r>
      <w:r w:rsidR="006B6390">
        <w:rPr>
          <w:szCs w:val="20"/>
        </w:rPr>
        <w:t xml:space="preserve"> No</w:t>
      </w:r>
    </w:p>
    <w:p w14:paraId="2AE743F3" w14:textId="77777777" w:rsidR="00E8581D" w:rsidRDefault="003F2B5C" w:rsidP="00E92E45">
      <w:pPr>
        <w:spacing w:before="0" w:after="0"/>
        <w:ind w:left="720"/>
        <w:rPr>
          <w:szCs w:val="20"/>
        </w:rPr>
      </w:pPr>
      <w:r>
        <w:rPr>
          <w:szCs w:val="20"/>
        </w:rPr>
        <w:t>I</w:t>
      </w:r>
      <w:r w:rsidRPr="00F870F1">
        <w:rPr>
          <w:szCs w:val="20"/>
        </w:rPr>
        <w:t xml:space="preserve">t </w:t>
      </w:r>
      <w:r>
        <w:rPr>
          <w:szCs w:val="20"/>
        </w:rPr>
        <w:t xml:space="preserve">is Gilead’s understanding that neither </w:t>
      </w:r>
      <w:r w:rsidRPr="00696A2C">
        <w:rPr>
          <w:rFonts w:cs="Calibri"/>
          <w:lang w:eastAsia="en-AU"/>
        </w:rPr>
        <w:t>axicabtagene ciloleucel</w:t>
      </w:r>
      <w:r>
        <w:rPr>
          <w:szCs w:val="20"/>
        </w:rPr>
        <w:t>, nor the broader hybrid health technology, is currently eligible for funding through the MBS.</w:t>
      </w:r>
      <w:r w:rsidR="002C62F5">
        <w:rPr>
          <w:szCs w:val="20"/>
        </w:rPr>
        <w:t xml:space="preserve"> </w:t>
      </w:r>
      <w:r w:rsidR="006A291B" w:rsidRPr="006A291B">
        <w:rPr>
          <w:szCs w:val="20"/>
        </w:rPr>
        <w:t>Gilead seeks to work with the</w:t>
      </w:r>
      <w:r w:rsidR="006A291B" w:rsidRPr="006A291B">
        <w:rPr>
          <w:i/>
          <w:szCs w:val="20"/>
        </w:rPr>
        <w:t xml:space="preserve"> </w:t>
      </w:r>
      <w:r w:rsidR="006A291B" w:rsidRPr="006A291B">
        <w:rPr>
          <w:szCs w:val="20"/>
        </w:rPr>
        <w:t>Department of Health to consider which, if any, components of the therapy will be funded through current funding mechanisms.</w:t>
      </w:r>
    </w:p>
    <w:p w14:paraId="052679B4"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 xml:space="preserve">covered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14:paraId="30179940" w14:textId="77777777" w:rsidR="00753C44" w:rsidRDefault="004B72CA"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006B6390" w:rsidRPr="00753C44">
        <w:rPr>
          <w:szCs w:val="20"/>
        </w:rPr>
        <w:instrText xml:space="preserve"> FORMCHECKBOX </w:instrText>
      </w:r>
      <w:r w:rsidR="003136F9">
        <w:rPr>
          <w:szCs w:val="20"/>
        </w:rPr>
      </w:r>
      <w:r w:rsidR="003136F9">
        <w:rPr>
          <w:szCs w:val="20"/>
        </w:rPr>
        <w:fldChar w:fldCharType="separate"/>
      </w:r>
      <w:r w:rsidRPr="00753C44">
        <w:rPr>
          <w:szCs w:val="20"/>
        </w:rPr>
        <w:fldChar w:fldCharType="end"/>
      </w:r>
      <w:r w:rsidR="006B6390">
        <w:rPr>
          <w:szCs w:val="20"/>
        </w:rPr>
        <w:t xml:space="preserve"> </w:t>
      </w:r>
      <w:r w:rsidR="00753C44" w:rsidRPr="00154B00">
        <w:rPr>
          <w:szCs w:val="20"/>
        </w:rPr>
        <w:t>Amendment to existing MBS item</w:t>
      </w:r>
      <w:r w:rsidR="00753C44">
        <w:rPr>
          <w:szCs w:val="20"/>
        </w:rPr>
        <w:t>(s)</w:t>
      </w:r>
    </w:p>
    <w:p w14:paraId="145F0232" w14:textId="77777777" w:rsidR="00753C44" w:rsidRPr="00753C44" w:rsidRDefault="004B72CA"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006B6390" w:rsidRPr="00753C44">
        <w:rPr>
          <w:szCs w:val="20"/>
        </w:rPr>
        <w:instrText xml:space="preserve"> FORMCHECKBOX </w:instrText>
      </w:r>
      <w:r w:rsidR="003136F9">
        <w:rPr>
          <w:szCs w:val="20"/>
        </w:rPr>
      </w:r>
      <w:r w:rsidR="003136F9">
        <w:rPr>
          <w:szCs w:val="20"/>
        </w:rPr>
        <w:fldChar w:fldCharType="separate"/>
      </w:r>
      <w:r w:rsidRPr="00753C44">
        <w:rPr>
          <w:szCs w:val="20"/>
        </w:rPr>
        <w:fldChar w:fldCharType="end"/>
      </w:r>
      <w:r w:rsidR="006B6390">
        <w:rPr>
          <w:szCs w:val="20"/>
        </w:rPr>
        <w:t xml:space="preserve"> </w:t>
      </w:r>
      <w:r w:rsidR="00753C44" w:rsidRPr="00154B00">
        <w:rPr>
          <w:szCs w:val="20"/>
        </w:rPr>
        <w:t>New MBS item</w:t>
      </w:r>
      <w:r w:rsidR="00753C44">
        <w:rPr>
          <w:szCs w:val="20"/>
        </w:rPr>
        <w:t>(s)</w:t>
      </w:r>
    </w:p>
    <w:p w14:paraId="1BE3F8C1"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 xml:space="preserve">If </w:t>
      </w:r>
      <w:r w:rsidR="00126B33" w:rsidRPr="0011036E">
        <w:rPr>
          <w:rStyle w:val="Strong"/>
          <w:rFonts w:asciiTheme="minorHAnsi" w:eastAsiaTheme="minorHAnsi" w:hAnsiTheme="minorHAnsi" w:cstheme="minorBidi"/>
          <w:b/>
        </w:rPr>
        <w:t xml:space="preserve">an amendment </w:t>
      </w:r>
      <w:r w:rsidR="003020B5" w:rsidRPr="0011036E">
        <w:rPr>
          <w:rStyle w:val="Strong"/>
          <w:rFonts w:asciiTheme="minorHAnsi" w:eastAsiaTheme="minorHAnsi" w:hAnsiTheme="minorHAnsi" w:cstheme="minorBidi"/>
          <w:b/>
        </w:rPr>
        <w:t xml:space="preserve">to </w:t>
      </w:r>
      <w:r w:rsidR="00126B33" w:rsidRPr="0011036E">
        <w:rPr>
          <w:rStyle w:val="Strong"/>
          <w:rFonts w:asciiTheme="minorHAnsi" w:eastAsiaTheme="minorHAnsi" w:hAnsiTheme="minorHAnsi" w:cstheme="minorBidi"/>
          <w:b/>
        </w:rPr>
        <w:t xml:space="preserve">an </w:t>
      </w:r>
      <w:r w:rsidR="003020B5" w:rsidRPr="0011036E">
        <w:rPr>
          <w:rStyle w:val="Strong"/>
          <w:rFonts w:asciiTheme="minorHAnsi" w:eastAsiaTheme="minorHAnsi" w:hAnsiTheme="minorHAnsi" w:cstheme="minorBidi"/>
          <w:b/>
        </w:rPr>
        <w:t>existing item</w:t>
      </w:r>
      <w:r w:rsidR="005D0677" w:rsidRPr="0011036E">
        <w:rPr>
          <w:rStyle w:val="Strong"/>
          <w:rFonts w:asciiTheme="minorHAnsi" w:eastAsiaTheme="minorHAnsi" w:hAnsiTheme="minorHAnsi" w:cstheme="minorBidi"/>
          <w:b/>
        </w:rPr>
        <w:t>(s)</w:t>
      </w:r>
      <w:r w:rsidR="00126B33" w:rsidRPr="0011036E">
        <w:rPr>
          <w:rStyle w:val="Strong"/>
          <w:rFonts w:asciiTheme="minorHAnsi" w:eastAsiaTheme="minorHAnsi" w:hAnsiTheme="minorHAnsi" w:cstheme="minorBidi"/>
          <w:b/>
        </w:rPr>
        <w:t xml:space="preserve"> is being sought</w:t>
      </w:r>
      <w:r w:rsidR="003020B5" w:rsidRPr="0011036E">
        <w:rPr>
          <w:rStyle w:val="Strong"/>
          <w:rFonts w:asciiTheme="minorHAnsi" w:eastAsiaTheme="minorHAnsi" w:hAnsiTheme="minorHAnsi" w:cstheme="minorBidi"/>
          <w:b/>
        </w:rPr>
        <w:t>,</w:t>
      </w:r>
      <w:r w:rsidRPr="0011036E">
        <w:rPr>
          <w:rStyle w:val="Strong"/>
          <w:rFonts w:asciiTheme="minorHAnsi" w:eastAsiaTheme="minorHAnsi" w:hAnsiTheme="minorHAnsi" w:cstheme="minorBidi"/>
          <w:b/>
        </w:rPr>
        <w:t xml:space="preserve"> please </w:t>
      </w:r>
      <w:r w:rsidR="00126B33" w:rsidRPr="0011036E">
        <w:rPr>
          <w:rStyle w:val="Strong"/>
          <w:rFonts w:asciiTheme="minorHAnsi" w:eastAsiaTheme="minorHAnsi" w:hAnsiTheme="minorHAnsi" w:cstheme="minorBidi"/>
          <w:b/>
        </w:rPr>
        <w:t xml:space="preserve">list </w:t>
      </w:r>
      <w:r w:rsidRPr="0011036E">
        <w:rPr>
          <w:rStyle w:val="Strong"/>
          <w:rFonts w:asciiTheme="minorHAnsi" w:eastAsiaTheme="minorHAnsi" w:hAnsiTheme="minorHAnsi" w:cstheme="minorBidi"/>
          <w:b/>
        </w:rPr>
        <w:t xml:space="preserve">the relevant MBS item number(s) </w:t>
      </w:r>
      <w:r w:rsidR="009C03FB" w:rsidRPr="0011036E">
        <w:rPr>
          <w:rStyle w:val="Strong"/>
          <w:rFonts w:asciiTheme="minorHAnsi" w:eastAsiaTheme="minorHAnsi" w:hAnsiTheme="minorHAnsi" w:cstheme="minorBidi"/>
          <w:b/>
        </w:rPr>
        <w:t xml:space="preserve">that </w:t>
      </w:r>
      <w:r w:rsidR="00126B33" w:rsidRPr="0011036E">
        <w:rPr>
          <w:rStyle w:val="Strong"/>
          <w:rFonts w:asciiTheme="minorHAnsi" w:eastAsiaTheme="minorHAnsi" w:hAnsiTheme="minorHAnsi" w:cstheme="minorBidi"/>
          <w:b/>
        </w:rPr>
        <w:t xml:space="preserve">are </w:t>
      </w:r>
      <w:r w:rsidR="005A6AB9" w:rsidRPr="0011036E">
        <w:rPr>
          <w:rStyle w:val="Strong"/>
          <w:rFonts w:asciiTheme="minorHAnsi" w:eastAsiaTheme="minorHAnsi" w:hAnsiTheme="minorHAnsi" w:cstheme="minorBidi"/>
          <w:b/>
        </w:rPr>
        <w:t xml:space="preserve">to be </w:t>
      </w:r>
      <w:r w:rsidR="00126B33" w:rsidRPr="0011036E">
        <w:rPr>
          <w:rStyle w:val="Strong"/>
          <w:rFonts w:asciiTheme="minorHAnsi" w:eastAsiaTheme="minorHAnsi" w:hAnsiTheme="minorHAnsi" w:cstheme="minorBidi"/>
          <w:b/>
        </w:rPr>
        <w:t xml:space="preserve">amended </w:t>
      </w:r>
      <w:r w:rsidR="005A6AB9" w:rsidRPr="0011036E">
        <w:rPr>
          <w:rStyle w:val="Strong"/>
          <w:rFonts w:asciiTheme="minorHAnsi" w:eastAsiaTheme="minorHAnsi" w:hAnsiTheme="minorHAnsi" w:cstheme="minorBidi"/>
          <w:b/>
        </w:rPr>
        <w:t xml:space="preserve">to </w:t>
      </w:r>
      <w:r w:rsidR="00A93F58" w:rsidRPr="0011036E">
        <w:rPr>
          <w:rStyle w:val="Strong"/>
          <w:rFonts w:asciiTheme="minorHAnsi" w:eastAsiaTheme="minorHAnsi" w:hAnsiTheme="minorHAnsi" w:cstheme="minorBidi"/>
          <w:b/>
        </w:rPr>
        <w:t xml:space="preserve">include </w:t>
      </w:r>
      <w:r w:rsidR="005A6AB9" w:rsidRPr="0011036E">
        <w:rPr>
          <w:rStyle w:val="Strong"/>
          <w:rFonts w:asciiTheme="minorHAnsi" w:eastAsiaTheme="minorHAnsi" w:hAnsiTheme="minorHAnsi" w:cstheme="minorBidi"/>
          <w:b/>
        </w:rPr>
        <w:t>the proposed medical service</w:t>
      </w:r>
      <w:r w:rsidR="00802553" w:rsidRPr="0011036E">
        <w:rPr>
          <w:rStyle w:val="Strong"/>
          <w:rFonts w:asciiTheme="minorHAnsi" w:eastAsiaTheme="minorHAnsi" w:hAnsiTheme="minorHAnsi" w:cstheme="minorBidi"/>
          <w:b/>
        </w:rPr>
        <w:t>:</w:t>
      </w:r>
      <w:r w:rsidR="00E06102" w:rsidRPr="0011036E">
        <w:rPr>
          <w:rStyle w:val="Strong"/>
          <w:rFonts w:asciiTheme="minorHAnsi" w:eastAsiaTheme="minorHAnsi" w:hAnsiTheme="minorHAnsi" w:cstheme="minorBidi"/>
          <w:b/>
        </w:rPr>
        <w:t xml:space="preserve"> </w:t>
      </w:r>
    </w:p>
    <w:p w14:paraId="13CACD9F" w14:textId="77777777" w:rsidR="003D795C" w:rsidRPr="00CB12EC" w:rsidRDefault="00D93832" w:rsidP="00E92E45">
      <w:pPr>
        <w:ind w:left="426" w:firstLine="294"/>
      </w:pPr>
      <w:r>
        <w:t>Not applicable</w:t>
      </w:r>
      <w:r w:rsidR="00C47F81">
        <w:t>.</w:t>
      </w:r>
    </w:p>
    <w:p w14:paraId="663F0781" w14:textId="77777777" w:rsidR="006C0843" w:rsidRDefault="006C0843"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is being sought,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14:paraId="1B0FC94A" w14:textId="77777777" w:rsidR="00B81FA9" w:rsidRPr="00B81FA9" w:rsidRDefault="00B81FA9" w:rsidP="00E92E45">
      <w:pPr>
        <w:ind w:firstLine="720"/>
      </w:pPr>
      <w:r>
        <w:t>Not applicable</w:t>
      </w:r>
      <w:r w:rsidR="00C47F81">
        <w:t>.</w:t>
      </w:r>
    </w:p>
    <w:p w14:paraId="47A9E52A" w14:textId="77777777" w:rsidR="002A270B" w:rsidRPr="004A263B" w:rsidRDefault="004B72CA"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002A270B" w:rsidRPr="004A263B">
        <w:rPr>
          <w:b/>
          <w:szCs w:val="20"/>
        </w:rPr>
        <w:instrText xml:space="preserve"> FORMCHECKBOX </w:instrText>
      </w:r>
      <w:r w:rsidR="003136F9">
        <w:rPr>
          <w:b/>
          <w:szCs w:val="20"/>
        </w:rPr>
      </w:r>
      <w:r w:rsidR="003136F9">
        <w:rPr>
          <w:b/>
          <w:szCs w:val="20"/>
        </w:rPr>
        <w:fldChar w:fldCharType="separate"/>
      </w:r>
      <w:r w:rsidRPr="004A263B">
        <w:rPr>
          <w:b/>
          <w:szCs w:val="20"/>
        </w:rPr>
        <w:fldChar w:fldCharType="end"/>
      </w:r>
      <w:r w:rsidR="002A270B" w:rsidRPr="004A263B">
        <w:rPr>
          <w:b/>
          <w:szCs w:val="20"/>
        </w:rPr>
        <w:t xml:space="preserve"> </w:t>
      </w:r>
      <w:r w:rsidR="002A270B" w:rsidRPr="004A263B">
        <w:rPr>
          <w:rStyle w:val="Strong"/>
          <w:b w:val="0"/>
        </w:rPr>
        <w:t>An amendment to the way the service is clinically delivered under the existing item(s)</w:t>
      </w:r>
    </w:p>
    <w:p w14:paraId="5BC94875" w14:textId="77777777" w:rsidR="002A270B" w:rsidRPr="004A263B" w:rsidRDefault="004B72CA"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002A270B" w:rsidRPr="004A263B">
        <w:rPr>
          <w:b/>
          <w:szCs w:val="20"/>
        </w:rPr>
        <w:instrText xml:space="preserve"> FORMCHECKBOX </w:instrText>
      </w:r>
      <w:r w:rsidR="003136F9">
        <w:rPr>
          <w:b/>
          <w:szCs w:val="20"/>
        </w:rPr>
      </w:r>
      <w:r w:rsidR="003136F9">
        <w:rPr>
          <w:b/>
          <w:szCs w:val="20"/>
        </w:rPr>
        <w:fldChar w:fldCharType="separate"/>
      </w:r>
      <w:r w:rsidRPr="004A263B">
        <w:rPr>
          <w:b/>
          <w:szCs w:val="20"/>
        </w:rPr>
        <w:fldChar w:fldCharType="end"/>
      </w:r>
      <w:r w:rsidR="002A270B" w:rsidRPr="004A263B">
        <w:rPr>
          <w:b/>
          <w:szCs w:val="20"/>
        </w:rPr>
        <w:t xml:space="preserve"> </w:t>
      </w:r>
      <w:r w:rsidR="002A270B" w:rsidRPr="004A263B">
        <w:rPr>
          <w:rStyle w:val="Strong"/>
          <w:b w:val="0"/>
        </w:rPr>
        <w:t>An amendment to the patient population under the existing item(s)</w:t>
      </w:r>
    </w:p>
    <w:p w14:paraId="53EDA64A" w14:textId="77777777" w:rsidR="002A270B" w:rsidRPr="004A263B" w:rsidRDefault="004B72CA"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002A270B" w:rsidRPr="004A263B">
        <w:rPr>
          <w:b/>
          <w:szCs w:val="20"/>
        </w:rPr>
        <w:instrText xml:space="preserve"> FORMCHECKBOX </w:instrText>
      </w:r>
      <w:r w:rsidR="003136F9">
        <w:rPr>
          <w:b/>
          <w:szCs w:val="20"/>
        </w:rPr>
      </w:r>
      <w:r w:rsidR="003136F9">
        <w:rPr>
          <w:b/>
          <w:szCs w:val="20"/>
        </w:rPr>
        <w:fldChar w:fldCharType="separate"/>
      </w:r>
      <w:r w:rsidRPr="004A263B">
        <w:rPr>
          <w:b/>
          <w:szCs w:val="20"/>
        </w:rPr>
        <w:fldChar w:fldCharType="end"/>
      </w:r>
      <w:r w:rsidR="002A270B" w:rsidRPr="004A263B">
        <w:rPr>
          <w:b/>
          <w:szCs w:val="20"/>
        </w:rPr>
        <w:t xml:space="preserve"> </w:t>
      </w:r>
      <w:r w:rsidR="002A270B" w:rsidRPr="004A263B">
        <w:rPr>
          <w:rStyle w:val="Strong"/>
          <w:b w:val="0"/>
        </w:rPr>
        <w:t>An amendment to the schedule fee of the existing item(s)</w:t>
      </w:r>
    </w:p>
    <w:p w14:paraId="5F115367" w14:textId="77777777" w:rsidR="002A270B" w:rsidRPr="004A263B" w:rsidRDefault="004B72CA" w:rsidP="004A263B">
      <w:pPr>
        <w:pStyle w:val="ListParagraph"/>
        <w:numPr>
          <w:ilvl w:val="0"/>
          <w:numId w:val="34"/>
        </w:numPr>
        <w:spacing w:before="0" w:after="0"/>
        <w:ind w:left="851" w:hanging="425"/>
        <w:rPr>
          <w:rStyle w:val="Strong"/>
          <w:b w:val="0"/>
        </w:rPr>
      </w:pPr>
      <w:r w:rsidRPr="004A263B">
        <w:rPr>
          <w:b/>
          <w:szCs w:val="20"/>
        </w:rPr>
        <w:lastRenderedPageBreak/>
        <w:fldChar w:fldCharType="begin">
          <w:ffData>
            <w:name w:val="Check2"/>
            <w:enabled/>
            <w:calcOnExit w:val="0"/>
            <w:checkBox>
              <w:sizeAuto/>
              <w:default w:val="0"/>
            </w:checkBox>
          </w:ffData>
        </w:fldChar>
      </w:r>
      <w:r w:rsidR="002A270B" w:rsidRPr="004A263B">
        <w:rPr>
          <w:b/>
          <w:szCs w:val="20"/>
        </w:rPr>
        <w:instrText xml:space="preserve"> FORMCHECKBOX </w:instrText>
      </w:r>
      <w:r w:rsidR="003136F9">
        <w:rPr>
          <w:b/>
          <w:szCs w:val="20"/>
        </w:rPr>
      </w:r>
      <w:r w:rsidR="003136F9">
        <w:rPr>
          <w:b/>
          <w:szCs w:val="20"/>
        </w:rPr>
        <w:fldChar w:fldCharType="separate"/>
      </w:r>
      <w:r w:rsidRPr="004A263B">
        <w:rPr>
          <w:b/>
          <w:szCs w:val="20"/>
        </w:rPr>
        <w:fldChar w:fldCharType="end"/>
      </w:r>
      <w:r w:rsidR="002A270B" w:rsidRPr="004A263B">
        <w:rPr>
          <w:b/>
          <w:szCs w:val="20"/>
        </w:rPr>
        <w:t xml:space="preserve"> </w:t>
      </w:r>
      <w:r w:rsidR="002A270B" w:rsidRPr="004A263B">
        <w:rPr>
          <w:rStyle w:val="Strong"/>
          <w:b w:val="0"/>
        </w:rPr>
        <w:t>An amendment to the time and complexity of an existing item(s)</w:t>
      </w:r>
    </w:p>
    <w:p w14:paraId="36B96D30" w14:textId="77777777" w:rsidR="002A270B" w:rsidRPr="004A263B" w:rsidRDefault="004B72CA"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002A270B" w:rsidRPr="004A263B">
        <w:rPr>
          <w:b/>
          <w:szCs w:val="20"/>
        </w:rPr>
        <w:instrText xml:space="preserve"> FORMCHECKBOX </w:instrText>
      </w:r>
      <w:r w:rsidR="003136F9">
        <w:rPr>
          <w:b/>
          <w:szCs w:val="20"/>
        </w:rPr>
      </w:r>
      <w:r w:rsidR="003136F9">
        <w:rPr>
          <w:b/>
          <w:szCs w:val="20"/>
        </w:rPr>
        <w:fldChar w:fldCharType="separate"/>
      </w:r>
      <w:r w:rsidRPr="004A263B">
        <w:rPr>
          <w:b/>
          <w:szCs w:val="20"/>
        </w:rPr>
        <w:fldChar w:fldCharType="end"/>
      </w:r>
      <w:r w:rsidR="002A270B" w:rsidRPr="004A263B">
        <w:rPr>
          <w:b/>
          <w:szCs w:val="20"/>
        </w:rPr>
        <w:t xml:space="preserve"> </w:t>
      </w:r>
      <w:r w:rsidR="002A270B" w:rsidRPr="004A263B">
        <w:rPr>
          <w:rStyle w:val="Strong"/>
          <w:b w:val="0"/>
        </w:rPr>
        <w:t>Access to an existing item(s) by a different health practitioner group</w:t>
      </w:r>
    </w:p>
    <w:p w14:paraId="029E8AF4" w14:textId="77777777" w:rsidR="002A270B" w:rsidRPr="004A263B" w:rsidRDefault="004B72CA"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002A270B" w:rsidRPr="004A263B">
        <w:rPr>
          <w:b/>
          <w:szCs w:val="20"/>
        </w:rPr>
        <w:instrText xml:space="preserve"> FORMCHECKBOX </w:instrText>
      </w:r>
      <w:r w:rsidR="003136F9">
        <w:rPr>
          <w:b/>
          <w:szCs w:val="20"/>
        </w:rPr>
      </w:r>
      <w:r w:rsidR="003136F9">
        <w:rPr>
          <w:b/>
          <w:szCs w:val="20"/>
        </w:rPr>
        <w:fldChar w:fldCharType="separate"/>
      </w:r>
      <w:r w:rsidRPr="004A263B">
        <w:rPr>
          <w:b/>
          <w:szCs w:val="20"/>
        </w:rPr>
        <w:fldChar w:fldCharType="end"/>
      </w:r>
      <w:r w:rsidR="002A270B" w:rsidRPr="004A263B">
        <w:rPr>
          <w:b/>
          <w:szCs w:val="20"/>
        </w:rPr>
        <w:t xml:space="preserve"> </w:t>
      </w:r>
      <w:r w:rsidR="002A270B" w:rsidRPr="004A263B">
        <w:rPr>
          <w:rStyle w:val="Strong"/>
          <w:b w:val="0"/>
        </w:rPr>
        <w:t>Minor amendments to the item descriptor that does not affect how the service is delivered</w:t>
      </w:r>
    </w:p>
    <w:p w14:paraId="1745752E" w14:textId="77777777" w:rsidR="002A270B" w:rsidRPr="004A263B" w:rsidRDefault="004B72CA"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002A270B" w:rsidRPr="004A263B">
        <w:rPr>
          <w:b/>
          <w:szCs w:val="20"/>
        </w:rPr>
        <w:instrText xml:space="preserve"> FORMCHECKBOX </w:instrText>
      </w:r>
      <w:r w:rsidR="003136F9">
        <w:rPr>
          <w:b/>
          <w:szCs w:val="20"/>
        </w:rPr>
      </w:r>
      <w:r w:rsidR="003136F9">
        <w:rPr>
          <w:b/>
          <w:szCs w:val="20"/>
        </w:rPr>
        <w:fldChar w:fldCharType="separate"/>
      </w:r>
      <w:r w:rsidRPr="004A263B">
        <w:rPr>
          <w:b/>
          <w:szCs w:val="20"/>
        </w:rPr>
        <w:fldChar w:fldCharType="end"/>
      </w:r>
      <w:r w:rsidR="002A270B" w:rsidRPr="004A263B">
        <w:rPr>
          <w:b/>
          <w:szCs w:val="20"/>
        </w:rPr>
        <w:t xml:space="preserve"> </w:t>
      </w:r>
      <w:r w:rsidR="002A270B" w:rsidRPr="004A263B">
        <w:rPr>
          <w:rStyle w:val="Strong"/>
          <w:b w:val="0"/>
        </w:rPr>
        <w:t>An amendment to an existing specific single consultation item</w:t>
      </w:r>
    </w:p>
    <w:p w14:paraId="5EAD2494" w14:textId="77777777" w:rsidR="002A270B" w:rsidRPr="004A263B" w:rsidRDefault="004B72CA"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002A270B" w:rsidRPr="004A263B">
        <w:rPr>
          <w:b/>
          <w:szCs w:val="20"/>
        </w:rPr>
        <w:instrText xml:space="preserve"> FORMCHECKBOX </w:instrText>
      </w:r>
      <w:r w:rsidR="003136F9">
        <w:rPr>
          <w:b/>
          <w:szCs w:val="20"/>
        </w:rPr>
      </w:r>
      <w:r w:rsidR="003136F9">
        <w:rPr>
          <w:b/>
          <w:szCs w:val="20"/>
        </w:rPr>
        <w:fldChar w:fldCharType="separate"/>
      </w:r>
      <w:r w:rsidRPr="004A263B">
        <w:rPr>
          <w:b/>
          <w:szCs w:val="20"/>
        </w:rPr>
        <w:fldChar w:fldCharType="end"/>
      </w:r>
      <w:r w:rsidR="002A270B" w:rsidRPr="004A263B">
        <w:rPr>
          <w:b/>
          <w:szCs w:val="20"/>
        </w:rPr>
        <w:t xml:space="preserve"> </w:t>
      </w:r>
      <w:r w:rsidR="002A270B" w:rsidRPr="004A263B">
        <w:rPr>
          <w:rStyle w:val="Strong"/>
          <w:b w:val="0"/>
        </w:rPr>
        <w:t>An amendment to an existing global consultation item(s)</w:t>
      </w:r>
    </w:p>
    <w:p w14:paraId="33611B75" w14:textId="77777777" w:rsidR="002A270B" w:rsidRDefault="004B72CA" w:rsidP="004A263B">
      <w:pPr>
        <w:pStyle w:val="ListParagraph"/>
        <w:numPr>
          <w:ilvl w:val="0"/>
          <w:numId w:val="34"/>
        </w:numPr>
        <w:ind w:left="851" w:hanging="425"/>
        <w:rPr>
          <w:rStyle w:val="Strong"/>
        </w:rPr>
      </w:pPr>
      <w:r w:rsidRPr="004A263B">
        <w:rPr>
          <w:b/>
          <w:szCs w:val="20"/>
        </w:rPr>
        <w:fldChar w:fldCharType="begin">
          <w:ffData>
            <w:name w:val="Check2"/>
            <w:enabled/>
            <w:calcOnExit w:val="0"/>
            <w:checkBox>
              <w:sizeAuto/>
              <w:default w:val="0"/>
            </w:checkBox>
          </w:ffData>
        </w:fldChar>
      </w:r>
      <w:r w:rsidR="004A263B" w:rsidRPr="004A263B">
        <w:rPr>
          <w:b/>
          <w:szCs w:val="20"/>
        </w:rPr>
        <w:instrText xml:space="preserve"> FORMCHECKBOX </w:instrText>
      </w:r>
      <w:r w:rsidR="003136F9">
        <w:rPr>
          <w:b/>
          <w:szCs w:val="20"/>
        </w:rPr>
      </w:r>
      <w:r w:rsidR="003136F9">
        <w:rPr>
          <w:b/>
          <w:szCs w:val="20"/>
        </w:rPr>
        <w:fldChar w:fldCharType="separate"/>
      </w:r>
      <w:r w:rsidRPr="004A263B">
        <w:rPr>
          <w:b/>
          <w:szCs w:val="20"/>
        </w:rPr>
        <w:fldChar w:fldCharType="end"/>
      </w:r>
      <w:r w:rsidR="004A263B" w:rsidRPr="004A263B">
        <w:rPr>
          <w:b/>
          <w:szCs w:val="20"/>
        </w:rPr>
        <w:t xml:space="preserve"> </w:t>
      </w:r>
      <w:r w:rsidR="002A270B" w:rsidRPr="004A263B">
        <w:rPr>
          <w:rStyle w:val="Strong"/>
          <w:b w:val="0"/>
        </w:rPr>
        <w:t>Other (please describe below)</w:t>
      </w:r>
      <w:r w:rsidR="00A6491A" w:rsidRPr="004A263B">
        <w:rPr>
          <w:rStyle w:val="Strong"/>
          <w:b w:val="0"/>
        </w:rPr>
        <w:t>:</w:t>
      </w:r>
    </w:p>
    <w:p w14:paraId="2F671B3E" w14:textId="77777777" w:rsidR="002A270B" w:rsidRPr="00CB12EC" w:rsidRDefault="004B72CA" w:rsidP="00A6491A">
      <w:pPr>
        <w:ind w:left="284"/>
      </w:pPr>
      <w:r>
        <w:fldChar w:fldCharType="begin">
          <w:ffData>
            <w:name w:val=""/>
            <w:enabled/>
            <w:calcOnExit w:val="0"/>
            <w:textInput>
              <w:default w:val="Insert description of 'other' amendment here"/>
            </w:textInput>
          </w:ffData>
        </w:fldChar>
      </w:r>
      <w:r w:rsidR="00A6594E">
        <w:instrText xml:space="preserve"> FORMTEXT </w:instrText>
      </w:r>
      <w:r>
        <w:fldChar w:fldCharType="separate"/>
      </w:r>
      <w:r w:rsidR="00A6594E">
        <w:rPr>
          <w:noProof/>
        </w:rPr>
        <w:t>Insert description of 'other' amendment here</w:t>
      </w:r>
      <w:r>
        <w:fldChar w:fldCharType="end"/>
      </w:r>
    </w:p>
    <w:p w14:paraId="218CD4CB" w14:textId="77777777" w:rsidR="00534C5F" w:rsidRPr="007E39E4" w:rsidRDefault="000770BA"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is being requested</w:t>
      </w:r>
      <w:r w:rsidRPr="007E39E4">
        <w:rPr>
          <w:rStyle w:val="Strong"/>
          <w:rFonts w:asciiTheme="minorHAnsi" w:eastAsiaTheme="minorHAnsi" w:hAnsiTheme="minorHAnsi" w:cstheme="minorBidi"/>
          <w:b/>
        </w:rPr>
        <w:t>, what is the nature of the change to the MBS being sought?</w:t>
      </w:r>
    </w:p>
    <w:p w14:paraId="32CC3D39" w14:textId="77777777" w:rsidR="006B6390" w:rsidRPr="00AA2CFE" w:rsidRDefault="004B72CA"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006B6390" w:rsidRPr="00AA2CFE">
        <w:rPr>
          <w:b/>
          <w:szCs w:val="20"/>
        </w:rPr>
        <w:instrText xml:space="preserve"> FORMCHECKBOX </w:instrText>
      </w:r>
      <w:r w:rsidR="003136F9">
        <w:rPr>
          <w:b/>
          <w:szCs w:val="20"/>
        </w:rPr>
      </w:r>
      <w:r w:rsidR="003136F9">
        <w:rPr>
          <w:b/>
          <w:szCs w:val="20"/>
        </w:rPr>
        <w:fldChar w:fldCharType="separate"/>
      </w:r>
      <w:r w:rsidRPr="00AA2CFE">
        <w:rPr>
          <w:b/>
          <w:szCs w:val="20"/>
        </w:rPr>
        <w:fldChar w:fldCharType="end"/>
      </w:r>
      <w:r w:rsidR="006B6390" w:rsidRPr="00AA2CFE">
        <w:rPr>
          <w:b/>
          <w:szCs w:val="20"/>
        </w:rPr>
        <w:t xml:space="preserve"> </w:t>
      </w:r>
      <w:r w:rsidR="006B6390" w:rsidRPr="00AA2CFE">
        <w:rPr>
          <w:rStyle w:val="Strong"/>
          <w:b w:val="0"/>
        </w:rPr>
        <w:t>A new item which also seeks to allow access to the MBS for a specific health practitioner group</w:t>
      </w:r>
    </w:p>
    <w:p w14:paraId="60558680" w14:textId="77777777" w:rsidR="006B6390" w:rsidRPr="00AA2CFE" w:rsidRDefault="004B72CA"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006B6390" w:rsidRPr="00AA2CFE">
        <w:rPr>
          <w:b/>
          <w:szCs w:val="20"/>
        </w:rPr>
        <w:instrText xml:space="preserve"> FORMCHECKBOX </w:instrText>
      </w:r>
      <w:r w:rsidR="003136F9">
        <w:rPr>
          <w:b/>
          <w:szCs w:val="20"/>
        </w:rPr>
      </w:r>
      <w:r w:rsidR="003136F9">
        <w:rPr>
          <w:b/>
          <w:szCs w:val="20"/>
        </w:rPr>
        <w:fldChar w:fldCharType="separate"/>
      </w:r>
      <w:r w:rsidRPr="00AA2CFE">
        <w:rPr>
          <w:b/>
          <w:szCs w:val="20"/>
        </w:rPr>
        <w:fldChar w:fldCharType="end"/>
      </w:r>
      <w:r w:rsidR="006B6390" w:rsidRPr="00AA2CFE">
        <w:rPr>
          <w:b/>
          <w:szCs w:val="20"/>
        </w:rPr>
        <w:t xml:space="preserve"> </w:t>
      </w:r>
      <w:r w:rsidR="006B6390" w:rsidRPr="00AA2CFE">
        <w:rPr>
          <w:rStyle w:val="Strong"/>
          <w:b w:val="0"/>
        </w:rPr>
        <w:t>A new item that is proposing a way of clinically delivering a service that is new to the MBS (in terms of new technology and / or population)</w:t>
      </w:r>
    </w:p>
    <w:p w14:paraId="4C15D1B0" w14:textId="77777777" w:rsidR="006B6390" w:rsidRPr="00AA2CFE" w:rsidRDefault="004B72CA"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006B6390" w:rsidRPr="00AA2CFE">
        <w:rPr>
          <w:b/>
          <w:szCs w:val="20"/>
        </w:rPr>
        <w:instrText xml:space="preserve"> FORMCHECKBOX </w:instrText>
      </w:r>
      <w:r w:rsidR="003136F9">
        <w:rPr>
          <w:b/>
          <w:szCs w:val="20"/>
        </w:rPr>
      </w:r>
      <w:r w:rsidR="003136F9">
        <w:rPr>
          <w:b/>
          <w:szCs w:val="20"/>
        </w:rPr>
        <w:fldChar w:fldCharType="separate"/>
      </w:r>
      <w:r w:rsidRPr="00AA2CFE">
        <w:rPr>
          <w:b/>
          <w:szCs w:val="20"/>
        </w:rPr>
        <w:fldChar w:fldCharType="end"/>
      </w:r>
      <w:r w:rsidR="006B6390" w:rsidRPr="00AA2CFE">
        <w:rPr>
          <w:b/>
          <w:szCs w:val="20"/>
        </w:rPr>
        <w:t xml:space="preserve"> </w:t>
      </w:r>
      <w:r w:rsidR="006B6390" w:rsidRPr="00AA2CFE">
        <w:rPr>
          <w:rStyle w:val="Strong"/>
          <w:b w:val="0"/>
        </w:rPr>
        <w:t>A new item for a specific single consultation item</w:t>
      </w:r>
    </w:p>
    <w:p w14:paraId="7C1A2A12" w14:textId="77777777" w:rsidR="006B6390" w:rsidRPr="00AA2CFE" w:rsidRDefault="004B72CA"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006B6390" w:rsidRPr="00AA2CFE">
        <w:rPr>
          <w:b/>
          <w:szCs w:val="20"/>
        </w:rPr>
        <w:instrText xml:space="preserve"> FORMCHECKBOX </w:instrText>
      </w:r>
      <w:r w:rsidR="003136F9">
        <w:rPr>
          <w:b/>
          <w:szCs w:val="20"/>
        </w:rPr>
      </w:r>
      <w:r w:rsidR="003136F9">
        <w:rPr>
          <w:b/>
          <w:szCs w:val="20"/>
        </w:rPr>
        <w:fldChar w:fldCharType="separate"/>
      </w:r>
      <w:r w:rsidRPr="00AA2CFE">
        <w:rPr>
          <w:b/>
          <w:szCs w:val="20"/>
        </w:rPr>
        <w:fldChar w:fldCharType="end"/>
      </w:r>
      <w:r w:rsidR="006B6390" w:rsidRPr="00AA2CFE">
        <w:rPr>
          <w:b/>
          <w:szCs w:val="20"/>
        </w:rPr>
        <w:t xml:space="preserve"> </w:t>
      </w:r>
      <w:r w:rsidR="006B6390" w:rsidRPr="00AA2CFE">
        <w:rPr>
          <w:rStyle w:val="Strong"/>
          <w:b w:val="0"/>
        </w:rPr>
        <w:t>A new item for a global consultation item(s)</w:t>
      </w:r>
    </w:p>
    <w:p w14:paraId="12CCEC47" w14:textId="77777777" w:rsidR="003027BB" w:rsidRPr="007E39E4" w:rsidRDefault="00F30C22"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Is the proposed service seeking public funding other than the MBS?</w:t>
      </w:r>
    </w:p>
    <w:p w14:paraId="5A911D75" w14:textId="77777777" w:rsidR="000A5B32" w:rsidRDefault="004B72CA" w:rsidP="00A6491A">
      <w:pPr>
        <w:spacing w:before="0" w:after="0"/>
        <w:ind w:left="284"/>
        <w:rPr>
          <w:szCs w:val="20"/>
        </w:rPr>
      </w:pPr>
      <w:r>
        <w:rPr>
          <w:szCs w:val="20"/>
        </w:rPr>
        <w:fldChar w:fldCharType="begin">
          <w:ffData>
            <w:name w:val=""/>
            <w:enabled/>
            <w:calcOnExit w:val="0"/>
            <w:checkBox>
              <w:sizeAuto/>
              <w:default w:val="1"/>
            </w:checkBox>
          </w:ffData>
        </w:fldChar>
      </w:r>
      <w:r w:rsidR="00B9101C">
        <w:rPr>
          <w:szCs w:val="20"/>
        </w:rPr>
        <w:instrText xml:space="preserve"> FORMCHECKBOX </w:instrText>
      </w:r>
      <w:r w:rsidR="003136F9">
        <w:rPr>
          <w:szCs w:val="20"/>
        </w:rPr>
      </w:r>
      <w:r w:rsidR="003136F9">
        <w:rPr>
          <w:szCs w:val="20"/>
        </w:rPr>
        <w:fldChar w:fldCharType="separate"/>
      </w:r>
      <w:r>
        <w:rPr>
          <w:szCs w:val="20"/>
        </w:rPr>
        <w:fldChar w:fldCharType="end"/>
      </w:r>
      <w:r w:rsidR="000A5B32" w:rsidRPr="000A5B32">
        <w:rPr>
          <w:szCs w:val="20"/>
        </w:rPr>
        <w:t xml:space="preserve"> Yes</w:t>
      </w:r>
    </w:p>
    <w:p w14:paraId="0C23FE27" w14:textId="77777777" w:rsidR="00626365" w:rsidRDefault="004B72CA" w:rsidP="00626365">
      <w:pPr>
        <w:spacing w:before="0" w:after="0"/>
        <w:ind w:left="284"/>
        <w:rPr>
          <w:szCs w:val="20"/>
        </w:rPr>
      </w:pPr>
      <w:r>
        <w:rPr>
          <w:szCs w:val="20"/>
        </w:rPr>
        <w:fldChar w:fldCharType="begin">
          <w:ffData>
            <w:name w:val=""/>
            <w:enabled/>
            <w:calcOnExit w:val="0"/>
            <w:checkBox>
              <w:sizeAuto/>
              <w:default w:val="0"/>
            </w:checkBox>
          </w:ffData>
        </w:fldChar>
      </w:r>
      <w:r w:rsidR="00D93832">
        <w:rPr>
          <w:szCs w:val="20"/>
        </w:rPr>
        <w:instrText xml:space="preserve"> FORMCHECKBOX </w:instrText>
      </w:r>
      <w:r w:rsidR="003136F9">
        <w:rPr>
          <w:szCs w:val="20"/>
        </w:rPr>
      </w:r>
      <w:r w:rsidR="003136F9">
        <w:rPr>
          <w:szCs w:val="20"/>
        </w:rPr>
        <w:fldChar w:fldCharType="separate"/>
      </w:r>
      <w:r>
        <w:rPr>
          <w:szCs w:val="20"/>
        </w:rPr>
        <w:fldChar w:fldCharType="end"/>
      </w:r>
      <w:r w:rsidR="000A5B32" w:rsidRPr="000A5B32">
        <w:rPr>
          <w:szCs w:val="20"/>
        </w:rPr>
        <w:t xml:space="preserve"> No</w:t>
      </w:r>
    </w:p>
    <w:p w14:paraId="5BD9E02E" w14:textId="77777777" w:rsidR="003027BB" w:rsidRPr="007E39E4" w:rsidRDefault="003027BB"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yes, please advise:</w:t>
      </w:r>
    </w:p>
    <w:p w14:paraId="78183736" w14:textId="16B4CA96" w:rsidR="006A291B" w:rsidRPr="00194C97" w:rsidRDefault="00FE01EC" w:rsidP="00194C97">
      <w:pPr>
        <w:spacing w:before="0"/>
        <w:ind w:left="720"/>
        <w:rPr>
          <w:rFonts w:ascii="Calibri" w:eastAsia="Calibri" w:hAnsi="Calibri" w:cs="Times New Roman"/>
          <w:szCs w:val="20"/>
        </w:rPr>
      </w:pPr>
      <w:r>
        <w:rPr>
          <w:rFonts w:ascii="Calibri" w:eastAsia="Calibri" w:hAnsi="Calibri" w:cs="Times New Roman"/>
          <w:szCs w:val="20"/>
        </w:rPr>
        <w:t>A</w:t>
      </w:r>
      <w:r w:rsidRPr="00B9101C">
        <w:rPr>
          <w:rFonts w:ascii="Calibri" w:eastAsia="Calibri" w:hAnsi="Calibri" w:cs="Times New Roman"/>
          <w:szCs w:val="20"/>
        </w:rPr>
        <w:t xml:space="preserve">t </w:t>
      </w:r>
      <w:r>
        <w:rPr>
          <w:rFonts w:ascii="Calibri" w:eastAsia="Calibri" w:hAnsi="Calibri" w:cs="Times New Roman"/>
          <w:szCs w:val="20"/>
        </w:rPr>
        <w:t xml:space="preserve">the </w:t>
      </w:r>
      <w:r w:rsidRPr="00B9101C">
        <w:rPr>
          <w:rFonts w:ascii="Calibri" w:eastAsia="Calibri" w:hAnsi="Calibri" w:cs="Times New Roman"/>
          <w:szCs w:val="20"/>
        </w:rPr>
        <w:t xml:space="preserve">time of </w:t>
      </w:r>
      <w:r>
        <w:rPr>
          <w:rFonts w:ascii="Calibri" w:eastAsia="Calibri" w:hAnsi="Calibri" w:cs="Times New Roman"/>
          <w:szCs w:val="20"/>
        </w:rPr>
        <w:t>completing</w:t>
      </w:r>
      <w:r w:rsidRPr="00B9101C">
        <w:rPr>
          <w:rFonts w:ascii="Calibri" w:eastAsia="Calibri" w:hAnsi="Calibri" w:cs="Times New Roman"/>
          <w:szCs w:val="20"/>
        </w:rPr>
        <w:t xml:space="preserve"> this application form</w:t>
      </w:r>
      <w:r>
        <w:rPr>
          <w:rFonts w:ascii="Calibri" w:eastAsia="Calibri" w:hAnsi="Calibri" w:cs="Times New Roman"/>
          <w:szCs w:val="20"/>
        </w:rPr>
        <w:t>, t</w:t>
      </w:r>
      <w:r w:rsidR="00B9101C" w:rsidRPr="00B9101C">
        <w:rPr>
          <w:szCs w:val="20"/>
        </w:rPr>
        <w:t xml:space="preserve">he public funding mechanism for </w:t>
      </w:r>
      <w:r w:rsidR="004E559F">
        <w:rPr>
          <w:szCs w:val="20"/>
        </w:rPr>
        <w:t>a</w:t>
      </w:r>
      <w:r w:rsidR="00B9101C" w:rsidRPr="00B9101C">
        <w:rPr>
          <w:rFonts w:cs="Calibri"/>
          <w:szCs w:val="20"/>
          <w:lang w:eastAsia="en-AU"/>
        </w:rPr>
        <w:t>xicabtagene ciloleucel</w:t>
      </w:r>
      <w:r w:rsidR="00B9101C" w:rsidRPr="00B9101C">
        <w:rPr>
          <w:rFonts w:ascii="Calibri" w:eastAsia="Calibri" w:hAnsi="Calibri" w:cs="Times New Roman"/>
          <w:szCs w:val="20"/>
        </w:rPr>
        <w:t xml:space="preserve"> </w:t>
      </w:r>
      <w:r>
        <w:rPr>
          <w:rFonts w:ascii="Calibri" w:eastAsia="Calibri" w:hAnsi="Calibri" w:cs="Times New Roman"/>
          <w:szCs w:val="20"/>
        </w:rPr>
        <w:t>was</w:t>
      </w:r>
      <w:r w:rsidR="00B9101C" w:rsidRPr="00B9101C">
        <w:rPr>
          <w:rFonts w:ascii="Calibri" w:eastAsia="Calibri" w:hAnsi="Calibri" w:cs="Times New Roman"/>
          <w:szCs w:val="20"/>
        </w:rPr>
        <w:t xml:space="preserve"> yet to be determined</w:t>
      </w:r>
      <w:r>
        <w:rPr>
          <w:rFonts w:ascii="Calibri" w:eastAsia="Calibri" w:hAnsi="Calibri" w:cs="Times New Roman"/>
          <w:szCs w:val="20"/>
        </w:rPr>
        <w:t xml:space="preserve">. </w:t>
      </w:r>
      <w:r w:rsidR="00C86CEC">
        <w:rPr>
          <w:rFonts w:ascii="Calibri" w:eastAsia="Calibri" w:hAnsi="Calibri" w:cs="Times New Roman"/>
          <w:szCs w:val="20"/>
        </w:rPr>
        <w:t>Gilead is committed to working with the Department of Health to facilitate public funding for this important therapy.</w:t>
      </w:r>
    </w:p>
    <w:p w14:paraId="540B0329" w14:textId="77777777" w:rsidR="00E8581D" w:rsidRDefault="00E8581D" w:rsidP="00E92E45">
      <w:pPr>
        <w:spacing w:before="0" w:after="0"/>
        <w:ind w:left="720"/>
        <w:rPr>
          <w:szCs w:val="20"/>
        </w:rPr>
      </w:pPr>
      <w:r>
        <w:rPr>
          <w:szCs w:val="20"/>
        </w:rPr>
        <w:t>I</w:t>
      </w:r>
      <w:r w:rsidRPr="00F870F1">
        <w:rPr>
          <w:szCs w:val="20"/>
        </w:rPr>
        <w:t xml:space="preserve">t </w:t>
      </w:r>
      <w:r>
        <w:rPr>
          <w:szCs w:val="20"/>
        </w:rPr>
        <w:t xml:space="preserve">is Gilead’s understanding that </w:t>
      </w:r>
      <w:r w:rsidRPr="00696A2C">
        <w:rPr>
          <w:rFonts w:cs="Calibri"/>
          <w:lang w:eastAsia="en-AU"/>
        </w:rPr>
        <w:t>axicabtagene ciloleucel</w:t>
      </w:r>
      <w:r>
        <w:rPr>
          <w:szCs w:val="20"/>
        </w:rPr>
        <w:t xml:space="preserve"> is</w:t>
      </w:r>
      <w:r w:rsidR="00DC2442">
        <w:rPr>
          <w:szCs w:val="20"/>
        </w:rPr>
        <w:t xml:space="preserve"> not</w:t>
      </w:r>
      <w:r>
        <w:rPr>
          <w:szCs w:val="20"/>
        </w:rPr>
        <w:t xml:space="preserve"> currently eligible for funding through the Pharmaceutical Benefits Scheme (PBS).</w:t>
      </w:r>
      <w:r w:rsidRPr="00E8581D">
        <w:rPr>
          <w:rFonts w:ascii="Calibri" w:eastAsia="Calibri" w:hAnsi="Calibri" w:cs="Times New Roman"/>
          <w:szCs w:val="20"/>
        </w:rPr>
        <w:t xml:space="preserve"> Gilead seeks to work with the</w:t>
      </w:r>
      <w:r w:rsidRPr="00E8581D">
        <w:rPr>
          <w:rFonts w:ascii="Calibri" w:eastAsia="Calibri" w:hAnsi="Calibri" w:cs="Times New Roman"/>
          <w:i/>
          <w:szCs w:val="20"/>
        </w:rPr>
        <w:t xml:space="preserve"> </w:t>
      </w:r>
      <w:r w:rsidRPr="00E8581D">
        <w:rPr>
          <w:rFonts w:ascii="Calibri" w:eastAsia="Calibri" w:hAnsi="Calibri" w:cs="Times New Roman"/>
          <w:szCs w:val="20"/>
        </w:rPr>
        <w:t>Department of Health to consider which, if any, components of the therapy will be funded through current funding mechanisms.</w:t>
      </w:r>
    </w:p>
    <w:p w14:paraId="45850F24" w14:textId="77777777" w:rsidR="000B3CD0" w:rsidRDefault="000B3CD0" w:rsidP="00730C04">
      <w:pPr>
        <w:pStyle w:val="Heading2"/>
      </w:pPr>
      <w:r w:rsidRPr="00154B00">
        <w:t>What is the type of service:</w:t>
      </w:r>
    </w:p>
    <w:p w14:paraId="1CA2AA5A" w14:textId="77777777" w:rsidR="00A6594E" w:rsidRDefault="004B72CA" w:rsidP="00A6491A">
      <w:pPr>
        <w:spacing w:before="0" w:after="0"/>
        <w:ind w:left="284"/>
      </w:pPr>
      <w:r w:rsidRPr="0027105F">
        <w:rPr>
          <w:b/>
          <w:szCs w:val="20"/>
        </w:rPr>
        <w:fldChar w:fldCharType="begin">
          <w:ffData>
            <w:name w:val="Check2"/>
            <w:enabled/>
            <w:calcOnExit w:val="0"/>
            <w:checkBox>
              <w:sizeAuto/>
              <w:default w:val="0"/>
            </w:checkBox>
          </w:ffData>
        </w:fldChar>
      </w:r>
      <w:r w:rsidR="00A6594E" w:rsidRPr="0027105F">
        <w:rPr>
          <w:b/>
          <w:szCs w:val="20"/>
        </w:rPr>
        <w:instrText xml:space="preserve"> FORMCHECKBOX </w:instrText>
      </w:r>
      <w:r w:rsidR="003136F9">
        <w:rPr>
          <w:b/>
          <w:szCs w:val="20"/>
        </w:rPr>
      </w:r>
      <w:r w:rsidR="003136F9">
        <w:rPr>
          <w:b/>
          <w:szCs w:val="20"/>
        </w:rPr>
        <w:fldChar w:fldCharType="separate"/>
      </w:r>
      <w:r w:rsidRPr="0027105F">
        <w:rPr>
          <w:b/>
          <w:szCs w:val="20"/>
        </w:rPr>
        <w:fldChar w:fldCharType="end"/>
      </w:r>
      <w:r w:rsidR="00A6594E" w:rsidRPr="0027105F">
        <w:rPr>
          <w:b/>
          <w:szCs w:val="20"/>
        </w:rPr>
        <w:t xml:space="preserve"> </w:t>
      </w:r>
      <w:r w:rsidR="00A6594E">
        <w:t>Therapeutic medical service</w:t>
      </w:r>
    </w:p>
    <w:p w14:paraId="276E031B" w14:textId="77777777" w:rsidR="00A6594E" w:rsidRDefault="004B72CA" w:rsidP="00A6491A">
      <w:pPr>
        <w:spacing w:before="0" w:after="0"/>
        <w:ind w:left="284"/>
      </w:pPr>
      <w:r w:rsidRPr="0027105F">
        <w:rPr>
          <w:b/>
          <w:szCs w:val="20"/>
        </w:rPr>
        <w:fldChar w:fldCharType="begin">
          <w:ffData>
            <w:name w:val="Check2"/>
            <w:enabled/>
            <w:calcOnExit w:val="0"/>
            <w:checkBox>
              <w:sizeAuto/>
              <w:default w:val="0"/>
            </w:checkBox>
          </w:ffData>
        </w:fldChar>
      </w:r>
      <w:r w:rsidR="00A6594E" w:rsidRPr="0027105F">
        <w:rPr>
          <w:b/>
          <w:szCs w:val="20"/>
        </w:rPr>
        <w:instrText xml:space="preserve"> FORMCHECKBOX </w:instrText>
      </w:r>
      <w:r w:rsidR="003136F9">
        <w:rPr>
          <w:b/>
          <w:szCs w:val="20"/>
        </w:rPr>
      </w:r>
      <w:r w:rsidR="003136F9">
        <w:rPr>
          <w:b/>
          <w:szCs w:val="20"/>
        </w:rPr>
        <w:fldChar w:fldCharType="separate"/>
      </w:r>
      <w:r w:rsidRPr="0027105F">
        <w:rPr>
          <w:b/>
          <w:szCs w:val="20"/>
        </w:rPr>
        <w:fldChar w:fldCharType="end"/>
      </w:r>
      <w:r w:rsidR="00A6594E" w:rsidRPr="0027105F">
        <w:rPr>
          <w:b/>
          <w:szCs w:val="20"/>
        </w:rPr>
        <w:t xml:space="preserve"> </w:t>
      </w:r>
      <w:r w:rsidR="00A6594E">
        <w:t>Investigative medical service</w:t>
      </w:r>
    </w:p>
    <w:p w14:paraId="4279F66E" w14:textId="77777777" w:rsidR="00A6594E" w:rsidRDefault="004B72CA" w:rsidP="00A6491A">
      <w:pPr>
        <w:spacing w:before="0" w:after="0"/>
        <w:ind w:left="284"/>
      </w:pPr>
      <w:r w:rsidRPr="0027105F">
        <w:rPr>
          <w:b/>
          <w:szCs w:val="20"/>
        </w:rPr>
        <w:fldChar w:fldCharType="begin">
          <w:ffData>
            <w:name w:val="Check2"/>
            <w:enabled/>
            <w:calcOnExit w:val="0"/>
            <w:checkBox>
              <w:sizeAuto/>
              <w:default w:val="0"/>
            </w:checkBox>
          </w:ffData>
        </w:fldChar>
      </w:r>
      <w:r w:rsidR="00A6594E" w:rsidRPr="0027105F">
        <w:rPr>
          <w:b/>
          <w:szCs w:val="20"/>
        </w:rPr>
        <w:instrText xml:space="preserve"> FORMCHECKBOX </w:instrText>
      </w:r>
      <w:r w:rsidR="003136F9">
        <w:rPr>
          <w:b/>
          <w:szCs w:val="20"/>
        </w:rPr>
      </w:r>
      <w:r w:rsidR="003136F9">
        <w:rPr>
          <w:b/>
          <w:szCs w:val="20"/>
        </w:rPr>
        <w:fldChar w:fldCharType="separate"/>
      </w:r>
      <w:r w:rsidRPr="0027105F">
        <w:rPr>
          <w:b/>
          <w:szCs w:val="20"/>
        </w:rPr>
        <w:fldChar w:fldCharType="end"/>
      </w:r>
      <w:r w:rsidR="00A6594E" w:rsidRPr="0027105F">
        <w:rPr>
          <w:b/>
          <w:szCs w:val="20"/>
        </w:rPr>
        <w:t xml:space="preserve"> </w:t>
      </w:r>
      <w:r w:rsidR="00A6594E">
        <w:t>Single consultation medical service</w:t>
      </w:r>
    </w:p>
    <w:p w14:paraId="5BEFA8B6" w14:textId="77777777" w:rsidR="00A6594E" w:rsidRDefault="004B72CA" w:rsidP="00A6491A">
      <w:pPr>
        <w:spacing w:before="0" w:after="0"/>
        <w:ind w:left="284"/>
      </w:pPr>
      <w:r w:rsidRPr="0027105F">
        <w:rPr>
          <w:b/>
          <w:szCs w:val="20"/>
        </w:rPr>
        <w:fldChar w:fldCharType="begin">
          <w:ffData>
            <w:name w:val="Check2"/>
            <w:enabled/>
            <w:calcOnExit w:val="0"/>
            <w:checkBox>
              <w:sizeAuto/>
              <w:default w:val="0"/>
            </w:checkBox>
          </w:ffData>
        </w:fldChar>
      </w:r>
      <w:r w:rsidR="00A6594E" w:rsidRPr="0027105F">
        <w:rPr>
          <w:b/>
          <w:szCs w:val="20"/>
        </w:rPr>
        <w:instrText xml:space="preserve"> FORMCHECKBOX </w:instrText>
      </w:r>
      <w:r w:rsidR="003136F9">
        <w:rPr>
          <w:b/>
          <w:szCs w:val="20"/>
        </w:rPr>
      </w:r>
      <w:r w:rsidR="003136F9">
        <w:rPr>
          <w:b/>
          <w:szCs w:val="20"/>
        </w:rPr>
        <w:fldChar w:fldCharType="separate"/>
      </w:r>
      <w:r w:rsidRPr="0027105F">
        <w:rPr>
          <w:b/>
          <w:szCs w:val="20"/>
        </w:rPr>
        <w:fldChar w:fldCharType="end"/>
      </w:r>
      <w:r w:rsidR="00A6594E" w:rsidRPr="0027105F">
        <w:rPr>
          <w:b/>
          <w:szCs w:val="20"/>
        </w:rPr>
        <w:t xml:space="preserve"> </w:t>
      </w:r>
      <w:r w:rsidR="00A6594E">
        <w:t>Global consultation medical service</w:t>
      </w:r>
    </w:p>
    <w:p w14:paraId="1428244A" w14:textId="77777777" w:rsidR="00A6594E" w:rsidRDefault="004B72CA" w:rsidP="00A6491A">
      <w:pPr>
        <w:spacing w:before="0" w:after="0"/>
        <w:ind w:left="284"/>
      </w:pPr>
      <w:r w:rsidRPr="0027105F">
        <w:rPr>
          <w:b/>
          <w:szCs w:val="20"/>
        </w:rPr>
        <w:fldChar w:fldCharType="begin">
          <w:ffData>
            <w:name w:val="Check2"/>
            <w:enabled/>
            <w:calcOnExit w:val="0"/>
            <w:checkBox>
              <w:sizeAuto/>
              <w:default w:val="0"/>
            </w:checkBox>
          </w:ffData>
        </w:fldChar>
      </w:r>
      <w:r w:rsidR="00A6594E" w:rsidRPr="0027105F">
        <w:rPr>
          <w:b/>
          <w:szCs w:val="20"/>
        </w:rPr>
        <w:instrText xml:space="preserve"> FORMCHECKBOX </w:instrText>
      </w:r>
      <w:r w:rsidR="003136F9">
        <w:rPr>
          <w:b/>
          <w:szCs w:val="20"/>
        </w:rPr>
      </w:r>
      <w:r w:rsidR="003136F9">
        <w:rPr>
          <w:b/>
          <w:szCs w:val="20"/>
        </w:rPr>
        <w:fldChar w:fldCharType="separate"/>
      </w:r>
      <w:r w:rsidRPr="0027105F">
        <w:rPr>
          <w:b/>
          <w:szCs w:val="20"/>
        </w:rPr>
        <w:fldChar w:fldCharType="end"/>
      </w:r>
      <w:r w:rsidR="00A6594E" w:rsidRPr="0027105F">
        <w:rPr>
          <w:b/>
          <w:szCs w:val="20"/>
        </w:rPr>
        <w:t xml:space="preserve"> </w:t>
      </w:r>
      <w:r w:rsidR="00A6594E">
        <w:t>Allied health service</w:t>
      </w:r>
    </w:p>
    <w:p w14:paraId="6304DA03" w14:textId="77777777" w:rsidR="00A6594E" w:rsidRDefault="004B72CA" w:rsidP="00A6491A">
      <w:pPr>
        <w:spacing w:before="0" w:after="0"/>
        <w:ind w:left="284"/>
      </w:pPr>
      <w:r w:rsidRPr="0027105F">
        <w:rPr>
          <w:b/>
          <w:szCs w:val="20"/>
        </w:rPr>
        <w:fldChar w:fldCharType="begin">
          <w:ffData>
            <w:name w:val="Check2"/>
            <w:enabled/>
            <w:calcOnExit w:val="0"/>
            <w:checkBox>
              <w:sizeAuto/>
              <w:default w:val="0"/>
            </w:checkBox>
          </w:ffData>
        </w:fldChar>
      </w:r>
      <w:r w:rsidR="00A6594E" w:rsidRPr="0027105F">
        <w:rPr>
          <w:b/>
          <w:szCs w:val="20"/>
        </w:rPr>
        <w:instrText xml:space="preserve"> FORMCHECKBOX </w:instrText>
      </w:r>
      <w:r w:rsidR="003136F9">
        <w:rPr>
          <w:b/>
          <w:szCs w:val="20"/>
        </w:rPr>
      </w:r>
      <w:r w:rsidR="003136F9">
        <w:rPr>
          <w:b/>
          <w:szCs w:val="20"/>
        </w:rPr>
        <w:fldChar w:fldCharType="separate"/>
      </w:r>
      <w:r w:rsidRPr="0027105F">
        <w:rPr>
          <w:b/>
          <w:szCs w:val="20"/>
        </w:rPr>
        <w:fldChar w:fldCharType="end"/>
      </w:r>
      <w:r w:rsidR="00A6594E" w:rsidRPr="0027105F">
        <w:rPr>
          <w:b/>
          <w:szCs w:val="20"/>
        </w:rPr>
        <w:t xml:space="preserve"> </w:t>
      </w:r>
      <w:r w:rsidR="00A6594E">
        <w:t>Co-dependent technology</w:t>
      </w:r>
    </w:p>
    <w:p w14:paraId="4C2C8898" w14:textId="77777777" w:rsidR="00A6594E" w:rsidRPr="00A6594E" w:rsidRDefault="004B72CA" w:rsidP="00A6491A">
      <w:pPr>
        <w:spacing w:before="0" w:after="0"/>
        <w:ind w:left="284"/>
      </w:pPr>
      <w:r>
        <w:rPr>
          <w:b/>
          <w:szCs w:val="20"/>
        </w:rPr>
        <w:fldChar w:fldCharType="begin">
          <w:ffData>
            <w:name w:val=""/>
            <w:enabled/>
            <w:calcOnExit w:val="0"/>
            <w:checkBox>
              <w:sizeAuto/>
              <w:default w:val="1"/>
            </w:checkBox>
          </w:ffData>
        </w:fldChar>
      </w:r>
      <w:r w:rsidR="00D93832">
        <w:rPr>
          <w:b/>
          <w:szCs w:val="20"/>
        </w:rPr>
        <w:instrText xml:space="preserve"> FORMCHECKBOX </w:instrText>
      </w:r>
      <w:r w:rsidR="003136F9">
        <w:rPr>
          <w:b/>
          <w:szCs w:val="20"/>
        </w:rPr>
      </w:r>
      <w:r w:rsidR="003136F9">
        <w:rPr>
          <w:b/>
          <w:szCs w:val="20"/>
        </w:rPr>
        <w:fldChar w:fldCharType="separate"/>
      </w:r>
      <w:r>
        <w:rPr>
          <w:b/>
          <w:szCs w:val="20"/>
        </w:rPr>
        <w:fldChar w:fldCharType="end"/>
      </w:r>
      <w:r w:rsidR="00A6594E" w:rsidRPr="0027105F">
        <w:rPr>
          <w:b/>
          <w:szCs w:val="20"/>
        </w:rPr>
        <w:t xml:space="preserve"> </w:t>
      </w:r>
      <w:r w:rsidR="00A6594E">
        <w:t>Hybrid health technology</w:t>
      </w:r>
    </w:p>
    <w:p w14:paraId="63811173" w14:textId="77777777" w:rsidR="0054594B" w:rsidRDefault="0054594B" w:rsidP="00730C04">
      <w:pPr>
        <w:pStyle w:val="Heading2"/>
      </w:pPr>
      <w:r w:rsidRPr="00154B00">
        <w:t xml:space="preserve">For investigative services, </w:t>
      </w:r>
      <w:r w:rsidR="00154B00" w:rsidRPr="00154B00">
        <w:t>advise</w:t>
      </w:r>
      <w:r w:rsidRPr="00154B00">
        <w:t xml:space="preserve"> the specific purpose of performing the service </w:t>
      </w:r>
      <w:r w:rsidRPr="00154B00">
        <w:rPr>
          <w:i/>
        </w:rPr>
        <w:t>(which could be one or more of the following</w:t>
      </w:r>
      <w:r w:rsidR="00154B00" w:rsidRPr="00154B00">
        <w:rPr>
          <w:i/>
        </w:rPr>
        <w:t>)</w:t>
      </w:r>
      <w:r w:rsidRPr="00154B00">
        <w:t>:</w:t>
      </w:r>
    </w:p>
    <w:p w14:paraId="698747A2" w14:textId="77777777" w:rsidR="00B81FA9" w:rsidRPr="00B81FA9" w:rsidRDefault="00B81FA9" w:rsidP="00BE3218">
      <w:pPr>
        <w:ind w:firstLine="360"/>
      </w:pPr>
      <w:r>
        <w:t>Not applicable</w:t>
      </w:r>
      <w:r w:rsidR="00C47F81">
        <w:t>.</w:t>
      </w:r>
    </w:p>
    <w:p w14:paraId="05D41069" w14:textId="77777777" w:rsidR="00A6594E" w:rsidRDefault="004B72CA"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00A6594E" w:rsidRPr="00AF4466">
        <w:rPr>
          <w:b/>
          <w:szCs w:val="20"/>
        </w:rPr>
        <w:instrText xml:space="preserve"> FORMCHECKBOX </w:instrText>
      </w:r>
      <w:r w:rsidR="003136F9">
        <w:rPr>
          <w:b/>
          <w:szCs w:val="20"/>
        </w:rPr>
      </w:r>
      <w:r w:rsidR="003136F9">
        <w:rPr>
          <w:b/>
          <w:szCs w:val="20"/>
        </w:rPr>
        <w:fldChar w:fldCharType="separate"/>
      </w:r>
      <w:r w:rsidRPr="00AF4466">
        <w:rPr>
          <w:b/>
          <w:szCs w:val="20"/>
        </w:rPr>
        <w:fldChar w:fldCharType="end"/>
      </w:r>
      <w:r w:rsidR="00A6594E" w:rsidRPr="00AF4466">
        <w:rPr>
          <w:b/>
          <w:szCs w:val="20"/>
        </w:rPr>
        <w:t xml:space="preserve"> </w:t>
      </w:r>
      <w:r w:rsidR="00A6594E">
        <w:t xml:space="preserve">To be used as a screening tool in asymptomatic populations </w:t>
      </w:r>
    </w:p>
    <w:p w14:paraId="3386379B" w14:textId="77777777" w:rsidR="00A6594E" w:rsidRDefault="004B72CA"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00A6594E" w:rsidRPr="00AF4466">
        <w:rPr>
          <w:b/>
          <w:szCs w:val="20"/>
        </w:rPr>
        <w:instrText xml:space="preserve"> FORMCHECKBOX </w:instrText>
      </w:r>
      <w:r w:rsidR="003136F9">
        <w:rPr>
          <w:b/>
          <w:szCs w:val="20"/>
        </w:rPr>
      </w:r>
      <w:r w:rsidR="003136F9">
        <w:rPr>
          <w:b/>
          <w:szCs w:val="20"/>
        </w:rPr>
        <w:fldChar w:fldCharType="separate"/>
      </w:r>
      <w:r w:rsidRPr="00AF4466">
        <w:rPr>
          <w:b/>
          <w:szCs w:val="20"/>
        </w:rPr>
        <w:fldChar w:fldCharType="end"/>
      </w:r>
      <w:r w:rsidR="00A6594E" w:rsidRPr="00AF4466">
        <w:rPr>
          <w:b/>
          <w:szCs w:val="20"/>
        </w:rPr>
        <w:t xml:space="preserve"> </w:t>
      </w:r>
      <w:r w:rsidR="00A6594E">
        <w:t>Assists in establishing a diagnosis in symptomatic patients</w:t>
      </w:r>
    </w:p>
    <w:p w14:paraId="3F0FF646" w14:textId="77777777" w:rsidR="00A6594E" w:rsidRDefault="004B72CA"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00A6594E" w:rsidRPr="00AF4466">
        <w:rPr>
          <w:b/>
          <w:szCs w:val="20"/>
        </w:rPr>
        <w:instrText xml:space="preserve"> FORMCHECKBOX </w:instrText>
      </w:r>
      <w:r w:rsidR="003136F9">
        <w:rPr>
          <w:b/>
          <w:szCs w:val="20"/>
        </w:rPr>
      </w:r>
      <w:r w:rsidR="003136F9">
        <w:rPr>
          <w:b/>
          <w:szCs w:val="20"/>
        </w:rPr>
        <w:fldChar w:fldCharType="separate"/>
      </w:r>
      <w:r w:rsidRPr="00AF4466">
        <w:rPr>
          <w:b/>
          <w:szCs w:val="20"/>
        </w:rPr>
        <w:fldChar w:fldCharType="end"/>
      </w:r>
      <w:r w:rsidR="00A6594E" w:rsidRPr="00AF4466">
        <w:rPr>
          <w:b/>
          <w:szCs w:val="20"/>
        </w:rPr>
        <w:t xml:space="preserve"> </w:t>
      </w:r>
      <w:r w:rsidR="00A6594E">
        <w:t>Provides information about prognosis</w:t>
      </w:r>
    </w:p>
    <w:p w14:paraId="6267A169" w14:textId="77777777" w:rsidR="00A6594E" w:rsidRDefault="004B72CA"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00A6594E" w:rsidRPr="00AF4466">
        <w:rPr>
          <w:b/>
          <w:szCs w:val="20"/>
        </w:rPr>
        <w:instrText xml:space="preserve"> FORMCHECKBOX </w:instrText>
      </w:r>
      <w:r w:rsidR="003136F9">
        <w:rPr>
          <w:b/>
          <w:szCs w:val="20"/>
        </w:rPr>
      </w:r>
      <w:r w:rsidR="003136F9">
        <w:rPr>
          <w:b/>
          <w:szCs w:val="20"/>
        </w:rPr>
        <w:fldChar w:fldCharType="separate"/>
      </w:r>
      <w:r w:rsidRPr="00AF4466">
        <w:rPr>
          <w:b/>
          <w:szCs w:val="20"/>
        </w:rPr>
        <w:fldChar w:fldCharType="end"/>
      </w:r>
      <w:r w:rsidR="00A6594E" w:rsidRPr="00AF4466">
        <w:rPr>
          <w:b/>
          <w:szCs w:val="20"/>
        </w:rPr>
        <w:t xml:space="preserve"> </w:t>
      </w:r>
      <w:r w:rsidR="00A6594E">
        <w:t>Identifies a patient as suitable for therapy by predicting a variation in the effect of the therapy</w:t>
      </w:r>
    </w:p>
    <w:p w14:paraId="3CA82C03" w14:textId="77777777" w:rsidR="00A6594E" w:rsidRPr="00A6594E" w:rsidRDefault="004B72CA"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00A6594E" w:rsidRPr="00AF4466">
        <w:rPr>
          <w:b/>
          <w:szCs w:val="20"/>
        </w:rPr>
        <w:instrText xml:space="preserve"> FORMCHECKBOX </w:instrText>
      </w:r>
      <w:r w:rsidR="003136F9">
        <w:rPr>
          <w:b/>
          <w:szCs w:val="20"/>
        </w:rPr>
      </w:r>
      <w:r w:rsidR="003136F9">
        <w:rPr>
          <w:b/>
          <w:szCs w:val="20"/>
        </w:rPr>
        <w:fldChar w:fldCharType="separate"/>
      </w:r>
      <w:r w:rsidRPr="00AF4466">
        <w:rPr>
          <w:b/>
          <w:szCs w:val="20"/>
        </w:rPr>
        <w:fldChar w:fldCharType="end"/>
      </w:r>
      <w:r w:rsidR="00A6594E" w:rsidRPr="00AF4466">
        <w:rPr>
          <w:b/>
          <w:szCs w:val="20"/>
        </w:rPr>
        <w:t xml:space="preserve"> </w:t>
      </w:r>
      <w:r w:rsidR="00A6594E">
        <w:t>Monitors a patient over time to assess treatment response and guide subsequent treatment decisions</w:t>
      </w:r>
    </w:p>
    <w:p w14:paraId="1AAD3407" w14:textId="77777777" w:rsidR="000B3CD0" w:rsidRDefault="000B3CD0" w:rsidP="00730C04">
      <w:pPr>
        <w:pStyle w:val="Heading2"/>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14:paraId="01B1A838" w14:textId="77777777" w:rsidR="00FE16C1" w:rsidRDefault="004B72CA" w:rsidP="00A6491A">
      <w:pPr>
        <w:spacing w:before="0" w:after="0"/>
        <w:ind w:left="284"/>
      </w:pPr>
      <w:r>
        <w:rPr>
          <w:b/>
          <w:szCs w:val="20"/>
        </w:rPr>
        <w:fldChar w:fldCharType="begin">
          <w:ffData>
            <w:name w:val=""/>
            <w:enabled/>
            <w:calcOnExit w:val="0"/>
            <w:checkBox>
              <w:sizeAuto/>
              <w:default w:val="1"/>
            </w:checkBox>
          </w:ffData>
        </w:fldChar>
      </w:r>
      <w:r w:rsidR="00D93832">
        <w:rPr>
          <w:b/>
          <w:szCs w:val="20"/>
        </w:rPr>
        <w:instrText xml:space="preserve"> FORMCHECKBOX </w:instrText>
      </w:r>
      <w:r w:rsidR="003136F9">
        <w:rPr>
          <w:b/>
          <w:szCs w:val="20"/>
        </w:rPr>
      </w:r>
      <w:r w:rsidR="003136F9">
        <w:rPr>
          <w:b/>
          <w:szCs w:val="20"/>
        </w:rPr>
        <w:fldChar w:fldCharType="separate"/>
      </w:r>
      <w:r>
        <w:rPr>
          <w:b/>
          <w:szCs w:val="20"/>
        </w:rPr>
        <w:fldChar w:fldCharType="end"/>
      </w:r>
      <w:r w:rsidR="00FE16C1" w:rsidRPr="0027105F">
        <w:rPr>
          <w:b/>
          <w:szCs w:val="20"/>
        </w:rPr>
        <w:t xml:space="preserve"> </w:t>
      </w:r>
      <w:r w:rsidR="00FE16C1">
        <w:t>Pharmaceutical / Biological</w:t>
      </w:r>
    </w:p>
    <w:p w14:paraId="178F1E40" w14:textId="77777777" w:rsidR="00FE16C1" w:rsidRDefault="004B72CA" w:rsidP="00A6491A">
      <w:pPr>
        <w:spacing w:before="0" w:after="0"/>
        <w:ind w:left="284"/>
      </w:pPr>
      <w:r w:rsidRPr="0027105F">
        <w:rPr>
          <w:b/>
          <w:szCs w:val="20"/>
        </w:rPr>
        <w:fldChar w:fldCharType="begin">
          <w:ffData>
            <w:name w:val="Check2"/>
            <w:enabled/>
            <w:calcOnExit w:val="0"/>
            <w:checkBox>
              <w:sizeAuto/>
              <w:default w:val="0"/>
            </w:checkBox>
          </w:ffData>
        </w:fldChar>
      </w:r>
      <w:r w:rsidR="00FE16C1" w:rsidRPr="0027105F">
        <w:rPr>
          <w:b/>
          <w:szCs w:val="20"/>
        </w:rPr>
        <w:instrText xml:space="preserve"> FORMCHECKBOX </w:instrText>
      </w:r>
      <w:r w:rsidR="003136F9">
        <w:rPr>
          <w:b/>
          <w:szCs w:val="20"/>
        </w:rPr>
      </w:r>
      <w:r w:rsidR="003136F9">
        <w:rPr>
          <w:b/>
          <w:szCs w:val="20"/>
        </w:rPr>
        <w:fldChar w:fldCharType="separate"/>
      </w:r>
      <w:r w:rsidRPr="0027105F">
        <w:rPr>
          <w:b/>
          <w:szCs w:val="20"/>
        </w:rPr>
        <w:fldChar w:fldCharType="end"/>
      </w:r>
      <w:r w:rsidR="00FE16C1" w:rsidRPr="0027105F">
        <w:rPr>
          <w:b/>
          <w:szCs w:val="20"/>
        </w:rPr>
        <w:t xml:space="preserve"> </w:t>
      </w:r>
      <w:r w:rsidR="00FE16C1">
        <w:t>Prosthesis or device</w:t>
      </w:r>
    </w:p>
    <w:p w14:paraId="68882FAD" w14:textId="77777777" w:rsidR="00FE16C1" w:rsidRPr="00FE16C1" w:rsidRDefault="004B72CA" w:rsidP="00A6491A">
      <w:pPr>
        <w:spacing w:before="0" w:after="0"/>
        <w:ind w:left="284"/>
      </w:pPr>
      <w:r w:rsidRPr="0027105F">
        <w:rPr>
          <w:b/>
          <w:szCs w:val="20"/>
        </w:rPr>
        <w:fldChar w:fldCharType="begin">
          <w:ffData>
            <w:name w:val="Check2"/>
            <w:enabled/>
            <w:calcOnExit w:val="0"/>
            <w:checkBox>
              <w:sizeAuto/>
              <w:default w:val="0"/>
            </w:checkBox>
          </w:ffData>
        </w:fldChar>
      </w:r>
      <w:r w:rsidR="00FE16C1" w:rsidRPr="0027105F">
        <w:rPr>
          <w:b/>
          <w:szCs w:val="20"/>
        </w:rPr>
        <w:instrText xml:space="preserve"> FORMCHECKBOX </w:instrText>
      </w:r>
      <w:r w:rsidR="003136F9">
        <w:rPr>
          <w:b/>
          <w:szCs w:val="20"/>
        </w:rPr>
      </w:r>
      <w:r w:rsidR="003136F9">
        <w:rPr>
          <w:b/>
          <w:szCs w:val="20"/>
        </w:rPr>
        <w:fldChar w:fldCharType="separate"/>
      </w:r>
      <w:r w:rsidRPr="0027105F">
        <w:rPr>
          <w:b/>
          <w:szCs w:val="20"/>
        </w:rPr>
        <w:fldChar w:fldCharType="end"/>
      </w:r>
      <w:r w:rsidR="00FE16C1" w:rsidRPr="0027105F">
        <w:rPr>
          <w:b/>
          <w:szCs w:val="20"/>
        </w:rPr>
        <w:t xml:space="preserve"> </w:t>
      </w:r>
      <w:r w:rsidR="00FE16C1">
        <w:t>No</w:t>
      </w:r>
    </w:p>
    <w:p w14:paraId="4B99FA0E" w14:textId="77777777" w:rsidR="000E5439" w:rsidRPr="001E6958" w:rsidRDefault="00530204" w:rsidP="001741C6">
      <w:pPr>
        <w:pStyle w:val="Heading2"/>
        <w:keepNext/>
        <w:keepLines/>
      </w:pPr>
      <w:r>
        <w:lastRenderedPageBreak/>
        <w:t xml:space="preserve">(a)  </w:t>
      </w:r>
      <w:r w:rsidR="000E5439" w:rsidRPr="001E6958">
        <w:t>If the proposed service has a pharmaceutical component to it, is it already covered under an existing Pharmaceutical Benefits Scheme (PBS) listing?</w:t>
      </w:r>
    </w:p>
    <w:p w14:paraId="6D1ACEBD" w14:textId="77777777" w:rsidR="00FE16C1" w:rsidRDefault="004B72CA" w:rsidP="001741C6">
      <w:pPr>
        <w:keepNext/>
        <w:keepLines/>
        <w:spacing w:before="0" w:after="0"/>
        <w:ind w:left="284"/>
        <w:rPr>
          <w:szCs w:val="20"/>
        </w:rPr>
      </w:pPr>
      <w:r>
        <w:rPr>
          <w:szCs w:val="20"/>
        </w:rPr>
        <w:fldChar w:fldCharType="begin">
          <w:ffData>
            <w:name w:val=""/>
            <w:enabled/>
            <w:calcOnExit w:val="0"/>
            <w:checkBox>
              <w:sizeAuto/>
              <w:default w:val="1"/>
            </w:checkBox>
          </w:ffData>
        </w:fldChar>
      </w:r>
      <w:r w:rsidR="00F7661C">
        <w:rPr>
          <w:szCs w:val="20"/>
        </w:rPr>
        <w:instrText xml:space="preserve"> FORMCHECKBOX </w:instrText>
      </w:r>
      <w:r w:rsidR="003136F9">
        <w:rPr>
          <w:szCs w:val="20"/>
        </w:rPr>
      </w:r>
      <w:r w:rsidR="003136F9">
        <w:rPr>
          <w:szCs w:val="20"/>
        </w:rPr>
        <w:fldChar w:fldCharType="separate"/>
      </w:r>
      <w:r>
        <w:rPr>
          <w:szCs w:val="20"/>
        </w:rPr>
        <w:fldChar w:fldCharType="end"/>
      </w:r>
      <w:r w:rsidR="00FE16C1" w:rsidRPr="000A5B32">
        <w:rPr>
          <w:szCs w:val="20"/>
        </w:rPr>
        <w:t xml:space="preserve"> Yes</w:t>
      </w:r>
    </w:p>
    <w:p w14:paraId="3F1753B5" w14:textId="085636B0" w:rsidR="006F5F43" w:rsidRDefault="00B81FA9" w:rsidP="00194C97">
      <w:pPr>
        <w:keepNext/>
        <w:keepLines/>
        <w:spacing w:before="0"/>
        <w:ind w:left="720"/>
        <w:rPr>
          <w:szCs w:val="20"/>
        </w:rPr>
      </w:pPr>
      <w:r>
        <w:rPr>
          <w:szCs w:val="20"/>
        </w:rPr>
        <w:t>A l</w:t>
      </w:r>
      <w:r w:rsidRPr="00B81FA9">
        <w:rPr>
          <w:szCs w:val="20"/>
        </w:rPr>
        <w:t>ymphodepleting chemotherapy regimen consisting of</w:t>
      </w:r>
      <w:r>
        <w:rPr>
          <w:szCs w:val="20"/>
        </w:rPr>
        <w:t xml:space="preserve"> </w:t>
      </w:r>
      <w:r w:rsidRPr="00B81FA9">
        <w:rPr>
          <w:szCs w:val="20"/>
        </w:rPr>
        <w:t>cyclophosphamide 500 mg/m</w:t>
      </w:r>
      <w:r w:rsidRPr="00024D52">
        <w:rPr>
          <w:szCs w:val="20"/>
          <w:vertAlign w:val="superscript"/>
        </w:rPr>
        <w:t>2</w:t>
      </w:r>
      <w:r w:rsidR="00A35D2A">
        <w:rPr>
          <w:szCs w:val="20"/>
          <w:vertAlign w:val="superscript"/>
        </w:rPr>
        <w:t xml:space="preserve"> </w:t>
      </w:r>
      <w:r w:rsidR="00A35D2A">
        <w:rPr>
          <w:szCs w:val="20"/>
        </w:rPr>
        <w:t>intravenous (</w:t>
      </w:r>
      <w:r w:rsidRPr="00B81FA9">
        <w:rPr>
          <w:szCs w:val="20"/>
        </w:rPr>
        <w:t>IV</w:t>
      </w:r>
      <w:r w:rsidR="00A35D2A">
        <w:rPr>
          <w:szCs w:val="20"/>
        </w:rPr>
        <w:t>)</w:t>
      </w:r>
      <w:r w:rsidRPr="00B81FA9">
        <w:rPr>
          <w:szCs w:val="20"/>
        </w:rPr>
        <w:t xml:space="preserve"> and fludarabine 30 mg/m</w:t>
      </w:r>
      <w:r w:rsidRPr="00024D52">
        <w:rPr>
          <w:szCs w:val="20"/>
          <w:vertAlign w:val="superscript"/>
        </w:rPr>
        <w:t>2</w:t>
      </w:r>
      <w:r w:rsidRPr="00B81FA9">
        <w:rPr>
          <w:szCs w:val="20"/>
        </w:rPr>
        <w:t xml:space="preserve"> IV </w:t>
      </w:r>
      <w:r>
        <w:rPr>
          <w:szCs w:val="20"/>
        </w:rPr>
        <w:t xml:space="preserve">is administered </w:t>
      </w:r>
      <w:r w:rsidRPr="00B81FA9">
        <w:rPr>
          <w:szCs w:val="20"/>
        </w:rPr>
        <w:t>on the 5th, 4th,</w:t>
      </w:r>
      <w:r>
        <w:rPr>
          <w:szCs w:val="20"/>
        </w:rPr>
        <w:t xml:space="preserve"> </w:t>
      </w:r>
      <w:r w:rsidRPr="00B81FA9">
        <w:rPr>
          <w:szCs w:val="20"/>
        </w:rPr>
        <w:t xml:space="preserve">and 3rd day before infusion of </w:t>
      </w:r>
      <w:r w:rsidR="007544FA" w:rsidRPr="00696A2C">
        <w:rPr>
          <w:rFonts w:cs="Calibri"/>
          <w:lang w:eastAsia="en-AU"/>
        </w:rPr>
        <w:t>axicabtagene ciloleucel</w:t>
      </w:r>
      <w:r w:rsidR="001514EF">
        <w:rPr>
          <w:szCs w:val="20"/>
        </w:rPr>
        <w:t>.</w:t>
      </w:r>
    </w:p>
    <w:p w14:paraId="171F0E6B" w14:textId="2F93AF1E" w:rsidR="006F5F43" w:rsidRDefault="001D54A9" w:rsidP="00194C97">
      <w:pPr>
        <w:spacing w:before="0"/>
        <w:ind w:left="720"/>
        <w:rPr>
          <w:szCs w:val="20"/>
        </w:rPr>
      </w:pPr>
      <w:r>
        <w:rPr>
          <w:szCs w:val="20"/>
        </w:rPr>
        <w:t>Tocilizumab</w:t>
      </w:r>
      <w:r w:rsidR="009A3732">
        <w:rPr>
          <w:szCs w:val="20"/>
        </w:rPr>
        <w:t xml:space="preserve"> may</w:t>
      </w:r>
      <w:r>
        <w:rPr>
          <w:szCs w:val="20"/>
        </w:rPr>
        <w:t xml:space="preserve"> </w:t>
      </w:r>
      <w:r w:rsidR="00B81FA9">
        <w:rPr>
          <w:szCs w:val="20"/>
        </w:rPr>
        <w:t xml:space="preserve">be administered </w:t>
      </w:r>
      <w:r w:rsidR="0015057F">
        <w:rPr>
          <w:szCs w:val="20"/>
        </w:rPr>
        <w:t xml:space="preserve">while a patient was admitted </w:t>
      </w:r>
      <w:r w:rsidR="00B81FA9">
        <w:rPr>
          <w:szCs w:val="20"/>
        </w:rPr>
        <w:t xml:space="preserve">for the management of </w:t>
      </w:r>
      <w:r w:rsidR="003952F9">
        <w:rPr>
          <w:szCs w:val="20"/>
        </w:rPr>
        <w:t>c</w:t>
      </w:r>
      <w:r w:rsidR="00B81FA9">
        <w:rPr>
          <w:szCs w:val="20"/>
        </w:rPr>
        <w:t xml:space="preserve">ytokine </w:t>
      </w:r>
      <w:r w:rsidR="003952F9">
        <w:rPr>
          <w:szCs w:val="20"/>
        </w:rPr>
        <w:t>r</w:t>
      </w:r>
      <w:r w:rsidR="00B81FA9">
        <w:rPr>
          <w:szCs w:val="20"/>
        </w:rPr>
        <w:t xml:space="preserve">elease </w:t>
      </w:r>
      <w:r w:rsidR="003952F9">
        <w:rPr>
          <w:szCs w:val="20"/>
        </w:rPr>
        <w:t>s</w:t>
      </w:r>
      <w:r w:rsidR="00B81FA9">
        <w:rPr>
          <w:szCs w:val="20"/>
        </w:rPr>
        <w:t>yndrome</w:t>
      </w:r>
      <w:r>
        <w:rPr>
          <w:szCs w:val="20"/>
        </w:rPr>
        <w:t xml:space="preserve"> (CRS)</w:t>
      </w:r>
      <w:r w:rsidR="00B81FA9">
        <w:rPr>
          <w:szCs w:val="20"/>
        </w:rPr>
        <w:t xml:space="preserve">, a serious adverse event that may occur following treatment with </w:t>
      </w:r>
      <w:r w:rsidR="007544FA" w:rsidRPr="00696A2C">
        <w:rPr>
          <w:rFonts w:cs="Calibri"/>
          <w:lang w:eastAsia="en-AU"/>
        </w:rPr>
        <w:t>axicabtagene ciloleucel</w:t>
      </w:r>
      <w:r w:rsidR="00B81FA9">
        <w:rPr>
          <w:szCs w:val="20"/>
        </w:rPr>
        <w:t xml:space="preserve">.  </w:t>
      </w:r>
      <w:r w:rsidR="0015057F">
        <w:rPr>
          <w:szCs w:val="20"/>
        </w:rPr>
        <w:t>Th</w:t>
      </w:r>
      <w:r w:rsidR="0004609C">
        <w:rPr>
          <w:szCs w:val="20"/>
        </w:rPr>
        <w:t>is</w:t>
      </w:r>
      <w:r w:rsidR="0015057F">
        <w:rPr>
          <w:szCs w:val="20"/>
        </w:rPr>
        <w:t xml:space="preserve"> medicine would be administered as an inpatient.</w:t>
      </w:r>
    </w:p>
    <w:p w14:paraId="40D3DEDD" w14:textId="2F604EE9" w:rsidR="00B81FA9" w:rsidRDefault="00F969BF" w:rsidP="00194C97">
      <w:pPr>
        <w:spacing w:before="0"/>
        <w:ind w:left="720"/>
        <w:rPr>
          <w:szCs w:val="20"/>
        </w:rPr>
      </w:pPr>
      <w:r>
        <w:rPr>
          <w:szCs w:val="20"/>
        </w:rPr>
        <w:t>Intravenous immunoglobulin may be administered to manage events associated with B-cell aplasia</w:t>
      </w:r>
      <w:r w:rsidR="006A291B">
        <w:rPr>
          <w:szCs w:val="20"/>
        </w:rPr>
        <w:t xml:space="preserve"> </w:t>
      </w:r>
      <w:r w:rsidR="00C62242">
        <w:rPr>
          <w:szCs w:val="20"/>
        </w:rPr>
        <w:t>however</w:t>
      </w:r>
      <w:r w:rsidR="0067118F">
        <w:rPr>
          <w:szCs w:val="20"/>
        </w:rPr>
        <w:t>,</w:t>
      </w:r>
      <w:r w:rsidR="00C62242">
        <w:rPr>
          <w:szCs w:val="20"/>
        </w:rPr>
        <w:t xml:space="preserve"> </w:t>
      </w:r>
      <w:r w:rsidR="0067118F">
        <w:rPr>
          <w:szCs w:val="20"/>
        </w:rPr>
        <w:t>intravenous immunoglobulin</w:t>
      </w:r>
      <w:r w:rsidR="00C62242">
        <w:rPr>
          <w:szCs w:val="20"/>
        </w:rPr>
        <w:t xml:space="preserve"> is funded via the National Blood Authority.</w:t>
      </w:r>
    </w:p>
    <w:p w14:paraId="1B19A193" w14:textId="2DF7A5A0" w:rsidR="00FE16C1" w:rsidRPr="00FE16C1" w:rsidRDefault="004B72CA"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00FE16C1" w:rsidRPr="000A5B32">
        <w:rPr>
          <w:szCs w:val="20"/>
        </w:rPr>
        <w:instrText xml:space="preserve"> FORMCHECKBOX </w:instrText>
      </w:r>
      <w:r w:rsidR="003136F9">
        <w:rPr>
          <w:szCs w:val="20"/>
        </w:rPr>
      </w:r>
      <w:r w:rsidR="003136F9">
        <w:rPr>
          <w:szCs w:val="20"/>
        </w:rPr>
        <w:fldChar w:fldCharType="separate"/>
      </w:r>
      <w:r w:rsidRPr="000A5B32">
        <w:rPr>
          <w:szCs w:val="20"/>
        </w:rPr>
        <w:fldChar w:fldCharType="end"/>
      </w:r>
      <w:r w:rsidR="00194C97">
        <w:rPr>
          <w:szCs w:val="20"/>
        </w:rPr>
        <w:t xml:space="preserve"> No</w:t>
      </w:r>
    </w:p>
    <w:p w14:paraId="41583D59" w14:textId="77777777" w:rsidR="00EC127A" w:rsidRDefault="000E5439" w:rsidP="00530204">
      <w:pPr>
        <w:pStyle w:val="Heading2"/>
        <w:numPr>
          <w:ilvl w:val="0"/>
          <w:numId w:val="25"/>
        </w:numPr>
      </w:pPr>
      <w:r w:rsidRPr="001E6958">
        <w:t xml:space="preserve">If yes, </w:t>
      </w:r>
      <w:r w:rsidR="00BB003A" w:rsidRPr="001E6958">
        <w:t>please list</w:t>
      </w:r>
      <w:r w:rsidRPr="001E6958">
        <w:t xml:space="preserve"> the</w:t>
      </w:r>
      <w:r w:rsidR="00BB003A" w:rsidRPr="001E6958">
        <w:t xml:space="preserve"> relevant</w:t>
      </w:r>
      <w:r w:rsidRPr="001E6958">
        <w:t xml:space="preserve"> PBS </w:t>
      </w:r>
      <w:r w:rsidR="001E23EA" w:rsidRPr="001E6958">
        <w:t>item code</w:t>
      </w:r>
      <w:r w:rsidRPr="001E6958">
        <w:t>(s)</w:t>
      </w:r>
      <w:r w:rsidR="007E39E4" w:rsidRPr="001E6958">
        <w:t>:</w:t>
      </w:r>
    </w:p>
    <w:p w14:paraId="71365AF7" w14:textId="77777777" w:rsidR="00422750" w:rsidRDefault="00422750" w:rsidP="00E92E45">
      <w:pPr>
        <w:ind w:left="720"/>
      </w:pPr>
      <w:r>
        <w:t>It is Gilead’s understanding that some patients may be eligible for PBS-funded medicines in a tertiary public hospital setting.</w:t>
      </w:r>
      <w:r w:rsidR="006A291B">
        <w:t xml:space="preserve"> </w:t>
      </w:r>
      <w:r w:rsidR="00DC2442">
        <w:t xml:space="preserve">The table below lists the medicines that may be required for the delivery of </w:t>
      </w:r>
      <w:r w:rsidR="00DC2442" w:rsidRPr="00696A2C">
        <w:rPr>
          <w:rFonts w:cs="Calibri"/>
          <w:lang w:eastAsia="en-AU"/>
        </w:rPr>
        <w:t>axicabtagene ciloleucel</w:t>
      </w:r>
      <w:r w:rsidR="00DC2442">
        <w:t xml:space="preserve"> though the PBS. Where PBS-approved indication is not currently available, this has been noted. </w:t>
      </w:r>
    </w:p>
    <w:tbl>
      <w:tblPr>
        <w:tblStyle w:val="TableGrid"/>
        <w:tblW w:w="8392" w:type="dxa"/>
        <w:tblInd w:w="817" w:type="dxa"/>
        <w:tblLook w:val="04A0" w:firstRow="1" w:lastRow="0" w:firstColumn="1" w:lastColumn="0" w:noHBand="0" w:noVBand="1"/>
        <w:tblDescription w:val="Lists the medicines that may be required for the delivery of axicabtagene ciloleucel though the PBS."/>
      </w:tblPr>
      <w:tblGrid>
        <w:gridCol w:w="1760"/>
        <w:gridCol w:w="4511"/>
        <w:gridCol w:w="2121"/>
      </w:tblGrid>
      <w:tr w:rsidR="00826C39" w:rsidRPr="00472F30" w14:paraId="42B4D442" w14:textId="77777777" w:rsidTr="00021CF1">
        <w:trPr>
          <w:tblHeader/>
        </w:trPr>
        <w:tc>
          <w:tcPr>
            <w:tcW w:w="1477" w:type="dxa"/>
          </w:tcPr>
          <w:p w14:paraId="4D4CBB8D" w14:textId="77777777" w:rsidR="00826C39" w:rsidRPr="00472F30" w:rsidRDefault="00826C39" w:rsidP="00472F30">
            <w:pPr>
              <w:pStyle w:val="Caption"/>
              <w:keepNext w:val="0"/>
              <w:rPr>
                <w:rFonts w:asciiTheme="minorHAnsi" w:hAnsiTheme="minorHAnsi"/>
              </w:rPr>
            </w:pPr>
            <w:r w:rsidRPr="00472F30">
              <w:rPr>
                <w:rFonts w:asciiTheme="minorHAnsi" w:hAnsiTheme="minorHAnsi"/>
              </w:rPr>
              <w:t>Pharmaceutical</w:t>
            </w:r>
          </w:p>
        </w:tc>
        <w:tc>
          <w:tcPr>
            <w:tcW w:w="4785" w:type="dxa"/>
          </w:tcPr>
          <w:p w14:paraId="13C3F9F3" w14:textId="77777777" w:rsidR="00826C39" w:rsidRPr="00472F30" w:rsidRDefault="00826C39" w:rsidP="00472F30">
            <w:pPr>
              <w:pStyle w:val="Caption"/>
              <w:keepNext w:val="0"/>
              <w:rPr>
                <w:rFonts w:asciiTheme="minorHAnsi" w:hAnsiTheme="minorHAnsi"/>
              </w:rPr>
            </w:pPr>
            <w:r w:rsidRPr="00472F30">
              <w:rPr>
                <w:rFonts w:asciiTheme="minorHAnsi" w:hAnsiTheme="minorHAnsi"/>
              </w:rPr>
              <w:t>Usage</w:t>
            </w:r>
          </w:p>
        </w:tc>
        <w:tc>
          <w:tcPr>
            <w:tcW w:w="2130" w:type="dxa"/>
          </w:tcPr>
          <w:p w14:paraId="60589E11" w14:textId="77777777" w:rsidR="00826C39" w:rsidRPr="00472F30" w:rsidRDefault="00826C39" w:rsidP="00472F30">
            <w:pPr>
              <w:pStyle w:val="Caption"/>
              <w:keepNext w:val="0"/>
              <w:rPr>
                <w:rFonts w:asciiTheme="minorHAnsi" w:hAnsiTheme="minorHAnsi"/>
              </w:rPr>
            </w:pPr>
            <w:r w:rsidRPr="00472F30">
              <w:rPr>
                <w:rFonts w:asciiTheme="minorHAnsi" w:hAnsiTheme="minorHAnsi"/>
              </w:rPr>
              <w:t>PBS item code/funding</w:t>
            </w:r>
          </w:p>
        </w:tc>
      </w:tr>
      <w:tr w:rsidR="00826C39" w:rsidRPr="00472F30" w14:paraId="0FA1048E" w14:textId="77777777" w:rsidTr="00021CF1">
        <w:tc>
          <w:tcPr>
            <w:tcW w:w="1477" w:type="dxa"/>
          </w:tcPr>
          <w:p w14:paraId="2E3FB8E7" w14:textId="77777777" w:rsidR="00826C39" w:rsidRPr="00472F30" w:rsidRDefault="00826C39" w:rsidP="00472F30">
            <w:pPr>
              <w:pStyle w:val="Caption"/>
              <w:keepNext w:val="0"/>
              <w:rPr>
                <w:rFonts w:asciiTheme="minorHAnsi" w:hAnsiTheme="minorHAnsi"/>
                <w:b w:val="0"/>
              </w:rPr>
            </w:pPr>
            <w:r w:rsidRPr="00472F30">
              <w:rPr>
                <w:rFonts w:asciiTheme="minorHAnsi" w:hAnsiTheme="minorHAnsi"/>
                <w:b w:val="0"/>
              </w:rPr>
              <w:t>Fludarabine</w:t>
            </w:r>
          </w:p>
        </w:tc>
        <w:tc>
          <w:tcPr>
            <w:tcW w:w="4785" w:type="dxa"/>
          </w:tcPr>
          <w:p w14:paraId="5DA52FFC" w14:textId="77777777" w:rsidR="00826C39" w:rsidRPr="00472F30" w:rsidRDefault="00826C39" w:rsidP="00472F30">
            <w:pPr>
              <w:pStyle w:val="Caption"/>
              <w:keepNext w:val="0"/>
              <w:rPr>
                <w:rFonts w:asciiTheme="minorHAnsi" w:hAnsiTheme="minorHAnsi"/>
                <w:b w:val="0"/>
              </w:rPr>
            </w:pPr>
            <w:r w:rsidRPr="00472F30">
              <w:rPr>
                <w:rFonts w:asciiTheme="minorHAnsi" w:hAnsiTheme="minorHAnsi"/>
                <w:b w:val="0"/>
              </w:rPr>
              <w:t>Chemotherapy for public hospital use, antimetabolite</w:t>
            </w:r>
          </w:p>
        </w:tc>
        <w:tc>
          <w:tcPr>
            <w:tcW w:w="2130" w:type="dxa"/>
          </w:tcPr>
          <w:p w14:paraId="252ECDFC" w14:textId="77777777" w:rsidR="00826C39" w:rsidRPr="00472F30" w:rsidRDefault="00826C39" w:rsidP="00472F30">
            <w:pPr>
              <w:pStyle w:val="Caption"/>
              <w:keepNext w:val="0"/>
              <w:rPr>
                <w:rFonts w:asciiTheme="minorHAnsi" w:hAnsiTheme="minorHAnsi"/>
                <w:b w:val="0"/>
              </w:rPr>
            </w:pPr>
            <w:r w:rsidRPr="00472F30">
              <w:rPr>
                <w:rFonts w:asciiTheme="minorHAnsi" w:hAnsiTheme="minorHAnsi"/>
                <w:b w:val="0"/>
              </w:rPr>
              <w:t>4393F</w:t>
            </w:r>
            <w:r w:rsidR="00451CFC">
              <w:rPr>
                <w:rFonts w:asciiTheme="minorHAnsi" w:hAnsiTheme="minorHAnsi"/>
                <w:b w:val="0"/>
              </w:rPr>
              <w:t xml:space="preserve"> (unrestricted item)</w:t>
            </w:r>
          </w:p>
        </w:tc>
      </w:tr>
      <w:tr w:rsidR="00826C39" w:rsidRPr="00472F30" w14:paraId="4F3130B3" w14:textId="77777777" w:rsidTr="00021CF1">
        <w:tc>
          <w:tcPr>
            <w:tcW w:w="1477" w:type="dxa"/>
          </w:tcPr>
          <w:p w14:paraId="2F38846B" w14:textId="77777777" w:rsidR="00826C39" w:rsidRPr="00472F30" w:rsidRDefault="00826C39" w:rsidP="00472F30">
            <w:pPr>
              <w:pStyle w:val="Caption"/>
              <w:keepNext w:val="0"/>
              <w:rPr>
                <w:rFonts w:asciiTheme="minorHAnsi" w:hAnsiTheme="minorHAnsi"/>
                <w:b w:val="0"/>
              </w:rPr>
            </w:pPr>
            <w:r w:rsidRPr="00472F30">
              <w:rPr>
                <w:rFonts w:asciiTheme="minorHAnsi" w:hAnsiTheme="minorHAnsi"/>
                <w:b w:val="0"/>
              </w:rPr>
              <w:t>Cyclophosphamide</w:t>
            </w:r>
          </w:p>
        </w:tc>
        <w:tc>
          <w:tcPr>
            <w:tcW w:w="4785" w:type="dxa"/>
          </w:tcPr>
          <w:p w14:paraId="263CC5A1" w14:textId="77777777" w:rsidR="00826C39" w:rsidRPr="00472F30" w:rsidRDefault="00826C39" w:rsidP="00472F30">
            <w:pPr>
              <w:pStyle w:val="Caption"/>
              <w:keepNext w:val="0"/>
              <w:rPr>
                <w:rFonts w:asciiTheme="minorHAnsi" w:hAnsiTheme="minorHAnsi"/>
                <w:b w:val="0"/>
              </w:rPr>
            </w:pPr>
            <w:r w:rsidRPr="00472F30">
              <w:rPr>
                <w:rFonts w:asciiTheme="minorHAnsi" w:hAnsiTheme="minorHAnsi"/>
                <w:b w:val="0"/>
              </w:rPr>
              <w:t>Chemotherapy for public hospital use, alkylating agent</w:t>
            </w:r>
          </w:p>
        </w:tc>
        <w:tc>
          <w:tcPr>
            <w:tcW w:w="2130" w:type="dxa"/>
          </w:tcPr>
          <w:p w14:paraId="04767347" w14:textId="77777777" w:rsidR="00826C39" w:rsidRPr="00472F30" w:rsidRDefault="00826C39" w:rsidP="00472F30">
            <w:pPr>
              <w:pStyle w:val="Caption"/>
              <w:keepNext w:val="0"/>
              <w:rPr>
                <w:rFonts w:asciiTheme="minorHAnsi" w:hAnsiTheme="minorHAnsi"/>
                <w:b w:val="0"/>
              </w:rPr>
            </w:pPr>
            <w:r w:rsidRPr="00472F30">
              <w:rPr>
                <w:rFonts w:asciiTheme="minorHAnsi" w:hAnsiTheme="minorHAnsi"/>
                <w:b w:val="0"/>
              </w:rPr>
              <w:t>4327R</w:t>
            </w:r>
            <w:r w:rsidR="00451CFC">
              <w:rPr>
                <w:rFonts w:asciiTheme="minorHAnsi" w:hAnsiTheme="minorHAnsi"/>
                <w:b w:val="0"/>
              </w:rPr>
              <w:t xml:space="preserve"> (unrestricted item)</w:t>
            </w:r>
          </w:p>
        </w:tc>
      </w:tr>
      <w:tr w:rsidR="00826C39" w:rsidRPr="00472F30" w14:paraId="6A39F1DE" w14:textId="77777777" w:rsidTr="00021CF1">
        <w:tc>
          <w:tcPr>
            <w:tcW w:w="1477" w:type="dxa"/>
          </w:tcPr>
          <w:p w14:paraId="2D262EED" w14:textId="77777777" w:rsidR="00826C39" w:rsidRPr="00472F30" w:rsidRDefault="00826C39" w:rsidP="00472F30">
            <w:pPr>
              <w:pStyle w:val="Caption"/>
              <w:keepNext w:val="0"/>
              <w:rPr>
                <w:rFonts w:asciiTheme="minorHAnsi" w:hAnsiTheme="minorHAnsi"/>
                <w:b w:val="0"/>
              </w:rPr>
            </w:pPr>
            <w:r w:rsidRPr="00472F30">
              <w:rPr>
                <w:rFonts w:asciiTheme="minorHAnsi" w:hAnsiTheme="minorHAnsi"/>
                <w:b w:val="0"/>
              </w:rPr>
              <w:t>Tocilizumab</w:t>
            </w:r>
          </w:p>
        </w:tc>
        <w:tc>
          <w:tcPr>
            <w:tcW w:w="4785" w:type="dxa"/>
          </w:tcPr>
          <w:p w14:paraId="2CE30327" w14:textId="77777777" w:rsidR="00826C39" w:rsidRPr="00472F30" w:rsidRDefault="00826C39" w:rsidP="00472F30">
            <w:pPr>
              <w:pStyle w:val="Caption"/>
              <w:keepNext w:val="0"/>
              <w:rPr>
                <w:rFonts w:asciiTheme="minorHAnsi" w:hAnsiTheme="minorHAnsi"/>
                <w:b w:val="0"/>
              </w:rPr>
            </w:pPr>
            <w:r w:rsidRPr="00472F30">
              <w:rPr>
                <w:rFonts w:asciiTheme="minorHAnsi" w:hAnsiTheme="minorHAnsi"/>
                <w:b w:val="0"/>
              </w:rPr>
              <w:t xml:space="preserve">Treatment of CRS </w:t>
            </w:r>
          </w:p>
        </w:tc>
        <w:tc>
          <w:tcPr>
            <w:tcW w:w="2130" w:type="dxa"/>
          </w:tcPr>
          <w:p w14:paraId="1BFCCCD5" w14:textId="77777777" w:rsidR="00826C39" w:rsidRPr="00472F30" w:rsidRDefault="00826C39" w:rsidP="00472F30">
            <w:pPr>
              <w:pStyle w:val="Caption"/>
              <w:keepNext w:val="0"/>
              <w:ind w:left="0" w:firstLine="0"/>
              <w:rPr>
                <w:rFonts w:asciiTheme="minorHAnsi" w:hAnsiTheme="minorHAnsi"/>
                <w:b w:val="0"/>
                <w:lang w:val="it-IT"/>
              </w:rPr>
            </w:pPr>
            <w:r w:rsidRPr="00472F30">
              <w:rPr>
                <w:rFonts w:asciiTheme="minorHAnsi" w:hAnsiTheme="minorHAnsi"/>
                <w:b w:val="0"/>
                <w:lang w:val="it-IT"/>
              </w:rPr>
              <w:t>Funding costs based on PBS codes:1056G, 1058J, 10060L, 10064Q, 10068X, 10071C, 10072D, 10073E, 10077J, 10078K, 10079L, 10081N</w:t>
            </w:r>
          </w:p>
          <w:p w14:paraId="4C4ABCCD" w14:textId="77777777" w:rsidR="00826C39" w:rsidRPr="00472F30" w:rsidRDefault="00826C39" w:rsidP="00826C39">
            <w:pPr>
              <w:rPr>
                <w:lang w:val="it-IT" w:eastAsia="ja-JP"/>
              </w:rPr>
            </w:pPr>
            <w:r w:rsidRPr="00472F30">
              <w:rPr>
                <w:i/>
                <w:lang w:val="it-IT" w:eastAsia="ja-JP"/>
              </w:rPr>
              <w:t>Note: The above</w:t>
            </w:r>
            <w:r w:rsidR="00472F30">
              <w:rPr>
                <w:i/>
                <w:lang w:val="it-IT" w:eastAsia="ja-JP"/>
              </w:rPr>
              <w:t xml:space="preserve"> PBS</w:t>
            </w:r>
            <w:r w:rsidRPr="00472F30">
              <w:rPr>
                <w:i/>
                <w:lang w:val="it-IT" w:eastAsia="ja-JP"/>
              </w:rPr>
              <w:t xml:space="preserve"> item </w:t>
            </w:r>
            <w:r w:rsidR="00472F30">
              <w:rPr>
                <w:i/>
                <w:lang w:val="it-IT" w:eastAsia="ja-JP"/>
              </w:rPr>
              <w:t>numbers</w:t>
            </w:r>
            <w:r w:rsidRPr="00472F30">
              <w:rPr>
                <w:i/>
                <w:lang w:val="it-IT" w:eastAsia="ja-JP"/>
              </w:rPr>
              <w:t xml:space="preserve"> are not indicated for CRS</w:t>
            </w:r>
            <w:r w:rsidRPr="00472F30">
              <w:rPr>
                <w:lang w:val="it-IT" w:eastAsia="ja-JP"/>
              </w:rPr>
              <w:t xml:space="preserve">. </w:t>
            </w:r>
          </w:p>
        </w:tc>
      </w:tr>
      <w:tr w:rsidR="00826C39" w:rsidRPr="00472F30" w14:paraId="56009151" w14:textId="77777777" w:rsidTr="00021CF1">
        <w:tc>
          <w:tcPr>
            <w:tcW w:w="1477" w:type="dxa"/>
          </w:tcPr>
          <w:p w14:paraId="4C00B2FB" w14:textId="77777777" w:rsidR="00826C39" w:rsidRPr="00472F30" w:rsidRDefault="00826C39" w:rsidP="00472F30">
            <w:pPr>
              <w:pStyle w:val="Caption"/>
              <w:keepNext w:val="0"/>
              <w:ind w:left="0" w:firstLine="0"/>
              <w:rPr>
                <w:rFonts w:asciiTheme="minorHAnsi" w:hAnsiTheme="minorHAnsi"/>
                <w:b w:val="0"/>
              </w:rPr>
            </w:pPr>
            <w:r w:rsidRPr="00472F30">
              <w:rPr>
                <w:rFonts w:asciiTheme="minorHAnsi" w:hAnsiTheme="minorHAnsi"/>
                <w:b w:val="0"/>
              </w:rPr>
              <w:t>Intravenous immunoglobulin</w:t>
            </w:r>
          </w:p>
        </w:tc>
        <w:tc>
          <w:tcPr>
            <w:tcW w:w="4785" w:type="dxa"/>
          </w:tcPr>
          <w:p w14:paraId="51DF1F26" w14:textId="77777777" w:rsidR="00826C39" w:rsidRPr="00472F30" w:rsidRDefault="00826C39" w:rsidP="00472F30">
            <w:pPr>
              <w:pStyle w:val="Caption"/>
              <w:keepNext w:val="0"/>
              <w:rPr>
                <w:rFonts w:asciiTheme="minorHAnsi" w:hAnsiTheme="minorHAnsi"/>
                <w:b w:val="0"/>
              </w:rPr>
            </w:pPr>
            <w:r w:rsidRPr="00472F30">
              <w:rPr>
                <w:rFonts w:asciiTheme="minorHAnsi" w:hAnsiTheme="minorHAnsi"/>
                <w:b w:val="0"/>
              </w:rPr>
              <w:t xml:space="preserve">To manage events of B-cell aplasia </w:t>
            </w:r>
          </w:p>
        </w:tc>
        <w:tc>
          <w:tcPr>
            <w:tcW w:w="2130" w:type="dxa"/>
          </w:tcPr>
          <w:p w14:paraId="77BAD815" w14:textId="77777777" w:rsidR="00826C39" w:rsidRPr="00472F30" w:rsidRDefault="00826C39" w:rsidP="00472F30">
            <w:pPr>
              <w:pStyle w:val="Caption"/>
              <w:keepNext w:val="0"/>
              <w:ind w:left="0" w:firstLine="0"/>
              <w:rPr>
                <w:rFonts w:asciiTheme="minorHAnsi" w:hAnsiTheme="minorHAnsi"/>
                <w:b w:val="0"/>
              </w:rPr>
            </w:pPr>
            <w:r w:rsidRPr="00472F30">
              <w:rPr>
                <w:rFonts w:asciiTheme="minorHAnsi" w:hAnsiTheme="minorHAnsi"/>
                <w:b w:val="0"/>
              </w:rPr>
              <w:t>(Funded through National Blood Authority for different indications)</w:t>
            </w:r>
          </w:p>
        </w:tc>
      </w:tr>
    </w:tbl>
    <w:p w14:paraId="6ED3BBA5" w14:textId="77777777" w:rsidR="00826C39" w:rsidRPr="00422750" w:rsidRDefault="00826C39" w:rsidP="00021CF1">
      <w:pPr>
        <w:ind w:firstLine="720"/>
      </w:pPr>
      <w:r>
        <w:t xml:space="preserve">Source: Adapted from Kymirah PICO Confirmation </w:t>
      </w:r>
    </w:p>
    <w:p w14:paraId="4BD2A65F" w14:textId="77777777" w:rsidR="00411735" w:rsidRPr="001E6958" w:rsidRDefault="00411735" w:rsidP="00530204">
      <w:pPr>
        <w:pStyle w:val="Heading2"/>
        <w:numPr>
          <w:ilvl w:val="0"/>
          <w:numId w:val="25"/>
        </w:numPr>
      </w:pPr>
      <w:r w:rsidRPr="001E6958">
        <w:t xml:space="preserve">If no, is an application </w:t>
      </w:r>
      <w:r w:rsidR="001E23EA" w:rsidRPr="001E6958">
        <w:t xml:space="preserve">(submission) </w:t>
      </w:r>
      <w:r w:rsidRPr="001E6958">
        <w:t xml:space="preserve">in the process of being considered by the </w:t>
      </w:r>
      <w:r w:rsidR="00802553" w:rsidRPr="001E6958">
        <w:t>Pharmaceutical Benefits Advisory Committee (</w:t>
      </w:r>
      <w:r w:rsidRPr="001E6958">
        <w:t>PBAC</w:t>
      </w:r>
      <w:r w:rsidR="00802553" w:rsidRPr="001E6958">
        <w:t>)</w:t>
      </w:r>
      <w:r w:rsidRPr="001E6958">
        <w:t>?</w:t>
      </w:r>
    </w:p>
    <w:p w14:paraId="6B45670C" w14:textId="77777777" w:rsidR="007E39E4" w:rsidRDefault="004B72CA"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007E39E4" w:rsidRPr="000A5B32">
        <w:rPr>
          <w:szCs w:val="20"/>
        </w:rPr>
        <w:instrText xml:space="preserve"> FORMCHECKBOX </w:instrText>
      </w:r>
      <w:r w:rsidR="003136F9">
        <w:rPr>
          <w:szCs w:val="20"/>
        </w:rPr>
      </w:r>
      <w:r w:rsidR="003136F9">
        <w:rPr>
          <w:szCs w:val="20"/>
        </w:rPr>
        <w:fldChar w:fldCharType="separate"/>
      </w:r>
      <w:r w:rsidRPr="000A5B32">
        <w:rPr>
          <w:szCs w:val="20"/>
        </w:rPr>
        <w:fldChar w:fldCharType="end"/>
      </w:r>
      <w:r w:rsidR="007E39E4" w:rsidRPr="000A5B32">
        <w:rPr>
          <w:szCs w:val="20"/>
        </w:rPr>
        <w:t xml:space="preserve"> Yes</w:t>
      </w:r>
      <w:r w:rsidR="001E6919">
        <w:rPr>
          <w:szCs w:val="20"/>
        </w:rPr>
        <w:t xml:space="preserve"> (please provide PBAC submission item number below)</w:t>
      </w:r>
    </w:p>
    <w:p w14:paraId="608F1DB6" w14:textId="77777777" w:rsidR="001E6919" w:rsidRDefault="004B72CA" w:rsidP="001E6919">
      <w:pPr>
        <w:spacing w:before="0"/>
        <w:ind w:left="284"/>
        <w:rPr>
          <w:szCs w:val="20"/>
        </w:rPr>
      </w:pPr>
      <w:r w:rsidRPr="000A5B32">
        <w:rPr>
          <w:szCs w:val="20"/>
        </w:rPr>
        <w:fldChar w:fldCharType="begin">
          <w:ffData>
            <w:name w:val="Check2"/>
            <w:enabled/>
            <w:calcOnExit w:val="0"/>
            <w:checkBox>
              <w:sizeAuto/>
              <w:default w:val="0"/>
            </w:checkBox>
          </w:ffData>
        </w:fldChar>
      </w:r>
      <w:r w:rsidR="007E39E4" w:rsidRPr="000A5B32">
        <w:rPr>
          <w:szCs w:val="20"/>
        </w:rPr>
        <w:instrText xml:space="preserve"> FORMCHECKBOX </w:instrText>
      </w:r>
      <w:r w:rsidR="003136F9">
        <w:rPr>
          <w:szCs w:val="20"/>
        </w:rPr>
      </w:r>
      <w:r w:rsidR="003136F9">
        <w:rPr>
          <w:szCs w:val="20"/>
        </w:rPr>
        <w:fldChar w:fldCharType="separate"/>
      </w:r>
      <w:r w:rsidRPr="000A5B32">
        <w:rPr>
          <w:szCs w:val="20"/>
        </w:rPr>
        <w:fldChar w:fldCharType="end"/>
      </w:r>
      <w:r w:rsidR="001E6919">
        <w:rPr>
          <w:szCs w:val="20"/>
        </w:rPr>
        <w:t xml:space="preserve"> No</w:t>
      </w:r>
    </w:p>
    <w:p w14:paraId="6D73ADC0" w14:textId="77777777" w:rsidR="001E6919" w:rsidRPr="007E39E4" w:rsidRDefault="004B72CA" w:rsidP="00A6491A">
      <w:pPr>
        <w:spacing w:before="0" w:after="0"/>
        <w:ind w:left="284"/>
        <w:rPr>
          <w:szCs w:val="20"/>
        </w:rPr>
      </w:pPr>
      <w:r>
        <w:fldChar w:fldCharType="begin">
          <w:ffData>
            <w:name w:val=""/>
            <w:enabled/>
            <w:calcOnExit w:val="0"/>
            <w:textInput>
              <w:default w:val="Insert PBAC submission item number here"/>
            </w:textInput>
          </w:ffData>
        </w:fldChar>
      </w:r>
      <w:r w:rsidR="001E6919">
        <w:instrText xml:space="preserve"> FORMTEXT </w:instrText>
      </w:r>
      <w:r>
        <w:fldChar w:fldCharType="separate"/>
      </w:r>
      <w:r w:rsidR="001E6919">
        <w:rPr>
          <w:noProof/>
        </w:rPr>
        <w:t>Insert PBAC submission item number here</w:t>
      </w:r>
      <w:r>
        <w:fldChar w:fldCharType="end"/>
      </w:r>
    </w:p>
    <w:p w14:paraId="09DD8867" w14:textId="77777777" w:rsidR="000E5439" w:rsidRDefault="000E5439" w:rsidP="00530204">
      <w:pPr>
        <w:pStyle w:val="Heading2"/>
        <w:numPr>
          <w:ilvl w:val="0"/>
          <w:numId w:val="25"/>
        </w:numPr>
      </w:pPr>
      <w:r w:rsidRPr="007E39E4">
        <w:t>If you are seeking both MBS and PBS listing</w:t>
      </w:r>
      <w:r w:rsidR="00B75965" w:rsidRPr="007E39E4">
        <w:t>, what is the trade name and generic name of the pharmaceutical?</w:t>
      </w:r>
    </w:p>
    <w:p w14:paraId="12C68F64" w14:textId="77777777" w:rsidR="00C91AD8" w:rsidRPr="00C91AD8" w:rsidRDefault="00C91AD8" w:rsidP="00021CF1">
      <w:pPr>
        <w:ind w:firstLine="720"/>
      </w:pPr>
      <w:r>
        <w:t>Not applicable</w:t>
      </w:r>
      <w:r w:rsidR="00235FFD">
        <w:t>.</w:t>
      </w:r>
    </w:p>
    <w:p w14:paraId="6677BD1A" w14:textId="77777777" w:rsidR="001E6958" w:rsidRDefault="001E6958" w:rsidP="006A291B">
      <w:pPr>
        <w:spacing w:before="0" w:after="0"/>
        <w:ind w:left="284" w:firstLine="76"/>
      </w:pPr>
      <w:r>
        <w:t xml:space="preserve">Trade name: </w:t>
      </w:r>
      <w:r w:rsidR="004B72CA">
        <w:fldChar w:fldCharType="begin">
          <w:ffData>
            <w:name w:val=""/>
            <w:enabled/>
            <w:calcOnExit w:val="0"/>
            <w:textInput>
              <w:default w:val="Insert trade name here"/>
            </w:textInput>
          </w:ffData>
        </w:fldChar>
      </w:r>
      <w:r>
        <w:instrText xml:space="preserve"> FORMTEXT </w:instrText>
      </w:r>
      <w:r w:rsidR="004B72CA">
        <w:fldChar w:fldCharType="separate"/>
      </w:r>
      <w:r>
        <w:rPr>
          <w:noProof/>
        </w:rPr>
        <w:t>Insert trade name here</w:t>
      </w:r>
      <w:r w:rsidR="004B72CA">
        <w:fldChar w:fldCharType="end"/>
      </w:r>
    </w:p>
    <w:p w14:paraId="1A9E7D1E" w14:textId="77777777" w:rsidR="001E6958" w:rsidRPr="001E6958" w:rsidRDefault="001E6958" w:rsidP="006A291B">
      <w:pPr>
        <w:spacing w:before="0" w:after="0"/>
        <w:ind w:left="284" w:firstLine="76"/>
      </w:pPr>
      <w:r>
        <w:lastRenderedPageBreak/>
        <w:t xml:space="preserve">Generic name: </w:t>
      </w:r>
      <w:r w:rsidR="004B72CA">
        <w:fldChar w:fldCharType="begin">
          <w:ffData>
            <w:name w:val=""/>
            <w:enabled/>
            <w:calcOnExit w:val="0"/>
            <w:textInput>
              <w:default w:val="Insert generic name here"/>
            </w:textInput>
          </w:ffData>
        </w:fldChar>
      </w:r>
      <w:r>
        <w:instrText xml:space="preserve"> FORMTEXT </w:instrText>
      </w:r>
      <w:r w:rsidR="004B72CA">
        <w:fldChar w:fldCharType="separate"/>
      </w:r>
      <w:r>
        <w:rPr>
          <w:noProof/>
        </w:rPr>
        <w:t>Insert generic name here</w:t>
      </w:r>
      <w:r w:rsidR="004B72CA">
        <w:fldChar w:fldCharType="end"/>
      </w:r>
    </w:p>
    <w:p w14:paraId="4D32A63D" w14:textId="77777777" w:rsidR="00B75965" w:rsidRDefault="00530204" w:rsidP="00530204">
      <w:pPr>
        <w:pStyle w:val="Heading2"/>
      </w:pPr>
      <w:r>
        <w:t xml:space="preserve">(a) </w:t>
      </w:r>
      <w:r w:rsidR="00B75965" w:rsidRPr="00154B00">
        <w:t xml:space="preserve">If the proposed service </w:t>
      </w:r>
      <w:r w:rsidR="00A9062D">
        <w:t xml:space="preserve">is </w:t>
      </w:r>
      <w:r w:rsidR="00C73B62">
        <w:t>dependent on</w:t>
      </w:r>
      <w:r w:rsidR="00A9062D">
        <w:t xml:space="preserve"> </w:t>
      </w:r>
      <w:r w:rsidR="00BB003A">
        <w:t xml:space="preserve">the use of </w:t>
      </w:r>
      <w:r w:rsidR="00C05A45">
        <w:t>a prosthesis</w:t>
      </w:r>
      <w:r w:rsidR="00CD4E44">
        <w:t>,</w:t>
      </w:r>
      <w:r w:rsidR="00C05A45">
        <w:t xml:space="preserve"> </w:t>
      </w:r>
      <w:r w:rsidR="00B75965" w:rsidRPr="00154B00">
        <w:t>is it already included on the Prosthes</w:t>
      </w:r>
      <w:r w:rsidR="00BB003A">
        <w:t>e</w:t>
      </w:r>
      <w:r w:rsidR="00B75965" w:rsidRPr="00154B00">
        <w:t>s List?</w:t>
      </w:r>
    </w:p>
    <w:p w14:paraId="2B2050CC" w14:textId="77777777" w:rsidR="001E6958" w:rsidRDefault="004B72CA"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001E6958" w:rsidRPr="000A5B32">
        <w:rPr>
          <w:szCs w:val="20"/>
        </w:rPr>
        <w:instrText xml:space="preserve"> FORMCHECKBOX </w:instrText>
      </w:r>
      <w:r w:rsidR="003136F9">
        <w:rPr>
          <w:szCs w:val="20"/>
        </w:rPr>
      </w:r>
      <w:r w:rsidR="003136F9">
        <w:rPr>
          <w:szCs w:val="20"/>
        </w:rPr>
        <w:fldChar w:fldCharType="separate"/>
      </w:r>
      <w:r w:rsidRPr="000A5B32">
        <w:rPr>
          <w:szCs w:val="20"/>
        </w:rPr>
        <w:fldChar w:fldCharType="end"/>
      </w:r>
      <w:r w:rsidR="001E6958" w:rsidRPr="000A5B32">
        <w:rPr>
          <w:szCs w:val="20"/>
        </w:rPr>
        <w:t xml:space="preserve"> Yes</w:t>
      </w:r>
    </w:p>
    <w:p w14:paraId="4FE6B1E0" w14:textId="6FE8F5BC" w:rsidR="001E6919" w:rsidRPr="001E6958" w:rsidRDefault="004B72CA" w:rsidP="00194C97">
      <w:pPr>
        <w:spacing w:before="0" w:after="0"/>
        <w:ind w:left="284"/>
        <w:rPr>
          <w:szCs w:val="20"/>
        </w:rPr>
      </w:pPr>
      <w:r>
        <w:rPr>
          <w:szCs w:val="20"/>
        </w:rPr>
        <w:fldChar w:fldCharType="begin">
          <w:ffData>
            <w:name w:val=""/>
            <w:enabled/>
            <w:calcOnExit w:val="0"/>
            <w:checkBox>
              <w:sizeAuto/>
              <w:default w:val="1"/>
            </w:checkBox>
          </w:ffData>
        </w:fldChar>
      </w:r>
      <w:r w:rsidR="00F7661C">
        <w:rPr>
          <w:szCs w:val="20"/>
        </w:rPr>
        <w:instrText xml:space="preserve"> FORMCHECKBOX </w:instrText>
      </w:r>
      <w:r w:rsidR="003136F9">
        <w:rPr>
          <w:szCs w:val="20"/>
        </w:rPr>
      </w:r>
      <w:r w:rsidR="003136F9">
        <w:rPr>
          <w:szCs w:val="20"/>
        </w:rPr>
        <w:fldChar w:fldCharType="separate"/>
      </w:r>
      <w:r>
        <w:rPr>
          <w:szCs w:val="20"/>
        </w:rPr>
        <w:fldChar w:fldCharType="end"/>
      </w:r>
      <w:r w:rsidR="001E6958">
        <w:rPr>
          <w:szCs w:val="20"/>
        </w:rPr>
        <w:t xml:space="preserve"> No</w:t>
      </w:r>
    </w:p>
    <w:p w14:paraId="6042C493" w14:textId="77777777" w:rsidR="00B75965" w:rsidRDefault="00B75965" w:rsidP="00530204">
      <w:pPr>
        <w:pStyle w:val="Heading2"/>
        <w:numPr>
          <w:ilvl w:val="0"/>
          <w:numId w:val="26"/>
        </w:numPr>
      </w:pPr>
      <w:bookmarkStart w:id="4" w:name="_Hlk4072867"/>
      <w:r w:rsidRPr="001E6958">
        <w:t xml:space="preserve">If yes, </w:t>
      </w:r>
      <w:r w:rsidR="00C73B62" w:rsidRPr="001E6958">
        <w:t xml:space="preserve">please provide the following information (where relevant): </w:t>
      </w:r>
    </w:p>
    <w:p w14:paraId="7C7C324F" w14:textId="77777777" w:rsidR="001E6958" w:rsidRDefault="001E6958" w:rsidP="006A291B">
      <w:pPr>
        <w:spacing w:before="0" w:after="0"/>
        <w:ind w:left="284" w:firstLine="76"/>
      </w:pPr>
      <w:r>
        <w:t xml:space="preserve">Billing code(s): </w:t>
      </w:r>
      <w:r w:rsidR="004B72CA">
        <w:fldChar w:fldCharType="begin">
          <w:ffData>
            <w:name w:val=""/>
            <w:enabled/>
            <w:calcOnExit w:val="0"/>
            <w:textInput>
              <w:default w:val="Insert billing code(s) here"/>
            </w:textInput>
          </w:ffData>
        </w:fldChar>
      </w:r>
      <w:r w:rsidR="009939DC">
        <w:instrText xml:space="preserve"> FORMTEXT </w:instrText>
      </w:r>
      <w:r w:rsidR="004B72CA">
        <w:fldChar w:fldCharType="separate"/>
      </w:r>
      <w:r w:rsidR="009939DC">
        <w:rPr>
          <w:noProof/>
        </w:rPr>
        <w:t>Insert billing code(s) here</w:t>
      </w:r>
      <w:r w:rsidR="004B72CA">
        <w:fldChar w:fldCharType="end"/>
      </w:r>
    </w:p>
    <w:p w14:paraId="43A30B04" w14:textId="77777777" w:rsidR="001E6958" w:rsidRDefault="001E6958" w:rsidP="006A291B">
      <w:pPr>
        <w:spacing w:before="0" w:after="0"/>
        <w:ind w:left="284" w:firstLine="76"/>
      </w:pPr>
      <w:r>
        <w:t xml:space="preserve">Trade name of prostheses: </w:t>
      </w:r>
      <w:r w:rsidR="004B72CA">
        <w:fldChar w:fldCharType="begin">
          <w:ffData>
            <w:name w:val=""/>
            <w:enabled/>
            <w:calcOnExit w:val="0"/>
            <w:textInput>
              <w:default w:val="Insert trade name here"/>
            </w:textInput>
          </w:ffData>
        </w:fldChar>
      </w:r>
      <w:r w:rsidR="009939DC">
        <w:instrText xml:space="preserve"> FORMTEXT </w:instrText>
      </w:r>
      <w:r w:rsidR="004B72CA">
        <w:fldChar w:fldCharType="separate"/>
      </w:r>
      <w:r w:rsidR="009939DC">
        <w:rPr>
          <w:noProof/>
        </w:rPr>
        <w:t>Insert trade name here</w:t>
      </w:r>
      <w:r w:rsidR="004B72CA">
        <w:fldChar w:fldCharType="end"/>
      </w:r>
    </w:p>
    <w:p w14:paraId="60EA7E47" w14:textId="77777777" w:rsidR="001E6958" w:rsidRDefault="001E6958" w:rsidP="006A291B">
      <w:pPr>
        <w:spacing w:before="0" w:after="0"/>
        <w:ind w:left="284" w:firstLine="76"/>
      </w:pPr>
      <w:r>
        <w:t xml:space="preserve">Clinical name of prostheses: </w:t>
      </w:r>
      <w:r w:rsidR="004B72CA">
        <w:fldChar w:fldCharType="begin">
          <w:ffData>
            <w:name w:val=""/>
            <w:enabled/>
            <w:calcOnExit w:val="0"/>
            <w:textInput>
              <w:default w:val="Insert clinical name here"/>
            </w:textInput>
          </w:ffData>
        </w:fldChar>
      </w:r>
      <w:r w:rsidR="009939DC">
        <w:instrText xml:space="preserve"> FORMTEXT </w:instrText>
      </w:r>
      <w:r w:rsidR="004B72CA">
        <w:fldChar w:fldCharType="separate"/>
      </w:r>
      <w:r w:rsidR="009939DC">
        <w:rPr>
          <w:noProof/>
        </w:rPr>
        <w:t>Insert clinical name here</w:t>
      </w:r>
      <w:r w:rsidR="004B72CA">
        <w:fldChar w:fldCharType="end"/>
      </w:r>
    </w:p>
    <w:p w14:paraId="1EFB643A" w14:textId="77777777" w:rsidR="001E6958" w:rsidRPr="001E6958" w:rsidRDefault="001E6958" w:rsidP="006A291B">
      <w:pPr>
        <w:spacing w:before="0" w:after="0"/>
        <w:ind w:left="284" w:firstLine="76"/>
      </w:pPr>
      <w:r>
        <w:t xml:space="preserve">Other device components delivered as part of the service: </w:t>
      </w:r>
      <w:r w:rsidR="004B72CA">
        <w:fldChar w:fldCharType="begin">
          <w:ffData>
            <w:name w:val=""/>
            <w:enabled/>
            <w:calcOnExit w:val="0"/>
            <w:textInput>
              <w:default w:val="Insert description of device components here"/>
            </w:textInput>
          </w:ffData>
        </w:fldChar>
      </w:r>
      <w:r w:rsidR="009939DC">
        <w:instrText xml:space="preserve"> FORMTEXT </w:instrText>
      </w:r>
      <w:r w:rsidR="004B72CA">
        <w:fldChar w:fldCharType="separate"/>
      </w:r>
      <w:r w:rsidR="009939DC">
        <w:rPr>
          <w:noProof/>
        </w:rPr>
        <w:t>Insert description of device components here</w:t>
      </w:r>
      <w:r w:rsidR="004B72CA">
        <w:fldChar w:fldCharType="end"/>
      </w:r>
    </w:p>
    <w:bookmarkEnd w:id="4"/>
    <w:p w14:paraId="2D40D745" w14:textId="77777777" w:rsidR="00411735" w:rsidRDefault="00411735" w:rsidP="00530204">
      <w:pPr>
        <w:pStyle w:val="Heading2"/>
        <w:numPr>
          <w:ilvl w:val="0"/>
          <w:numId w:val="26"/>
        </w:numPr>
      </w:pPr>
      <w:r w:rsidRPr="001E6958">
        <w:t xml:space="preserve">If no, is an application in the process of being considered by </w:t>
      </w:r>
      <w:r w:rsidR="003433D1" w:rsidRPr="001E6958">
        <w:t xml:space="preserve">a Clinical Advisory Group or </w:t>
      </w:r>
      <w:r w:rsidRPr="001E6958">
        <w:t>the</w:t>
      </w:r>
      <w:r w:rsidR="00BB003A" w:rsidRPr="001E6958">
        <w:t xml:space="preserve"> Prostheses List Advisory Committee</w:t>
      </w:r>
      <w:r w:rsidRPr="001E6958">
        <w:t xml:space="preserve"> </w:t>
      </w:r>
      <w:r w:rsidR="00BB003A" w:rsidRPr="001E6958">
        <w:t>(</w:t>
      </w:r>
      <w:r w:rsidRPr="001E6958">
        <w:t>PLAC</w:t>
      </w:r>
      <w:r w:rsidR="00BB003A" w:rsidRPr="001E6958">
        <w:t>)</w:t>
      </w:r>
      <w:r w:rsidRPr="001E6958">
        <w:t>?</w:t>
      </w:r>
    </w:p>
    <w:p w14:paraId="2B8F2F82" w14:textId="77777777" w:rsidR="009939DC" w:rsidRDefault="004B72CA"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009939DC" w:rsidRPr="000A5B32">
        <w:rPr>
          <w:szCs w:val="20"/>
        </w:rPr>
        <w:instrText xml:space="preserve"> FORMCHECKBOX </w:instrText>
      </w:r>
      <w:r w:rsidR="003136F9">
        <w:rPr>
          <w:szCs w:val="20"/>
        </w:rPr>
      </w:r>
      <w:r w:rsidR="003136F9">
        <w:rPr>
          <w:szCs w:val="20"/>
        </w:rPr>
        <w:fldChar w:fldCharType="separate"/>
      </w:r>
      <w:r w:rsidRPr="000A5B32">
        <w:rPr>
          <w:szCs w:val="20"/>
        </w:rPr>
        <w:fldChar w:fldCharType="end"/>
      </w:r>
      <w:r w:rsidR="009939DC" w:rsidRPr="000A5B32">
        <w:rPr>
          <w:szCs w:val="20"/>
        </w:rPr>
        <w:t xml:space="preserve"> Yes</w:t>
      </w:r>
    </w:p>
    <w:p w14:paraId="2F1E65F8" w14:textId="4D45E58E" w:rsidR="001E6958" w:rsidRPr="009939DC" w:rsidRDefault="004B72CA" w:rsidP="00A6491A">
      <w:pPr>
        <w:spacing w:before="0" w:after="0"/>
        <w:ind w:left="284"/>
        <w:rPr>
          <w:szCs w:val="20"/>
        </w:rPr>
      </w:pPr>
      <w:r>
        <w:rPr>
          <w:szCs w:val="20"/>
        </w:rPr>
        <w:fldChar w:fldCharType="begin">
          <w:ffData>
            <w:name w:val=""/>
            <w:enabled/>
            <w:calcOnExit w:val="0"/>
            <w:checkBox>
              <w:sizeAuto/>
              <w:default w:val="1"/>
            </w:checkBox>
          </w:ffData>
        </w:fldChar>
      </w:r>
      <w:r w:rsidR="007E70BF">
        <w:rPr>
          <w:szCs w:val="20"/>
        </w:rPr>
        <w:instrText xml:space="preserve"> FORMCHECKBOX </w:instrText>
      </w:r>
      <w:r w:rsidR="003136F9">
        <w:rPr>
          <w:szCs w:val="20"/>
        </w:rPr>
      </w:r>
      <w:r w:rsidR="003136F9">
        <w:rPr>
          <w:szCs w:val="20"/>
        </w:rPr>
        <w:fldChar w:fldCharType="separate"/>
      </w:r>
      <w:r>
        <w:rPr>
          <w:szCs w:val="20"/>
        </w:rPr>
        <w:fldChar w:fldCharType="end"/>
      </w:r>
      <w:r w:rsidR="00194C97">
        <w:rPr>
          <w:szCs w:val="20"/>
        </w:rPr>
        <w:t xml:space="preserve"> No</w:t>
      </w:r>
    </w:p>
    <w:p w14:paraId="3C3AA978" w14:textId="77777777" w:rsidR="00016B6E" w:rsidRPr="009939DC" w:rsidRDefault="00016B6E" w:rsidP="00530204">
      <w:pPr>
        <w:pStyle w:val="Heading2"/>
        <w:numPr>
          <w:ilvl w:val="0"/>
          <w:numId w:val="26"/>
        </w:numPr>
      </w:pPr>
      <w:r w:rsidRPr="009939DC">
        <w:t>Are there any other sponsor(s) and / or manufacturer(</w:t>
      </w:r>
      <w:r w:rsidR="008B729C" w:rsidRPr="009939DC">
        <w:t>s) that have a similar prosthesi</w:t>
      </w:r>
      <w:r w:rsidRPr="009939DC">
        <w:t>s or device component in the Australian market place which this application is relevant to?</w:t>
      </w:r>
    </w:p>
    <w:p w14:paraId="31843A49" w14:textId="77777777" w:rsidR="00C91AD8" w:rsidRPr="00BE3218" w:rsidRDefault="00C91AD8" w:rsidP="00021CF1">
      <w:pPr>
        <w:ind w:firstLine="720"/>
      </w:pPr>
      <w:r>
        <w:t>Not applicable</w:t>
      </w:r>
      <w:r w:rsidR="00C47F81">
        <w:t>.</w:t>
      </w:r>
    </w:p>
    <w:p w14:paraId="38BCC641" w14:textId="77777777" w:rsidR="009939DC" w:rsidRDefault="004B72CA"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009939DC" w:rsidRPr="000A5B32">
        <w:rPr>
          <w:szCs w:val="20"/>
        </w:rPr>
        <w:instrText xml:space="preserve"> FORMCHECKBOX </w:instrText>
      </w:r>
      <w:r w:rsidR="003136F9">
        <w:rPr>
          <w:szCs w:val="20"/>
        </w:rPr>
      </w:r>
      <w:r w:rsidR="003136F9">
        <w:rPr>
          <w:szCs w:val="20"/>
        </w:rPr>
        <w:fldChar w:fldCharType="separate"/>
      </w:r>
      <w:r w:rsidRPr="000A5B32">
        <w:rPr>
          <w:szCs w:val="20"/>
        </w:rPr>
        <w:fldChar w:fldCharType="end"/>
      </w:r>
      <w:r w:rsidR="009939DC" w:rsidRPr="000A5B32">
        <w:rPr>
          <w:szCs w:val="20"/>
        </w:rPr>
        <w:t xml:space="preserve"> Yes</w:t>
      </w:r>
    </w:p>
    <w:p w14:paraId="3D0E8D3F" w14:textId="7FE4EC52" w:rsidR="009939DC" w:rsidRPr="001E6958" w:rsidRDefault="004B72CA"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009939DC" w:rsidRPr="000A5B32">
        <w:rPr>
          <w:szCs w:val="20"/>
        </w:rPr>
        <w:instrText xml:space="preserve"> FORMCHECKBOX </w:instrText>
      </w:r>
      <w:r w:rsidR="003136F9">
        <w:rPr>
          <w:szCs w:val="20"/>
        </w:rPr>
      </w:r>
      <w:r w:rsidR="003136F9">
        <w:rPr>
          <w:szCs w:val="20"/>
        </w:rPr>
        <w:fldChar w:fldCharType="separate"/>
      </w:r>
      <w:r w:rsidRPr="000A5B32">
        <w:rPr>
          <w:szCs w:val="20"/>
        </w:rPr>
        <w:fldChar w:fldCharType="end"/>
      </w:r>
      <w:r w:rsidR="00194C97">
        <w:rPr>
          <w:szCs w:val="20"/>
        </w:rPr>
        <w:t xml:space="preserve"> No</w:t>
      </w:r>
    </w:p>
    <w:p w14:paraId="724D775C" w14:textId="77777777" w:rsidR="009939DC" w:rsidRDefault="00016B6E" w:rsidP="00530204">
      <w:pPr>
        <w:pStyle w:val="Heading2"/>
        <w:numPr>
          <w:ilvl w:val="0"/>
          <w:numId w:val="26"/>
        </w:numPr>
      </w:pPr>
      <w:r w:rsidRPr="009939DC">
        <w:t>If yes, please provide the name(s) of the spon</w:t>
      </w:r>
      <w:r w:rsidR="009939DC">
        <w:t>sor(s) and / or manufacturer(s):</w:t>
      </w:r>
    </w:p>
    <w:p w14:paraId="20E8FD95" w14:textId="77777777" w:rsidR="00016B6E" w:rsidRPr="009939DC" w:rsidRDefault="004B72CA" w:rsidP="00A6491A">
      <w:pPr>
        <w:ind w:left="284"/>
      </w:pPr>
      <w:r w:rsidRPr="009939DC">
        <w:fldChar w:fldCharType="begin">
          <w:ffData>
            <w:name w:val=""/>
            <w:enabled/>
            <w:calcOnExit w:val="0"/>
            <w:textInput>
              <w:default w:val="Insert sponsor and/or manufacturer name(s) here"/>
            </w:textInput>
          </w:ffData>
        </w:fldChar>
      </w:r>
      <w:r w:rsidR="009939DC" w:rsidRPr="009939DC">
        <w:instrText xml:space="preserve"> FORMTEXT </w:instrText>
      </w:r>
      <w:r w:rsidRPr="009939DC">
        <w:fldChar w:fldCharType="separate"/>
      </w:r>
      <w:r w:rsidR="009939DC" w:rsidRPr="009939DC">
        <w:rPr>
          <w:noProof/>
        </w:rPr>
        <w:t>Insert sponsor and/or manufacturer name(s) here</w:t>
      </w:r>
      <w:r w:rsidRPr="009939DC">
        <w:fldChar w:fldCharType="end"/>
      </w:r>
    </w:p>
    <w:p w14:paraId="25550C08" w14:textId="77777777" w:rsidR="0084657B" w:rsidRPr="009939DC" w:rsidRDefault="00A9062D" w:rsidP="00530204">
      <w:pPr>
        <w:pStyle w:val="Heading2"/>
      </w:pPr>
      <w:r w:rsidRPr="009939DC">
        <w:t>P</w:t>
      </w:r>
      <w:r w:rsidR="0084657B" w:rsidRPr="009939DC">
        <w:t xml:space="preserve">lease identify </w:t>
      </w:r>
      <w:r w:rsidR="00E8649B" w:rsidRPr="009939DC">
        <w:t xml:space="preserve">any single </w:t>
      </w:r>
      <w:r w:rsidR="00016B6E" w:rsidRPr="009939DC">
        <w:t>and / or multi-</w:t>
      </w:r>
      <w:r w:rsidR="00E8649B" w:rsidRPr="009939DC">
        <w:t>use consumables</w:t>
      </w:r>
      <w:r w:rsidR="0084657B" w:rsidRPr="009939DC">
        <w:t xml:space="preserve"> </w:t>
      </w:r>
      <w:r w:rsidR="00E8649B" w:rsidRPr="009939DC">
        <w:t>delivered as part of the service?</w:t>
      </w:r>
    </w:p>
    <w:p w14:paraId="4ABB4CA6" w14:textId="77777777" w:rsidR="00241186" w:rsidRDefault="00095DD9" w:rsidP="006A291B">
      <w:pPr>
        <w:ind w:left="360"/>
        <w:rPr>
          <w:rFonts w:ascii="Calibri" w:eastAsia="Calibri" w:hAnsi="Calibri" w:cs="Times New Roman"/>
          <w:szCs w:val="20"/>
        </w:rPr>
      </w:pPr>
      <w:r>
        <w:t xml:space="preserve">The diagram </w:t>
      </w:r>
      <w:r w:rsidR="000D0D13">
        <w:t>provided in the response to</w:t>
      </w:r>
      <w:r>
        <w:t xml:space="preserve"> Q2</w:t>
      </w:r>
      <w:r w:rsidR="00A6083C">
        <w:t>8</w:t>
      </w:r>
      <w:r>
        <w:t xml:space="preserve"> </w:t>
      </w:r>
      <w:r w:rsidR="00505FEC">
        <w:t>illustrates</w:t>
      </w:r>
      <w:r w:rsidR="00241186">
        <w:t xml:space="preserve"> the different stages involved in the delivery of </w:t>
      </w:r>
      <w:r>
        <w:t>a</w:t>
      </w:r>
      <w:r w:rsidR="00241186" w:rsidRPr="00B9101C">
        <w:rPr>
          <w:rFonts w:cs="Calibri"/>
          <w:szCs w:val="20"/>
          <w:lang w:eastAsia="en-AU"/>
        </w:rPr>
        <w:t>xicabtagene ciloleucel</w:t>
      </w:r>
      <w:r w:rsidR="00241186">
        <w:rPr>
          <w:rFonts w:ascii="Calibri" w:eastAsia="Calibri" w:hAnsi="Calibri" w:cs="Times New Roman"/>
          <w:szCs w:val="20"/>
        </w:rPr>
        <w:t>. The consumable</w:t>
      </w:r>
      <w:r w:rsidR="00775261">
        <w:rPr>
          <w:rFonts w:ascii="Calibri" w:eastAsia="Calibri" w:hAnsi="Calibri" w:cs="Times New Roman"/>
          <w:szCs w:val="20"/>
        </w:rPr>
        <w:t xml:space="preserve">s </w:t>
      </w:r>
      <w:r w:rsidR="00241186">
        <w:rPr>
          <w:rFonts w:ascii="Calibri" w:eastAsia="Calibri" w:hAnsi="Calibri" w:cs="Times New Roman"/>
          <w:szCs w:val="20"/>
        </w:rPr>
        <w:t>for each stage</w:t>
      </w:r>
      <w:r w:rsidR="000D0D13">
        <w:rPr>
          <w:rFonts w:ascii="Calibri" w:eastAsia="Calibri" w:hAnsi="Calibri" w:cs="Times New Roman"/>
          <w:szCs w:val="20"/>
        </w:rPr>
        <w:t xml:space="preserve"> are stated below</w:t>
      </w:r>
      <w:r w:rsidR="00241186">
        <w:rPr>
          <w:rFonts w:ascii="Calibri" w:eastAsia="Calibri" w:hAnsi="Calibri" w:cs="Times New Roman"/>
          <w:szCs w:val="20"/>
        </w:rPr>
        <w:t>.</w:t>
      </w:r>
    </w:p>
    <w:p w14:paraId="37AAB0D7" w14:textId="46B4CA4C" w:rsidR="00241186" w:rsidRDefault="00241186" w:rsidP="00194C97">
      <w:pPr>
        <w:spacing w:before="0"/>
        <w:ind w:left="360"/>
        <w:rPr>
          <w:rFonts w:ascii="Calibri" w:eastAsia="Calibri" w:hAnsi="Calibri" w:cs="Times New Roman"/>
          <w:szCs w:val="20"/>
        </w:rPr>
      </w:pPr>
      <w:r>
        <w:rPr>
          <w:rFonts w:ascii="Calibri" w:eastAsia="Calibri" w:hAnsi="Calibri" w:cs="Times New Roman"/>
          <w:szCs w:val="20"/>
        </w:rPr>
        <w:t xml:space="preserve">Leukapheresis: </w:t>
      </w:r>
      <w:r w:rsidR="00505FEC">
        <w:rPr>
          <w:rFonts w:ascii="Calibri" w:eastAsia="Calibri" w:hAnsi="Calibri" w:cs="Times New Roman"/>
          <w:szCs w:val="20"/>
        </w:rPr>
        <w:t>v</w:t>
      </w:r>
      <w:r w:rsidR="0041732D">
        <w:rPr>
          <w:rFonts w:ascii="Calibri" w:eastAsia="Calibri" w:hAnsi="Calibri" w:cs="Times New Roman"/>
          <w:szCs w:val="20"/>
        </w:rPr>
        <w:t>arious</w:t>
      </w:r>
      <w:r w:rsidR="00BA7234">
        <w:rPr>
          <w:rFonts w:ascii="Calibri" w:eastAsia="Calibri" w:hAnsi="Calibri" w:cs="Times New Roman"/>
          <w:szCs w:val="20"/>
        </w:rPr>
        <w:t xml:space="preserve"> specialised apheresis</w:t>
      </w:r>
      <w:r>
        <w:rPr>
          <w:rFonts w:ascii="Calibri" w:eastAsia="Calibri" w:hAnsi="Calibri" w:cs="Times New Roman"/>
          <w:szCs w:val="20"/>
        </w:rPr>
        <w:t xml:space="preserve"> systems are available for this </w:t>
      </w:r>
      <w:r w:rsidR="0041732D">
        <w:rPr>
          <w:rFonts w:ascii="Calibri" w:eastAsia="Calibri" w:hAnsi="Calibri" w:cs="Times New Roman"/>
          <w:szCs w:val="20"/>
        </w:rPr>
        <w:t>process.</w:t>
      </w:r>
      <w:r>
        <w:rPr>
          <w:rFonts w:ascii="Calibri" w:eastAsia="Calibri" w:hAnsi="Calibri" w:cs="Times New Roman"/>
          <w:szCs w:val="20"/>
        </w:rPr>
        <w:t xml:space="preserve"> </w:t>
      </w:r>
      <w:r w:rsidR="00BA7234">
        <w:rPr>
          <w:rFonts w:ascii="Calibri" w:eastAsia="Calibri" w:hAnsi="Calibri" w:cs="Times New Roman"/>
          <w:szCs w:val="20"/>
        </w:rPr>
        <w:t>The a</w:t>
      </w:r>
      <w:r w:rsidR="00BA7234" w:rsidRPr="00BA7234">
        <w:rPr>
          <w:rFonts w:ascii="Calibri" w:eastAsia="Calibri" w:hAnsi="Calibri" w:cs="Times New Roman"/>
          <w:szCs w:val="20"/>
        </w:rPr>
        <w:t>pheresis machine</w:t>
      </w:r>
      <w:r w:rsidR="00BA7234">
        <w:rPr>
          <w:rFonts w:ascii="Calibri" w:eastAsia="Calibri" w:hAnsi="Calibri" w:cs="Times New Roman"/>
          <w:szCs w:val="20"/>
        </w:rPr>
        <w:t xml:space="preserve"> is connected to the patient via sterile tubing sets. The </w:t>
      </w:r>
      <w:r w:rsidR="00BA7234" w:rsidRPr="00BA7234">
        <w:rPr>
          <w:rFonts w:ascii="Calibri" w:eastAsia="Calibri" w:hAnsi="Calibri" w:cs="Times New Roman"/>
          <w:szCs w:val="20"/>
        </w:rPr>
        <w:t>patient’s blood is pumped into the machine</w:t>
      </w:r>
      <w:r w:rsidR="00BA7234">
        <w:rPr>
          <w:rFonts w:ascii="Calibri" w:eastAsia="Calibri" w:hAnsi="Calibri" w:cs="Times New Roman"/>
          <w:szCs w:val="20"/>
        </w:rPr>
        <w:t xml:space="preserve"> where the blood components are </w:t>
      </w:r>
      <w:r w:rsidR="00BA7234" w:rsidRPr="00BA7234">
        <w:rPr>
          <w:rFonts w:ascii="Calibri" w:eastAsia="Calibri" w:hAnsi="Calibri" w:cs="Times New Roman"/>
          <w:szCs w:val="20"/>
        </w:rPr>
        <w:t>separated using centrifugation and/or filtration</w:t>
      </w:r>
      <w:r w:rsidR="00CB34E3">
        <w:rPr>
          <w:rFonts w:ascii="Calibri" w:eastAsia="Calibri" w:hAnsi="Calibri" w:cs="Times New Roman"/>
          <w:szCs w:val="20"/>
        </w:rPr>
        <w:t>. The apheresis machine is a multi</w:t>
      </w:r>
      <w:r w:rsidR="00C47F81">
        <w:rPr>
          <w:rFonts w:ascii="Calibri" w:eastAsia="Calibri" w:hAnsi="Calibri" w:cs="Times New Roman"/>
          <w:szCs w:val="20"/>
        </w:rPr>
        <w:t>-</w:t>
      </w:r>
      <w:r w:rsidR="00CB34E3">
        <w:rPr>
          <w:rFonts w:ascii="Calibri" w:eastAsia="Calibri" w:hAnsi="Calibri" w:cs="Times New Roman"/>
          <w:szCs w:val="20"/>
        </w:rPr>
        <w:t xml:space="preserve">use consumable. </w:t>
      </w:r>
      <w:r w:rsidR="0041732D">
        <w:rPr>
          <w:rFonts w:ascii="Calibri" w:eastAsia="Calibri" w:hAnsi="Calibri" w:cs="Times New Roman"/>
          <w:szCs w:val="20"/>
        </w:rPr>
        <w:t>Single</w:t>
      </w:r>
      <w:r w:rsidR="00C47F81">
        <w:rPr>
          <w:rFonts w:ascii="Calibri" w:eastAsia="Calibri" w:hAnsi="Calibri" w:cs="Times New Roman"/>
          <w:szCs w:val="20"/>
        </w:rPr>
        <w:t>-</w:t>
      </w:r>
      <w:r>
        <w:rPr>
          <w:rFonts w:ascii="Calibri" w:eastAsia="Calibri" w:hAnsi="Calibri" w:cs="Times New Roman"/>
          <w:szCs w:val="20"/>
        </w:rPr>
        <w:t>use consumables are tubing, sets, bowls</w:t>
      </w:r>
      <w:r w:rsidR="0041732D">
        <w:rPr>
          <w:rFonts w:ascii="Calibri" w:eastAsia="Calibri" w:hAnsi="Calibri" w:cs="Times New Roman"/>
          <w:szCs w:val="20"/>
        </w:rPr>
        <w:t>,</w:t>
      </w:r>
      <w:r>
        <w:rPr>
          <w:rFonts w:ascii="Calibri" w:eastAsia="Calibri" w:hAnsi="Calibri" w:cs="Times New Roman"/>
          <w:szCs w:val="20"/>
        </w:rPr>
        <w:t xml:space="preserve"> </w:t>
      </w:r>
      <w:r w:rsidR="0041732D">
        <w:rPr>
          <w:rFonts w:ascii="Calibri" w:eastAsia="Calibri" w:hAnsi="Calibri" w:cs="Times New Roman"/>
          <w:szCs w:val="20"/>
        </w:rPr>
        <w:t>a</w:t>
      </w:r>
      <w:r>
        <w:rPr>
          <w:rFonts w:ascii="Calibri" w:eastAsia="Calibri" w:hAnsi="Calibri" w:cs="Times New Roman"/>
          <w:szCs w:val="20"/>
        </w:rPr>
        <w:t>nticoagulant and replacement fluids.</w:t>
      </w:r>
    </w:p>
    <w:p w14:paraId="343E3042" w14:textId="1C171BBD" w:rsidR="0041732D" w:rsidRDefault="00F7717F" w:rsidP="00194C97">
      <w:pPr>
        <w:spacing w:before="0"/>
        <w:ind w:left="360"/>
      </w:pPr>
      <w:r>
        <w:rPr>
          <w:rFonts w:ascii="Calibri" w:eastAsia="Calibri" w:hAnsi="Calibri" w:cs="Times New Roman"/>
          <w:szCs w:val="20"/>
        </w:rPr>
        <w:t>L</w:t>
      </w:r>
      <w:r w:rsidRPr="00F7717F">
        <w:rPr>
          <w:rFonts w:ascii="Calibri" w:eastAsia="Calibri" w:hAnsi="Calibri" w:cs="Times New Roman"/>
          <w:szCs w:val="20"/>
        </w:rPr>
        <w:t>ymphodepleting chemotherapy</w:t>
      </w:r>
      <w:r w:rsidR="00241186">
        <w:rPr>
          <w:rFonts w:ascii="Calibri" w:eastAsia="Calibri" w:hAnsi="Calibri" w:cs="Times New Roman"/>
          <w:szCs w:val="20"/>
        </w:rPr>
        <w:t xml:space="preserve">: </w:t>
      </w:r>
      <w:r w:rsidRPr="00F7717F">
        <w:t xml:space="preserve">lymphodepleting chemotherapy </w:t>
      </w:r>
      <w:r w:rsidR="00CB34E3" w:rsidRPr="00CB34E3">
        <w:t>consists of fludarabine (30 mg/m</w:t>
      </w:r>
      <w:r w:rsidR="00CB34E3" w:rsidRPr="00CB34E3">
        <w:rPr>
          <w:vertAlign w:val="superscript"/>
        </w:rPr>
        <w:t>2</w:t>
      </w:r>
      <w:r w:rsidR="00CB34E3" w:rsidRPr="00CB34E3">
        <w:t>/day) plus cyclophosphamide (500 mg/m</w:t>
      </w:r>
      <w:r w:rsidR="00CB34E3" w:rsidRPr="00CB34E3">
        <w:rPr>
          <w:vertAlign w:val="superscript"/>
        </w:rPr>
        <w:t>2</w:t>
      </w:r>
      <w:r w:rsidR="00CB34E3" w:rsidRPr="00CB34E3">
        <w:t>/day)</w:t>
      </w:r>
      <w:r w:rsidR="00A35D2A">
        <w:t xml:space="preserve"> administered IV on the 5th, 4th, and 3rd day before infusion of </w:t>
      </w:r>
      <w:r w:rsidR="00A35D2A">
        <w:rPr>
          <w:rFonts w:cs="Calibri"/>
          <w:lang w:eastAsia="en-AU"/>
        </w:rPr>
        <w:t>axicabtagene ciloleucel</w:t>
      </w:r>
      <w:r w:rsidR="00C47F81">
        <w:t>.</w:t>
      </w:r>
      <w:r w:rsidR="00CB34E3" w:rsidRPr="00CB34E3">
        <w:t xml:space="preserve"> </w:t>
      </w:r>
      <w:r w:rsidR="00241186">
        <w:t xml:space="preserve">Standard </w:t>
      </w:r>
      <w:r w:rsidR="002832D3">
        <w:t>single</w:t>
      </w:r>
      <w:r w:rsidR="00C76929">
        <w:t>-use</w:t>
      </w:r>
      <w:r w:rsidR="002832D3">
        <w:t xml:space="preserve"> </w:t>
      </w:r>
      <w:r w:rsidR="00241186">
        <w:t xml:space="preserve">consumables for an IV infusion </w:t>
      </w:r>
      <w:r w:rsidR="0082615F">
        <w:t>include sterile alcohol wipes, plastic wrap, film dressing, gauze wipes, tubing adhesive tape, spill kit, prep mats, labels, transport bag, and latex gloves</w:t>
      </w:r>
      <w:r w:rsidR="00194C97">
        <w:t>.</w:t>
      </w:r>
    </w:p>
    <w:p w14:paraId="1110F8FB" w14:textId="5D70D901" w:rsidR="00CB34E3" w:rsidRDefault="0041732D" w:rsidP="00194C97">
      <w:pPr>
        <w:spacing w:before="0"/>
        <w:ind w:left="360"/>
      </w:pPr>
      <w:r w:rsidRPr="00B9101C">
        <w:rPr>
          <w:rFonts w:cs="Calibri"/>
          <w:szCs w:val="20"/>
          <w:lang w:eastAsia="en-AU"/>
        </w:rPr>
        <w:t>Axicabtagene ciloleucel</w:t>
      </w:r>
      <w:r w:rsidRPr="00855944">
        <w:t xml:space="preserve"> </w:t>
      </w:r>
      <w:r>
        <w:t xml:space="preserve">infusion: </w:t>
      </w:r>
      <w:r w:rsidR="00505FEC">
        <w:t>t</w:t>
      </w:r>
      <w:r>
        <w:t>his process includes</w:t>
      </w:r>
      <w:r w:rsidR="0067118F">
        <w:t xml:space="preserve"> standard</w:t>
      </w:r>
      <w:r w:rsidR="00C76929">
        <w:t xml:space="preserve"> single-use</w:t>
      </w:r>
      <w:r>
        <w:t xml:space="preserve"> consumables typical to </w:t>
      </w:r>
      <w:r w:rsidR="0067118F">
        <w:t>an</w:t>
      </w:r>
      <w:r>
        <w:t xml:space="preserve"> IV infusion</w:t>
      </w:r>
      <w:r w:rsidR="00C76929">
        <w:t>,</w:t>
      </w:r>
      <w:r>
        <w:t xml:space="preserve"> </w:t>
      </w:r>
      <w:r w:rsidR="00194C97">
        <w:t>as listed above.</w:t>
      </w:r>
    </w:p>
    <w:p w14:paraId="532C67E9" w14:textId="77777777" w:rsidR="00112A1A" w:rsidRPr="00855944" w:rsidRDefault="00A12500" w:rsidP="00D4288A">
      <w:pPr>
        <w:spacing w:before="0" w:after="0"/>
        <w:ind w:left="360"/>
      </w:pPr>
      <w:r>
        <w:t>Management of potential serious adverse events</w:t>
      </w:r>
      <w:r w:rsidR="00CB34E3">
        <w:t xml:space="preserve">: </w:t>
      </w:r>
      <w:r w:rsidR="00960736">
        <w:t>m</w:t>
      </w:r>
      <w:r w:rsidR="0067118F">
        <w:t>edicines</w:t>
      </w:r>
      <w:r w:rsidR="00CB34E3" w:rsidRPr="00CB34E3">
        <w:t xml:space="preserve"> may be administered </w:t>
      </w:r>
      <w:r w:rsidR="00CB34E3">
        <w:t xml:space="preserve">via IV infusion </w:t>
      </w:r>
      <w:r w:rsidR="00CB34E3" w:rsidRPr="00CB34E3">
        <w:t xml:space="preserve">for the management of </w:t>
      </w:r>
      <w:r w:rsidR="00CB34E3">
        <w:t xml:space="preserve">CRS, </w:t>
      </w:r>
      <w:r w:rsidR="00C76929">
        <w:t>and</w:t>
      </w:r>
      <w:r w:rsidR="00CB34E3">
        <w:t xml:space="preserve"> standard single</w:t>
      </w:r>
      <w:r w:rsidR="00C76929">
        <w:t>-use</w:t>
      </w:r>
      <w:r w:rsidR="00CB34E3">
        <w:t xml:space="preserve"> consumables for an IV infusion will be required</w:t>
      </w:r>
      <w:r w:rsidR="00C76929">
        <w:t xml:space="preserve">, as </w:t>
      </w:r>
      <w:r w:rsidR="00CB34E3">
        <w:t>listed above</w:t>
      </w:r>
      <w:r w:rsidR="00C76929">
        <w:t>.</w:t>
      </w:r>
      <w:r w:rsidR="00CB34E3">
        <w:t xml:space="preserve"> </w:t>
      </w:r>
      <w:r w:rsidR="00F301F1" w:rsidRPr="00855944">
        <w:br w:type="page"/>
      </w:r>
    </w:p>
    <w:p w14:paraId="699B2E5B" w14:textId="77777777" w:rsidR="00226777" w:rsidRPr="00C776B1" w:rsidRDefault="00530204" w:rsidP="00B5731D">
      <w:pPr>
        <w:pStyle w:val="Heading1"/>
      </w:pPr>
      <w:r>
        <w:lastRenderedPageBreak/>
        <w:t>PART 3</w:t>
      </w:r>
      <w:r w:rsidR="00F93784">
        <w:t xml:space="preserve"> – </w:t>
      </w:r>
      <w:r w:rsidR="00226777" w:rsidRPr="00C776B1">
        <w:t>INFORMATION ABOUT REGULATORY REQUIREMENTS</w:t>
      </w:r>
    </w:p>
    <w:p w14:paraId="014E5BAA" w14:textId="77777777" w:rsidR="001A1ADF" w:rsidRPr="00A6491A" w:rsidRDefault="0011369B" w:rsidP="0011369B">
      <w:pPr>
        <w:pStyle w:val="Heading2"/>
      </w:pPr>
      <w:r>
        <w:t xml:space="preserve">(a) </w:t>
      </w:r>
      <w:r w:rsidR="0054594B" w:rsidRPr="00A6491A">
        <w:t>If</w:t>
      </w:r>
      <w:r w:rsidR="00226777" w:rsidRPr="00A6491A">
        <w:t xml:space="preserve"> the </w:t>
      </w:r>
      <w:r w:rsidR="001A1ADF" w:rsidRPr="00A6491A">
        <w:t>p</w:t>
      </w:r>
      <w:r w:rsidR="00226777" w:rsidRPr="00A6491A">
        <w:t>roposed medical service involve</w:t>
      </w:r>
      <w:r w:rsidR="009C03FB" w:rsidRPr="00A6491A">
        <w:t>s</w:t>
      </w:r>
      <w:r w:rsidR="001A1ADF" w:rsidRPr="00A6491A">
        <w:t xml:space="preserve"> the use of a medical device, in-vitro diagnostic test, </w:t>
      </w:r>
      <w:r w:rsidR="00226777" w:rsidRPr="0043654D">
        <w:t>pharmaceutical</w:t>
      </w:r>
      <w:r w:rsidR="00226777" w:rsidRPr="00A6491A">
        <w:t xml:space="preserve"> product, </w:t>
      </w:r>
      <w:r w:rsidR="001A1ADF" w:rsidRPr="00A6491A">
        <w:t>radioactive tracer or any other type of therape</w:t>
      </w:r>
      <w:r w:rsidR="008127C0" w:rsidRPr="00A6491A">
        <w:t xml:space="preserve">utic good, please </w:t>
      </w:r>
      <w:r w:rsidR="001A1ADF" w:rsidRPr="00A6491A">
        <w:t xml:space="preserve">provide </w:t>
      </w:r>
      <w:r w:rsidR="008127C0" w:rsidRPr="00A6491A">
        <w:t>the following details</w:t>
      </w:r>
      <w:r w:rsidR="001A1ADF" w:rsidRPr="00A6491A">
        <w:t>:</w:t>
      </w:r>
    </w:p>
    <w:p w14:paraId="361F2CE0" w14:textId="77777777" w:rsidR="00A26343" w:rsidRPr="00A26343" w:rsidRDefault="00A26343" w:rsidP="00BE3218">
      <w:pPr>
        <w:spacing w:before="0" w:after="0"/>
        <w:ind w:left="284" w:firstLine="76"/>
        <w:rPr>
          <w:szCs w:val="20"/>
        </w:rPr>
      </w:pPr>
      <w:r w:rsidRPr="00A26343">
        <w:rPr>
          <w:szCs w:val="20"/>
        </w:rPr>
        <w:t>Type of therapeutic good</w:t>
      </w:r>
      <w:r>
        <w:rPr>
          <w:szCs w:val="20"/>
        </w:rPr>
        <w:t xml:space="preserve">: </w:t>
      </w:r>
      <w:r w:rsidR="00D93832">
        <w:t>Class 4 biological product</w:t>
      </w:r>
    </w:p>
    <w:p w14:paraId="650955FB" w14:textId="77777777" w:rsidR="00A26343" w:rsidRPr="00A26343" w:rsidRDefault="00A26343" w:rsidP="00BE3218">
      <w:pPr>
        <w:spacing w:before="0" w:after="0"/>
        <w:ind w:left="284" w:firstLine="76"/>
        <w:rPr>
          <w:szCs w:val="20"/>
        </w:rPr>
      </w:pPr>
      <w:r w:rsidRPr="00A26343">
        <w:rPr>
          <w:szCs w:val="20"/>
        </w:rPr>
        <w:t>Manufacturer’s name</w:t>
      </w:r>
      <w:r>
        <w:rPr>
          <w:szCs w:val="20"/>
        </w:rPr>
        <w:t xml:space="preserve">: </w:t>
      </w:r>
      <w:r w:rsidR="00C91AD8">
        <w:t>Kite Pharma, a Gilead Company</w:t>
      </w:r>
    </w:p>
    <w:p w14:paraId="323463DD" w14:textId="77777777" w:rsidR="00A26343" w:rsidRPr="00A26343" w:rsidRDefault="00A26343" w:rsidP="00BE3218">
      <w:pPr>
        <w:spacing w:before="0" w:after="0"/>
        <w:ind w:left="284" w:firstLine="76"/>
        <w:rPr>
          <w:szCs w:val="20"/>
        </w:rPr>
      </w:pPr>
      <w:r w:rsidRPr="00A26343">
        <w:rPr>
          <w:szCs w:val="20"/>
        </w:rPr>
        <w:t>Sponsor’s name</w:t>
      </w:r>
      <w:r>
        <w:rPr>
          <w:szCs w:val="20"/>
        </w:rPr>
        <w:t xml:space="preserve">: </w:t>
      </w:r>
      <w:r w:rsidR="00D93832" w:rsidRPr="00D93832">
        <w:t>Gilead Sciences Pty Ltd</w:t>
      </w:r>
    </w:p>
    <w:p w14:paraId="1EE7DB6C" w14:textId="77777777" w:rsidR="005E2CE3" w:rsidRPr="00154B00" w:rsidRDefault="005E2CE3" w:rsidP="0011369B">
      <w:pPr>
        <w:pStyle w:val="Heading2"/>
        <w:numPr>
          <w:ilvl w:val="0"/>
          <w:numId w:val="27"/>
        </w:numPr>
      </w:pPr>
      <w:r>
        <w:t xml:space="preserve">Is the </w:t>
      </w:r>
      <w:r w:rsidRPr="0043654D">
        <w:t>medical</w:t>
      </w:r>
      <w:r>
        <w:t xml:space="preserve"> device classified by the TGA as either a Class III or Active Implantable Medical Device (AIMD) against the TGA regulatory scheme for devices?</w:t>
      </w:r>
    </w:p>
    <w:p w14:paraId="3FD9724F" w14:textId="77777777" w:rsidR="00615F42" w:rsidRPr="00615F42" w:rsidRDefault="004B72CA"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00615F42" w:rsidRPr="000A5B32">
        <w:rPr>
          <w:szCs w:val="20"/>
        </w:rPr>
        <w:instrText xml:space="preserve"> FORMCHECKBOX </w:instrText>
      </w:r>
      <w:r w:rsidR="003136F9">
        <w:rPr>
          <w:szCs w:val="20"/>
        </w:rPr>
      </w:r>
      <w:r w:rsidR="003136F9">
        <w:rPr>
          <w:szCs w:val="20"/>
        </w:rPr>
        <w:fldChar w:fldCharType="separate"/>
      </w:r>
      <w:r w:rsidRPr="000A5B32">
        <w:rPr>
          <w:szCs w:val="20"/>
        </w:rPr>
        <w:fldChar w:fldCharType="end"/>
      </w:r>
      <w:r w:rsidR="00615F42" w:rsidRPr="000A5B32">
        <w:rPr>
          <w:szCs w:val="20"/>
        </w:rPr>
        <w:t xml:space="preserve"> </w:t>
      </w:r>
      <w:r w:rsidR="00615F42" w:rsidRPr="00615F42">
        <w:rPr>
          <w:szCs w:val="20"/>
        </w:rPr>
        <w:t>Class III</w:t>
      </w:r>
    </w:p>
    <w:p w14:paraId="140323C2" w14:textId="77777777" w:rsidR="00615F42" w:rsidRPr="00615F42" w:rsidRDefault="004B72CA"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00615F42" w:rsidRPr="000A5B32">
        <w:rPr>
          <w:szCs w:val="20"/>
        </w:rPr>
        <w:instrText xml:space="preserve"> FORMCHECKBOX </w:instrText>
      </w:r>
      <w:r w:rsidR="003136F9">
        <w:rPr>
          <w:szCs w:val="20"/>
        </w:rPr>
      </w:r>
      <w:r w:rsidR="003136F9">
        <w:rPr>
          <w:szCs w:val="20"/>
        </w:rPr>
        <w:fldChar w:fldCharType="separate"/>
      </w:r>
      <w:r w:rsidRPr="000A5B32">
        <w:rPr>
          <w:szCs w:val="20"/>
        </w:rPr>
        <w:fldChar w:fldCharType="end"/>
      </w:r>
      <w:r w:rsidR="00615F42" w:rsidRPr="000A5B32">
        <w:rPr>
          <w:szCs w:val="20"/>
        </w:rPr>
        <w:t xml:space="preserve"> </w:t>
      </w:r>
      <w:r w:rsidR="00615F42" w:rsidRPr="00615F42">
        <w:rPr>
          <w:szCs w:val="20"/>
        </w:rPr>
        <w:t>AIMD</w:t>
      </w:r>
    </w:p>
    <w:p w14:paraId="577F81E5" w14:textId="77777777" w:rsidR="005E2CE3" w:rsidRPr="00154B00" w:rsidRDefault="004B72CA" w:rsidP="00A6491A">
      <w:pPr>
        <w:spacing w:before="0" w:after="0"/>
        <w:ind w:left="284"/>
        <w:rPr>
          <w:szCs w:val="20"/>
        </w:rPr>
      </w:pPr>
      <w:r>
        <w:rPr>
          <w:szCs w:val="20"/>
        </w:rPr>
        <w:fldChar w:fldCharType="begin">
          <w:ffData>
            <w:name w:val="Check1"/>
            <w:enabled/>
            <w:calcOnExit w:val="0"/>
            <w:checkBox>
              <w:sizeAuto/>
              <w:default w:val="1"/>
            </w:checkBox>
          </w:ffData>
        </w:fldChar>
      </w:r>
      <w:bookmarkStart w:id="5" w:name="Check1"/>
      <w:r w:rsidR="00D93832">
        <w:rPr>
          <w:szCs w:val="20"/>
        </w:rPr>
        <w:instrText xml:space="preserve"> FORMCHECKBOX </w:instrText>
      </w:r>
      <w:r w:rsidR="003136F9">
        <w:rPr>
          <w:szCs w:val="20"/>
        </w:rPr>
      </w:r>
      <w:r w:rsidR="003136F9">
        <w:rPr>
          <w:szCs w:val="20"/>
        </w:rPr>
        <w:fldChar w:fldCharType="separate"/>
      </w:r>
      <w:r>
        <w:rPr>
          <w:szCs w:val="20"/>
        </w:rPr>
        <w:fldChar w:fldCharType="end"/>
      </w:r>
      <w:bookmarkEnd w:id="5"/>
      <w:r w:rsidR="00615F42" w:rsidRPr="000A5B32">
        <w:rPr>
          <w:szCs w:val="20"/>
        </w:rPr>
        <w:t xml:space="preserve"> </w:t>
      </w:r>
      <w:r w:rsidR="00615F42" w:rsidRPr="00615F42">
        <w:rPr>
          <w:szCs w:val="20"/>
        </w:rPr>
        <w:t>N/A</w:t>
      </w:r>
    </w:p>
    <w:p w14:paraId="51A725C7" w14:textId="77777777" w:rsidR="003421AE" w:rsidRPr="00A6491A" w:rsidRDefault="0011369B" w:rsidP="00530204">
      <w:pPr>
        <w:pStyle w:val="Heading2"/>
      </w:pPr>
      <w:r>
        <w:t xml:space="preserve">(a) </w:t>
      </w:r>
      <w:r w:rsidR="003421AE" w:rsidRPr="00A6491A">
        <w:t xml:space="preserve">Is the </w:t>
      </w:r>
      <w:r w:rsidR="003421AE" w:rsidRPr="0043654D">
        <w:t>therapeutic</w:t>
      </w:r>
      <w:r w:rsidR="003421AE" w:rsidRPr="00A6491A">
        <w:t xml:space="preserve"> good to be used in the service exempt from the regulatory requirements of the </w:t>
      </w:r>
      <w:r w:rsidR="003421AE" w:rsidRPr="00A6491A">
        <w:rPr>
          <w:i/>
        </w:rPr>
        <w:t>Therapeutic Goods Act 1989</w:t>
      </w:r>
      <w:r w:rsidR="003421AE" w:rsidRPr="00A6491A">
        <w:t>?</w:t>
      </w:r>
    </w:p>
    <w:p w14:paraId="1461193D" w14:textId="77777777" w:rsidR="00615F42" w:rsidRDefault="004B72CA"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00615F42" w:rsidRPr="000A5B32">
        <w:rPr>
          <w:szCs w:val="20"/>
        </w:rPr>
        <w:instrText xml:space="preserve"> FORMCHECKBOX </w:instrText>
      </w:r>
      <w:r w:rsidR="003136F9">
        <w:rPr>
          <w:szCs w:val="20"/>
        </w:rPr>
      </w:r>
      <w:r w:rsidR="003136F9">
        <w:rPr>
          <w:szCs w:val="20"/>
        </w:rPr>
        <w:fldChar w:fldCharType="separate"/>
      </w:r>
      <w:r w:rsidRPr="000A5B32">
        <w:rPr>
          <w:szCs w:val="20"/>
        </w:rPr>
        <w:fldChar w:fldCharType="end"/>
      </w:r>
      <w:r w:rsidR="00615F42">
        <w:rPr>
          <w:szCs w:val="20"/>
        </w:rPr>
        <w:t xml:space="preserve"> Yes (</w:t>
      </w:r>
      <w:r w:rsidR="00615F42" w:rsidRPr="00154B00">
        <w:rPr>
          <w:szCs w:val="20"/>
        </w:rPr>
        <w:t>If yes, please provide supporting documentation</w:t>
      </w:r>
      <w:r w:rsidR="00615F42">
        <w:rPr>
          <w:szCs w:val="20"/>
        </w:rPr>
        <w:t xml:space="preserve"> as an attachment to this application form)</w:t>
      </w:r>
    </w:p>
    <w:p w14:paraId="6C11F9BF" w14:textId="77777777" w:rsidR="003421AE" w:rsidRPr="00615F42" w:rsidRDefault="004B72CA" w:rsidP="00A6491A">
      <w:pPr>
        <w:spacing w:before="0" w:after="0"/>
        <w:ind w:left="284"/>
        <w:rPr>
          <w:b/>
          <w:szCs w:val="20"/>
        </w:rPr>
      </w:pPr>
      <w:r>
        <w:rPr>
          <w:szCs w:val="20"/>
        </w:rPr>
        <w:fldChar w:fldCharType="begin">
          <w:ffData>
            <w:name w:val=""/>
            <w:enabled/>
            <w:calcOnExit w:val="0"/>
            <w:checkBox>
              <w:sizeAuto/>
              <w:default w:val="1"/>
            </w:checkBox>
          </w:ffData>
        </w:fldChar>
      </w:r>
      <w:r w:rsidR="00D93832">
        <w:rPr>
          <w:szCs w:val="20"/>
        </w:rPr>
        <w:instrText xml:space="preserve"> FORMCHECKBOX </w:instrText>
      </w:r>
      <w:r w:rsidR="003136F9">
        <w:rPr>
          <w:szCs w:val="20"/>
        </w:rPr>
      </w:r>
      <w:r w:rsidR="003136F9">
        <w:rPr>
          <w:szCs w:val="20"/>
        </w:rPr>
        <w:fldChar w:fldCharType="separate"/>
      </w:r>
      <w:r>
        <w:rPr>
          <w:szCs w:val="20"/>
        </w:rPr>
        <w:fldChar w:fldCharType="end"/>
      </w:r>
      <w:r w:rsidR="00615F42">
        <w:rPr>
          <w:szCs w:val="20"/>
        </w:rPr>
        <w:t xml:space="preserve"> No</w:t>
      </w:r>
    </w:p>
    <w:p w14:paraId="08A70442" w14:textId="77777777" w:rsidR="00D85676" w:rsidRDefault="00D85676" w:rsidP="0011369B">
      <w:pPr>
        <w:pStyle w:val="Heading2"/>
        <w:numPr>
          <w:ilvl w:val="0"/>
          <w:numId w:val="28"/>
        </w:numPr>
      </w:pPr>
      <w:r w:rsidRPr="00154B00">
        <w:t xml:space="preserve">If no, has it been listed or registered or included in the Australian Register of Therapeutic Goods (ARTG) by the Therapeutic </w:t>
      </w:r>
      <w:r w:rsidRPr="0043654D">
        <w:t>Goods</w:t>
      </w:r>
      <w:r w:rsidRPr="00154B00">
        <w:t xml:space="preserve"> Administration (TGA)</w:t>
      </w:r>
      <w:r w:rsidR="00403333">
        <w:t>?</w:t>
      </w:r>
    </w:p>
    <w:p w14:paraId="0A5B12CD" w14:textId="77777777" w:rsidR="0043654D" w:rsidRDefault="004B72CA" w:rsidP="0043654D">
      <w:pPr>
        <w:spacing w:before="0" w:after="0"/>
        <w:ind w:left="284"/>
        <w:rPr>
          <w:szCs w:val="20"/>
        </w:rPr>
      </w:pPr>
      <w:r w:rsidRPr="000A5B32">
        <w:rPr>
          <w:szCs w:val="20"/>
        </w:rPr>
        <w:fldChar w:fldCharType="begin">
          <w:ffData>
            <w:name w:val="Check1"/>
            <w:enabled/>
            <w:calcOnExit w:val="0"/>
            <w:checkBox>
              <w:sizeAuto/>
              <w:default w:val="0"/>
            </w:checkBox>
          </w:ffData>
        </w:fldChar>
      </w:r>
      <w:r w:rsidR="0043654D" w:rsidRPr="000A5B32">
        <w:rPr>
          <w:szCs w:val="20"/>
        </w:rPr>
        <w:instrText xml:space="preserve"> FORMCHECKBOX </w:instrText>
      </w:r>
      <w:r w:rsidR="003136F9">
        <w:rPr>
          <w:szCs w:val="20"/>
        </w:rPr>
      </w:r>
      <w:r w:rsidR="003136F9">
        <w:rPr>
          <w:szCs w:val="20"/>
        </w:rPr>
        <w:fldChar w:fldCharType="separate"/>
      </w:r>
      <w:r w:rsidRPr="000A5B32">
        <w:rPr>
          <w:szCs w:val="20"/>
        </w:rPr>
        <w:fldChar w:fldCharType="end"/>
      </w:r>
      <w:r w:rsidR="0043654D">
        <w:rPr>
          <w:szCs w:val="20"/>
        </w:rPr>
        <w:t xml:space="preserve"> Yes (if yes, please provide details below)</w:t>
      </w:r>
    </w:p>
    <w:p w14:paraId="3545B83D" w14:textId="73B26C91" w:rsidR="0043654D" w:rsidRPr="00194C97" w:rsidRDefault="004B72CA" w:rsidP="00194C97">
      <w:pPr>
        <w:spacing w:before="0"/>
        <w:ind w:left="284"/>
        <w:rPr>
          <w:szCs w:val="20"/>
        </w:rPr>
      </w:pPr>
      <w:r>
        <w:rPr>
          <w:szCs w:val="20"/>
        </w:rPr>
        <w:fldChar w:fldCharType="begin">
          <w:ffData>
            <w:name w:val=""/>
            <w:enabled/>
            <w:calcOnExit w:val="0"/>
            <w:checkBox>
              <w:sizeAuto/>
              <w:default w:val="1"/>
            </w:checkBox>
          </w:ffData>
        </w:fldChar>
      </w:r>
      <w:r w:rsidR="00D93832">
        <w:rPr>
          <w:szCs w:val="20"/>
        </w:rPr>
        <w:instrText xml:space="preserve"> FORMCHECKBOX </w:instrText>
      </w:r>
      <w:r w:rsidR="003136F9">
        <w:rPr>
          <w:szCs w:val="20"/>
        </w:rPr>
      </w:r>
      <w:r w:rsidR="003136F9">
        <w:rPr>
          <w:szCs w:val="20"/>
        </w:rPr>
        <w:fldChar w:fldCharType="separate"/>
      </w:r>
      <w:r>
        <w:rPr>
          <w:szCs w:val="20"/>
        </w:rPr>
        <w:fldChar w:fldCharType="end"/>
      </w:r>
      <w:r w:rsidR="0043654D">
        <w:rPr>
          <w:szCs w:val="20"/>
        </w:rPr>
        <w:t xml:space="preserve"> No</w:t>
      </w:r>
    </w:p>
    <w:p w14:paraId="4EB9C8BC" w14:textId="77777777" w:rsidR="0043654D" w:rsidRPr="0043654D" w:rsidRDefault="0043654D" w:rsidP="00021CF1">
      <w:pPr>
        <w:spacing w:before="0" w:after="0"/>
        <w:ind w:firstLine="284"/>
        <w:rPr>
          <w:szCs w:val="20"/>
        </w:rPr>
      </w:pPr>
      <w:r w:rsidRPr="0043654D">
        <w:rPr>
          <w:szCs w:val="20"/>
        </w:rPr>
        <w:t>ARTG listing, registration or inclusion number:</w:t>
      </w:r>
      <w:r>
        <w:rPr>
          <w:szCs w:val="20"/>
        </w:rPr>
        <w:t xml:space="preserve">  </w:t>
      </w:r>
      <w:r w:rsidR="004B72CA">
        <w:fldChar w:fldCharType="begin">
          <w:ffData>
            <w:name w:val=""/>
            <w:enabled/>
            <w:calcOnExit w:val="0"/>
            <w:textInput>
              <w:default w:val="Insert ARTG number here"/>
            </w:textInput>
          </w:ffData>
        </w:fldChar>
      </w:r>
      <w:r>
        <w:instrText xml:space="preserve"> FORMTEXT </w:instrText>
      </w:r>
      <w:r w:rsidR="004B72CA">
        <w:fldChar w:fldCharType="separate"/>
      </w:r>
      <w:r>
        <w:rPr>
          <w:noProof/>
        </w:rPr>
        <w:t>Insert ARTG number here</w:t>
      </w:r>
      <w:r w:rsidR="004B72CA">
        <w:fldChar w:fldCharType="end"/>
      </w:r>
    </w:p>
    <w:p w14:paraId="4856C690" w14:textId="77777777" w:rsidR="0043654D" w:rsidRPr="0043654D" w:rsidRDefault="0043654D" w:rsidP="00021CF1">
      <w:pPr>
        <w:spacing w:before="0" w:after="0"/>
        <w:ind w:firstLine="284"/>
        <w:rPr>
          <w:szCs w:val="20"/>
        </w:rPr>
      </w:pPr>
      <w:r w:rsidRPr="0043654D">
        <w:rPr>
          <w:szCs w:val="20"/>
        </w:rPr>
        <w:t>TGA approved indication(s), if applicable:</w:t>
      </w:r>
      <w:r>
        <w:rPr>
          <w:szCs w:val="20"/>
        </w:rPr>
        <w:t xml:space="preserve">  </w:t>
      </w:r>
      <w:r w:rsidR="004B72CA">
        <w:fldChar w:fldCharType="begin">
          <w:ffData>
            <w:name w:val=""/>
            <w:enabled/>
            <w:calcOnExit w:val="0"/>
            <w:textInput>
              <w:default w:val="Insert approved indication(s) here"/>
            </w:textInput>
          </w:ffData>
        </w:fldChar>
      </w:r>
      <w:r>
        <w:instrText xml:space="preserve"> FORMTEXT </w:instrText>
      </w:r>
      <w:r w:rsidR="004B72CA">
        <w:fldChar w:fldCharType="separate"/>
      </w:r>
      <w:r>
        <w:rPr>
          <w:noProof/>
        </w:rPr>
        <w:t>Insert approved indication(s) here</w:t>
      </w:r>
      <w:r w:rsidR="004B72CA">
        <w:fldChar w:fldCharType="end"/>
      </w:r>
    </w:p>
    <w:p w14:paraId="440C5C3A" w14:textId="77777777" w:rsidR="00F301F1" w:rsidRPr="0043654D" w:rsidRDefault="0043654D" w:rsidP="00021CF1">
      <w:pPr>
        <w:spacing w:before="0" w:after="0"/>
        <w:ind w:firstLine="284"/>
        <w:rPr>
          <w:szCs w:val="20"/>
        </w:rPr>
      </w:pPr>
      <w:r w:rsidRPr="0043654D">
        <w:rPr>
          <w:szCs w:val="20"/>
        </w:rPr>
        <w:t>TGA approved purpose(s), if applicable:</w:t>
      </w:r>
      <w:r>
        <w:rPr>
          <w:szCs w:val="20"/>
        </w:rPr>
        <w:t xml:space="preserve">  </w:t>
      </w:r>
      <w:r w:rsidR="004B72CA">
        <w:fldChar w:fldCharType="begin">
          <w:ffData>
            <w:name w:val=""/>
            <w:enabled/>
            <w:calcOnExit w:val="0"/>
            <w:textInput>
              <w:default w:val="Insert approved purpose(s) here"/>
            </w:textInput>
          </w:ffData>
        </w:fldChar>
      </w:r>
      <w:r>
        <w:instrText xml:space="preserve"> FORMTEXT </w:instrText>
      </w:r>
      <w:r w:rsidR="004B72CA">
        <w:fldChar w:fldCharType="separate"/>
      </w:r>
      <w:r>
        <w:rPr>
          <w:noProof/>
        </w:rPr>
        <w:t>Insert approved purpose(s) here</w:t>
      </w:r>
      <w:r w:rsidR="004B72CA">
        <w:fldChar w:fldCharType="end"/>
      </w:r>
    </w:p>
    <w:p w14:paraId="293AF5B6" w14:textId="77777777" w:rsidR="00C0796F" w:rsidRPr="0043654D" w:rsidRDefault="00C0796F" w:rsidP="00530204">
      <w:pPr>
        <w:pStyle w:val="Heading2"/>
      </w:pPr>
      <w:r w:rsidRPr="0043654D">
        <w:t>If the therapeutic good has not been listed, registered or included in the ARTG, is the therapeutic good in the process of being considered for inclusion by the TGA?</w:t>
      </w:r>
    </w:p>
    <w:p w14:paraId="55F11C62" w14:textId="77777777" w:rsidR="003433D1" w:rsidRPr="0047581D" w:rsidRDefault="00D056E7" w:rsidP="0090748F">
      <w:pPr>
        <w:spacing w:before="0" w:after="0"/>
        <w:ind w:firstLine="284"/>
        <w:rPr>
          <w:szCs w:val="20"/>
        </w:rPr>
      </w:pPr>
      <w:r>
        <w:rPr>
          <w:szCs w:val="20"/>
        </w:rPr>
        <w:t>R</w:t>
      </w:r>
      <w:r w:rsidR="00D11D01">
        <w:rPr>
          <w:szCs w:val="20"/>
        </w:rPr>
        <w:t>edacted</w:t>
      </w:r>
    </w:p>
    <w:p w14:paraId="1DDAD091" w14:textId="77777777" w:rsidR="00C0796F" w:rsidRDefault="000A110D" w:rsidP="00530204">
      <w:pPr>
        <w:pStyle w:val="Heading2"/>
      </w:pPr>
      <w:r>
        <w:t>I</w:t>
      </w:r>
      <w:r w:rsidR="00C0796F" w:rsidRPr="000A110D">
        <w:t xml:space="preserve">f the therapeutic good </w:t>
      </w:r>
      <w:r w:rsidR="00F83A9D" w:rsidRPr="000A110D">
        <w:t>is not in the process of being considered for listing</w:t>
      </w:r>
      <w:r w:rsidR="00C0796F" w:rsidRPr="000A110D">
        <w:t xml:space="preserve">, </w:t>
      </w:r>
      <w:r w:rsidR="00F83A9D" w:rsidRPr="000A110D">
        <w:t xml:space="preserve">registration </w:t>
      </w:r>
      <w:r w:rsidR="00C0796F" w:rsidRPr="000A110D">
        <w:t xml:space="preserve">or </w:t>
      </w:r>
      <w:r w:rsidR="00F83A9D" w:rsidRPr="000A110D">
        <w:t>inclusion by the TGA, is an application to the TGA being prepared?</w:t>
      </w:r>
    </w:p>
    <w:p w14:paraId="42622C04" w14:textId="3DD47A26" w:rsidR="00F83A9D" w:rsidRPr="00194C97" w:rsidRDefault="003C7607" w:rsidP="00194C97">
      <w:pPr>
        <w:ind w:firstLine="360"/>
      </w:pPr>
      <w:r>
        <w:t>Redacted</w:t>
      </w:r>
      <w:r w:rsidR="00BE3218">
        <w:t>.</w:t>
      </w:r>
    </w:p>
    <w:p w14:paraId="4B3F7848" w14:textId="77777777" w:rsidR="00DD308E" w:rsidRDefault="00DD308E">
      <w:pPr>
        <w:rPr>
          <w:b/>
          <w:sz w:val="32"/>
          <w:szCs w:val="32"/>
        </w:rPr>
        <w:sectPr w:rsidR="00DD308E" w:rsidSect="00991EE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pPr>
    </w:p>
    <w:p w14:paraId="5CF65266" w14:textId="77777777" w:rsidR="00DD308E" w:rsidRPr="00C776B1" w:rsidRDefault="00B17CBE" w:rsidP="00F222BE">
      <w:pPr>
        <w:pStyle w:val="Heading1"/>
      </w:pPr>
      <w:r>
        <w:lastRenderedPageBreak/>
        <w:t>PART 4</w:t>
      </w:r>
      <w:r w:rsidR="00DD308E">
        <w:t xml:space="preserve"> – SUMMARY</w:t>
      </w:r>
      <w:r w:rsidR="00DD308E" w:rsidRPr="00C776B1">
        <w:t xml:space="preserve"> OF EVIDENCE</w:t>
      </w:r>
    </w:p>
    <w:p w14:paraId="70C3F0A3" w14:textId="77777777" w:rsidR="00DD308E" w:rsidRPr="00832B31" w:rsidRDefault="00DD308E" w:rsidP="005C3AE7">
      <w:pPr>
        <w:pStyle w:val="Heading2"/>
        <w:rPr>
          <w:i/>
        </w:rPr>
      </w:pPr>
      <w:r w:rsidRPr="00F222BE">
        <w:t xml:space="preserve">Provide an overview of all key journal articles or research published in the public domain related to the proposed service that is for your application (limiting these to the English language only).  </w:t>
      </w:r>
      <w:r w:rsidRPr="00832B31">
        <w:rPr>
          <w:i/>
        </w:rPr>
        <w:t>Please do not attach full text articles, this is just intended to be a summary.</w:t>
      </w:r>
    </w:p>
    <w:tbl>
      <w:tblPr>
        <w:tblStyle w:val="TableGrid"/>
        <w:tblW w:w="0" w:type="auto"/>
        <w:tblInd w:w="426" w:type="dxa"/>
        <w:tblLayout w:type="fixed"/>
        <w:tblLook w:val="04A0" w:firstRow="1" w:lastRow="0" w:firstColumn="1" w:lastColumn="0" w:noHBand="0" w:noVBand="1"/>
        <w:tblDescription w:val="Summary of the key published journal articles related to the proposed service "/>
      </w:tblPr>
      <w:tblGrid>
        <w:gridCol w:w="360"/>
        <w:gridCol w:w="1397"/>
        <w:gridCol w:w="2788"/>
        <w:gridCol w:w="2395"/>
        <w:gridCol w:w="5131"/>
        <w:gridCol w:w="1451"/>
      </w:tblGrid>
      <w:tr w:rsidR="002832D3" w14:paraId="58AD0D6B" w14:textId="77777777" w:rsidTr="00D4288A">
        <w:trPr>
          <w:tblHeader/>
        </w:trPr>
        <w:tc>
          <w:tcPr>
            <w:tcW w:w="360" w:type="dxa"/>
          </w:tcPr>
          <w:p w14:paraId="27F39866" w14:textId="77777777" w:rsidR="002832D3" w:rsidRDefault="002832D3" w:rsidP="002832D3">
            <w:pPr>
              <w:spacing w:after="0"/>
              <w:rPr>
                <w:sz w:val="18"/>
                <w:szCs w:val="18"/>
              </w:rPr>
            </w:pPr>
            <w:bookmarkStart w:id="6" w:name="_Hlk1998305"/>
          </w:p>
        </w:tc>
        <w:tc>
          <w:tcPr>
            <w:tcW w:w="1397" w:type="dxa"/>
          </w:tcPr>
          <w:p w14:paraId="472A4C35" w14:textId="77777777" w:rsidR="002832D3" w:rsidRPr="002832D3" w:rsidRDefault="002832D3" w:rsidP="002832D3">
            <w:pPr>
              <w:spacing w:after="0"/>
              <w:rPr>
                <w:b/>
                <w:sz w:val="18"/>
                <w:szCs w:val="18"/>
              </w:rPr>
            </w:pPr>
            <w:r w:rsidRPr="002832D3">
              <w:rPr>
                <w:b/>
              </w:rPr>
              <w:t>Type of study design*</w:t>
            </w:r>
          </w:p>
        </w:tc>
        <w:tc>
          <w:tcPr>
            <w:tcW w:w="2788" w:type="dxa"/>
          </w:tcPr>
          <w:p w14:paraId="3CBA6E36" w14:textId="77777777" w:rsidR="002832D3" w:rsidRPr="002832D3" w:rsidRDefault="002832D3" w:rsidP="002832D3">
            <w:pPr>
              <w:spacing w:after="0"/>
              <w:rPr>
                <w:b/>
                <w:sz w:val="18"/>
                <w:szCs w:val="18"/>
              </w:rPr>
            </w:pPr>
            <w:r w:rsidRPr="002832D3">
              <w:rPr>
                <w:b/>
              </w:rPr>
              <w:t>Title of journal article or research project (including any trial identifier or study lead if relevant)</w:t>
            </w:r>
          </w:p>
        </w:tc>
        <w:tc>
          <w:tcPr>
            <w:tcW w:w="2395" w:type="dxa"/>
          </w:tcPr>
          <w:p w14:paraId="5722E91B" w14:textId="77777777" w:rsidR="002832D3" w:rsidRPr="002832D3" w:rsidRDefault="002832D3" w:rsidP="002832D3">
            <w:pPr>
              <w:spacing w:after="0"/>
              <w:rPr>
                <w:b/>
                <w:sz w:val="18"/>
                <w:szCs w:val="18"/>
              </w:rPr>
            </w:pPr>
            <w:r w:rsidRPr="002832D3">
              <w:rPr>
                <w:b/>
              </w:rPr>
              <w:t>Short description of research (max 50 words)**</w:t>
            </w:r>
          </w:p>
        </w:tc>
        <w:tc>
          <w:tcPr>
            <w:tcW w:w="5131" w:type="dxa"/>
          </w:tcPr>
          <w:p w14:paraId="71558254" w14:textId="77777777" w:rsidR="002832D3" w:rsidRPr="002832D3" w:rsidRDefault="002832D3" w:rsidP="002832D3">
            <w:pPr>
              <w:spacing w:after="0"/>
              <w:rPr>
                <w:b/>
                <w:sz w:val="18"/>
                <w:szCs w:val="18"/>
              </w:rPr>
            </w:pPr>
            <w:r w:rsidRPr="002832D3">
              <w:rPr>
                <w:b/>
              </w:rPr>
              <w:t>Website link to journal article or research (if available)</w:t>
            </w:r>
          </w:p>
        </w:tc>
        <w:tc>
          <w:tcPr>
            <w:tcW w:w="1451" w:type="dxa"/>
          </w:tcPr>
          <w:p w14:paraId="7875C254" w14:textId="77777777" w:rsidR="002832D3" w:rsidRPr="002832D3" w:rsidRDefault="002832D3" w:rsidP="002832D3">
            <w:pPr>
              <w:spacing w:after="0"/>
              <w:rPr>
                <w:b/>
                <w:sz w:val="18"/>
                <w:szCs w:val="18"/>
              </w:rPr>
            </w:pPr>
            <w:r w:rsidRPr="002832D3">
              <w:rPr>
                <w:b/>
              </w:rPr>
              <w:t>Date of publication***</w:t>
            </w:r>
          </w:p>
        </w:tc>
      </w:tr>
      <w:tr w:rsidR="002832D3" w14:paraId="4EE6E47B" w14:textId="77777777" w:rsidTr="00A8688E">
        <w:tc>
          <w:tcPr>
            <w:tcW w:w="360" w:type="dxa"/>
          </w:tcPr>
          <w:p w14:paraId="01E8BA49" w14:textId="77777777" w:rsidR="002832D3" w:rsidRDefault="002832D3" w:rsidP="002832D3">
            <w:pPr>
              <w:spacing w:after="0"/>
              <w:rPr>
                <w:sz w:val="18"/>
                <w:szCs w:val="18"/>
              </w:rPr>
            </w:pPr>
            <w:r>
              <w:rPr>
                <w:sz w:val="18"/>
                <w:szCs w:val="18"/>
              </w:rPr>
              <w:t>1.</w:t>
            </w:r>
          </w:p>
        </w:tc>
        <w:tc>
          <w:tcPr>
            <w:tcW w:w="1397" w:type="dxa"/>
          </w:tcPr>
          <w:p w14:paraId="583F3206" w14:textId="77777777" w:rsidR="002832D3" w:rsidRPr="00212BF8" w:rsidRDefault="002832D3" w:rsidP="002832D3">
            <w:pPr>
              <w:widowControl w:val="0"/>
              <w:rPr>
                <w:b/>
                <w:noProof/>
              </w:rPr>
            </w:pPr>
            <w:r w:rsidRPr="00212BF8">
              <w:rPr>
                <w:b/>
                <w:noProof/>
              </w:rPr>
              <w:t>Pivotal Study</w:t>
            </w:r>
          </w:p>
          <w:p w14:paraId="0B6EF02B" w14:textId="77777777" w:rsidR="002832D3" w:rsidRDefault="002832D3" w:rsidP="002832D3">
            <w:pPr>
              <w:widowControl w:val="0"/>
              <w:rPr>
                <w:noProof/>
              </w:rPr>
            </w:pPr>
            <w:r>
              <w:rPr>
                <w:noProof/>
              </w:rPr>
              <w:t>Multicentre Phase 2 trial in 101 patients with refractory DLBCL, PMBCL and TFL</w:t>
            </w:r>
          </w:p>
          <w:p w14:paraId="3A005FE3" w14:textId="77777777" w:rsidR="002832D3" w:rsidRPr="00175C5E" w:rsidRDefault="00175C5E" w:rsidP="00175C5E">
            <w:pPr>
              <w:widowControl w:val="0"/>
              <w:rPr>
                <w:noProof/>
              </w:rPr>
            </w:pPr>
            <w:r>
              <w:rPr>
                <w:noProof/>
              </w:rPr>
              <w:t>(Cohorts 1 and 2)</w:t>
            </w:r>
          </w:p>
        </w:tc>
        <w:tc>
          <w:tcPr>
            <w:tcW w:w="2788" w:type="dxa"/>
          </w:tcPr>
          <w:p w14:paraId="3B6B5F22" w14:textId="77777777" w:rsidR="002832D3" w:rsidRDefault="002832D3" w:rsidP="002832D3">
            <w:pPr>
              <w:pStyle w:val="Default"/>
              <w:widowControl w:val="0"/>
              <w:rPr>
                <w:rFonts w:asciiTheme="minorHAnsi" w:hAnsiTheme="minorHAnsi" w:cstheme="minorBidi"/>
                <w:noProof/>
                <w:color w:val="auto"/>
                <w:sz w:val="20"/>
                <w:szCs w:val="22"/>
              </w:rPr>
            </w:pPr>
            <w:r w:rsidRPr="00DD3C95">
              <w:rPr>
                <w:rFonts w:asciiTheme="minorHAnsi" w:hAnsiTheme="minorHAnsi" w:cstheme="minorBidi"/>
                <w:noProof/>
                <w:color w:val="auto"/>
                <w:sz w:val="20"/>
                <w:szCs w:val="22"/>
              </w:rPr>
              <w:t xml:space="preserve">KTE-C19-101 </w:t>
            </w:r>
          </w:p>
          <w:p w14:paraId="212D62C3" w14:textId="77777777" w:rsidR="002832D3" w:rsidRDefault="002832D3" w:rsidP="002832D3">
            <w:pPr>
              <w:pStyle w:val="Default"/>
              <w:widowControl w:val="0"/>
              <w:rPr>
                <w:rFonts w:asciiTheme="minorHAnsi" w:hAnsiTheme="minorHAnsi" w:cstheme="minorBidi"/>
                <w:noProof/>
                <w:color w:val="auto"/>
                <w:sz w:val="20"/>
                <w:szCs w:val="22"/>
              </w:rPr>
            </w:pPr>
            <w:r w:rsidRPr="00357EA8">
              <w:rPr>
                <w:rFonts w:asciiTheme="minorHAnsi" w:hAnsiTheme="minorHAnsi" w:cstheme="minorBidi"/>
                <w:noProof/>
                <w:color w:val="auto"/>
                <w:sz w:val="20"/>
                <w:szCs w:val="22"/>
              </w:rPr>
              <w:t xml:space="preserve">Safety and Efficacy of KTE-C19 in Adults With Refractory Aggressive </w:t>
            </w:r>
            <w:r w:rsidR="00B127CA">
              <w:rPr>
                <w:rFonts w:asciiTheme="minorHAnsi" w:hAnsiTheme="minorHAnsi" w:cstheme="minorBidi"/>
                <w:noProof/>
                <w:color w:val="auto"/>
                <w:sz w:val="20"/>
                <w:szCs w:val="22"/>
              </w:rPr>
              <w:t>non-Hodgkin</w:t>
            </w:r>
            <w:r w:rsidRPr="00357EA8">
              <w:rPr>
                <w:rFonts w:asciiTheme="minorHAnsi" w:hAnsiTheme="minorHAnsi" w:cstheme="minorBidi"/>
                <w:noProof/>
                <w:color w:val="auto"/>
                <w:sz w:val="20"/>
                <w:szCs w:val="22"/>
              </w:rPr>
              <w:t xml:space="preserve"> Lymphoma (ZUMA-1)</w:t>
            </w:r>
            <w:r w:rsidRPr="00DD3C95">
              <w:rPr>
                <w:rFonts w:asciiTheme="minorHAnsi" w:hAnsiTheme="minorHAnsi" w:cstheme="minorBidi"/>
                <w:noProof/>
                <w:color w:val="auto"/>
                <w:sz w:val="20"/>
                <w:szCs w:val="22"/>
              </w:rPr>
              <w:t xml:space="preserve"> </w:t>
            </w:r>
          </w:p>
          <w:p w14:paraId="5EEFFC3E" w14:textId="6630DA87" w:rsidR="002832D3" w:rsidRDefault="002832D3" w:rsidP="00194C97">
            <w:pPr>
              <w:pStyle w:val="Default"/>
              <w:widowControl w:val="0"/>
              <w:spacing w:after="240"/>
              <w:rPr>
                <w:rFonts w:asciiTheme="minorHAnsi" w:hAnsiTheme="minorHAnsi" w:cstheme="minorBidi"/>
                <w:noProof/>
                <w:color w:val="auto"/>
                <w:sz w:val="20"/>
                <w:szCs w:val="22"/>
              </w:rPr>
            </w:pPr>
            <w:r w:rsidRPr="00357EA8">
              <w:rPr>
                <w:rFonts w:asciiTheme="minorHAnsi" w:hAnsiTheme="minorHAnsi" w:cstheme="minorBidi"/>
                <w:noProof/>
                <w:color w:val="auto"/>
                <w:sz w:val="20"/>
                <w:szCs w:val="22"/>
              </w:rPr>
              <w:t>ClinicalTrials.gov Identifier:</w:t>
            </w:r>
            <w:r>
              <w:rPr>
                <w:rFonts w:asciiTheme="minorHAnsi" w:hAnsiTheme="minorHAnsi" w:cstheme="minorBidi"/>
                <w:noProof/>
                <w:color w:val="auto"/>
                <w:sz w:val="20"/>
                <w:szCs w:val="22"/>
              </w:rPr>
              <w:t xml:space="preserve"> </w:t>
            </w:r>
            <w:r w:rsidRPr="00357EA8">
              <w:rPr>
                <w:rFonts w:asciiTheme="minorHAnsi" w:hAnsiTheme="minorHAnsi" w:cstheme="minorBidi"/>
                <w:noProof/>
                <w:color w:val="auto"/>
                <w:sz w:val="20"/>
                <w:szCs w:val="22"/>
              </w:rPr>
              <w:t>NCT02348216</w:t>
            </w:r>
          </w:p>
          <w:p w14:paraId="78A8BDED" w14:textId="4AD6D718" w:rsidR="002832D3" w:rsidRPr="00194C97" w:rsidRDefault="003136F9" w:rsidP="00194C97">
            <w:pPr>
              <w:pStyle w:val="Default"/>
              <w:widowControl w:val="0"/>
              <w:spacing w:after="240"/>
            </w:pPr>
            <w:hyperlink r:id="rId17" w:history="1">
              <w:r w:rsidR="002832D3" w:rsidRPr="00057014">
                <w:rPr>
                  <w:rFonts w:asciiTheme="minorHAnsi" w:hAnsiTheme="minorHAnsi" w:cstheme="minorBidi"/>
                  <w:noProof/>
                  <w:color w:val="auto"/>
                  <w:sz w:val="20"/>
                  <w:szCs w:val="22"/>
                </w:rPr>
                <w:t>Neelapu SS</w:t>
              </w:r>
            </w:hyperlink>
            <w:r w:rsidR="002832D3" w:rsidRPr="00057014">
              <w:rPr>
                <w:rFonts w:asciiTheme="minorHAnsi" w:hAnsiTheme="minorHAnsi" w:cstheme="minorBidi"/>
                <w:noProof/>
                <w:color w:val="auto"/>
                <w:sz w:val="20"/>
                <w:szCs w:val="22"/>
              </w:rPr>
              <w:t>, </w:t>
            </w:r>
            <w:hyperlink r:id="rId18" w:history="1">
              <w:r w:rsidR="002832D3" w:rsidRPr="00057014">
                <w:rPr>
                  <w:rFonts w:asciiTheme="minorHAnsi" w:hAnsiTheme="minorHAnsi" w:cstheme="minorBidi"/>
                  <w:noProof/>
                  <w:color w:val="auto"/>
                  <w:sz w:val="20"/>
                  <w:szCs w:val="22"/>
                </w:rPr>
                <w:t>Locke FL</w:t>
              </w:r>
            </w:hyperlink>
            <w:r w:rsidR="002832D3" w:rsidRPr="00057014">
              <w:rPr>
                <w:rFonts w:asciiTheme="minorHAnsi" w:hAnsiTheme="minorHAnsi" w:cstheme="minorBidi"/>
                <w:noProof/>
                <w:color w:val="auto"/>
                <w:sz w:val="20"/>
                <w:szCs w:val="22"/>
              </w:rPr>
              <w:t>1, </w:t>
            </w:r>
            <w:hyperlink r:id="rId19" w:history="1">
              <w:r w:rsidR="002832D3" w:rsidRPr="00057014">
                <w:rPr>
                  <w:rFonts w:asciiTheme="minorHAnsi" w:hAnsiTheme="minorHAnsi" w:cstheme="minorBidi"/>
                  <w:noProof/>
                  <w:color w:val="auto"/>
                  <w:sz w:val="20"/>
                  <w:szCs w:val="22"/>
                </w:rPr>
                <w:t>Bartlett NL</w:t>
              </w:r>
            </w:hyperlink>
            <w:r w:rsidR="002832D3" w:rsidRPr="00057014">
              <w:rPr>
                <w:rFonts w:asciiTheme="minorHAnsi" w:hAnsiTheme="minorHAnsi" w:cstheme="minorBidi"/>
                <w:noProof/>
                <w:color w:val="auto"/>
                <w:sz w:val="20"/>
                <w:szCs w:val="22"/>
              </w:rPr>
              <w:t>, </w:t>
            </w:r>
            <w:hyperlink r:id="rId20" w:history="1">
              <w:r w:rsidR="002832D3" w:rsidRPr="00057014">
                <w:rPr>
                  <w:rFonts w:asciiTheme="minorHAnsi" w:hAnsiTheme="minorHAnsi" w:cstheme="minorBidi"/>
                  <w:noProof/>
                  <w:color w:val="auto"/>
                  <w:sz w:val="20"/>
                  <w:szCs w:val="22"/>
                </w:rPr>
                <w:t>Lekakis LJ</w:t>
              </w:r>
            </w:hyperlink>
            <w:r w:rsidR="002832D3" w:rsidRPr="00057014">
              <w:rPr>
                <w:rFonts w:asciiTheme="minorHAnsi" w:hAnsiTheme="minorHAnsi" w:cstheme="minorBidi"/>
                <w:noProof/>
                <w:color w:val="auto"/>
                <w:sz w:val="20"/>
                <w:szCs w:val="22"/>
              </w:rPr>
              <w:t>, </w:t>
            </w:r>
            <w:hyperlink r:id="rId21" w:history="1">
              <w:r w:rsidR="002832D3" w:rsidRPr="00057014">
                <w:rPr>
                  <w:rFonts w:asciiTheme="minorHAnsi" w:hAnsiTheme="minorHAnsi" w:cstheme="minorBidi"/>
                  <w:noProof/>
                  <w:color w:val="auto"/>
                  <w:sz w:val="20"/>
                  <w:szCs w:val="22"/>
                </w:rPr>
                <w:t>Miklos DB</w:t>
              </w:r>
            </w:hyperlink>
            <w:r w:rsidR="002832D3" w:rsidRPr="00057014">
              <w:rPr>
                <w:rFonts w:asciiTheme="minorHAnsi" w:hAnsiTheme="minorHAnsi" w:cstheme="minorBidi"/>
                <w:noProof/>
                <w:color w:val="auto"/>
                <w:sz w:val="20"/>
                <w:szCs w:val="22"/>
              </w:rPr>
              <w:t>, </w:t>
            </w:r>
            <w:hyperlink r:id="rId22" w:history="1">
              <w:r w:rsidR="002832D3" w:rsidRPr="00057014">
                <w:rPr>
                  <w:rFonts w:asciiTheme="minorHAnsi" w:hAnsiTheme="minorHAnsi" w:cstheme="minorBidi"/>
                  <w:noProof/>
                  <w:color w:val="auto"/>
                  <w:sz w:val="20"/>
                  <w:szCs w:val="22"/>
                </w:rPr>
                <w:t>Jacobson CA</w:t>
              </w:r>
            </w:hyperlink>
            <w:r w:rsidR="002832D3" w:rsidRPr="00057014">
              <w:rPr>
                <w:rFonts w:asciiTheme="minorHAnsi" w:hAnsiTheme="minorHAnsi" w:cstheme="minorBidi"/>
                <w:noProof/>
                <w:color w:val="auto"/>
                <w:sz w:val="20"/>
                <w:szCs w:val="22"/>
              </w:rPr>
              <w:t xml:space="preserve"> </w:t>
            </w:r>
            <w:r w:rsidR="002832D3">
              <w:rPr>
                <w:rFonts w:asciiTheme="minorHAnsi" w:hAnsiTheme="minorHAnsi" w:cstheme="minorBidi"/>
                <w:noProof/>
                <w:color w:val="auto"/>
                <w:sz w:val="20"/>
                <w:szCs w:val="22"/>
              </w:rPr>
              <w:t>et al.</w:t>
            </w:r>
            <w:r w:rsidR="002832D3" w:rsidRPr="00057014">
              <w:rPr>
                <w:rFonts w:asciiTheme="minorHAnsi" w:hAnsiTheme="minorHAnsi" w:cstheme="minorBidi"/>
                <w:noProof/>
                <w:color w:val="auto"/>
                <w:sz w:val="20"/>
                <w:szCs w:val="22"/>
              </w:rPr>
              <w:t>Axicabtagene Ciloleucel CAR T-Cell Therapy in Refractory Large B-Cell Lymphoma.</w:t>
            </w:r>
            <w:r w:rsidR="002832D3">
              <w:rPr>
                <w:rFonts w:asciiTheme="minorHAnsi" w:hAnsiTheme="minorHAnsi" w:cstheme="minorBidi"/>
                <w:noProof/>
                <w:color w:val="auto"/>
                <w:sz w:val="20"/>
                <w:szCs w:val="22"/>
              </w:rPr>
              <w:t xml:space="preserve"> </w:t>
            </w:r>
            <w:r w:rsidR="002832D3" w:rsidRPr="00057014">
              <w:rPr>
                <w:rFonts w:asciiTheme="minorHAnsi" w:hAnsiTheme="minorHAnsi" w:cstheme="minorBidi"/>
                <w:noProof/>
                <w:color w:val="auto"/>
                <w:sz w:val="20"/>
                <w:szCs w:val="22"/>
              </w:rPr>
              <w:t>N Engl J Med. 2017 December 28; 377(26): 2531–2544. doi:10.1056/NEJMoa1707447.</w:t>
            </w:r>
          </w:p>
          <w:p w14:paraId="7C8B2461" w14:textId="77777777" w:rsidR="002832D3" w:rsidRDefault="002832D3" w:rsidP="002832D3">
            <w:pPr>
              <w:pStyle w:val="Default"/>
              <w:widowControl w:val="0"/>
              <w:rPr>
                <w:rFonts w:asciiTheme="minorHAnsi" w:hAnsiTheme="minorHAnsi" w:cstheme="minorBidi"/>
                <w:noProof/>
                <w:color w:val="auto"/>
                <w:sz w:val="20"/>
                <w:szCs w:val="22"/>
              </w:rPr>
            </w:pPr>
            <w:r w:rsidRPr="00DD3C95">
              <w:rPr>
                <w:rFonts w:asciiTheme="minorHAnsi" w:hAnsiTheme="minorHAnsi" w:cstheme="minorBidi"/>
                <w:noProof/>
                <w:color w:val="auto"/>
                <w:sz w:val="20"/>
                <w:szCs w:val="22"/>
              </w:rPr>
              <w:t>Locke FL, Ghobadi A, Jacobson CA, Miklos DB, Lekakis LJ, Oluwole OO</w:t>
            </w:r>
            <w:r>
              <w:rPr>
                <w:rFonts w:asciiTheme="minorHAnsi" w:hAnsiTheme="minorHAnsi" w:cstheme="minorBidi"/>
                <w:noProof/>
                <w:color w:val="auto"/>
                <w:sz w:val="20"/>
                <w:szCs w:val="22"/>
              </w:rPr>
              <w:t xml:space="preserve"> et al.</w:t>
            </w:r>
            <w:r w:rsidRPr="00DD3C95">
              <w:rPr>
                <w:rFonts w:asciiTheme="minorHAnsi" w:hAnsiTheme="minorHAnsi" w:cstheme="minorBidi"/>
                <w:noProof/>
                <w:color w:val="auto"/>
                <w:sz w:val="20"/>
                <w:szCs w:val="22"/>
              </w:rPr>
              <w:t xml:space="preserve"> Long-term safety and activity of axicabtagene ciloleucel in refractory large B-cell lymphoma (ZUMA-1): a single-arm, multicentre, phase 1-2 </w:t>
            </w:r>
            <w:r w:rsidRPr="00DD3C95">
              <w:rPr>
                <w:rFonts w:asciiTheme="minorHAnsi" w:hAnsiTheme="minorHAnsi" w:cstheme="minorBidi"/>
                <w:noProof/>
                <w:color w:val="auto"/>
                <w:sz w:val="20"/>
                <w:szCs w:val="22"/>
              </w:rPr>
              <w:lastRenderedPageBreak/>
              <w:t>trial. Lancet Oncol. 2019 Jan;20(1):31-42. doi: 10.1016/S1470-2045(18)30864-7. Epub 2018 Dec 2.</w:t>
            </w:r>
          </w:p>
          <w:p w14:paraId="00FFA40A" w14:textId="77777777" w:rsidR="002832D3" w:rsidRDefault="002832D3" w:rsidP="002832D3">
            <w:pPr>
              <w:spacing w:after="0"/>
              <w:rPr>
                <w:sz w:val="18"/>
                <w:szCs w:val="18"/>
              </w:rPr>
            </w:pPr>
            <w:r>
              <w:rPr>
                <w:noProof/>
              </w:rPr>
              <w:t xml:space="preserve">ClincialTrials.gov Identifier: </w:t>
            </w:r>
            <w:r w:rsidRPr="00DD3C95">
              <w:rPr>
                <w:noProof/>
              </w:rPr>
              <w:t xml:space="preserve">NCT02348216  </w:t>
            </w:r>
          </w:p>
        </w:tc>
        <w:tc>
          <w:tcPr>
            <w:tcW w:w="2395" w:type="dxa"/>
          </w:tcPr>
          <w:p w14:paraId="6A44BE6A" w14:textId="77777777" w:rsidR="002832D3" w:rsidRPr="002E5298" w:rsidRDefault="002832D3" w:rsidP="002832D3">
            <w:pPr>
              <w:widowControl w:val="0"/>
              <w:rPr>
                <w:szCs w:val="20"/>
              </w:rPr>
            </w:pPr>
            <w:r w:rsidRPr="002E5298">
              <w:rPr>
                <w:szCs w:val="20"/>
              </w:rPr>
              <w:lastRenderedPageBreak/>
              <w:t>Evaluation of</w:t>
            </w:r>
            <w:r>
              <w:rPr>
                <w:szCs w:val="20"/>
              </w:rPr>
              <w:t xml:space="preserve"> </w:t>
            </w:r>
            <w:r w:rsidRPr="002E5298">
              <w:rPr>
                <w:szCs w:val="20"/>
              </w:rPr>
              <w:t xml:space="preserve">axi-cel </w:t>
            </w:r>
            <w:r>
              <w:rPr>
                <w:szCs w:val="20"/>
              </w:rPr>
              <w:t>efficacy</w:t>
            </w:r>
            <w:r w:rsidRPr="002E5298">
              <w:rPr>
                <w:szCs w:val="20"/>
              </w:rPr>
              <w:t xml:space="preserve"> in 101 patients with </w:t>
            </w:r>
            <w:r>
              <w:rPr>
                <w:szCs w:val="20"/>
              </w:rPr>
              <w:t xml:space="preserve">refractory </w:t>
            </w:r>
            <w:r w:rsidRPr="002E5298">
              <w:rPr>
                <w:szCs w:val="20"/>
              </w:rPr>
              <w:t>DLBCL</w:t>
            </w:r>
            <w:r w:rsidR="009C0FFF">
              <w:rPr>
                <w:szCs w:val="20"/>
              </w:rPr>
              <w:t xml:space="preserve"> (n=</w:t>
            </w:r>
            <w:r w:rsidR="008867E3">
              <w:rPr>
                <w:szCs w:val="20"/>
              </w:rPr>
              <w:t>77</w:t>
            </w:r>
            <w:r w:rsidR="009C0FFF">
              <w:rPr>
                <w:szCs w:val="20"/>
              </w:rPr>
              <w:t>; Cohort 1)</w:t>
            </w:r>
            <w:r w:rsidRPr="002E5298">
              <w:rPr>
                <w:szCs w:val="20"/>
              </w:rPr>
              <w:t xml:space="preserve">, PMBCL and </w:t>
            </w:r>
            <w:r w:rsidR="008867E3">
              <w:rPr>
                <w:szCs w:val="20"/>
              </w:rPr>
              <w:t>T</w:t>
            </w:r>
            <w:r w:rsidRPr="002E5298">
              <w:rPr>
                <w:szCs w:val="20"/>
              </w:rPr>
              <w:t>F</w:t>
            </w:r>
            <w:r>
              <w:rPr>
                <w:szCs w:val="20"/>
              </w:rPr>
              <w:t>L</w:t>
            </w:r>
            <w:r w:rsidR="009C0FFF">
              <w:rPr>
                <w:szCs w:val="20"/>
              </w:rPr>
              <w:t xml:space="preserve"> (n=</w:t>
            </w:r>
            <w:r w:rsidR="008867E3">
              <w:rPr>
                <w:szCs w:val="20"/>
              </w:rPr>
              <w:t>24</w:t>
            </w:r>
            <w:r w:rsidR="009C0FFF">
              <w:rPr>
                <w:szCs w:val="20"/>
              </w:rPr>
              <w:t>; Cohort 2)</w:t>
            </w:r>
          </w:p>
          <w:p w14:paraId="2ED09E02" w14:textId="2D7FA063" w:rsidR="002832D3" w:rsidRPr="00194C97" w:rsidRDefault="002832D3" w:rsidP="00194C97">
            <w:pPr>
              <w:widowControl w:val="0"/>
              <w:spacing w:before="0"/>
            </w:pPr>
            <w:r>
              <w:t>Primary endpoint: ORR; Secondary end points included DOR, PFS, OS, incidence of adverse events, and blood levels of CAR T</w:t>
            </w:r>
            <w:r w:rsidR="00024D52">
              <w:t>-</w:t>
            </w:r>
            <w:r>
              <w:t>cells</w:t>
            </w:r>
            <w:r w:rsidR="00F7717F">
              <w:t xml:space="preserve">, anti-axicabtagene ciloleucel antibodies </w:t>
            </w:r>
            <w:r>
              <w:t xml:space="preserve"> and serum cytokines. (6-month timepoint)</w:t>
            </w:r>
          </w:p>
          <w:p w14:paraId="144A73D8" w14:textId="77777777" w:rsidR="002832D3" w:rsidRDefault="002832D3" w:rsidP="00194C97">
            <w:pPr>
              <w:spacing w:before="360" w:after="0"/>
              <w:rPr>
                <w:sz w:val="18"/>
                <w:szCs w:val="18"/>
              </w:rPr>
            </w:pPr>
            <w:r w:rsidRPr="008F59F2">
              <w:rPr>
                <w:szCs w:val="20"/>
              </w:rPr>
              <w:t xml:space="preserve">Two year follow up data </w:t>
            </w:r>
            <w:r>
              <w:rPr>
                <w:szCs w:val="20"/>
              </w:rPr>
              <w:t>(median follow up 27.1 months)</w:t>
            </w:r>
          </w:p>
        </w:tc>
        <w:tc>
          <w:tcPr>
            <w:tcW w:w="5131" w:type="dxa"/>
          </w:tcPr>
          <w:p w14:paraId="074AD307" w14:textId="77777777" w:rsidR="00A8688E" w:rsidRDefault="00A8688E" w:rsidP="002832D3">
            <w:pPr>
              <w:widowControl w:val="0"/>
            </w:pPr>
          </w:p>
          <w:p w14:paraId="5C8E77CD" w14:textId="77777777" w:rsidR="002832D3" w:rsidRDefault="003136F9" w:rsidP="00D4288A">
            <w:pPr>
              <w:widowControl w:val="0"/>
              <w:spacing w:before="1440"/>
            </w:pPr>
            <w:hyperlink r:id="rId23" w:tooltip="Link to Pub Med article - Axicabtagene Cilolecleucel CAR T-cell in regractory large B-cell lymphoma" w:history="1">
              <w:r w:rsidR="00A8688E" w:rsidRPr="00635567">
                <w:rPr>
                  <w:rStyle w:val="Hyperlink"/>
                </w:rPr>
                <w:t>https://www.ncbi.nlm.nih.gov/pubmed/29226797?dopt=Abstract</w:t>
              </w:r>
            </w:hyperlink>
          </w:p>
          <w:p w14:paraId="6096DF85" w14:textId="77777777" w:rsidR="002832D3" w:rsidRDefault="002832D3" w:rsidP="002832D3">
            <w:pPr>
              <w:widowControl w:val="0"/>
            </w:pPr>
          </w:p>
          <w:p w14:paraId="1709C850" w14:textId="77777777" w:rsidR="002832D3" w:rsidRPr="00175C5E" w:rsidRDefault="003136F9" w:rsidP="00175C5E">
            <w:pPr>
              <w:widowControl w:val="0"/>
              <w:spacing w:before="1440"/>
            </w:pPr>
            <w:hyperlink r:id="rId24" w:tooltip="Link to Pub Med article - Long-term safety and activity of axicabtagene cilolecleucel in refractory large B-cell lymphoma (ZUMA-1)" w:history="1">
              <w:r w:rsidR="00A8688E" w:rsidRPr="00635567">
                <w:rPr>
                  <w:rStyle w:val="Hyperlink"/>
                </w:rPr>
                <w:t>https://www.ncbi.nlm.nih.gov/pubmed/30518502</w:t>
              </w:r>
            </w:hyperlink>
          </w:p>
        </w:tc>
        <w:tc>
          <w:tcPr>
            <w:tcW w:w="1451" w:type="dxa"/>
          </w:tcPr>
          <w:p w14:paraId="6D56541D" w14:textId="77777777" w:rsidR="00D4288A" w:rsidRDefault="00D4288A" w:rsidP="002832D3">
            <w:pPr>
              <w:widowControl w:val="0"/>
              <w:rPr>
                <w:noProof/>
              </w:rPr>
            </w:pPr>
          </w:p>
          <w:p w14:paraId="23E5DF70" w14:textId="77777777" w:rsidR="002832D3" w:rsidRPr="00057014" w:rsidRDefault="001741C6" w:rsidP="00D4288A">
            <w:pPr>
              <w:widowControl w:val="0"/>
              <w:spacing w:before="1440"/>
              <w:rPr>
                <w:noProof/>
              </w:rPr>
            </w:pPr>
            <w:r>
              <w:rPr>
                <w:noProof/>
              </w:rPr>
              <w:t>2</w:t>
            </w:r>
            <w:r w:rsidR="002832D3">
              <w:rPr>
                <w:noProof/>
              </w:rPr>
              <w:t>017</w:t>
            </w:r>
            <w:r w:rsidR="002832D3">
              <w:rPr>
                <w:noProof/>
              </w:rPr>
              <w:br/>
            </w:r>
          </w:p>
          <w:p w14:paraId="44B98BC0" w14:textId="77777777" w:rsidR="002832D3" w:rsidRDefault="002832D3" w:rsidP="002832D3">
            <w:pPr>
              <w:widowControl w:val="0"/>
              <w:rPr>
                <w:noProof/>
              </w:rPr>
            </w:pPr>
          </w:p>
          <w:p w14:paraId="1D332A35" w14:textId="77777777" w:rsidR="002832D3" w:rsidRPr="00175C5E" w:rsidRDefault="00A8688E" w:rsidP="00175C5E">
            <w:pPr>
              <w:widowControl w:val="0"/>
              <w:spacing w:before="1440"/>
              <w:rPr>
                <w:noProof/>
              </w:rPr>
            </w:pPr>
            <w:r>
              <w:rPr>
                <w:noProof/>
              </w:rPr>
              <w:t>2</w:t>
            </w:r>
            <w:r w:rsidR="00175C5E">
              <w:rPr>
                <w:noProof/>
              </w:rPr>
              <w:t>018</w:t>
            </w:r>
          </w:p>
        </w:tc>
      </w:tr>
      <w:tr w:rsidR="002832D3" w14:paraId="2FB0DB12" w14:textId="77777777" w:rsidTr="00A8688E">
        <w:tc>
          <w:tcPr>
            <w:tcW w:w="360" w:type="dxa"/>
          </w:tcPr>
          <w:p w14:paraId="0AD8297D" w14:textId="77777777" w:rsidR="002832D3" w:rsidRDefault="002832D3" w:rsidP="002832D3">
            <w:pPr>
              <w:spacing w:after="0"/>
              <w:rPr>
                <w:sz w:val="18"/>
                <w:szCs w:val="18"/>
              </w:rPr>
            </w:pPr>
            <w:r>
              <w:rPr>
                <w:sz w:val="18"/>
                <w:szCs w:val="18"/>
              </w:rPr>
              <w:t xml:space="preserve">2. </w:t>
            </w:r>
          </w:p>
        </w:tc>
        <w:tc>
          <w:tcPr>
            <w:tcW w:w="1397" w:type="dxa"/>
          </w:tcPr>
          <w:p w14:paraId="21BC5BFB" w14:textId="77777777" w:rsidR="002832D3" w:rsidRPr="00212BF8" w:rsidRDefault="002832D3" w:rsidP="002832D3">
            <w:pPr>
              <w:pStyle w:val="Default"/>
              <w:keepNext/>
              <w:keepLines/>
              <w:widowControl w:val="0"/>
              <w:rPr>
                <w:rFonts w:asciiTheme="minorHAnsi" w:hAnsiTheme="minorHAnsi" w:cstheme="minorBidi"/>
                <w:b/>
                <w:noProof/>
                <w:color w:val="auto"/>
                <w:sz w:val="20"/>
                <w:szCs w:val="22"/>
              </w:rPr>
            </w:pPr>
            <w:r w:rsidRPr="00212BF8">
              <w:rPr>
                <w:rFonts w:asciiTheme="minorHAnsi" w:hAnsiTheme="minorHAnsi" w:cstheme="minorBidi"/>
                <w:b/>
                <w:noProof/>
                <w:color w:val="auto"/>
                <w:sz w:val="20"/>
                <w:szCs w:val="22"/>
              </w:rPr>
              <w:t>Supportive Study</w:t>
            </w:r>
          </w:p>
          <w:p w14:paraId="52216F2B" w14:textId="77777777" w:rsidR="002832D3" w:rsidRPr="00DD3C95" w:rsidRDefault="002832D3" w:rsidP="002832D3">
            <w:pPr>
              <w:pStyle w:val="Default"/>
              <w:keepNext/>
              <w:keepLines/>
              <w:widowControl w:val="0"/>
              <w:rPr>
                <w:rFonts w:asciiTheme="minorHAnsi" w:hAnsiTheme="minorHAnsi" w:cstheme="minorBidi"/>
                <w:noProof/>
                <w:color w:val="auto"/>
                <w:sz w:val="20"/>
                <w:szCs w:val="22"/>
              </w:rPr>
            </w:pPr>
            <w:r>
              <w:rPr>
                <w:rFonts w:asciiTheme="minorHAnsi" w:hAnsiTheme="minorHAnsi" w:cstheme="minorBidi"/>
                <w:noProof/>
                <w:color w:val="auto"/>
                <w:sz w:val="20"/>
                <w:szCs w:val="22"/>
              </w:rPr>
              <w:t xml:space="preserve">Multicentre, </w:t>
            </w:r>
            <w:r w:rsidRPr="00DD3C95">
              <w:rPr>
                <w:rFonts w:asciiTheme="minorHAnsi" w:hAnsiTheme="minorHAnsi" w:cstheme="minorBidi"/>
                <w:noProof/>
                <w:color w:val="auto"/>
                <w:sz w:val="20"/>
                <w:szCs w:val="22"/>
              </w:rPr>
              <w:t>Phase 1</w:t>
            </w:r>
            <w:r>
              <w:rPr>
                <w:rFonts w:asciiTheme="minorHAnsi" w:hAnsiTheme="minorHAnsi" w:cstheme="minorBidi"/>
                <w:noProof/>
                <w:color w:val="auto"/>
                <w:sz w:val="20"/>
                <w:szCs w:val="22"/>
              </w:rPr>
              <w:t xml:space="preserve"> study in 7</w:t>
            </w:r>
            <w:r w:rsidRPr="00DD3C95">
              <w:rPr>
                <w:rFonts w:asciiTheme="minorHAnsi" w:hAnsiTheme="minorHAnsi" w:cstheme="minorBidi"/>
                <w:noProof/>
                <w:color w:val="auto"/>
                <w:sz w:val="20"/>
                <w:szCs w:val="22"/>
              </w:rPr>
              <w:t xml:space="preserve"> refractory DLBCL</w:t>
            </w:r>
            <w:r>
              <w:rPr>
                <w:rFonts w:asciiTheme="minorHAnsi" w:hAnsiTheme="minorHAnsi" w:cstheme="minorBidi"/>
                <w:noProof/>
                <w:color w:val="auto"/>
                <w:sz w:val="20"/>
                <w:szCs w:val="22"/>
              </w:rPr>
              <w:t xml:space="preserve"> patients</w:t>
            </w:r>
          </w:p>
          <w:p w14:paraId="67B2AD4B" w14:textId="77777777" w:rsidR="002832D3" w:rsidRPr="00212BF8" w:rsidRDefault="002832D3" w:rsidP="002832D3">
            <w:pPr>
              <w:widowControl w:val="0"/>
              <w:rPr>
                <w:b/>
                <w:noProof/>
              </w:rPr>
            </w:pPr>
          </w:p>
        </w:tc>
        <w:tc>
          <w:tcPr>
            <w:tcW w:w="2788" w:type="dxa"/>
          </w:tcPr>
          <w:p w14:paraId="4CAF0CEF" w14:textId="77777777" w:rsidR="002832D3" w:rsidRDefault="002832D3" w:rsidP="002832D3">
            <w:pPr>
              <w:pStyle w:val="Default"/>
              <w:keepNext/>
              <w:keepLines/>
              <w:widowControl w:val="0"/>
              <w:rPr>
                <w:rFonts w:asciiTheme="minorHAnsi" w:hAnsiTheme="minorHAnsi" w:cstheme="minorBidi"/>
                <w:noProof/>
                <w:color w:val="auto"/>
                <w:sz w:val="20"/>
                <w:szCs w:val="22"/>
              </w:rPr>
            </w:pPr>
            <w:r w:rsidRPr="00DD3C95">
              <w:rPr>
                <w:rFonts w:asciiTheme="minorHAnsi" w:hAnsiTheme="minorHAnsi" w:cstheme="minorBidi"/>
                <w:noProof/>
                <w:color w:val="auto"/>
                <w:sz w:val="20"/>
                <w:szCs w:val="22"/>
              </w:rPr>
              <w:t xml:space="preserve">KTE-C19-101 </w:t>
            </w:r>
          </w:p>
          <w:p w14:paraId="728FFBDF" w14:textId="77777777" w:rsidR="002832D3" w:rsidRDefault="002832D3" w:rsidP="002832D3">
            <w:pPr>
              <w:pStyle w:val="Default"/>
              <w:keepNext/>
              <w:keepLines/>
              <w:widowControl w:val="0"/>
              <w:rPr>
                <w:rFonts w:asciiTheme="minorHAnsi" w:hAnsiTheme="minorHAnsi" w:cstheme="minorBidi"/>
                <w:noProof/>
                <w:color w:val="auto"/>
                <w:sz w:val="20"/>
                <w:szCs w:val="22"/>
              </w:rPr>
            </w:pPr>
            <w:r w:rsidRPr="00357EA8">
              <w:rPr>
                <w:rFonts w:asciiTheme="minorHAnsi" w:hAnsiTheme="minorHAnsi" w:cstheme="minorBidi"/>
                <w:noProof/>
                <w:color w:val="auto"/>
                <w:sz w:val="20"/>
                <w:szCs w:val="22"/>
              </w:rPr>
              <w:t xml:space="preserve">Safety and Efficacy of KTE-C19 in Adults With Refractory Aggressive </w:t>
            </w:r>
            <w:r w:rsidR="00B127CA">
              <w:rPr>
                <w:rFonts w:asciiTheme="minorHAnsi" w:hAnsiTheme="minorHAnsi" w:cstheme="minorBidi"/>
                <w:noProof/>
                <w:color w:val="auto"/>
                <w:sz w:val="20"/>
                <w:szCs w:val="22"/>
              </w:rPr>
              <w:t>non-Hodgkin</w:t>
            </w:r>
            <w:r w:rsidRPr="00357EA8">
              <w:rPr>
                <w:rFonts w:asciiTheme="minorHAnsi" w:hAnsiTheme="minorHAnsi" w:cstheme="minorBidi"/>
                <w:noProof/>
                <w:color w:val="auto"/>
                <w:sz w:val="20"/>
                <w:szCs w:val="22"/>
              </w:rPr>
              <w:t xml:space="preserve"> Lymphoma (ZUMA-1)</w:t>
            </w:r>
            <w:r w:rsidRPr="00DD3C95">
              <w:rPr>
                <w:rFonts w:asciiTheme="minorHAnsi" w:hAnsiTheme="minorHAnsi" w:cstheme="minorBidi"/>
                <w:noProof/>
                <w:color w:val="auto"/>
                <w:sz w:val="20"/>
                <w:szCs w:val="22"/>
              </w:rPr>
              <w:t xml:space="preserve"> </w:t>
            </w:r>
          </w:p>
          <w:p w14:paraId="610FBA3E" w14:textId="71A17917" w:rsidR="002832D3" w:rsidRDefault="002832D3" w:rsidP="00194C97">
            <w:pPr>
              <w:pStyle w:val="Default"/>
              <w:keepNext/>
              <w:keepLines/>
              <w:widowControl w:val="0"/>
              <w:spacing w:after="240"/>
              <w:rPr>
                <w:rFonts w:asciiTheme="minorHAnsi" w:hAnsiTheme="minorHAnsi" w:cstheme="minorBidi"/>
                <w:noProof/>
                <w:color w:val="auto"/>
                <w:sz w:val="20"/>
                <w:szCs w:val="22"/>
              </w:rPr>
            </w:pPr>
            <w:r w:rsidRPr="00357EA8">
              <w:rPr>
                <w:rFonts w:asciiTheme="minorHAnsi" w:hAnsiTheme="minorHAnsi" w:cstheme="minorBidi"/>
                <w:noProof/>
                <w:color w:val="auto"/>
                <w:sz w:val="20"/>
                <w:szCs w:val="22"/>
              </w:rPr>
              <w:t>ClinicalTrials.gov Identifier:</w:t>
            </w:r>
            <w:r>
              <w:rPr>
                <w:rFonts w:asciiTheme="minorHAnsi" w:hAnsiTheme="minorHAnsi" w:cstheme="minorBidi"/>
                <w:noProof/>
                <w:color w:val="auto"/>
                <w:sz w:val="20"/>
                <w:szCs w:val="22"/>
              </w:rPr>
              <w:t xml:space="preserve"> </w:t>
            </w:r>
            <w:r w:rsidRPr="00357EA8">
              <w:rPr>
                <w:rFonts w:asciiTheme="minorHAnsi" w:hAnsiTheme="minorHAnsi" w:cstheme="minorBidi"/>
                <w:noProof/>
                <w:color w:val="auto"/>
                <w:sz w:val="20"/>
                <w:szCs w:val="22"/>
              </w:rPr>
              <w:t>NCT02348216</w:t>
            </w:r>
          </w:p>
          <w:p w14:paraId="3368CF77" w14:textId="77777777" w:rsidR="002832D3" w:rsidRPr="00DD3C95" w:rsidRDefault="002832D3" w:rsidP="00D4288A">
            <w:pPr>
              <w:pStyle w:val="Default"/>
              <w:keepNext/>
              <w:keepLines/>
              <w:widowControl w:val="0"/>
              <w:rPr>
                <w:rFonts w:asciiTheme="minorHAnsi" w:hAnsiTheme="minorHAnsi" w:cstheme="minorBidi"/>
                <w:noProof/>
                <w:color w:val="auto"/>
                <w:sz w:val="20"/>
                <w:szCs w:val="22"/>
              </w:rPr>
            </w:pPr>
            <w:r w:rsidRPr="00057014">
              <w:rPr>
                <w:rFonts w:asciiTheme="minorHAnsi" w:hAnsiTheme="minorHAnsi" w:cstheme="minorBidi"/>
                <w:noProof/>
                <w:color w:val="auto"/>
                <w:sz w:val="20"/>
                <w:szCs w:val="22"/>
              </w:rPr>
              <w:t>Locke FL, Neelapu SS, Bartlett NL,</w:t>
            </w:r>
            <w:r>
              <w:rPr>
                <w:rFonts w:asciiTheme="minorHAnsi" w:hAnsiTheme="minorHAnsi" w:cstheme="minorBidi"/>
                <w:noProof/>
                <w:color w:val="auto"/>
                <w:sz w:val="20"/>
                <w:szCs w:val="22"/>
              </w:rPr>
              <w:t xml:space="preserve"> Siddiqi T, Chavez JC, Hosing CM</w:t>
            </w:r>
            <w:r w:rsidRPr="00057014">
              <w:rPr>
                <w:rFonts w:asciiTheme="minorHAnsi" w:hAnsiTheme="minorHAnsi" w:cstheme="minorBidi"/>
                <w:noProof/>
                <w:color w:val="auto"/>
                <w:sz w:val="20"/>
                <w:szCs w:val="22"/>
              </w:rPr>
              <w:t xml:space="preserve"> et al. Phase 1 results of ZUMA-1: a multicenter study of KTEC19 anti-CD19 CAR T</w:t>
            </w:r>
            <w:r w:rsidR="00024D52">
              <w:rPr>
                <w:rFonts w:asciiTheme="minorHAnsi" w:hAnsiTheme="minorHAnsi" w:cstheme="minorBidi"/>
                <w:noProof/>
                <w:color w:val="auto"/>
                <w:sz w:val="20"/>
                <w:szCs w:val="22"/>
              </w:rPr>
              <w:t>-</w:t>
            </w:r>
            <w:r w:rsidRPr="00057014">
              <w:rPr>
                <w:rFonts w:asciiTheme="minorHAnsi" w:hAnsiTheme="minorHAnsi" w:cstheme="minorBidi"/>
                <w:noProof/>
                <w:color w:val="auto"/>
                <w:sz w:val="20"/>
                <w:szCs w:val="22"/>
              </w:rPr>
              <w:t xml:space="preserve">cell therapy in refractory aggressive lymphoma. Mol Ther. 2017; 25:285–95. </w:t>
            </w:r>
          </w:p>
        </w:tc>
        <w:tc>
          <w:tcPr>
            <w:tcW w:w="2395" w:type="dxa"/>
          </w:tcPr>
          <w:p w14:paraId="56EBD422" w14:textId="77777777" w:rsidR="002832D3" w:rsidRPr="002E5298" w:rsidRDefault="002832D3" w:rsidP="002832D3">
            <w:pPr>
              <w:widowControl w:val="0"/>
              <w:rPr>
                <w:szCs w:val="20"/>
              </w:rPr>
            </w:pPr>
            <w:r>
              <w:t>Evaluation of safety of axi-cel regimens in refractory DLBCL patients. Primary endpoint: Incidence of dose limiting toxicity; secondary endpoints included ORR, DOR, PFS</w:t>
            </w:r>
            <w:r w:rsidRPr="00696ADF">
              <w:t>, OS, incidence of AEs</w:t>
            </w:r>
            <w:r>
              <w:t>,</w:t>
            </w:r>
            <w:r w:rsidRPr="00696ADF">
              <w:t xml:space="preserve"> clinically significant changes in laboratory values, incidences of anti-KTE-C19 antibodies, and levels of anti-CD19 CAR+ T</w:t>
            </w:r>
            <w:r w:rsidR="00024D52">
              <w:t>-</w:t>
            </w:r>
            <w:r w:rsidRPr="00696ADF">
              <w:t>cells and cytokines in blood and serum</w:t>
            </w:r>
          </w:p>
        </w:tc>
        <w:tc>
          <w:tcPr>
            <w:tcW w:w="5131" w:type="dxa"/>
          </w:tcPr>
          <w:p w14:paraId="3035F644" w14:textId="77777777" w:rsidR="002832D3" w:rsidRPr="00A8688E" w:rsidRDefault="002832D3" w:rsidP="002832D3">
            <w:pPr>
              <w:keepNext/>
              <w:keepLines/>
              <w:widowControl w:val="0"/>
              <w:rPr>
                <w:rStyle w:val="Hyperlink"/>
              </w:rPr>
            </w:pPr>
          </w:p>
          <w:p w14:paraId="21356758" w14:textId="77777777" w:rsidR="002832D3" w:rsidRPr="00A8688E" w:rsidRDefault="003136F9" w:rsidP="00D4288A">
            <w:pPr>
              <w:widowControl w:val="0"/>
              <w:spacing w:before="1440"/>
            </w:pPr>
            <w:hyperlink r:id="rId25" w:tooltip="Link to Molecular Therapy article - Phase 1 Results of ZUMA-1" w:history="1">
              <w:r w:rsidR="002832D3" w:rsidRPr="00A8688E">
                <w:rPr>
                  <w:rStyle w:val="Hyperlink"/>
                  <w:szCs w:val="20"/>
                </w:rPr>
                <w:t>https://www.ncbi.nlm.nih.gov/pmc/articles/PMC5363293/</w:t>
              </w:r>
            </w:hyperlink>
          </w:p>
        </w:tc>
        <w:tc>
          <w:tcPr>
            <w:tcW w:w="1451" w:type="dxa"/>
          </w:tcPr>
          <w:p w14:paraId="18CA703D" w14:textId="77777777" w:rsidR="00A8688E" w:rsidRDefault="00A8688E" w:rsidP="002832D3">
            <w:pPr>
              <w:widowControl w:val="0"/>
              <w:rPr>
                <w:szCs w:val="20"/>
              </w:rPr>
            </w:pPr>
          </w:p>
          <w:p w14:paraId="2940A2C3" w14:textId="77777777" w:rsidR="002832D3" w:rsidRDefault="002832D3" w:rsidP="00D4288A">
            <w:pPr>
              <w:widowControl w:val="0"/>
              <w:spacing w:before="1440"/>
              <w:rPr>
                <w:noProof/>
              </w:rPr>
            </w:pPr>
            <w:r w:rsidRPr="004A4560">
              <w:rPr>
                <w:szCs w:val="20"/>
              </w:rPr>
              <w:t>2017</w:t>
            </w:r>
          </w:p>
        </w:tc>
      </w:tr>
    </w:tbl>
    <w:p w14:paraId="2ED11F47" w14:textId="77777777" w:rsidR="007544FA" w:rsidRPr="007544FA" w:rsidRDefault="002832D3" w:rsidP="002832D3">
      <w:pPr>
        <w:spacing w:after="0"/>
        <w:ind w:left="426"/>
        <w:rPr>
          <w:sz w:val="18"/>
          <w:szCs w:val="18"/>
        </w:rPr>
      </w:pPr>
      <w:r>
        <w:rPr>
          <w:sz w:val="18"/>
          <w:szCs w:val="18"/>
        </w:rPr>
        <w:t>A</w:t>
      </w:r>
      <w:r w:rsidR="007544FA" w:rsidRPr="007544FA">
        <w:rPr>
          <w:sz w:val="18"/>
          <w:szCs w:val="18"/>
        </w:rPr>
        <w:t>bbreviations: axi-cel, axicabtagene ciloleucel; ORR, objective response rate; DOR, duration of response; PFS, progression-free survival; OS, overall survival; AE. Adverse event; DLBCL, diffuse large B-cell lymphoma; PMBCL, primary mediastinal B-cell lymphoma; TFL, transformed follicular lymphoma;</w:t>
      </w:r>
    </w:p>
    <w:bookmarkEnd w:id="6"/>
    <w:p w14:paraId="27A9A330" w14:textId="77777777" w:rsidR="00502097" w:rsidRDefault="00502097" w:rsidP="00502097">
      <w:pPr>
        <w:spacing w:after="0"/>
        <w:ind w:left="426"/>
        <w:rPr>
          <w:i/>
          <w:szCs w:val="20"/>
        </w:rPr>
      </w:pPr>
      <w:r>
        <w:rPr>
          <w:i/>
          <w:szCs w:val="20"/>
        </w:rPr>
        <w:t xml:space="preserve">* Categorise study design, for example meta-analysis, randomised trials, non-randomised trial or observational study, study of diagnostic accuracy, etc. </w:t>
      </w:r>
    </w:p>
    <w:p w14:paraId="31E62B5A" w14:textId="77777777" w:rsidR="00502097" w:rsidRDefault="00502097" w:rsidP="00502097">
      <w:pPr>
        <w:spacing w:after="0"/>
        <w:ind w:left="426"/>
        <w:rPr>
          <w:i/>
          <w:szCs w:val="20"/>
        </w:rPr>
      </w:pPr>
      <w:r>
        <w:rPr>
          <w:i/>
          <w:szCs w:val="20"/>
        </w:rPr>
        <w:t>**Provide high level information including population numbers and whether patients are being recruited or in post-recruitment, including providing the trial registration number to allow for tracking purposes.</w:t>
      </w:r>
    </w:p>
    <w:p w14:paraId="6619D709" w14:textId="77777777" w:rsidR="00DD308E" w:rsidRDefault="00502097" w:rsidP="00D4288A">
      <w:pPr>
        <w:spacing w:after="0"/>
        <w:ind w:left="426"/>
        <w:rPr>
          <w:i/>
          <w:szCs w:val="20"/>
        </w:rPr>
      </w:pPr>
      <w:r w:rsidRPr="00E82F54">
        <w:rPr>
          <w:i/>
          <w:szCs w:val="20"/>
        </w:rPr>
        <w:t>*</w:t>
      </w:r>
      <w:r>
        <w:rPr>
          <w:szCs w:val="20"/>
        </w:rPr>
        <w:t>**</w:t>
      </w:r>
      <w:r>
        <w:rPr>
          <w:i/>
          <w:szCs w:val="20"/>
        </w:rPr>
        <w:t xml:space="preserve"> If the publication is a follow-up to an initial publication, please advise.</w:t>
      </w:r>
      <w:r w:rsidR="00DD308E">
        <w:rPr>
          <w:i/>
          <w:szCs w:val="20"/>
        </w:rPr>
        <w:br w:type="page"/>
      </w:r>
    </w:p>
    <w:p w14:paraId="085B6F15" w14:textId="77777777" w:rsidR="00DD308E" w:rsidRDefault="00DD308E">
      <w:pPr>
        <w:rPr>
          <w:b/>
          <w:sz w:val="32"/>
          <w:szCs w:val="32"/>
        </w:rPr>
        <w:sectPr w:rsidR="00DD308E" w:rsidSect="00DD308E">
          <w:pgSz w:w="16838" w:h="11906" w:orient="landscape"/>
          <w:pgMar w:top="1440" w:right="1440" w:bottom="1440" w:left="1440" w:header="708" w:footer="708" w:gutter="0"/>
          <w:cols w:space="708"/>
          <w:docGrid w:linePitch="360"/>
        </w:sectPr>
      </w:pPr>
    </w:p>
    <w:p w14:paraId="36C120F1" w14:textId="77777777" w:rsidR="001D3AF0" w:rsidRDefault="004C49EF" w:rsidP="001D3AF0">
      <w:pPr>
        <w:pStyle w:val="Heading2"/>
        <w:rPr>
          <w:i/>
        </w:rPr>
      </w:pPr>
      <w:r w:rsidRPr="00E82F54">
        <w:lastRenderedPageBreak/>
        <w:t>Identify yet to be published research that may have results available in the near future that could be relevant in the consideration of your application by MSAC</w:t>
      </w:r>
      <w:r>
        <w:t xml:space="preserve"> (limiting these to the English language only).</w:t>
      </w:r>
      <w:r w:rsidRPr="001130B0">
        <w:rPr>
          <w:i/>
        </w:rPr>
        <w:t xml:space="preserve"> </w:t>
      </w:r>
      <w:r>
        <w:rPr>
          <w:i/>
        </w:rPr>
        <w:t>Please do not attach</w:t>
      </w:r>
      <w:r w:rsidRPr="001130B0">
        <w:rPr>
          <w:i/>
        </w:rPr>
        <w:t xml:space="preserve"> full text articles, this is just intended to be a summary</w:t>
      </w:r>
    </w:p>
    <w:p w14:paraId="2A198CC0" w14:textId="77777777" w:rsidR="002832D3" w:rsidRDefault="004D2CA8" w:rsidP="00D4288A">
      <w:pPr>
        <w:ind w:left="360"/>
        <w:rPr>
          <w:szCs w:val="20"/>
        </w:rPr>
      </w:pPr>
      <w:r w:rsidRPr="004D2CA8">
        <w:rPr>
          <w:szCs w:val="20"/>
        </w:rPr>
        <w:t xml:space="preserve">A </w:t>
      </w:r>
      <w:r>
        <w:rPr>
          <w:szCs w:val="20"/>
        </w:rPr>
        <w:t xml:space="preserve">preliminary literature </w:t>
      </w:r>
      <w:r w:rsidRPr="004D2CA8">
        <w:rPr>
          <w:szCs w:val="20"/>
        </w:rPr>
        <w:t>search</w:t>
      </w:r>
      <w:r w:rsidR="00811928">
        <w:rPr>
          <w:szCs w:val="20"/>
        </w:rPr>
        <w:t>, including a search of clinical trial</w:t>
      </w:r>
      <w:r w:rsidR="00C76929">
        <w:rPr>
          <w:szCs w:val="20"/>
        </w:rPr>
        <w:t xml:space="preserve"> </w:t>
      </w:r>
      <w:r w:rsidR="00811928">
        <w:rPr>
          <w:szCs w:val="20"/>
        </w:rPr>
        <w:t>databases, did not</w:t>
      </w:r>
      <w:r w:rsidRPr="004D2CA8">
        <w:rPr>
          <w:szCs w:val="20"/>
        </w:rPr>
        <w:t xml:space="preserve"> </w:t>
      </w:r>
      <w:r w:rsidR="00811928">
        <w:rPr>
          <w:szCs w:val="20"/>
        </w:rPr>
        <w:t>identify additional relevant research for inclusion in this application.</w:t>
      </w:r>
      <w:r w:rsidR="002832D3">
        <w:rPr>
          <w:szCs w:val="20"/>
        </w:rPr>
        <w:br w:type="page"/>
      </w:r>
    </w:p>
    <w:p w14:paraId="31397B5E" w14:textId="77777777" w:rsidR="00E82F54" w:rsidRPr="00C776B1" w:rsidRDefault="005C3AE7" w:rsidP="00CA26DD">
      <w:pPr>
        <w:pStyle w:val="Heading1"/>
      </w:pPr>
      <w:r>
        <w:lastRenderedPageBreak/>
        <w:t>PART 5</w:t>
      </w:r>
      <w:r w:rsidR="00F93784">
        <w:t xml:space="preserve"> – </w:t>
      </w:r>
      <w:r w:rsidR="00E82F54" w:rsidRPr="00C776B1">
        <w:t>CLINICAL ENDORSEMENT AND CONSUMER INFORMATION</w:t>
      </w:r>
    </w:p>
    <w:p w14:paraId="053E81EB" w14:textId="77777777" w:rsidR="00E82F54" w:rsidRDefault="00E82F54" w:rsidP="005C3AE7">
      <w:pPr>
        <w:pStyle w:val="Heading2"/>
      </w:pPr>
      <w:r w:rsidRPr="00CA26DD">
        <w:t xml:space="preserve">List </w:t>
      </w:r>
      <w:r w:rsidR="00EA173C" w:rsidRPr="00CA26DD">
        <w:t>all appropriate professional bodies / organisations</w:t>
      </w:r>
      <w:r w:rsidRPr="00CA26DD">
        <w:t xml:space="preserve"> representing the group(s) of health profess</w:t>
      </w:r>
      <w:r w:rsidR="00EA173C" w:rsidRPr="00CA26DD">
        <w:t xml:space="preserve">ionals who provide the service </w:t>
      </w:r>
      <w:r w:rsidR="00F93784" w:rsidRPr="00CA26DD">
        <w:t xml:space="preserve">(please </w:t>
      </w:r>
      <w:r w:rsidR="00EA173C" w:rsidRPr="00CA26DD">
        <w:t>attach</w:t>
      </w:r>
      <w:r w:rsidR="00F93784" w:rsidRPr="00CA26DD">
        <w:t xml:space="preserve"> a </w:t>
      </w:r>
      <w:r w:rsidR="00254813">
        <w:t>statement of clinical relevance from</w:t>
      </w:r>
      <w:r w:rsidR="00EA173C" w:rsidRPr="00CA26DD">
        <w:t xml:space="preserve"> each </w:t>
      </w:r>
      <w:r w:rsidR="00F93784" w:rsidRPr="00CA26DD">
        <w:t>group</w:t>
      </w:r>
      <w:r w:rsidR="00EA173C" w:rsidRPr="00CA26DD">
        <w:t xml:space="preserve"> nominated</w:t>
      </w:r>
      <w:r w:rsidR="00F93784" w:rsidRPr="00CA26DD">
        <w:t>)</w:t>
      </w:r>
      <w:r w:rsidR="00A727B6">
        <w:t>:</w:t>
      </w:r>
    </w:p>
    <w:p w14:paraId="4A0AD3C3" w14:textId="77777777" w:rsidR="00C76929" w:rsidRPr="00A12500" w:rsidRDefault="00505FEC" w:rsidP="00A12500">
      <w:pPr>
        <w:pStyle w:val="ListParagraph"/>
        <w:numPr>
          <w:ilvl w:val="0"/>
          <w:numId w:val="40"/>
        </w:numPr>
        <w:rPr>
          <w:rStyle w:val="Hyperlink"/>
          <w:color w:val="auto"/>
          <w:szCs w:val="16"/>
          <w:u w:val="none"/>
        </w:rPr>
      </w:pPr>
      <w:r w:rsidRPr="00505FEC">
        <w:rPr>
          <w:iCs/>
          <w:szCs w:val="16"/>
        </w:rPr>
        <w:t>Haematology Society of Australia and New Zealand</w:t>
      </w:r>
      <w:r w:rsidR="007C2DD0">
        <w:rPr>
          <w:iCs/>
          <w:szCs w:val="16"/>
        </w:rPr>
        <w:t xml:space="preserve"> (HSANZ)</w:t>
      </w:r>
      <w:r w:rsidR="004B72CA" w:rsidRPr="00EB341B">
        <w:rPr>
          <w:szCs w:val="16"/>
        </w:rPr>
        <w:fldChar w:fldCharType="begin"/>
      </w:r>
      <w:r w:rsidR="00C76929" w:rsidRPr="00A12500">
        <w:rPr>
          <w:szCs w:val="16"/>
        </w:rPr>
        <w:instrText xml:space="preserve"> HYPERLINK "https://www.allg.org.au/" </w:instrText>
      </w:r>
      <w:r w:rsidR="004B72CA" w:rsidRPr="00EB341B">
        <w:rPr>
          <w:szCs w:val="16"/>
        </w:rPr>
        <w:fldChar w:fldCharType="separate"/>
      </w:r>
    </w:p>
    <w:p w14:paraId="1C6AACF2" w14:textId="77777777" w:rsidR="00C76929" w:rsidRPr="00FB43A9" w:rsidRDefault="00C76929" w:rsidP="00C76929">
      <w:pPr>
        <w:pStyle w:val="ListParagraph"/>
        <w:numPr>
          <w:ilvl w:val="0"/>
          <w:numId w:val="40"/>
        </w:numPr>
        <w:rPr>
          <w:rStyle w:val="Hyperlink"/>
          <w:color w:val="auto"/>
          <w:szCs w:val="16"/>
          <w:u w:val="none"/>
        </w:rPr>
      </w:pPr>
      <w:r w:rsidRPr="00FB43A9">
        <w:rPr>
          <w:rStyle w:val="Hyperlink"/>
          <w:color w:val="auto"/>
          <w:szCs w:val="16"/>
          <w:u w:val="none"/>
        </w:rPr>
        <w:t>The Australasian Leukaemia and Lymphoma Group (ALLG)</w:t>
      </w:r>
    </w:p>
    <w:p w14:paraId="43796FDE" w14:textId="77777777" w:rsidR="00C76929" w:rsidRDefault="004B72CA" w:rsidP="00441447">
      <w:pPr>
        <w:ind w:left="360"/>
      </w:pPr>
      <w:r w:rsidRPr="00EB341B">
        <w:fldChar w:fldCharType="end"/>
      </w:r>
      <w:r w:rsidR="00C8473C">
        <w:t>S</w:t>
      </w:r>
      <w:r w:rsidR="00C76929">
        <w:t>tatement</w:t>
      </w:r>
      <w:r w:rsidR="00C8473C">
        <w:t>s</w:t>
      </w:r>
      <w:r w:rsidR="00C76929">
        <w:t xml:space="preserve"> of clinical relevance from HSANZ </w:t>
      </w:r>
      <w:r w:rsidR="00C8473C">
        <w:t>and</w:t>
      </w:r>
      <w:r w:rsidR="00441447">
        <w:t xml:space="preserve"> ALLG </w:t>
      </w:r>
      <w:r w:rsidR="00C8473C">
        <w:t xml:space="preserve">are </w:t>
      </w:r>
      <w:r w:rsidR="00C8473C">
        <w:rPr>
          <w:rFonts w:cs="Calibri"/>
          <w:szCs w:val="20"/>
          <w:lang w:eastAsia="en-AU"/>
        </w:rPr>
        <w:t xml:space="preserve">provided as attachments to this application. </w:t>
      </w:r>
      <w:r w:rsidR="00441447">
        <w:t xml:space="preserve"> </w:t>
      </w:r>
    </w:p>
    <w:p w14:paraId="24C57B15" w14:textId="77777777" w:rsidR="00EA173C" w:rsidRPr="00154B00" w:rsidRDefault="00EA173C" w:rsidP="00530204">
      <w:pPr>
        <w:pStyle w:val="Heading2"/>
      </w:pPr>
      <w:r w:rsidRPr="00154B00">
        <w:t xml:space="preserve">List </w:t>
      </w:r>
      <w:r>
        <w:t xml:space="preserve">any </w:t>
      </w:r>
      <w:r w:rsidRPr="00A727B6">
        <w:t>professional</w:t>
      </w:r>
      <w:r>
        <w:t xml:space="preserve"> bodies / organisations that may be impacted by this medical service</w:t>
      </w:r>
      <w:r w:rsidR="00F93784">
        <w:t xml:space="preserve"> (i.e. those who provide the comparator service)</w:t>
      </w:r>
      <w:r w:rsidR="00197D29">
        <w:t>:</w:t>
      </w:r>
    </w:p>
    <w:p w14:paraId="470F8987" w14:textId="20926720" w:rsidR="00813755" w:rsidRPr="00813755" w:rsidRDefault="00F00C59" w:rsidP="00BE3218">
      <w:pPr>
        <w:ind w:left="360"/>
      </w:pPr>
      <w:r>
        <w:t>Redacted</w:t>
      </w:r>
      <w:r w:rsidR="00194C97">
        <w:rPr>
          <w:rFonts w:cs="Calibri"/>
          <w:szCs w:val="20"/>
          <w:lang w:eastAsia="en-AU"/>
        </w:rPr>
        <w:t>.</w:t>
      </w:r>
    </w:p>
    <w:p w14:paraId="3A1BE306" w14:textId="77777777" w:rsidR="00E82F54" w:rsidRPr="00154B00" w:rsidRDefault="00E82F54" w:rsidP="00530204">
      <w:pPr>
        <w:pStyle w:val="Heading2"/>
      </w:pPr>
      <w:r w:rsidRPr="00154B00">
        <w:t>List the relevant consumer organisations relevant to the proposed medical service</w:t>
      </w:r>
      <w:r w:rsidR="00C12C5C">
        <w:t xml:space="preserve"> (please attach a letter of </w:t>
      </w:r>
      <w:r w:rsidR="00C12C5C" w:rsidRPr="00EE6450">
        <w:t>support</w:t>
      </w:r>
      <w:r w:rsidR="00C12C5C">
        <w:t xml:space="preserve"> for each consumer organisation nominated)</w:t>
      </w:r>
      <w:r w:rsidR="00197D29">
        <w:t>:</w:t>
      </w:r>
    </w:p>
    <w:p w14:paraId="5AE134FF" w14:textId="77777777" w:rsidR="0061273A" w:rsidRDefault="0061273A" w:rsidP="0061273A">
      <w:pPr>
        <w:pStyle w:val="ListParagraph"/>
        <w:numPr>
          <w:ilvl w:val="0"/>
          <w:numId w:val="40"/>
        </w:numPr>
      </w:pPr>
      <w:r>
        <w:t>Rare Cancers Australia</w:t>
      </w:r>
    </w:p>
    <w:p w14:paraId="0CBAEFFC" w14:textId="77777777" w:rsidR="0061273A" w:rsidRPr="00F82174" w:rsidRDefault="0061273A" w:rsidP="0061273A">
      <w:pPr>
        <w:pStyle w:val="ListParagraph"/>
        <w:numPr>
          <w:ilvl w:val="0"/>
          <w:numId w:val="40"/>
        </w:numPr>
        <w:rPr>
          <w:szCs w:val="20"/>
        </w:rPr>
      </w:pPr>
      <w:r>
        <w:t>Lymphoma Australia</w:t>
      </w:r>
    </w:p>
    <w:p w14:paraId="7A9545C0" w14:textId="77777777" w:rsidR="0061273A" w:rsidRDefault="00C8473C" w:rsidP="00BE3218">
      <w:pPr>
        <w:ind w:left="360"/>
      </w:pPr>
      <w:r>
        <w:t>A l</w:t>
      </w:r>
      <w:r w:rsidR="0061273A">
        <w:t xml:space="preserve">etter of support </w:t>
      </w:r>
      <w:r w:rsidR="008F77A7">
        <w:t>from</w:t>
      </w:r>
      <w:r w:rsidR="0061273A">
        <w:t xml:space="preserve"> Lymphoma Australia </w:t>
      </w:r>
      <w:r w:rsidR="0032552D">
        <w:t>is</w:t>
      </w:r>
      <w:r w:rsidR="0061273A">
        <w:t xml:space="preserve"> provided as </w:t>
      </w:r>
      <w:r w:rsidR="00D226B0">
        <w:t xml:space="preserve">an </w:t>
      </w:r>
      <w:r w:rsidR="0061273A" w:rsidRPr="006A291B">
        <w:t>attachment</w:t>
      </w:r>
      <w:r w:rsidR="0061273A">
        <w:t xml:space="preserve"> to this application.</w:t>
      </w:r>
    </w:p>
    <w:p w14:paraId="4BA1C139" w14:textId="77777777" w:rsidR="0032552D" w:rsidRPr="00A727B6" w:rsidRDefault="003811DE" w:rsidP="00BE3218">
      <w:pPr>
        <w:ind w:left="360"/>
      </w:pPr>
      <w:r>
        <w:t>A l</w:t>
      </w:r>
      <w:r w:rsidR="0032552D">
        <w:t xml:space="preserve">etter of support from </w:t>
      </w:r>
      <w:r w:rsidR="0032552D" w:rsidRPr="00CB467D">
        <w:t>Rare Cancers Australia</w:t>
      </w:r>
      <w:r w:rsidR="0032552D">
        <w:t xml:space="preserve"> is to follow. </w:t>
      </w:r>
    </w:p>
    <w:p w14:paraId="177E85E5" w14:textId="77777777" w:rsidR="003433D1" w:rsidRDefault="003433D1" w:rsidP="00530204">
      <w:pPr>
        <w:pStyle w:val="Heading2"/>
      </w:pPr>
      <w:r>
        <w:t xml:space="preserve">List the relevant </w:t>
      </w:r>
      <w:r w:rsidRPr="00EE6450">
        <w:t>sponsor</w:t>
      </w:r>
      <w:r>
        <w:t xml:space="preserve">(s) and / or manufacturer(s) who produce similar products relevant </w:t>
      </w:r>
      <w:r w:rsidR="00197D29">
        <w:t>to the proposed medical service:</w:t>
      </w:r>
    </w:p>
    <w:p w14:paraId="6BE36207" w14:textId="77777777" w:rsidR="00EE6450" w:rsidRDefault="0061273A" w:rsidP="00BE3218">
      <w:pPr>
        <w:ind w:firstLine="360"/>
        <w:rPr>
          <w:szCs w:val="20"/>
        </w:rPr>
      </w:pPr>
      <w:r>
        <w:t>N</w:t>
      </w:r>
      <w:r w:rsidR="0045083F">
        <w:t>ovartis</w:t>
      </w:r>
      <w:r>
        <w:t>.</w:t>
      </w:r>
    </w:p>
    <w:p w14:paraId="0D349D75" w14:textId="77777777" w:rsidR="00E82F54" w:rsidRDefault="00E82F54" w:rsidP="00530204">
      <w:pPr>
        <w:pStyle w:val="Heading2"/>
      </w:pPr>
      <w:r w:rsidRPr="00154B00">
        <w:t>Nominate two experts who could be approached about the proposed medical service and the current clinical management of the service(s):</w:t>
      </w:r>
    </w:p>
    <w:p w14:paraId="36894F2C" w14:textId="77777777" w:rsidR="00B63F29" w:rsidRPr="00441447" w:rsidRDefault="00987ABE" w:rsidP="00BE3218">
      <w:pPr>
        <w:ind w:firstLine="360"/>
        <w:rPr>
          <w:szCs w:val="20"/>
        </w:rPr>
      </w:pPr>
      <w:r w:rsidRPr="00441447">
        <w:rPr>
          <w:szCs w:val="20"/>
        </w:rPr>
        <w:t xml:space="preserve">Name of expert </w:t>
      </w:r>
      <w:r w:rsidR="003C06D6">
        <w:rPr>
          <w:szCs w:val="20"/>
        </w:rPr>
        <w:t>1</w:t>
      </w:r>
      <w:r w:rsidRPr="00441447">
        <w:rPr>
          <w:szCs w:val="20"/>
        </w:rPr>
        <w:t xml:space="preserve">: </w:t>
      </w:r>
      <w:r w:rsidR="00F00C59">
        <w:t>Redacted</w:t>
      </w:r>
    </w:p>
    <w:p w14:paraId="4CAF1144" w14:textId="77777777" w:rsidR="00987ABE" w:rsidRPr="00441447" w:rsidRDefault="00987ABE" w:rsidP="00BE3218">
      <w:pPr>
        <w:ind w:firstLine="360"/>
        <w:rPr>
          <w:szCs w:val="20"/>
        </w:rPr>
      </w:pPr>
      <w:r w:rsidRPr="00441447">
        <w:rPr>
          <w:szCs w:val="20"/>
        </w:rPr>
        <w:t>Telephone number(s):</w:t>
      </w:r>
      <w:r w:rsidR="00B63F29" w:rsidRPr="00441447">
        <w:rPr>
          <w:szCs w:val="20"/>
        </w:rPr>
        <w:t xml:space="preserve"> </w:t>
      </w:r>
      <w:r w:rsidR="00F00C59">
        <w:t>Redacted</w:t>
      </w:r>
    </w:p>
    <w:p w14:paraId="73364613" w14:textId="77777777" w:rsidR="003C06D6" w:rsidRDefault="00987ABE" w:rsidP="003C06D6">
      <w:pPr>
        <w:ind w:firstLine="360"/>
        <w:rPr>
          <w:noProof/>
        </w:rPr>
      </w:pPr>
      <w:r w:rsidRPr="00441447">
        <w:rPr>
          <w:szCs w:val="20"/>
        </w:rPr>
        <w:t xml:space="preserve">Email address: </w:t>
      </w:r>
      <w:r w:rsidR="00F00C59">
        <w:t>Redacted</w:t>
      </w:r>
    </w:p>
    <w:p w14:paraId="0B7906CD" w14:textId="7647A2D4" w:rsidR="006A291B" w:rsidRDefault="00987ABE" w:rsidP="00194C97">
      <w:pPr>
        <w:spacing w:after="360"/>
        <w:ind w:left="357"/>
      </w:pPr>
      <w:r>
        <w:rPr>
          <w:szCs w:val="20"/>
        </w:rPr>
        <w:t xml:space="preserve">Justification of expertise: </w:t>
      </w:r>
      <w:r w:rsidR="00F00C59">
        <w:t>Redacted</w:t>
      </w:r>
      <w:r w:rsidR="00B92D73" w:rsidRPr="00024D52">
        <w:t>.</w:t>
      </w:r>
    </w:p>
    <w:p w14:paraId="3D06B0A7" w14:textId="77777777" w:rsidR="003C06D6" w:rsidRPr="00987ABE" w:rsidRDefault="003C06D6" w:rsidP="001741C6">
      <w:pPr>
        <w:keepNext/>
        <w:keepLines/>
        <w:ind w:firstLine="360"/>
        <w:rPr>
          <w:szCs w:val="20"/>
        </w:rPr>
      </w:pPr>
      <w:r>
        <w:rPr>
          <w:szCs w:val="20"/>
        </w:rPr>
        <w:t xml:space="preserve">Name of expert 2: </w:t>
      </w:r>
      <w:r w:rsidR="00F00C59">
        <w:t>Redacted</w:t>
      </w:r>
    </w:p>
    <w:p w14:paraId="44B3C9C3" w14:textId="77777777" w:rsidR="003C06D6" w:rsidRPr="00441447" w:rsidRDefault="003C06D6" w:rsidP="001741C6">
      <w:pPr>
        <w:keepNext/>
        <w:keepLines/>
        <w:ind w:firstLine="360"/>
        <w:rPr>
          <w:szCs w:val="20"/>
        </w:rPr>
      </w:pPr>
      <w:r w:rsidRPr="00441447">
        <w:rPr>
          <w:szCs w:val="20"/>
        </w:rPr>
        <w:t xml:space="preserve">Telephone number(s): </w:t>
      </w:r>
      <w:r w:rsidR="00F00C59">
        <w:t>Redacted</w:t>
      </w:r>
    </w:p>
    <w:p w14:paraId="4050288A" w14:textId="77777777" w:rsidR="003C06D6" w:rsidRPr="00441447" w:rsidRDefault="003C06D6" w:rsidP="001741C6">
      <w:pPr>
        <w:keepNext/>
        <w:keepLines/>
        <w:ind w:firstLine="360"/>
        <w:rPr>
          <w:szCs w:val="20"/>
        </w:rPr>
      </w:pPr>
      <w:r w:rsidRPr="00441447">
        <w:rPr>
          <w:szCs w:val="20"/>
        </w:rPr>
        <w:t xml:space="preserve">Email address: </w:t>
      </w:r>
      <w:r w:rsidR="00F00C59">
        <w:t>Redacted</w:t>
      </w:r>
    </w:p>
    <w:p w14:paraId="72E7ABE3" w14:textId="4ACC183C" w:rsidR="003C06D6" w:rsidRPr="00194C97" w:rsidRDefault="003C06D6" w:rsidP="00194C97">
      <w:pPr>
        <w:keepNext/>
        <w:keepLines/>
        <w:spacing w:after="360"/>
        <w:ind w:left="357"/>
        <w:rPr>
          <w:szCs w:val="20"/>
        </w:rPr>
      </w:pPr>
      <w:r w:rsidRPr="00441447">
        <w:rPr>
          <w:szCs w:val="20"/>
        </w:rPr>
        <w:t xml:space="preserve">Justification of expertise: </w:t>
      </w:r>
      <w:r w:rsidR="00F00C59">
        <w:t>Redacted</w:t>
      </w:r>
      <w:r w:rsidRPr="00441447">
        <w:t>.</w:t>
      </w:r>
    </w:p>
    <w:p w14:paraId="4B5BEFDA" w14:textId="3526DBF9" w:rsidR="003433D1" w:rsidRPr="00194C97" w:rsidRDefault="0067118F" w:rsidP="00194C97">
      <w:pPr>
        <w:ind w:left="360"/>
        <w:rPr>
          <w:i/>
          <w:szCs w:val="20"/>
        </w:rPr>
      </w:pPr>
      <w:r>
        <w:rPr>
          <w:i/>
          <w:szCs w:val="20"/>
        </w:rPr>
        <w:t>P</w:t>
      </w:r>
      <w:r w:rsidR="00E82F54" w:rsidRPr="00154B00">
        <w:rPr>
          <w:i/>
          <w:szCs w:val="20"/>
        </w:rPr>
        <w:t>lease note that the Department may also consult with other referrers, proceduralists and disease specialists to obtain their insight.</w:t>
      </w:r>
      <w:r w:rsidR="003433D1">
        <w:rPr>
          <w:b/>
          <w:sz w:val="32"/>
          <w:szCs w:val="32"/>
        </w:rPr>
        <w:br w:type="page"/>
      </w:r>
    </w:p>
    <w:p w14:paraId="210D56EA" w14:textId="77777777" w:rsidR="00E82F54" w:rsidRPr="00EA173C" w:rsidRDefault="00F93784" w:rsidP="00A96329">
      <w:pPr>
        <w:pStyle w:val="Heading1"/>
      </w:pPr>
      <w:r>
        <w:lastRenderedPageBreak/>
        <w:t>PAR</w:t>
      </w:r>
      <w:r w:rsidR="005C3AE7">
        <w:t>T 6</w:t>
      </w:r>
      <w:r>
        <w:t xml:space="preserve"> – POPULATION</w:t>
      </w:r>
      <w:r w:rsidR="000525BC">
        <w:t xml:space="preserve"> (AND PRIOR TESTS)</w:t>
      </w:r>
      <w:r>
        <w:t>, INDICATION, COMPARATOR, OUTCOME (PICO)</w:t>
      </w:r>
    </w:p>
    <w:p w14:paraId="17CC04E2" w14:textId="77777777" w:rsidR="0021185D" w:rsidRPr="005C3AE7" w:rsidRDefault="005C3AE7" w:rsidP="005C3AE7">
      <w:pPr>
        <w:pStyle w:val="Subtitle"/>
      </w:pPr>
      <w:r w:rsidRPr="005C3AE7">
        <w:t xml:space="preserve">PART 6a – </w:t>
      </w:r>
      <w:r w:rsidR="0021185D" w:rsidRPr="005C3AE7">
        <w:t>INFORMATION ABOUT THE PROPOSED POPULATION</w:t>
      </w:r>
    </w:p>
    <w:p w14:paraId="08E41C95" w14:textId="77777777" w:rsidR="0032788B" w:rsidRDefault="0021185D" w:rsidP="00CB467D">
      <w:pPr>
        <w:pStyle w:val="Heading2"/>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w:t>
      </w:r>
      <w:r w:rsidR="004C61D5" w:rsidRPr="00A96329">
        <w:t>high-level</w:t>
      </w:r>
      <w:r w:rsidR="009C03FB" w:rsidRPr="00A96329">
        <w:t xml:space="preserve"> summary of associated </w:t>
      </w:r>
      <w:r w:rsidR="0018630F" w:rsidRPr="00A96329">
        <w:t>burden of disea</w:t>
      </w:r>
      <w:r w:rsidR="009C03FB" w:rsidRPr="00A96329">
        <w:t>se</w:t>
      </w:r>
      <w:r w:rsidR="0054594B" w:rsidRPr="00A96329">
        <w:t xml:space="preserve"> in terms of both morbidity and mortality</w:t>
      </w:r>
      <w:r w:rsidR="00197D29">
        <w:t>:</w:t>
      </w:r>
      <w:bookmarkStart w:id="7" w:name="_Hlk2678311"/>
    </w:p>
    <w:p w14:paraId="322948BC" w14:textId="77777777" w:rsidR="0032788B" w:rsidRDefault="0032788B" w:rsidP="0032788B">
      <w:pPr>
        <w:ind w:left="360"/>
        <w:rPr>
          <w:szCs w:val="20"/>
          <w:lang w:val="en-GB"/>
        </w:rPr>
      </w:pPr>
      <w:r w:rsidRPr="0032788B">
        <w:rPr>
          <w:szCs w:val="20"/>
          <w:lang w:val="en-GB"/>
        </w:rPr>
        <w:t>DLBCL</w:t>
      </w:r>
      <w:r>
        <w:rPr>
          <w:szCs w:val="20"/>
          <w:lang w:val="en-GB"/>
        </w:rPr>
        <w:t>,</w:t>
      </w:r>
      <w:r w:rsidRPr="0032788B">
        <w:rPr>
          <w:szCs w:val="20"/>
          <w:lang w:val="en-GB"/>
        </w:rPr>
        <w:t xml:space="preserve"> PMBCL</w:t>
      </w:r>
      <w:r>
        <w:rPr>
          <w:szCs w:val="20"/>
          <w:lang w:val="en-GB"/>
        </w:rPr>
        <w:t xml:space="preserve"> and</w:t>
      </w:r>
      <w:r w:rsidRPr="0032788B">
        <w:rPr>
          <w:szCs w:val="20"/>
          <w:lang w:val="en-GB"/>
        </w:rPr>
        <w:t xml:space="preserve"> TFL</w:t>
      </w:r>
      <w:r>
        <w:rPr>
          <w:szCs w:val="20"/>
          <w:lang w:val="en-GB"/>
        </w:rPr>
        <w:t xml:space="preserve"> are a</w:t>
      </w:r>
      <w:r w:rsidRPr="0032788B">
        <w:rPr>
          <w:szCs w:val="20"/>
          <w:lang w:val="en-GB"/>
        </w:rPr>
        <w:t>ggressive subtypes of B-cell</w:t>
      </w:r>
      <w:r>
        <w:rPr>
          <w:szCs w:val="20"/>
          <w:lang w:val="en-GB"/>
        </w:rPr>
        <w:t xml:space="preserve"> NHL. </w:t>
      </w:r>
    </w:p>
    <w:p w14:paraId="74D82E82" w14:textId="77777777" w:rsidR="0032788B" w:rsidRPr="0032788B" w:rsidRDefault="0032788B" w:rsidP="00CB467D">
      <w:pPr>
        <w:ind w:left="360"/>
        <w:rPr>
          <w:szCs w:val="20"/>
          <w:lang w:val="en-GB"/>
        </w:rPr>
      </w:pPr>
      <w:r w:rsidRPr="0032788B">
        <w:rPr>
          <w:szCs w:val="20"/>
          <w:lang w:val="en-GB"/>
        </w:rPr>
        <w:t>DLBCL, is the most common subtype of B-cell NHL</w:t>
      </w:r>
      <w:r>
        <w:rPr>
          <w:szCs w:val="20"/>
          <w:lang w:val="en-GB"/>
        </w:rPr>
        <w:t xml:space="preserve">. </w:t>
      </w:r>
      <w:r w:rsidRPr="0032788B">
        <w:rPr>
          <w:szCs w:val="20"/>
          <w:lang w:val="en-GB"/>
        </w:rPr>
        <w:t>A family history of lymphoma, autoimmune disease, human immunodeficiency virus (HIV) infection, hepatitis C virus (HCV) seropositivity, a high body mass as a young adult and some occupational exposures have been identified as risk factors of DLBCL (Tilly et al, 2015).</w:t>
      </w:r>
    </w:p>
    <w:p w14:paraId="247D25BE" w14:textId="77777777" w:rsidR="0032788B" w:rsidRPr="0032788B" w:rsidRDefault="0032788B" w:rsidP="0032788B">
      <w:pPr>
        <w:ind w:left="360"/>
        <w:rPr>
          <w:szCs w:val="20"/>
          <w:lang w:val="en-GB"/>
        </w:rPr>
      </w:pPr>
      <w:r w:rsidRPr="0032788B">
        <w:rPr>
          <w:szCs w:val="20"/>
          <w:lang w:val="en-GB"/>
        </w:rPr>
        <w:t>DLBCL comprises a group of lymphoid malignancies composed of large cells with vesicular nuclei, prominent nucleoli, basophilic cytoplasm, and a high proliferation rate (Martelli et al, 2013). DLBCL typically presents as a nodal or extra-nodal mass with fast tumour growth associated with systemic symptoms, such as sweats, fatigue and fever (Freedman et al, 2015). In about 40% of cases, DLBCL presents in areas outside lymph nodes, such as the digestive tract, skin, bone, thyroid, and testes (Freedman et al, 2015). The causes of NHL in general, and DLBCL specifically, are unclear; however identified potential risk factors include: immunosuppression, ultraviolet radiation, pesticides, hair dyes and diet (Ekström-Smedby, 2006). Centroblast- and immunoblast-like cells are the predominant morphology, and these cells typically express the B-cell markers CD19, CD20, CD22, as well as surface immunoglobulin (Martelli et al, 2013).</w:t>
      </w:r>
    </w:p>
    <w:p w14:paraId="701DAEE1" w14:textId="77777777" w:rsidR="0032788B" w:rsidRPr="00524A17" w:rsidRDefault="0032788B" w:rsidP="00524A17">
      <w:pPr>
        <w:ind w:left="360"/>
        <w:rPr>
          <w:i/>
        </w:rPr>
      </w:pPr>
      <w:r w:rsidRPr="0032788B">
        <w:rPr>
          <w:szCs w:val="20"/>
          <w:lang w:val="en-GB"/>
        </w:rPr>
        <w:t xml:space="preserve">PMBCL is a rare form of NHL similar to DLBCL. </w:t>
      </w:r>
      <w:r w:rsidR="00524A17" w:rsidRPr="00524A17">
        <w:t>PMBCL represents approximately 6% to 12% of all DLBCL</w:t>
      </w:r>
      <w:r w:rsidR="0054564F">
        <w:t xml:space="preserve"> </w:t>
      </w:r>
      <w:r w:rsidR="0054564F" w:rsidRPr="007544FA">
        <w:t>(Falini et al, 1995; Cazals-Hatem et al, 1996; Sehn et al, 1998; Savage, 2006; Dabrowska-Iwanicka and Walewski, 2014; Bhatt et al, 2015)</w:t>
      </w:r>
      <w:r w:rsidR="00524A17" w:rsidRPr="00524A17">
        <w:t xml:space="preserve">. Specific incidences are not available for Australia. </w:t>
      </w:r>
      <w:r w:rsidRPr="0032788B">
        <w:rPr>
          <w:szCs w:val="20"/>
          <w:lang w:val="en-GB"/>
        </w:rPr>
        <w:t>Histologically virtually identical</w:t>
      </w:r>
      <w:r w:rsidR="00524A17">
        <w:rPr>
          <w:szCs w:val="20"/>
          <w:lang w:val="en-GB"/>
        </w:rPr>
        <w:t xml:space="preserve"> to DLBCL</w:t>
      </w:r>
      <w:r w:rsidRPr="0032788B">
        <w:rPr>
          <w:szCs w:val="20"/>
          <w:lang w:val="en-GB"/>
        </w:rPr>
        <w:t>, PMBCL is thought to arise from thymic (medullary) B</w:t>
      </w:r>
      <w:r w:rsidR="004F44C2">
        <w:rPr>
          <w:szCs w:val="20"/>
          <w:lang w:val="en-GB"/>
        </w:rPr>
        <w:t>-</w:t>
      </w:r>
      <w:r w:rsidRPr="0032788B">
        <w:rPr>
          <w:szCs w:val="20"/>
          <w:lang w:val="en-GB"/>
        </w:rPr>
        <w:t>cells and has distinct clinical, pathological, and molecular characteristics from other subtypes. PMBCL is typically identified in the fourth decade of life and</w:t>
      </w:r>
      <w:r w:rsidR="00E10395">
        <w:rPr>
          <w:szCs w:val="20"/>
          <w:lang w:val="en-GB"/>
        </w:rPr>
        <w:t xml:space="preserve"> </w:t>
      </w:r>
      <w:r w:rsidRPr="0032788B">
        <w:rPr>
          <w:szCs w:val="20"/>
          <w:lang w:val="en-GB"/>
        </w:rPr>
        <w:t>has a female predominance (Savage, 2006; Sehn et al, 1998; Dabrowska-Iwanicka &amp; Walewski, 2014).</w:t>
      </w:r>
    </w:p>
    <w:p w14:paraId="3DCAEB2B" w14:textId="77777777" w:rsidR="0032788B" w:rsidRDefault="0032788B" w:rsidP="0032788B">
      <w:pPr>
        <w:ind w:left="360"/>
        <w:rPr>
          <w:szCs w:val="20"/>
          <w:lang w:val="en-GB"/>
        </w:rPr>
      </w:pPr>
      <w:r w:rsidRPr="0032788B">
        <w:rPr>
          <w:szCs w:val="20"/>
          <w:lang w:val="en-GB"/>
        </w:rPr>
        <w:t>PMBCL typically presents as a large, fast-growing mass with invasion. This is usually limited to the anterior-upper mediastinum, but may infiltrate adjacent thoracic structures such as chest wall, pleura, lungs, pericardium and heart, causing pleural/pericardial effusion in approximately 30–50% of cases. Systemic symptoms, mainly weight loss and fever, are relatively rare and they affect less than 20% of patients (Dabrowska-Iwanicka &amp; Walewski, 2014). No risk factors for PMBCL have been identified, although a familial case has been identified in Finland, which may be related to a mutation to the mixed lineage leukaemia (MLL) gene. PMBCL cells typically express the B-cell markers CD19, CD20, CD22; in a majority of cases, CD23, CD45 and myelin and lymphocyte protein (MAL) are also expressed (Dabrowska-Iwanicka &amp; Walewski, 2014).</w:t>
      </w:r>
    </w:p>
    <w:p w14:paraId="2CACAD29" w14:textId="77777777" w:rsidR="0032788B" w:rsidRPr="0032788B" w:rsidRDefault="0032788B" w:rsidP="0032788B">
      <w:pPr>
        <w:ind w:left="360"/>
        <w:rPr>
          <w:szCs w:val="20"/>
          <w:lang w:val="en-GB"/>
        </w:rPr>
      </w:pPr>
      <w:r w:rsidRPr="0032788B">
        <w:rPr>
          <w:szCs w:val="20"/>
          <w:lang w:val="en-GB"/>
        </w:rPr>
        <w:t xml:space="preserve">Follicular lymphoma (FL), the second most common form of NHL in Western countries, accounting for approximately 20% of NHL cases globally (Casulo et al, 2017). Some patients with FL will transform to a high grade DLBCL (known as TFL) which is aggressive and associated with a poor outcome. Histological transformation to DLBCL occurs at an annual rate of approximately 3% over 15 years. Thus, TFL accounts for approximately 1% of all NHL (Lossos &amp; Gascoyne, 2011; Casulo et al, 2015). </w:t>
      </w:r>
    </w:p>
    <w:p w14:paraId="777BBDE1" w14:textId="77777777" w:rsidR="0032788B" w:rsidRPr="0032788B" w:rsidRDefault="0032788B" w:rsidP="00CB467D">
      <w:pPr>
        <w:ind w:left="360"/>
        <w:rPr>
          <w:szCs w:val="20"/>
          <w:lang w:val="en-GB"/>
        </w:rPr>
      </w:pPr>
      <w:r w:rsidRPr="0032788B">
        <w:rPr>
          <w:szCs w:val="20"/>
          <w:lang w:val="en-GB"/>
        </w:rPr>
        <w:t>Typically, the treatment algorithm used for the management of patients with DLBCL is also used for patients with PMBCL and TFL.</w:t>
      </w:r>
    </w:p>
    <w:bookmarkEnd w:id="7"/>
    <w:p w14:paraId="61306596" w14:textId="77777777" w:rsidR="00350635" w:rsidRDefault="007544FA" w:rsidP="0032788B">
      <w:pPr>
        <w:ind w:left="360"/>
      </w:pPr>
      <w:r w:rsidRPr="007544FA">
        <w:rPr>
          <w:szCs w:val="20"/>
        </w:rPr>
        <w:t>The current standard of care for first-line treatment is a regimen of cyclophosphamide, doxorubicin, vincristine, and prednisolone (CHOP) in combination with an anti-CD20 monoclonal antibody (mAb) such as rituximab (R-CHOP) (Flowers et al, 2010) (National Comprehensive Cancer Network, 2014; Tilly et al, 2015). Although more effective than chemotherapy alone, first-line R-CHOP only results in long term disease remission in &lt; 40% of subjects.</w:t>
      </w:r>
      <w:r w:rsidR="00350635">
        <w:rPr>
          <w:szCs w:val="20"/>
        </w:rPr>
        <w:t xml:space="preserve"> </w:t>
      </w:r>
    </w:p>
    <w:p w14:paraId="18B60748" w14:textId="77777777" w:rsidR="00B127CA" w:rsidRPr="00B127CA" w:rsidRDefault="00B127CA" w:rsidP="00CB467D">
      <w:pPr>
        <w:ind w:left="360"/>
        <w:rPr>
          <w:lang w:val="en-GB"/>
        </w:rPr>
      </w:pPr>
      <w:r w:rsidRPr="00B127CA">
        <w:rPr>
          <w:lang w:val="en-GB"/>
        </w:rPr>
        <w:lastRenderedPageBreak/>
        <w:t>Relapse is most likely to happen within two years of the end of the first treatment (Lymphoma Association, 2016). Overall, approximately 30% of DLBCL will ultimately relapse. The incidence of relapsed/refractory DLBCL in the European Union</w:t>
      </w:r>
      <w:r w:rsidR="000F4071">
        <w:rPr>
          <w:lang w:val="en-GB"/>
        </w:rPr>
        <w:t xml:space="preserve"> (which can be reasonably extrapolated to Australia)</w:t>
      </w:r>
      <w:r w:rsidRPr="00B127CA">
        <w:rPr>
          <w:lang w:val="en-GB"/>
        </w:rPr>
        <w:t xml:space="preserve"> is therefore estimated to be around 1/100,000/year (Tilly et al, 2015).</w:t>
      </w:r>
      <w:r w:rsidR="009A3732">
        <w:rPr>
          <w:lang w:val="en-GB"/>
        </w:rPr>
        <w:t xml:space="preserve"> </w:t>
      </w:r>
      <w:r w:rsidR="00490B25" w:rsidRPr="00490B25">
        <w:t>Gilead notes that the PICO Confirmation for Kymriah uses an estimated incidence of 2</w:t>
      </w:r>
      <w:r w:rsidR="00F950EA">
        <w:t>,</w:t>
      </w:r>
      <w:r w:rsidR="00490B25" w:rsidRPr="00490B25">
        <w:t>070 patients for DLBCL</w:t>
      </w:r>
      <w:r w:rsidR="00490B25">
        <w:t xml:space="preserve"> in Australia</w:t>
      </w:r>
      <w:r w:rsidR="00490B25" w:rsidRPr="00490B25">
        <w:t>.</w:t>
      </w:r>
      <w:r w:rsidR="00490B25">
        <w:t xml:space="preserve"> </w:t>
      </w:r>
    </w:p>
    <w:p w14:paraId="1A421C31" w14:textId="77777777" w:rsidR="00B127CA" w:rsidRPr="006F4086" w:rsidRDefault="00B127CA" w:rsidP="00B127CA">
      <w:pPr>
        <w:ind w:left="360"/>
      </w:pPr>
      <w:r w:rsidRPr="00B127CA">
        <w:rPr>
          <w:lang w:val="en-GB"/>
        </w:rPr>
        <w:t>Patients with relapsed/refractory aggressive B-cell NHL typically receive salvage therapy with rituximab and platinum-based chemotherapy regimens (Tilly et al, 2015). Treatment regimens for patients with relapsed/refractory DLBCL are also used in the treatment of those with relapsed/refractory PMBCL or TFL.</w:t>
      </w:r>
    </w:p>
    <w:p w14:paraId="75403EC4" w14:textId="77777777" w:rsidR="00DB6C6C" w:rsidRPr="006F4086" w:rsidRDefault="00FB7305" w:rsidP="00BE3218">
      <w:pPr>
        <w:ind w:left="360"/>
        <w:rPr>
          <w:szCs w:val="20"/>
        </w:rPr>
      </w:pPr>
      <w:r>
        <w:rPr>
          <w:szCs w:val="20"/>
        </w:rPr>
        <w:t>S</w:t>
      </w:r>
      <w:r w:rsidR="007544FA" w:rsidRPr="00350635">
        <w:rPr>
          <w:szCs w:val="20"/>
        </w:rPr>
        <w:t>tudies in relapsed or refractory B-cell NHL indicate that only half of patients who respond to second-line therapy are able to proceed to</w:t>
      </w:r>
      <w:r w:rsidR="004F44C2">
        <w:rPr>
          <w:szCs w:val="20"/>
        </w:rPr>
        <w:t xml:space="preserve"> </w:t>
      </w:r>
      <w:r w:rsidR="004F44C2" w:rsidRPr="004F44C2">
        <w:rPr>
          <w:szCs w:val="20"/>
          <w:lang w:val="en-GB"/>
        </w:rPr>
        <w:t>autologous stem cell transplant</w:t>
      </w:r>
      <w:r w:rsidR="007544FA" w:rsidRPr="00350635">
        <w:rPr>
          <w:szCs w:val="20"/>
        </w:rPr>
        <w:t xml:space="preserve"> </w:t>
      </w:r>
      <w:r w:rsidR="004F44C2">
        <w:rPr>
          <w:szCs w:val="20"/>
        </w:rPr>
        <w:t>(</w:t>
      </w:r>
      <w:r w:rsidR="007544FA" w:rsidRPr="00350635">
        <w:rPr>
          <w:szCs w:val="20"/>
        </w:rPr>
        <w:t>ASCT</w:t>
      </w:r>
      <w:r w:rsidR="004F44C2">
        <w:rPr>
          <w:szCs w:val="20"/>
        </w:rPr>
        <w:t>)</w:t>
      </w:r>
      <w:r w:rsidR="007544FA" w:rsidRPr="00350635">
        <w:rPr>
          <w:szCs w:val="20"/>
        </w:rPr>
        <w:t xml:space="preserve"> (Philip et al, 1995; Moskowitz et al, 1999; Gisselbrecht et al, 2012; Crump et al, 2014).</w:t>
      </w:r>
    </w:p>
    <w:p w14:paraId="3CB4E388" w14:textId="77777777" w:rsidR="003C06D6" w:rsidRDefault="00A02C5C" w:rsidP="003C06D6">
      <w:pPr>
        <w:ind w:left="360"/>
      </w:pPr>
      <w:r>
        <w:t xml:space="preserve">Clinical observations suggest that patients with refractory DLBCL, defined as no response to last chemotherapy or relapse ≤12 months post-ASCT, have poor overall survival (OS) rates; however, there is a paucity of published data reporting outcomes in this patient </w:t>
      </w:r>
      <w:r w:rsidRPr="00A43D21">
        <w:t xml:space="preserve">population (Nagle et al, 2013). </w:t>
      </w:r>
    </w:p>
    <w:p w14:paraId="0289BBD7" w14:textId="77777777" w:rsidR="00A02C5C" w:rsidRDefault="00A02C5C" w:rsidP="003C06D6">
      <w:pPr>
        <w:ind w:left="360"/>
      </w:pPr>
      <w:r>
        <w:t xml:space="preserve">In order to address this data shortcoming, the </w:t>
      </w:r>
      <w:r w:rsidRPr="002D7E3C">
        <w:t xml:space="preserve">international multi-cohort </w:t>
      </w:r>
      <w:r w:rsidRPr="008A4DC3">
        <w:t>retrospective non-Hodgkin lymphoma research (SCHOLAR-1) study was conducted to provide a more rigorous assessment of the outcomes of patients</w:t>
      </w:r>
      <w:r>
        <w:t xml:space="preserve"> with refractory DLBCL whose disease fails to respond to immunochemotherapy or any subsequent salvage regimen and for those whose disease relapses early post-ASCT</w:t>
      </w:r>
      <w:r w:rsidR="004F44C2">
        <w:t xml:space="preserve"> </w:t>
      </w:r>
      <w:r w:rsidRPr="002D7E3C">
        <w:t>(</w:t>
      </w:r>
      <w:r w:rsidRPr="00A43D21">
        <w:t xml:space="preserve">Crump et al, 2017). </w:t>
      </w:r>
    </w:p>
    <w:p w14:paraId="78F7DC00" w14:textId="77777777" w:rsidR="00A02C5C" w:rsidRPr="006D022E" w:rsidRDefault="003C06D6" w:rsidP="00BE3218">
      <w:pPr>
        <w:ind w:left="360"/>
      </w:pPr>
      <w:r>
        <w:t>SCHOLAR-1</w:t>
      </w:r>
      <w:r w:rsidR="00A02C5C" w:rsidRPr="002D7E3C">
        <w:t xml:space="preserve"> was a patient-level, retrospective, pooled analysis of response rates and OS rates in </w:t>
      </w:r>
      <w:r w:rsidR="00A02C5C">
        <w:t xml:space="preserve">636 </w:t>
      </w:r>
      <w:r w:rsidR="00A02C5C" w:rsidRPr="002D7E3C">
        <w:t xml:space="preserve">patients with refractory NHL, using data from the databases of three academic centres and from two of the largest randomized, controlled </w:t>
      </w:r>
      <w:r w:rsidR="00A02C5C">
        <w:t>Phase</w:t>
      </w:r>
      <w:r w:rsidR="00A02C5C" w:rsidRPr="002D7E3C">
        <w:t xml:space="preserve"> 2 trials of patients with refractory aggressive lymphomas, including DLBCL</w:t>
      </w:r>
      <w:r w:rsidR="00A02C5C">
        <w:t xml:space="preserve"> (87%)</w:t>
      </w:r>
      <w:r w:rsidR="00A02C5C" w:rsidRPr="002D7E3C">
        <w:t>, PMBCL</w:t>
      </w:r>
      <w:r w:rsidR="00A02C5C">
        <w:t xml:space="preserve"> (2%), and </w:t>
      </w:r>
      <w:r w:rsidR="00A02C5C" w:rsidRPr="002D7E3C">
        <w:t>TFL</w:t>
      </w:r>
      <w:r w:rsidR="00A02C5C">
        <w:t xml:space="preserve"> (4%</w:t>
      </w:r>
      <w:r w:rsidR="00A02C5C" w:rsidRPr="00A43D21">
        <w:t xml:space="preserve">) </w:t>
      </w:r>
      <w:r w:rsidR="00A02C5C" w:rsidRPr="006D022E">
        <w:t xml:space="preserve">(Gisselbrecht et al, 2012; Crump et al, 2014; Van Den Neste E et al, 2016). </w:t>
      </w:r>
      <w:r w:rsidR="00A02C5C">
        <w:t>In the pooled patient population overall, 178 (28%) were primary refractory, 318 (50%) were refractory to</w:t>
      </w:r>
      <w:r w:rsidR="00E10395">
        <w:t xml:space="preserve"> </w:t>
      </w:r>
      <w:r w:rsidR="00E10395">
        <w:rPr>
          <w:rFonts w:cstheme="minorHAnsi"/>
        </w:rPr>
        <w:t xml:space="preserve">≥ </w:t>
      </w:r>
      <w:r w:rsidR="00A02C5C">
        <w:t xml:space="preserve">second-line therapy, and 140 (22%) were in relapse </w:t>
      </w:r>
      <w:r w:rsidR="00A02C5C">
        <w:sym w:font="Symbol" w:char="F0A3"/>
      </w:r>
      <w:r w:rsidR="00A02C5C">
        <w:t>12 months post</w:t>
      </w:r>
      <w:r w:rsidR="004F44C2">
        <w:t>-</w:t>
      </w:r>
      <w:r w:rsidR="00A02C5C" w:rsidRPr="006D022E">
        <w:t>ASCT (Crump et al, 2017).</w:t>
      </w:r>
    </w:p>
    <w:p w14:paraId="57BFF558" w14:textId="77777777" w:rsidR="00A02C5C" w:rsidRDefault="00A02C5C" w:rsidP="00BE3218">
      <w:pPr>
        <w:ind w:left="360"/>
      </w:pPr>
      <w:r w:rsidRPr="002D7E3C">
        <w:t xml:space="preserve">Results of SCHOLAR-1 demonstrated the </w:t>
      </w:r>
      <w:r w:rsidR="00AA02BC">
        <w:t xml:space="preserve">extremely </w:t>
      </w:r>
      <w:r w:rsidRPr="002D7E3C">
        <w:t>poor outcomes to currently available therapies in this population, with an</w:t>
      </w:r>
      <w:r w:rsidR="004F44C2">
        <w:t xml:space="preserve"> objective response rate</w:t>
      </w:r>
      <w:r w:rsidRPr="002D7E3C">
        <w:t xml:space="preserve"> </w:t>
      </w:r>
      <w:r w:rsidR="004F44C2">
        <w:t>(</w:t>
      </w:r>
      <w:r w:rsidRPr="002D7E3C">
        <w:t>ORR</w:t>
      </w:r>
      <w:r w:rsidR="004F44C2">
        <w:t>)</w:t>
      </w:r>
      <w:r w:rsidRPr="002D7E3C">
        <w:t xml:space="preserve"> of 26% and a</w:t>
      </w:r>
      <w:r w:rsidR="004F44C2">
        <w:t xml:space="preserve"> complete response (</w:t>
      </w:r>
      <w:r w:rsidRPr="002D7E3C">
        <w:t>CR</w:t>
      </w:r>
      <w:r w:rsidR="004F44C2">
        <w:t>)</w:t>
      </w:r>
      <w:r w:rsidRPr="002D7E3C">
        <w:t xml:space="preserve"> rate of 7%</w:t>
      </w:r>
      <w:r>
        <w:t xml:space="preserve"> in the overall population of patients (n=523) evaluated for response.</w:t>
      </w:r>
    </w:p>
    <w:p w14:paraId="7A341FC9" w14:textId="77777777" w:rsidR="00A02C5C" w:rsidRPr="006D022E" w:rsidRDefault="00A02C5C" w:rsidP="000C35BF">
      <w:pPr>
        <w:keepNext/>
        <w:keepLines/>
        <w:ind w:left="357"/>
      </w:pPr>
      <w:r>
        <w:t xml:space="preserve">Response rates were also consistently poor when differentiating by refractory subgroup. In </w:t>
      </w:r>
      <w:r w:rsidRPr="002D7E3C">
        <w:t>primary refractory</w:t>
      </w:r>
      <w:r>
        <w:t xml:space="preserve"> patients (n=169), ORR was 20% and CR rate was 3%; among patients who were refractory to second-line therapy or later therapy (n=274), ORR was 26% and CR rate was 10%; and for patients who had relapsed </w:t>
      </w:r>
      <w:r>
        <w:sym w:font="Symbol" w:char="F0A3"/>
      </w:r>
      <w:r>
        <w:t>12 months post-ASCT (n=80), ORR was 34% and CR rate was 15% (</w:t>
      </w:r>
      <w:r w:rsidRPr="006D022E">
        <w:t>Crump et al, 2017).</w:t>
      </w:r>
    </w:p>
    <w:p w14:paraId="3CB454A9" w14:textId="77777777" w:rsidR="00A02C5C" w:rsidRDefault="00A02C5C" w:rsidP="00BE3218">
      <w:pPr>
        <w:ind w:left="360"/>
        <w:rPr>
          <w:color w:val="000000"/>
        </w:rPr>
      </w:pPr>
      <w:r w:rsidRPr="002D7E3C">
        <w:t>Patient survival was poor</w:t>
      </w:r>
      <w:r>
        <w:t xml:space="preserve"> in the overall population of refractory patients evaluated for survival (n=603)</w:t>
      </w:r>
      <w:r w:rsidRPr="002D7E3C">
        <w:t>, with median</w:t>
      </w:r>
      <w:r w:rsidR="004F44C2">
        <w:t xml:space="preserve"> overall survival</w:t>
      </w:r>
      <w:r w:rsidRPr="002D7E3C">
        <w:t xml:space="preserve"> </w:t>
      </w:r>
      <w:r w:rsidR="004F44C2">
        <w:t>(</w:t>
      </w:r>
      <w:r>
        <w:t>OS</w:t>
      </w:r>
      <w:r w:rsidR="004F44C2">
        <w:t>)</w:t>
      </w:r>
      <w:r w:rsidRPr="002D7E3C">
        <w:t xml:space="preserve"> of 6.3 </w:t>
      </w:r>
      <w:r w:rsidRPr="006D022E">
        <w:t xml:space="preserve">months (Crump et al, 2017). Patient </w:t>
      </w:r>
      <w:r>
        <w:t>survival was also consistently poor when differentiating by refractory subgroup of DLBCL/PMBCL/TFL patients</w:t>
      </w:r>
      <w:r w:rsidR="00901605">
        <w:t>,</w:t>
      </w:r>
      <w:r>
        <w:t xml:space="preserve"> with median OS of 7.1 months in </w:t>
      </w:r>
      <w:r w:rsidRPr="002D7E3C">
        <w:t>primary refractory</w:t>
      </w:r>
      <w:r>
        <w:t xml:space="preserve"> patients (n=179), 6.1 months for patients who were refractory to second-line therapy or later-line therapy (n=306), and 6.2 months among patients who had relapsed </w:t>
      </w:r>
      <w:r>
        <w:sym w:font="Symbol" w:char="F0A3"/>
      </w:r>
      <w:r>
        <w:t>12 months post-ASCT (n=118).</w:t>
      </w:r>
      <w:r w:rsidR="00901605">
        <w:t xml:space="preserve"> </w:t>
      </w:r>
      <w:r>
        <w:t>Moreover, median OS of refractory DLBCL/PMBCL/TFL patients who were ineligible to receive ASCT (n=423) was 5.1 months</w:t>
      </w:r>
      <w:r w:rsidR="00901605">
        <w:t xml:space="preserve"> </w:t>
      </w:r>
      <w:r w:rsidRPr="006D022E">
        <w:t>(Crump et al, 2017).</w:t>
      </w:r>
      <w:r w:rsidR="008A4DC3" w:rsidRPr="006D022E">
        <w:t xml:space="preserve"> </w:t>
      </w:r>
      <w:r w:rsidRPr="006D022E">
        <w:t xml:space="preserve">Poor </w:t>
      </w:r>
      <w:r w:rsidRPr="002C2EFB">
        <w:rPr>
          <w:color w:val="000000"/>
        </w:rPr>
        <w:t xml:space="preserve">outcomes are also observed for patients with relapsed/refractory </w:t>
      </w:r>
      <w:r>
        <w:rPr>
          <w:color w:val="000000"/>
        </w:rPr>
        <w:t xml:space="preserve">DLBCL </w:t>
      </w:r>
      <w:r w:rsidRPr="002C2EFB">
        <w:rPr>
          <w:color w:val="000000"/>
        </w:rPr>
        <w:t>who respond to salvage therapy but are ineligible for</w:t>
      </w:r>
      <w:r>
        <w:rPr>
          <w:color w:val="000000"/>
        </w:rPr>
        <w:t xml:space="preserve"> stem cell </w:t>
      </w:r>
      <w:r w:rsidRPr="002C2EFB">
        <w:rPr>
          <w:color w:val="000000"/>
        </w:rPr>
        <w:t xml:space="preserve">transplant </w:t>
      </w:r>
      <w:r>
        <w:rPr>
          <w:color w:val="000000"/>
        </w:rPr>
        <w:t xml:space="preserve">(SCT). Reasons for </w:t>
      </w:r>
      <w:r w:rsidR="004F44C2">
        <w:rPr>
          <w:color w:val="000000"/>
        </w:rPr>
        <w:t>stem cell transplant (</w:t>
      </w:r>
      <w:r>
        <w:rPr>
          <w:color w:val="000000"/>
        </w:rPr>
        <w:t>SCT</w:t>
      </w:r>
      <w:r w:rsidR="004F44C2">
        <w:rPr>
          <w:color w:val="000000"/>
        </w:rPr>
        <w:t>)</w:t>
      </w:r>
      <w:r>
        <w:rPr>
          <w:color w:val="000000"/>
        </w:rPr>
        <w:t xml:space="preserve"> ineligibility include: patient </w:t>
      </w:r>
      <w:r w:rsidRPr="002C2EFB">
        <w:rPr>
          <w:color w:val="000000"/>
        </w:rPr>
        <w:t xml:space="preserve">age (&gt;65 years of age </w:t>
      </w:r>
      <w:r>
        <w:rPr>
          <w:color w:val="000000"/>
        </w:rPr>
        <w:t xml:space="preserve">is </w:t>
      </w:r>
      <w:r w:rsidRPr="002C2EFB">
        <w:rPr>
          <w:color w:val="000000"/>
        </w:rPr>
        <w:t>typically ineligible</w:t>
      </w:r>
      <w:r>
        <w:rPr>
          <w:color w:val="000000"/>
        </w:rPr>
        <w:t>)</w:t>
      </w:r>
      <w:r w:rsidRPr="002C2EFB">
        <w:rPr>
          <w:color w:val="000000"/>
        </w:rPr>
        <w:t>; inadequate response or early relapse after second-line therapy; relapse after second- or later-line of therapy; failure to mobilize stem cells for ASCT; or presence of comorb</w:t>
      </w:r>
      <w:r>
        <w:rPr>
          <w:color w:val="000000"/>
        </w:rPr>
        <w:t xml:space="preserve">idities or unresolved </w:t>
      </w:r>
      <w:r w:rsidRPr="006D022E">
        <w:t>toxicities (Colosia et al, 2014).</w:t>
      </w:r>
    </w:p>
    <w:p w14:paraId="6D20ADEF" w14:textId="77777777" w:rsidR="00B65655" w:rsidRDefault="00A02C5C" w:rsidP="00BE3218">
      <w:pPr>
        <w:ind w:left="360"/>
      </w:pPr>
      <w:r>
        <w:rPr>
          <w:color w:val="000000"/>
        </w:rPr>
        <w:t>Survival rates are poor among patients with r</w:t>
      </w:r>
      <w:r w:rsidRPr="00144C11">
        <w:rPr>
          <w:color w:val="000000"/>
        </w:rPr>
        <w:t>elapsed/refractory, stem cell transplant-ineligible DLBCL</w:t>
      </w:r>
      <w:r>
        <w:rPr>
          <w:color w:val="000000"/>
        </w:rPr>
        <w:t>.</w:t>
      </w:r>
      <w:r w:rsidRPr="00144C11">
        <w:rPr>
          <w:color w:val="000000"/>
        </w:rPr>
        <w:t xml:space="preserve"> </w:t>
      </w:r>
      <w:r>
        <w:rPr>
          <w:color w:val="000000"/>
        </w:rPr>
        <w:t>In a Canadian database review of 326 relapsed/refractory, SCT-ineligible DLBCL patients, median OS was 3.9 months (</w:t>
      </w:r>
      <w:r w:rsidRPr="00235FFD">
        <w:t>Kansara et al, 2014).</w:t>
      </w:r>
      <w:r>
        <w:rPr>
          <w:color w:val="000000"/>
        </w:rPr>
        <w:t xml:space="preserve"> I</w:t>
      </w:r>
      <w:r w:rsidRPr="00B54E0F">
        <w:rPr>
          <w:color w:val="000000"/>
        </w:rPr>
        <w:t xml:space="preserve">n the international </w:t>
      </w:r>
      <w:r w:rsidRPr="00D16DF4">
        <w:rPr>
          <w:color w:val="000000"/>
        </w:rPr>
        <w:t>Collaborative Trial in Relapsed Aggressive L</w:t>
      </w:r>
      <w:r w:rsidRPr="00EF1012">
        <w:rPr>
          <w:color w:val="000000"/>
        </w:rPr>
        <w:t xml:space="preserve">ymphoma </w:t>
      </w:r>
      <w:r>
        <w:rPr>
          <w:color w:val="000000"/>
        </w:rPr>
        <w:t>(</w:t>
      </w:r>
      <w:r w:rsidRPr="00B54E0F">
        <w:rPr>
          <w:color w:val="000000"/>
        </w:rPr>
        <w:t>CORAL</w:t>
      </w:r>
      <w:r>
        <w:rPr>
          <w:color w:val="000000"/>
        </w:rPr>
        <w:t>)</w:t>
      </w:r>
      <w:r w:rsidRPr="00B54E0F">
        <w:rPr>
          <w:color w:val="000000"/>
        </w:rPr>
        <w:t xml:space="preserve"> study, </w:t>
      </w:r>
      <w:r>
        <w:rPr>
          <w:color w:val="000000"/>
        </w:rPr>
        <w:t xml:space="preserve">129 relapsed/refractory DLBCL </w:t>
      </w:r>
      <w:r w:rsidRPr="00B54E0F">
        <w:rPr>
          <w:color w:val="000000"/>
        </w:rPr>
        <w:t>patients who received third-line therapy</w:t>
      </w:r>
      <w:r w:rsidR="00901605">
        <w:rPr>
          <w:color w:val="000000"/>
        </w:rPr>
        <w:t xml:space="preserve"> </w:t>
      </w:r>
      <w:r w:rsidRPr="00B54E0F">
        <w:rPr>
          <w:color w:val="000000"/>
        </w:rPr>
        <w:t xml:space="preserve">but did not undergo </w:t>
      </w:r>
      <w:r>
        <w:rPr>
          <w:color w:val="000000"/>
        </w:rPr>
        <w:t xml:space="preserve">SCT had median OS of </w:t>
      </w:r>
      <w:r w:rsidRPr="00B54E0F">
        <w:rPr>
          <w:color w:val="000000"/>
        </w:rPr>
        <w:t>3.3 months</w:t>
      </w:r>
      <w:r>
        <w:rPr>
          <w:color w:val="FF0000"/>
        </w:rPr>
        <w:t xml:space="preserve"> </w:t>
      </w:r>
      <w:r w:rsidRPr="00B54E0F">
        <w:rPr>
          <w:color w:val="000000"/>
        </w:rPr>
        <w:t>(</w:t>
      </w:r>
      <w:r w:rsidRPr="006D022E">
        <w:t>Van Den Neste et al, 2016).</w:t>
      </w:r>
    </w:p>
    <w:p w14:paraId="19BDA229" w14:textId="77777777" w:rsidR="0032788B" w:rsidRPr="00CB467D" w:rsidRDefault="0032788B" w:rsidP="00CB467D">
      <w:pPr>
        <w:ind w:left="360"/>
      </w:pPr>
      <w:r w:rsidRPr="008A4DC3">
        <w:rPr>
          <w:szCs w:val="20"/>
        </w:rPr>
        <w:t xml:space="preserve">AIHW figures show relative 1-year and 5-year survival from DLBCL in Australia was 77.3% (95%CI 75.8-78.8%) and 64.4% (95%CI 62.7-66.1%), respectively (AIHW Australian Cancer database, 2006-2010). </w:t>
      </w:r>
      <w:r>
        <w:rPr>
          <w:szCs w:val="20"/>
          <w:lang w:val="en-GB"/>
        </w:rPr>
        <w:lastRenderedPageBreak/>
        <w:t xml:space="preserve">Australian data on the morbidity of NHL (C82-C86; including FL, DLBCL, peripheral and cutaneous T-cell lymphoma and other unspecified types of NHL) indicate that </w:t>
      </w:r>
      <w:r>
        <w:t>n</w:t>
      </w:r>
      <w:r w:rsidRPr="00FB7305">
        <w:t xml:space="preserve">on-Indigenous Australians diagnosed with </w:t>
      </w:r>
      <w:r>
        <w:t>NHL</w:t>
      </w:r>
      <w:r w:rsidRPr="00FB7305">
        <w:t xml:space="preserve"> had a 72% chance, on average, of surviving for five years compared with their counterparts in the non-Indigenous population.</w:t>
      </w:r>
      <w:r>
        <w:t xml:space="preserve"> </w:t>
      </w:r>
      <w:r w:rsidRPr="00FB7305">
        <w:t xml:space="preserve">In 2007–2014, Indigenous Australians diagnosed with </w:t>
      </w:r>
      <w:r>
        <w:t>NHL</w:t>
      </w:r>
      <w:r w:rsidRPr="00FB7305">
        <w:t xml:space="preserve"> had a 71% chance, on average, of surviving for five years compared with their counterparts in the Indigenous population.</w:t>
      </w:r>
      <w:r>
        <w:t xml:space="preserve"> (AIHW, 2018)</w:t>
      </w:r>
    </w:p>
    <w:p w14:paraId="1B02CDF2" w14:textId="77777777" w:rsidR="00274659" w:rsidRDefault="00274659" w:rsidP="00BE3218">
      <w:pPr>
        <w:ind w:left="360"/>
      </w:pPr>
      <w:r>
        <w:t>In summary, p</w:t>
      </w:r>
      <w:r w:rsidRPr="004D669F">
        <w:t xml:space="preserve">rognosis </w:t>
      </w:r>
      <w:r>
        <w:t xml:space="preserve">is extremely poor </w:t>
      </w:r>
      <w:r w:rsidRPr="004D669F">
        <w:t xml:space="preserve">for </w:t>
      </w:r>
      <w:r>
        <w:t>the proposed patient population. T</w:t>
      </w:r>
      <w:r w:rsidR="00B127CA">
        <w:t>he</w:t>
      </w:r>
      <w:r>
        <w:t xml:space="preserve"> current standard of care provides refractory DLBCL patients with </w:t>
      </w:r>
      <w:r w:rsidR="004E1EC6">
        <w:t xml:space="preserve">a </w:t>
      </w:r>
      <w:r>
        <w:t>median overall survival (OS) of 6.3 months and a complete response (CR) of only 7</w:t>
      </w:r>
      <w:r w:rsidRPr="006D022E">
        <w:t xml:space="preserve">% (Crump et al, 2017). </w:t>
      </w:r>
      <w:r>
        <w:t>Moreover,</w:t>
      </w:r>
      <w:r w:rsidR="00362164">
        <w:t xml:space="preserve"> the</w:t>
      </w:r>
      <w:r>
        <w:t xml:space="preserve"> current </w:t>
      </w:r>
      <w:r w:rsidR="00362164">
        <w:t>standard of care</w:t>
      </w:r>
      <w:r>
        <w:t xml:space="preserve"> provides ASCT-ineligible, relapsed/refractory DLBCL patients with median OS of 3.3–3.9 </w:t>
      </w:r>
      <w:r w:rsidRPr="006D022E">
        <w:t xml:space="preserve">months (Van Den Neste et al, 2016; </w:t>
      </w:r>
      <w:r w:rsidRPr="00235FFD">
        <w:t>Kansara et al, 2014</w:t>
      </w:r>
      <w:r>
        <w:t>).</w:t>
      </w:r>
    </w:p>
    <w:p w14:paraId="55A38897" w14:textId="77777777" w:rsidR="00AA5FDA" w:rsidRPr="00154B00" w:rsidRDefault="00AA5FDA" w:rsidP="00530204">
      <w:pPr>
        <w:pStyle w:val="Heading2"/>
      </w:pPr>
      <w:r w:rsidRPr="00154B00">
        <w:t>Specify any characteristics of patients with the medical condition</w:t>
      </w:r>
      <w:r w:rsidR="00707D4D">
        <w:t>, or suspected of,</w:t>
      </w:r>
      <w:r w:rsidRPr="00154B00">
        <w:t xml:space="preserve"> who are proposed to be eligible for the </w:t>
      </w:r>
      <w:r w:rsidRPr="00DA7D0C">
        <w:t>proposed</w:t>
      </w:r>
      <w:r w:rsidRPr="00154B00">
        <w:t xml:space="preserve"> medical service</w:t>
      </w:r>
      <w:r w:rsidR="00102686" w:rsidRPr="00154B00">
        <w:t>, including any details of how a patient w</w:t>
      </w:r>
      <w:r w:rsidR="0054594B" w:rsidRPr="00154B00">
        <w:t>ould be</w:t>
      </w:r>
      <w:r w:rsidR="00102686" w:rsidRPr="00154B00">
        <w:t xml:space="preserve"> </w:t>
      </w:r>
      <w:r w:rsidR="0018630F" w:rsidRPr="00154B00">
        <w:t>investigated</w:t>
      </w:r>
      <w:r w:rsidR="0054594B" w:rsidRPr="00154B00">
        <w:t>,</w:t>
      </w:r>
      <w:r w:rsidR="0018630F" w:rsidRPr="00154B00">
        <w:t xml:space="preserve"> managed </w:t>
      </w:r>
      <w:r w:rsidR="0054594B" w:rsidRPr="00154B00">
        <w:t xml:space="preserve">and referred </w:t>
      </w:r>
      <w:r w:rsidR="007D2358" w:rsidRPr="00154B00">
        <w:t xml:space="preserve">within the Australian health care system </w:t>
      </w:r>
      <w:r w:rsidR="0018630F" w:rsidRPr="00154B00">
        <w:t xml:space="preserve">in the lead up to being considered </w:t>
      </w:r>
      <w:r w:rsidR="00DF6D37" w:rsidRPr="00154B00">
        <w:t xml:space="preserve">eligible </w:t>
      </w:r>
      <w:r w:rsidR="0018630F" w:rsidRPr="00154B00">
        <w:t>for the service</w:t>
      </w:r>
      <w:r w:rsidR="00197D29">
        <w:t>:</w:t>
      </w:r>
    </w:p>
    <w:p w14:paraId="7DBBF439" w14:textId="77777777" w:rsidR="00A12500" w:rsidRDefault="00A12500" w:rsidP="00235FFD">
      <w:pPr>
        <w:spacing w:after="0"/>
        <w:ind w:left="360"/>
      </w:pPr>
      <w:bookmarkStart w:id="8" w:name="_Hlk2678348"/>
      <w:r w:rsidRPr="005123FB">
        <w:rPr>
          <w:szCs w:val="20"/>
        </w:rPr>
        <w:t>Axicabtagene ciloleucel</w:t>
      </w:r>
      <w:r w:rsidR="00AA44F0" w:rsidRPr="00AA44F0">
        <w:t xml:space="preserve"> is indicated for the treatment of adult patients with relapsed or refractory</w:t>
      </w:r>
      <w:r w:rsidR="00AA44F0">
        <w:t xml:space="preserve"> </w:t>
      </w:r>
      <w:r w:rsidR="00AA44F0" w:rsidRPr="007544FA">
        <w:t>DLBCL</w:t>
      </w:r>
      <w:r w:rsidR="00D933CB">
        <w:t>,</w:t>
      </w:r>
      <w:r w:rsidR="00AA44F0">
        <w:t xml:space="preserve"> including DLBCL </w:t>
      </w:r>
      <w:r w:rsidR="00AA44F0" w:rsidRPr="007544FA">
        <w:t>not otherwise specified</w:t>
      </w:r>
      <w:r w:rsidR="00D933CB">
        <w:t xml:space="preserve"> and </w:t>
      </w:r>
      <w:r w:rsidR="00362164" w:rsidRPr="007544FA">
        <w:t>high-grade</w:t>
      </w:r>
      <w:r w:rsidR="00D933CB" w:rsidRPr="007544FA">
        <w:t xml:space="preserve"> B-cell lymphoma</w:t>
      </w:r>
      <w:r w:rsidR="00AA44F0">
        <w:t xml:space="preserve">, </w:t>
      </w:r>
      <w:r w:rsidR="00AA44F0" w:rsidRPr="007544FA">
        <w:t xml:space="preserve">PMBCL and </w:t>
      </w:r>
      <w:r w:rsidR="00244CB2">
        <w:t>T</w:t>
      </w:r>
      <w:r w:rsidR="00AA44F0" w:rsidRPr="007544FA">
        <w:t>FL</w:t>
      </w:r>
      <w:r w:rsidR="00244CB2">
        <w:t xml:space="preserve"> </w:t>
      </w:r>
      <w:r w:rsidR="00244CB2" w:rsidRPr="00B65655">
        <w:t>after two or more lines of systemic therapy</w:t>
      </w:r>
      <w:r w:rsidR="0046428E">
        <w:t xml:space="preserve">. </w:t>
      </w:r>
    </w:p>
    <w:p w14:paraId="2E953A13" w14:textId="77777777" w:rsidR="0046428E" w:rsidRDefault="0046428E" w:rsidP="00235FFD">
      <w:pPr>
        <w:spacing w:after="0"/>
        <w:ind w:left="360"/>
      </w:pPr>
      <w:r>
        <w:t xml:space="preserve">This includes patients who have relapsed or refractory disease after at least two lines of chemotherapy, and (1) </w:t>
      </w:r>
      <w:r w:rsidRPr="00A12500">
        <w:rPr>
          <w:rFonts w:cs="Arial"/>
        </w:rPr>
        <w:t xml:space="preserve">have relapsed after autologous stem cell transplant, </w:t>
      </w:r>
      <w:r w:rsidR="00A12500">
        <w:rPr>
          <w:rFonts w:cs="Arial"/>
        </w:rPr>
        <w:t>or</w:t>
      </w:r>
      <w:r>
        <w:t xml:space="preserve"> (2) </w:t>
      </w:r>
      <w:r w:rsidRPr="004820D4">
        <w:rPr>
          <w:rFonts w:cs="Arial"/>
        </w:rPr>
        <w:t xml:space="preserve">are ineligible for </w:t>
      </w:r>
      <w:r w:rsidR="00274659" w:rsidRPr="00A12500">
        <w:rPr>
          <w:rFonts w:cs="Arial"/>
        </w:rPr>
        <w:t>autologous</w:t>
      </w:r>
      <w:r w:rsidR="00274659" w:rsidRPr="004820D4">
        <w:rPr>
          <w:rFonts w:cs="Arial"/>
        </w:rPr>
        <w:t xml:space="preserve"> </w:t>
      </w:r>
      <w:r w:rsidRPr="004820D4">
        <w:rPr>
          <w:rFonts w:cs="Arial"/>
        </w:rPr>
        <w:t>stem cell transplant</w:t>
      </w:r>
      <w:r>
        <w:t>.</w:t>
      </w:r>
    </w:p>
    <w:p w14:paraId="2DE1BF0C" w14:textId="77777777" w:rsidR="00441447" w:rsidRDefault="00441447" w:rsidP="00441447">
      <w:pPr>
        <w:spacing w:after="0"/>
        <w:ind w:left="360"/>
      </w:pPr>
      <w:r>
        <w:t xml:space="preserve">Patients will be monitored </w:t>
      </w:r>
      <w:r w:rsidR="00DF5F86">
        <w:t xml:space="preserve">by their haematologists to detect </w:t>
      </w:r>
      <w:r>
        <w:t>relapsed or refractory disease. A variety of different tests may be undertaken, including blood counts, bone marrow aspiration and biopsy, lumbar puncture, and/or imaging tests.</w:t>
      </w:r>
    </w:p>
    <w:p w14:paraId="486B0886" w14:textId="77777777" w:rsidR="00141CCC" w:rsidRDefault="00A12500" w:rsidP="00235FFD">
      <w:pPr>
        <w:ind w:left="360"/>
      </w:pPr>
      <w:r>
        <w:rPr>
          <w:szCs w:val="20"/>
        </w:rPr>
        <w:t xml:space="preserve">Patients will be managed by a haematologist or haematological oncologist in a specialist unit within a </w:t>
      </w:r>
      <w:r w:rsidR="00B33DCA">
        <w:rPr>
          <w:szCs w:val="20"/>
        </w:rPr>
        <w:t xml:space="preserve">public </w:t>
      </w:r>
      <w:r>
        <w:rPr>
          <w:szCs w:val="20"/>
        </w:rPr>
        <w:t xml:space="preserve">tertiary </w:t>
      </w:r>
      <w:r w:rsidR="00141CCC">
        <w:rPr>
          <w:szCs w:val="20"/>
        </w:rPr>
        <w:t>hospital.</w:t>
      </w:r>
    </w:p>
    <w:bookmarkEnd w:id="8"/>
    <w:p w14:paraId="4D32DC5D" w14:textId="77777777" w:rsidR="0018630F" w:rsidRDefault="0018630F" w:rsidP="00530204">
      <w:pPr>
        <w:pStyle w:val="Heading2"/>
      </w:pPr>
      <w:r w:rsidRPr="00154B00">
        <w:t xml:space="preserve">Define and summarise the current clinical management pathway </w:t>
      </w:r>
      <w:r w:rsidRPr="00154B00">
        <w:rPr>
          <w:i/>
        </w:rPr>
        <w:t>before</w:t>
      </w:r>
      <w:r w:rsidRPr="00154B00">
        <w:t xml:space="preserve"> patients would be eligible for the proposed </w:t>
      </w:r>
      <w:r w:rsidRPr="00DA7D0C">
        <w:t>medical</w:t>
      </w:r>
      <w:r w:rsidRPr="00154B00">
        <w:t xml:space="preserve"> service (supplement this summary with </w:t>
      </w:r>
      <w:r w:rsidR="00F33F1A" w:rsidRPr="00154B00">
        <w:t xml:space="preserve">an easy to follow flowchart </w:t>
      </w:r>
      <w:r w:rsidR="00DF0C51">
        <w:t xml:space="preserve">[as an attachment to the Application Form] </w:t>
      </w:r>
      <w:r w:rsidR="00F33F1A" w:rsidRPr="00154B00">
        <w:t>dep</w:t>
      </w:r>
      <w:r w:rsidRPr="00154B00">
        <w:t>icting the current clinical manag</w:t>
      </w:r>
      <w:r w:rsidR="00197D29">
        <w:t>ement pathway up to this point):</w:t>
      </w:r>
    </w:p>
    <w:p w14:paraId="333CB3E7" w14:textId="77777777" w:rsidR="00141CCC" w:rsidRDefault="00A55C49" w:rsidP="004F44C2">
      <w:pPr>
        <w:ind w:left="360"/>
      </w:pPr>
      <w:r>
        <w:t xml:space="preserve">The clinical management pathway is complex, </w:t>
      </w:r>
      <w:r w:rsidR="00441447">
        <w:t xml:space="preserve">including </w:t>
      </w:r>
      <w:r>
        <w:t xml:space="preserve">standard chemotherapy regimens, salvage chemotherapy, radiation therapy, and </w:t>
      </w:r>
      <w:r w:rsidRPr="007544FA">
        <w:rPr>
          <w:szCs w:val="20"/>
        </w:rPr>
        <w:t>autologous stem cell transplant</w:t>
      </w:r>
      <w:r>
        <w:rPr>
          <w:szCs w:val="20"/>
        </w:rPr>
        <w:t xml:space="preserve">. </w:t>
      </w:r>
      <w:r w:rsidRPr="002D7E3C">
        <w:t>Clinician treatment choices are empirical</w:t>
      </w:r>
      <w:r>
        <w:t xml:space="preserve"> and i</w:t>
      </w:r>
      <w:r w:rsidRPr="002D7E3C">
        <w:t>ndividuali</w:t>
      </w:r>
      <w:r>
        <w:t>s</w:t>
      </w:r>
      <w:r w:rsidRPr="002D7E3C">
        <w:t xml:space="preserve">ed approaches to treatment result in a high heterogeneity of </w:t>
      </w:r>
      <w:r>
        <w:t>the clinical management pathway</w:t>
      </w:r>
      <w:r w:rsidRPr="002D7E3C">
        <w:t>, particularly in the relapse</w:t>
      </w:r>
      <w:r w:rsidR="00DF5F86">
        <w:t>d</w:t>
      </w:r>
      <w:r w:rsidRPr="002D7E3C">
        <w:t xml:space="preserve"> setting. </w:t>
      </w:r>
    </w:p>
    <w:p w14:paraId="1CA2C404" w14:textId="620819F2" w:rsidR="00256C35" w:rsidRPr="00BC424B" w:rsidRDefault="00A46845" w:rsidP="00194C97">
      <w:pPr>
        <w:ind w:left="357"/>
      </w:pPr>
      <w:r>
        <w:rPr>
          <w:szCs w:val="20"/>
        </w:rPr>
        <w:t>A c</w:t>
      </w:r>
      <w:r w:rsidR="00DB41E0" w:rsidRPr="00DB41E0">
        <w:t>urrent</w:t>
      </w:r>
      <w:r w:rsidR="007544FA">
        <w:t xml:space="preserve"> and proposed </w:t>
      </w:r>
      <w:r w:rsidR="00DB41E0" w:rsidRPr="00DB41E0">
        <w:t>management algorithm</w:t>
      </w:r>
      <w:r w:rsidR="0045083F">
        <w:t xml:space="preserve"> is</w:t>
      </w:r>
      <w:r w:rsidR="00DB41E0" w:rsidRPr="00DB41E0">
        <w:t xml:space="preserve"> provided as</w:t>
      </w:r>
      <w:r w:rsidR="007544FA">
        <w:t xml:space="preserve"> </w:t>
      </w:r>
      <w:r w:rsidR="004F44C2">
        <w:t>Appendix</w:t>
      </w:r>
      <w:r w:rsidR="00DB41E0" w:rsidRPr="004F44C2">
        <w:t xml:space="preserve"> </w:t>
      </w:r>
      <w:r w:rsidR="001806C3" w:rsidRPr="004F44C2">
        <w:t xml:space="preserve">A </w:t>
      </w:r>
      <w:r w:rsidR="00DB41E0" w:rsidRPr="004F44C2">
        <w:t>to th</w:t>
      </w:r>
      <w:r w:rsidRPr="004F44C2">
        <w:t>is</w:t>
      </w:r>
      <w:r w:rsidR="00DB41E0" w:rsidRPr="00DB41E0">
        <w:t xml:space="preserve"> </w:t>
      </w:r>
      <w:r w:rsidR="00BE0951" w:rsidRPr="00DB41E0">
        <w:t>application and</w:t>
      </w:r>
      <w:r w:rsidR="00BE0951">
        <w:t xml:space="preserve"> </w:t>
      </w:r>
      <w:r w:rsidR="00AC32C5">
        <w:t>has been</w:t>
      </w:r>
      <w:r w:rsidR="00BE0951">
        <w:t xml:space="preserve"> </w:t>
      </w:r>
      <w:r w:rsidR="007544FA">
        <w:t>adapted</w:t>
      </w:r>
      <w:r w:rsidR="00BE0951">
        <w:t xml:space="preserve"> from the PICO </w:t>
      </w:r>
      <w:r w:rsidR="007544FA">
        <w:t xml:space="preserve">Confirmation </w:t>
      </w:r>
      <w:r w:rsidR="00AC32C5">
        <w:t>for</w:t>
      </w:r>
      <w:r w:rsidR="00BE0951">
        <w:t xml:space="preserve"> Kymriah</w:t>
      </w:r>
      <w:r>
        <w:t xml:space="preserve"> (Application 1519)</w:t>
      </w:r>
      <w:r w:rsidR="00194C97">
        <w:t>.</w:t>
      </w:r>
    </w:p>
    <w:p w14:paraId="2B469310" w14:textId="77777777" w:rsidR="002A50FD" w:rsidRPr="00881F93" w:rsidRDefault="005C3AE7" w:rsidP="005C3AE7">
      <w:pPr>
        <w:pStyle w:val="Subtitle"/>
      </w:pPr>
      <w:r>
        <w:t xml:space="preserve">PART 6b – </w:t>
      </w:r>
      <w:r w:rsidR="002A50FD" w:rsidRPr="00881F93">
        <w:t>INFORMATION ABOUT THE INTERVENTION</w:t>
      </w:r>
    </w:p>
    <w:p w14:paraId="4D849CD6" w14:textId="77777777" w:rsidR="002A50FD" w:rsidRPr="00154B00" w:rsidRDefault="002A6753" w:rsidP="00530204">
      <w:pPr>
        <w:pStyle w:val="Heading2"/>
      </w:pPr>
      <w:r w:rsidRPr="00154B00">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proposed medical service:</w:t>
      </w:r>
    </w:p>
    <w:p w14:paraId="73819747" w14:textId="77777777" w:rsidR="00886236" w:rsidRDefault="007D1A99" w:rsidP="00E357B9">
      <w:pPr>
        <w:ind w:left="426"/>
        <w:rPr>
          <w:szCs w:val="20"/>
        </w:rPr>
      </w:pPr>
      <w:bookmarkStart w:id="9" w:name="_Hlk2678380"/>
      <w:r w:rsidRPr="005123FB">
        <w:rPr>
          <w:szCs w:val="20"/>
        </w:rPr>
        <w:t>Axicabtagene ciloleucel is produced via a process from leukapheresis material obtained from individual patients, and therefore the product is unique to each patient. A replication-incompetent retroviral vector is used to introduce the anti-CD19 CAR gene into patient-derived human T</w:t>
      </w:r>
      <w:r w:rsidR="00024D52">
        <w:rPr>
          <w:szCs w:val="20"/>
        </w:rPr>
        <w:t>-</w:t>
      </w:r>
      <w:r w:rsidRPr="005123FB">
        <w:rPr>
          <w:szCs w:val="20"/>
        </w:rPr>
        <w:t>cells</w:t>
      </w:r>
      <w:r w:rsidR="00EB5F1C">
        <w:rPr>
          <w:szCs w:val="20"/>
        </w:rPr>
        <w:t>.</w:t>
      </w:r>
    </w:p>
    <w:bookmarkEnd w:id="9"/>
    <w:p w14:paraId="4D958151" w14:textId="77777777" w:rsidR="00EB5F1C" w:rsidRDefault="00EB5F1C" w:rsidP="00E357B9">
      <w:pPr>
        <w:ind w:left="426"/>
        <w:rPr>
          <w:szCs w:val="20"/>
        </w:rPr>
      </w:pPr>
      <w:r>
        <w:rPr>
          <w:szCs w:val="20"/>
        </w:rPr>
        <w:t>The diagram below</w:t>
      </w:r>
      <w:r w:rsidR="007735C4">
        <w:rPr>
          <w:szCs w:val="20"/>
        </w:rPr>
        <w:t xml:space="preserve"> summarises</w:t>
      </w:r>
      <w:r>
        <w:rPr>
          <w:szCs w:val="20"/>
        </w:rPr>
        <w:t xml:space="preserve"> the </w:t>
      </w:r>
      <w:r w:rsidR="00635FC7">
        <w:rPr>
          <w:szCs w:val="20"/>
        </w:rPr>
        <w:t>manufacture, dosing and treatment protocol</w:t>
      </w:r>
      <w:r>
        <w:rPr>
          <w:szCs w:val="20"/>
        </w:rPr>
        <w:t>.</w:t>
      </w:r>
    </w:p>
    <w:p w14:paraId="7B8EEA72" w14:textId="77777777" w:rsidR="00EB5F1C" w:rsidRPr="00EB5F1C" w:rsidRDefault="00EB5F1C" w:rsidP="00EB5F1C">
      <w:pPr>
        <w:ind w:left="426"/>
        <w:rPr>
          <w:szCs w:val="20"/>
        </w:rPr>
      </w:pPr>
      <w:r>
        <w:rPr>
          <w:szCs w:val="20"/>
        </w:rPr>
        <w:t>Step 1: L</w:t>
      </w:r>
      <w:r w:rsidRPr="00EB5F1C">
        <w:rPr>
          <w:szCs w:val="20"/>
        </w:rPr>
        <w:t>eukapheresis</w:t>
      </w:r>
    </w:p>
    <w:p w14:paraId="34C51871" w14:textId="77777777" w:rsidR="004E1EC6" w:rsidRPr="00EB5F1C" w:rsidRDefault="00EB5F1C" w:rsidP="0074334F">
      <w:pPr>
        <w:ind w:left="426"/>
        <w:rPr>
          <w:szCs w:val="20"/>
        </w:rPr>
      </w:pPr>
      <w:r>
        <w:rPr>
          <w:szCs w:val="20"/>
        </w:rPr>
        <w:t>L</w:t>
      </w:r>
      <w:r w:rsidRPr="00EB5F1C">
        <w:rPr>
          <w:szCs w:val="20"/>
        </w:rPr>
        <w:t>eukocytes (white blood cells) are collected from the patient at their clinical centre</w:t>
      </w:r>
      <w:r>
        <w:rPr>
          <w:szCs w:val="20"/>
        </w:rPr>
        <w:t xml:space="preserve">. </w:t>
      </w:r>
      <w:r w:rsidRPr="00EB5F1C">
        <w:rPr>
          <w:szCs w:val="20"/>
        </w:rPr>
        <w:t>This is done by leukapheresis, whereby whole blood is withdrawn from the patient, leukocytes are extracted and then the remainder of the blood is transfused back into the patient</w:t>
      </w:r>
      <w:r w:rsidR="00256C35">
        <w:rPr>
          <w:szCs w:val="20"/>
        </w:rPr>
        <w:t xml:space="preserve">. </w:t>
      </w:r>
      <w:r w:rsidR="00F373C0">
        <w:t>Redacted</w:t>
      </w:r>
      <w:r w:rsidRPr="00EB5F1C">
        <w:rPr>
          <w:szCs w:val="20"/>
        </w:rPr>
        <w:t>.</w:t>
      </w:r>
    </w:p>
    <w:p w14:paraId="084778CD" w14:textId="77777777" w:rsidR="00AD2BD9" w:rsidRDefault="00EB5F1C" w:rsidP="001741C6">
      <w:pPr>
        <w:keepNext/>
        <w:keepLines/>
        <w:ind w:left="425"/>
      </w:pPr>
      <w:r>
        <w:rPr>
          <w:szCs w:val="20"/>
        </w:rPr>
        <w:lastRenderedPageBreak/>
        <w:t xml:space="preserve">Step 2: </w:t>
      </w:r>
      <w:r w:rsidR="00B33DCA">
        <w:rPr>
          <w:szCs w:val="20"/>
        </w:rPr>
        <w:t xml:space="preserve">Procurement of </w:t>
      </w:r>
      <w:r w:rsidR="00AD2BD9" w:rsidRPr="00264322">
        <w:t>axicabtagene ciloleucel</w:t>
      </w:r>
      <w:r w:rsidR="00AD2BD9">
        <w:t xml:space="preserve"> </w:t>
      </w:r>
    </w:p>
    <w:p w14:paraId="38F20A78" w14:textId="77777777" w:rsidR="00EB5F1C" w:rsidRPr="00EB5F1C" w:rsidRDefault="00747B27" w:rsidP="001741C6">
      <w:pPr>
        <w:keepNext/>
        <w:keepLines/>
        <w:ind w:left="425"/>
        <w:rPr>
          <w:szCs w:val="20"/>
        </w:rPr>
      </w:pPr>
      <w:r>
        <w:rPr>
          <w:szCs w:val="20"/>
        </w:rPr>
        <w:t>The manufacturing process is undertaken in an off-shore facility in Santa Monic</w:t>
      </w:r>
      <w:r w:rsidR="00A46845">
        <w:rPr>
          <w:szCs w:val="20"/>
        </w:rPr>
        <w:t>a</w:t>
      </w:r>
      <w:r>
        <w:rPr>
          <w:szCs w:val="20"/>
        </w:rPr>
        <w:t xml:space="preserve">, California, USA. The manufacturing process </w:t>
      </w:r>
      <w:r w:rsidR="007735C4">
        <w:rPr>
          <w:szCs w:val="20"/>
        </w:rPr>
        <w:t>involves</w:t>
      </w:r>
      <w:r w:rsidR="00EB5F1C">
        <w:rPr>
          <w:szCs w:val="20"/>
        </w:rPr>
        <w:t xml:space="preserve"> i</w:t>
      </w:r>
      <w:r w:rsidR="00EB5F1C" w:rsidRPr="00EB5F1C">
        <w:rPr>
          <w:szCs w:val="20"/>
        </w:rPr>
        <w:t>solation and activation of T</w:t>
      </w:r>
      <w:r w:rsidR="00A46845">
        <w:rPr>
          <w:szCs w:val="20"/>
        </w:rPr>
        <w:t>-</w:t>
      </w:r>
      <w:r w:rsidR="00EB5F1C" w:rsidRPr="00EB5F1C">
        <w:rPr>
          <w:szCs w:val="20"/>
        </w:rPr>
        <w:t>cells</w:t>
      </w:r>
      <w:r w:rsidR="00EB5F1C">
        <w:rPr>
          <w:szCs w:val="20"/>
        </w:rPr>
        <w:t>, e</w:t>
      </w:r>
      <w:r w:rsidR="00EB5F1C" w:rsidRPr="00EB5F1C">
        <w:rPr>
          <w:szCs w:val="20"/>
        </w:rPr>
        <w:t>ngineering T</w:t>
      </w:r>
      <w:r w:rsidR="00A46845">
        <w:rPr>
          <w:szCs w:val="20"/>
        </w:rPr>
        <w:t>-</w:t>
      </w:r>
      <w:r w:rsidR="00EB5F1C" w:rsidRPr="00EB5F1C">
        <w:rPr>
          <w:szCs w:val="20"/>
        </w:rPr>
        <w:t>cells with</w:t>
      </w:r>
      <w:r w:rsidR="00A46845">
        <w:rPr>
          <w:szCs w:val="20"/>
        </w:rPr>
        <w:t xml:space="preserve"> the</w:t>
      </w:r>
      <w:r w:rsidR="00EB5F1C" w:rsidRPr="00EB5F1C">
        <w:rPr>
          <w:szCs w:val="20"/>
        </w:rPr>
        <w:t xml:space="preserve"> CAR gene</w:t>
      </w:r>
      <w:r w:rsidR="00EB5F1C">
        <w:rPr>
          <w:szCs w:val="20"/>
        </w:rPr>
        <w:t>, and g</w:t>
      </w:r>
      <w:r w:rsidR="00EB5F1C" w:rsidRPr="00EB5F1C">
        <w:rPr>
          <w:szCs w:val="20"/>
        </w:rPr>
        <w:t xml:space="preserve">rowth and expansion </w:t>
      </w:r>
      <w:r w:rsidR="00A46845">
        <w:rPr>
          <w:szCs w:val="20"/>
        </w:rPr>
        <w:t xml:space="preserve">of </w:t>
      </w:r>
      <w:r w:rsidR="00EB5F1C" w:rsidRPr="00EB5F1C">
        <w:rPr>
          <w:szCs w:val="20"/>
        </w:rPr>
        <w:t>engineered T</w:t>
      </w:r>
      <w:r w:rsidR="00A46845">
        <w:rPr>
          <w:szCs w:val="20"/>
        </w:rPr>
        <w:t>-</w:t>
      </w:r>
      <w:r w:rsidR="00EB5F1C" w:rsidRPr="00EB5F1C">
        <w:rPr>
          <w:szCs w:val="20"/>
        </w:rPr>
        <w:t>cells</w:t>
      </w:r>
      <w:r w:rsidR="00EB5F1C">
        <w:rPr>
          <w:szCs w:val="20"/>
        </w:rPr>
        <w:t>.</w:t>
      </w:r>
      <w:r w:rsidR="00A46845">
        <w:rPr>
          <w:szCs w:val="20"/>
        </w:rPr>
        <w:t xml:space="preserve"> The f</w:t>
      </w:r>
      <w:r w:rsidR="00EB5F1C" w:rsidRPr="00EB5F1C">
        <w:rPr>
          <w:szCs w:val="20"/>
        </w:rPr>
        <w:t>inal product is washed, cryopreserved and tested for identity, potency, and adventitious agents.</w:t>
      </w:r>
      <w:r w:rsidR="00EB5F1C">
        <w:rPr>
          <w:szCs w:val="20"/>
        </w:rPr>
        <w:t xml:space="preserve"> </w:t>
      </w:r>
      <w:r w:rsidR="00EB5F1C" w:rsidRPr="00EB5F1C">
        <w:rPr>
          <w:szCs w:val="20"/>
        </w:rPr>
        <w:t xml:space="preserve">After meeting acceptance criteria, the product is </w:t>
      </w:r>
      <w:r w:rsidR="004269BE">
        <w:rPr>
          <w:szCs w:val="20"/>
        </w:rPr>
        <w:t>transported</w:t>
      </w:r>
      <w:r w:rsidR="00EB5F1C" w:rsidRPr="00EB5F1C">
        <w:rPr>
          <w:szCs w:val="20"/>
        </w:rPr>
        <w:t xml:space="preserve"> back to the patient’s clinical centre</w:t>
      </w:r>
      <w:r>
        <w:rPr>
          <w:szCs w:val="20"/>
        </w:rPr>
        <w:t xml:space="preserve"> in Australia</w:t>
      </w:r>
      <w:r w:rsidR="00EB5F1C" w:rsidRPr="00EB5F1C">
        <w:rPr>
          <w:szCs w:val="20"/>
        </w:rPr>
        <w:t xml:space="preserve"> using a validated cryo-shipper.</w:t>
      </w:r>
    </w:p>
    <w:p w14:paraId="388867B3" w14:textId="77777777" w:rsidR="00EB5F1C" w:rsidRPr="00EB5F1C" w:rsidRDefault="007735C4" w:rsidP="00EB5F1C">
      <w:pPr>
        <w:ind w:left="426"/>
        <w:rPr>
          <w:szCs w:val="20"/>
        </w:rPr>
      </w:pPr>
      <w:r>
        <w:rPr>
          <w:szCs w:val="20"/>
        </w:rPr>
        <w:t xml:space="preserve">Step 3: </w:t>
      </w:r>
      <w:r w:rsidR="00901BB5">
        <w:rPr>
          <w:szCs w:val="20"/>
        </w:rPr>
        <w:t xml:space="preserve">Lymphodepleting </w:t>
      </w:r>
      <w:r w:rsidR="00EB5F1C" w:rsidRPr="00EB5F1C">
        <w:rPr>
          <w:szCs w:val="20"/>
        </w:rPr>
        <w:t>chemotherapy</w:t>
      </w:r>
    </w:p>
    <w:p w14:paraId="63FF0A27" w14:textId="77777777" w:rsidR="00EB5F1C" w:rsidRDefault="00EB5F1C" w:rsidP="00EB5F1C">
      <w:pPr>
        <w:ind w:left="426"/>
        <w:rPr>
          <w:szCs w:val="20"/>
        </w:rPr>
      </w:pPr>
      <w:r w:rsidRPr="00EB5F1C">
        <w:rPr>
          <w:szCs w:val="20"/>
        </w:rPr>
        <w:t xml:space="preserve">Prior to infusion, patients are treated with low-dose </w:t>
      </w:r>
      <w:r w:rsidR="005B5CE2">
        <w:rPr>
          <w:szCs w:val="20"/>
        </w:rPr>
        <w:t>lymphodepleting</w:t>
      </w:r>
      <w:r w:rsidRPr="00EB5F1C">
        <w:rPr>
          <w:szCs w:val="20"/>
        </w:rPr>
        <w:t xml:space="preserve"> chemotherapy </w:t>
      </w:r>
      <w:r w:rsidR="00A46845">
        <w:rPr>
          <w:szCs w:val="20"/>
        </w:rPr>
        <w:t>to</w:t>
      </w:r>
      <w:r w:rsidRPr="00EB5F1C">
        <w:rPr>
          <w:szCs w:val="20"/>
        </w:rPr>
        <w:t xml:space="preserve"> eliminate the patient’s lymphocytes</w:t>
      </w:r>
      <w:r w:rsidR="00A46845">
        <w:rPr>
          <w:szCs w:val="20"/>
        </w:rPr>
        <w:t xml:space="preserve"> and</w:t>
      </w:r>
      <w:r w:rsidRPr="00EB5F1C">
        <w:rPr>
          <w:szCs w:val="20"/>
        </w:rPr>
        <w:t xml:space="preserve"> allow space for the T</w:t>
      </w:r>
      <w:r w:rsidR="00A46845">
        <w:rPr>
          <w:szCs w:val="20"/>
        </w:rPr>
        <w:t>-</w:t>
      </w:r>
      <w:r w:rsidRPr="00EB5F1C">
        <w:rPr>
          <w:szCs w:val="20"/>
        </w:rPr>
        <w:t xml:space="preserve">cells to expand. </w:t>
      </w:r>
      <w:r w:rsidR="005B5CE2">
        <w:rPr>
          <w:szCs w:val="20"/>
        </w:rPr>
        <w:t>Lymphodepleting</w:t>
      </w:r>
      <w:r w:rsidRPr="00EB5F1C">
        <w:rPr>
          <w:szCs w:val="20"/>
        </w:rPr>
        <w:t xml:space="preserve"> chemotherapy consists of fludarabine (30 mg/m</w:t>
      </w:r>
      <w:r w:rsidRPr="00A46845">
        <w:rPr>
          <w:szCs w:val="20"/>
          <w:vertAlign w:val="superscript"/>
        </w:rPr>
        <w:t>2</w:t>
      </w:r>
      <w:r w:rsidRPr="00EB5F1C">
        <w:rPr>
          <w:szCs w:val="20"/>
        </w:rPr>
        <w:t>/day) plus cyclophosphamide (500 mg/m</w:t>
      </w:r>
      <w:r w:rsidRPr="00A46845">
        <w:rPr>
          <w:szCs w:val="20"/>
          <w:vertAlign w:val="superscript"/>
        </w:rPr>
        <w:t>2</w:t>
      </w:r>
      <w:r w:rsidRPr="00EB5F1C">
        <w:rPr>
          <w:szCs w:val="20"/>
        </w:rPr>
        <w:t xml:space="preserve">/day) for three days (on the fifth, fourth, and third day before the infusion of </w:t>
      </w:r>
      <w:r w:rsidR="00256C35">
        <w:rPr>
          <w:szCs w:val="20"/>
        </w:rPr>
        <w:t>a</w:t>
      </w:r>
      <w:r w:rsidR="00256C35" w:rsidRPr="005123FB">
        <w:rPr>
          <w:szCs w:val="20"/>
        </w:rPr>
        <w:t>xicabtagene ciloleucel</w:t>
      </w:r>
      <w:r w:rsidRPr="00EB5F1C">
        <w:rPr>
          <w:szCs w:val="20"/>
        </w:rPr>
        <w:t xml:space="preserve"> at Day 0).</w:t>
      </w:r>
    </w:p>
    <w:p w14:paraId="4A3568FD" w14:textId="77777777" w:rsidR="00EB5F1C" w:rsidRDefault="007735C4" w:rsidP="00EB5F1C">
      <w:pPr>
        <w:ind w:left="426"/>
        <w:rPr>
          <w:szCs w:val="20"/>
        </w:rPr>
      </w:pPr>
      <w:r>
        <w:rPr>
          <w:szCs w:val="20"/>
        </w:rPr>
        <w:t xml:space="preserve">Step 4: </w:t>
      </w:r>
      <w:r w:rsidR="00EB5F1C">
        <w:rPr>
          <w:szCs w:val="20"/>
        </w:rPr>
        <w:t>Treatment infusion</w:t>
      </w:r>
    </w:p>
    <w:p w14:paraId="7E097E2F" w14:textId="77777777" w:rsidR="00625BF8" w:rsidRDefault="00256C35" w:rsidP="00235FFD">
      <w:pPr>
        <w:ind w:left="426"/>
        <w:rPr>
          <w:szCs w:val="20"/>
        </w:rPr>
      </w:pPr>
      <w:r>
        <w:rPr>
          <w:szCs w:val="20"/>
        </w:rPr>
        <w:t>A</w:t>
      </w:r>
      <w:r w:rsidRPr="005123FB">
        <w:rPr>
          <w:szCs w:val="20"/>
        </w:rPr>
        <w:t>xicabtagene ciloleucel</w:t>
      </w:r>
      <w:r>
        <w:rPr>
          <w:szCs w:val="20"/>
        </w:rPr>
        <w:t xml:space="preserve"> </w:t>
      </w:r>
      <w:r w:rsidR="007735C4" w:rsidRPr="00EB5F1C">
        <w:rPr>
          <w:szCs w:val="20"/>
        </w:rPr>
        <w:t>is a single infusion product. Each bag contains a suspension of anti-CD19 CAR T</w:t>
      </w:r>
      <w:r w:rsidR="00A46845">
        <w:rPr>
          <w:szCs w:val="20"/>
        </w:rPr>
        <w:t>-</w:t>
      </w:r>
      <w:r w:rsidR="007735C4" w:rsidRPr="00EB5F1C">
        <w:rPr>
          <w:szCs w:val="20"/>
        </w:rPr>
        <w:t>cells in approximately 68 m</w:t>
      </w:r>
      <w:r>
        <w:rPr>
          <w:szCs w:val="20"/>
        </w:rPr>
        <w:t>L</w:t>
      </w:r>
      <w:r w:rsidR="007735C4" w:rsidRPr="00EB5F1C">
        <w:rPr>
          <w:szCs w:val="20"/>
        </w:rPr>
        <w:t xml:space="preserve">. </w:t>
      </w:r>
      <w:r>
        <w:rPr>
          <w:szCs w:val="20"/>
        </w:rPr>
        <w:t>A</w:t>
      </w:r>
      <w:r w:rsidRPr="005123FB">
        <w:rPr>
          <w:szCs w:val="20"/>
        </w:rPr>
        <w:t>xicabtagene ciloleucel</w:t>
      </w:r>
      <w:r w:rsidR="00A46845">
        <w:rPr>
          <w:szCs w:val="20"/>
        </w:rPr>
        <w:t xml:space="preserve"> </w:t>
      </w:r>
      <w:r w:rsidR="007735C4">
        <w:rPr>
          <w:szCs w:val="20"/>
        </w:rPr>
        <w:t xml:space="preserve">is delivered via an IV infusion. </w:t>
      </w:r>
    </w:p>
    <w:p w14:paraId="4D3ACDD4" w14:textId="77777777" w:rsidR="00625BF8" w:rsidRDefault="00625BF8" w:rsidP="00235FFD">
      <w:pPr>
        <w:ind w:left="426"/>
      </w:pPr>
      <w:r>
        <w:rPr>
          <w:szCs w:val="20"/>
        </w:rPr>
        <w:t>A</w:t>
      </w:r>
      <w:r w:rsidRPr="005123FB">
        <w:rPr>
          <w:szCs w:val="20"/>
        </w:rPr>
        <w:t>xicabtagene ciloleucel</w:t>
      </w:r>
      <w:r w:rsidRPr="004504E1">
        <w:t xml:space="preserve"> binds to CD19, an antigen expressed on the cell surface of the target lymphoma B cells.</w:t>
      </w:r>
      <w:r>
        <w:t xml:space="preserve"> </w:t>
      </w:r>
      <w:r w:rsidRPr="004504E1">
        <w:t>Following engagement with CD19-expressing target ce</w:t>
      </w:r>
      <w:r>
        <w:t>lls</w:t>
      </w:r>
      <w:r w:rsidRPr="004504E1">
        <w:t xml:space="preserve">, the CD3ζ domain activates the downstream signalling cascade that leads to T-cell activation, proliferation, and acquisition of effector functions, such as cytotoxicity. The intracellular signalling domain of CD28 provides a co-stimulatory signal that works in concert with the primary CD3ζ signal to augment T-cell function, including </w:t>
      </w:r>
      <w:r>
        <w:t>interleukin-2 (</w:t>
      </w:r>
      <w:r w:rsidRPr="004504E1">
        <w:t>IL-2</w:t>
      </w:r>
      <w:r>
        <w:t>)</w:t>
      </w:r>
      <w:r w:rsidRPr="004504E1">
        <w:t xml:space="preserve"> production </w:t>
      </w:r>
      <w:r w:rsidRPr="00CF3776">
        <w:t xml:space="preserve">(Finney et al, 1998). </w:t>
      </w:r>
      <w:r w:rsidRPr="004504E1">
        <w:t xml:space="preserve">Together, these signals act in concert resulting in proliferation of the </w:t>
      </w:r>
      <w:r>
        <w:rPr>
          <w:szCs w:val="20"/>
        </w:rPr>
        <w:t>a</w:t>
      </w:r>
      <w:r w:rsidRPr="005123FB">
        <w:rPr>
          <w:szCs w:val="20"/>
        </w:rPr>
        <w:t>xicabtagene ciloleucel</w:t>
      </w:r>
      <w:r w:rsidRPr="004504E1">
        <w:t xml:space="preserve"> CAR T</w:t>
      </w:r>
      <w:r w:rsidR="0074334F">
        <w:t>-</w:t>
      </w:r>
      <w:r w:rsidRPr="004504E1">
        <w:t>cells and direct killing of target cells. In addition, activated T</w:t>
      </w:r>
      <w:r w:rsidR="0074334F">
        <w:t>-</w:t>
      </w:r>
      <w:r w:rsidRPr="004504E1">
        <w:t>cells secrete cytokines and other molecules that can recruit and activate additional anti</w:t>
      </w:r>
      <w:r w:rsidRPr="004504E1">
        <w:noBreakHyphen/>
        <w:t xml:space="preserve">tumour immune cells </w:t>
      </w:r>
      <w:r w:rsidRPr="00CF3776">
        <w:t>(Restifo et al, 2012).</w:t>
      </w:r>
    </w:p>
    <w:p w14:paraId="63F7287D" w14:textId="77777777" w:rsidR="008237F5" w:rsidRPr="007134C8" w:rsidRDefault="004E5215" w:rsidP="007134C8">
      <w:pPr>
        <w:ind w:left="426"/>
        <w:rPr>
          <w:szCs w:val="20"/>
        </w:rPr>
      </w:pPr>
      <w:r>
        <w:rPr>
          <w:noProof/>
          <w:lang w:eastAsia="en-AU"/>
        </w:rPr>
        <mc:AlternateContent>
          <mc:Choice Requires="wps">
            <w:drawing>
              <wp:anchor distT="0" distB="0" distL="114300" distR="114300" simplePos="0" relativeHeight="251659264" behindDoc="0" locked="0" layoutInCell="1" allowOverlap="1" wp14:anchorId="766B130C" wp14:editId="04C6BD88">
                <wp:simplePos x="0" y="0"/>
                <wp:positionH relativeFrom="column">
                  <wp:posOffset>1026160</wp:posOffset>
                </wp:positionH>
                <wp:positionV relativeFrom="paragraph">
                  <wp:posOffset>92075</wp:posOffset>
                </wp:positionV>
                <wp:extent cx="617220" cy="510540"/>
                <wp:effectExtent l="0" t="0" r="0" b="38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 cy="51054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8200CC" w14:textId="77777777" w:rsidR="00D4288A" w:rsidRPr="00C945AE" w:rsidRDefault="00D4288A" w:rsidP="00C945AE">
                            <w:pPr>
                              <w:spacing w:before="0"/>
                              <w:jc w:val="center"/>
                              <w:rPr>
                                <w:b/>
                                <w:color w:val="548DD4" w:themeColor="text2" w:themeTint="99"/>
                                <w:sz w:val="10"/>
                                <w:lang w:val="en-US"/>
                              </w:rPr>
                            </w:pPr>
                            <w:r w:rsidRPr="00C945AE">
                              <w:rPr>
                                <w:b/>
                                <w:color w:val="548DD4" w:themeColor="text2" w:themeTint="99"/>
                                <w:sz w:val="10"/>
                                <w:lang w:val="en-US"/>
                              </w:rPr>
                              <w:t xml:space="preserve">Same day – Ship cells to </w:t>
                            </w:r>
                            <w:r>
                              <w:rPr>
                                <w:b/>
                                <w:color w:val="548DD4" w:themeColor="text2" w:themeTint="99"/>
                                <w:sz w:val="10"/>
                                <w:lang w:val="en-US"/>
                              </w:rPr>
                              <w:t>M</w:t>
                            </w:r>
                            <w:r w:rsidRPr="00C945AE">
                              <w:rPr>
                                <w:b/>
                                <w:color w:val="548DD4" w:themeColor="text2" w:themeTint="99"/>
                                <w:sz w:val="10"/>
                                <w:lang w:val="en-US"/>
                              </w:rPr>
                              <w:t>anufacturing site in Santa Monica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80.8pt;margin-top:7.25pt;width:48.6pt;height:4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" fillcolor="#f2f2f2 [3052]" stroked="f" strokeweight="2pt">
                <v:path arrowok="t"/>
                <v:textbox>
                  <w:txbxContent>
                    <w:p w:rsidR="00D4288A" w:rsidRPr="00C945AE" w:rsidRDefault="00D4288A" w:rsidP="00C945AE">
                      <w:pPr>
                        <w:spacing w:before="0"/>
                        <w:jc w:val="center"/>
                        <w:rPr>
                          <w:b/>
                          <w:color w:val="548DD4" w:themeColor="text2" w:themeTint="99"/>
                          <w:sz w:val="10"/>
                          <w:lang w:val="en-US"/>
                        </w:rPr>
                      </w:pPr>
                      <w:r w:rsidRPr="00C945AE">
                        <w:rPr>
                          <w:b/>
                          <w:color w:val="548DD4" w:themeColor="text2" w:themeTint="99"/>
                          <w:sz w:val="10"/>
                          <w:lang w:val="en-US"/>
                        </w:rPr>
                        <w:t xml:space="preserve">Same day – Ship cells to </w:t>
                      </w:r>
                      <w:r>
                        <w:rPr>
                          <w:b/>
                          <w:color w:val="548DD4" w:themeColor="text2" w:themeTint="99"/>
                          <w:sz w:val="10"/>
                          <w:lang w:val="en-US"/>
                        </w:rPr>
                        <w:t>M</w:t>
                      </w:r>
                      <w:r w:rsidRPr="00C945AE">
                        <w:rPr>
                          <w:b/>
                          <w:color w:val="548DD4" w:themeColor="text2" w:themeTint="99"/>
                          <w:sz w:val="10"/>
                          <w:lang w:val="en-US"/>
                        </w:rPr>
                        <w:t>anufacturing site in Santa Monica</w:t>
                      </w:r>
                    </w:p>
                  </w:txbxContent>
                </v:textbox>
              </v:rect>
            </w:pict>
          </mc:Fallback>
        </mc:AlternateContent>
      </w:r>
      <w:r w:rsidR="00235FFD">
        <w:rPr>
          <w:noProof/>
          <w:lang w:eastAsia="en-AU"/>
        </w:rPr>
        <w:drawing>
          <wp:inline distT="0" distB="0" distL="0" distR="0" wp14:anchorId="5761BBC8" wp14:editId="5B6DDC65">
            <wp:extent cx="5731510" cy="1303655"/>
            <wp:effectExtent l="0" t="0" r="2540" b="0"/>
            <wp:docPr id="2" name="Picture 2" descr="Picture summary of the proposed process to collect the patients blood, engineer the CAR T-cells and infuse into the pat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stretch>
                      <a:fillRect/>
                    </a:stretch>
                  </pic:blipFill>
                  <pic:spPr>
                    <a:xfrm>
                      <a:off x="0" y="0"/>
                      <a:ext cx="5731510" cy="1303655"/>
                    </a:xfrm>
                    <a:prstGeom prst="rect">
                      <a:avLst/>
                    </a:prstGeom>
                  </pic:spPr>
                </pic:pic>
              </a:graphicData>
            </a:graphic>
          </wp:inline>
        </w:drawing>
      </w:r>
    </w:p>
    <w:p w14:paraId="1BD92186" w14:textId="77777777" w:rsidR="002A6753" w:rsidRPr="00154B00" w:rsidRDefault="002A6753" w:rsidP="00530204">
      <w:pPr>
        <w:pStyle w:val="Heading2"/>
      </w:pPr>
      <w:r w:rsidRPr="00154B00">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p>
    <w:p w14:paraId="73E7CA8C" w14:textId="77777777" w:rsidR="002A6753" w:rsidRPr="00154B00" w:rsidRDefault="003D3AB6" w:rsidP="00E357B9">
      <w:pPr>
        <w:ind w:left="426"/>
        <w:rPr>
          <w:szCs w:val="20"/>
        </w:rPr>
      </w:pPr>
      <w:r>
        <w:t>A</w:t>
      </w:r>
      <w:r w:rsidR="0006683A" w:rsidRPr="00696A2C">
        <w:rPr>
          <w:rFonts w:cs="Calibri"/>
          <w:lang w:eastAsia="en-AU"/>
        </w:rPr>
        <w:t>xicabtagene ciloleucel</w:t>
      </w:r>
      <w:r>
        <w:rPr>
          <w:rFonts w:cs="Calibri"/>
          <w:lang w:eastAsia="en-AU"/>
        </w:rPr>
        <w:t xml:space="preserve"> is not yet TGA registered. However, it is proposed that </w:t>
      </w:r>
      <w:r w:rsidRPr="00696A2C">
        <w:rPr>
          <w:rFonts w:cs="Calibri"/>
          <w:lang w:eastAsia="en-AU"/>
        </w:rPr>
        <w:t>axicabtagene ciloleucel</w:t>
      </w:r>
      <w:r>
        <w:rPr>
          <w:rFonts w:cs="Calibri"/>
          <w:lang w:eastAsia="en-AU"/>
        </w:rPr>
        <w:t xml:space="preserve"> </w:t>
      </w:r>
      <w:r w:rsidR="0006683A">
        <w:rPr>
          <w:rFonts w:cs="Calibri"/>
          <w:lang w:eastAsia="en-AU"/>
        </w:rPr>
        <w:t>will be suppl</w:t>
      </w:r>
      <w:r w:rsidR="0074334F">
        <w:rPr>
          <w:rFonts w:cs="Calibri"/>
          <w:lang w:eastAsia="en-AU"/>
        </w:rPr>
        <w:t>i</w:t>
      </w:r>
      <w:r w:rsidR="0006683A">
        <w:rPr>
          <w:rFonts w:cs="Calibri"/>
          <w:lang w:eastAsia="en-AU"/>
        </w:rPr>
        <w:t>ed as a trademarked class 4 biological product</w:t>
      </w:r>
      <w:r w:rsidR="00A46845">
        <w:rPr>
          <w:rFonts w:cs="Calibri"/>
          <w:lang w:eastAsia="en-AU"/>
        </w:rPr>
        <w:t>;</w:t>
      </w:r>
      <w:r w:rsidR="0006683A">
        <w:rPr>
          <w:rFonts w:cs="Calibri"/>
          <w:lang w:eastAsia="en-AU"/>
        </w:rPr>
        <w:t xml:space="preserve"> </w:t>
      </w:r>
      <w:r w:rsidR="0006683A">
        <w:t>YESCARTA</w:t>
      </w:r>
      <w:r w:rsidR="0006683A">
        <w:rPr>
          <w:rFonts w:cstheme="minorHAnsi"/>
        </w:rPr>
        <w:t>®</w:t>
      </w:r>
      <w:r w:rsidR="00C945AE">
        <w:rPr>
          <w:rFonts w:cstheme="minorHAnsi"/>
        </w:rPr>
        <w:t xml:space="preserve">, </w:t>
      </w:r>
      <w:r w:rsidR="00F373C0">
        <w:t>redacted</w:t>
      </w:r>
      <w:r w:rsidR="0006683A">
        <w:rPr>
          <w:rFonts w:cstheme="minorHAnsi"/>
        </w:rPr>
        <w:t>.</w:t>
      </w:r>
    </w:p>
    <w:p w14:paraId="1E5257E5" w14:textId="77777777" w:rsidR="00C22AD8" w:rsidRPr="00154B00" w:rsidRDefault="00C22AD8" w:rsidP="00530204">
      <w:pPr>
        <w:pStyle w:val="Heading2"/>
      </w:pPr>
      <w:r w:rsidRPr="00154B00">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14:paraId="5802A98E" w14:textId="77777777" w:rsidR="00DF0C51" w:rsidRDefault="0006683A" w:rsidP="00E357B9">
      <w:pPr>
        <w:ind w:left="426"/>
        <w:rPr>
          <w:b/>
          <w:szCs w:val="20"/>
        </w:rPr>
      </w:pPr>
      <w:r>
        <w:t>Not applicable</w:t>
      </w:r>
      <w:r w:rsidR="00235FFD">
        <w:t>.</w:t>
      </w:r>
    </w:p>
    <w:p w14:paraId="792FA3B8" w14:textId="77777777" w:rsidR="006B1B49" w:rsidRPr="00E357B9" w:rsidRDefault="006B1B49" w:rsidP="00530204">
      <w:pPr>
        <w:pStyle w:val="Heading2"/>
      </w:pPr>
      <w:r w:rsidRPr="00154B00">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r w:rsidR="00DF0C51">
        <w:t>i</w:t>
      </w:r>
      <w:r w:rsidR="00812EDD">
        <w:t>.</w:t>
      </w:r>
      <w:r w:rsidR="00DF0C51">
        <w:t xml:space="preserve">e. </w:t>
      </w:r>
      <w:r w:rsidR="00707D4D">
        <w:t xml:space="preserve">accessibility, </w:t>
      </w:r>
      <w:r w:rsidR="00DF0C51" w:rsidRPr="0073597B">
        <w:t>dosage</w:t>
      </w:r>
      <w:r w:rsidR="00DF0C51">
        <w:t>, quantity, duration or frequency</w:t>
      </w:r>
      <w:r w:rsidR="00D30BDC">
        <w:t>)</w:t>
      </w:r>
      <w:r w:rsidR="00AE1188">
        <w:t>:</w:t>
      </w:r>
    </w:p>
    <w:p w14:paraId="33A8C2B4" w14:textId="77777777" w:rsidR="00C945AE" w:rsidRDefault="00F373C0" w:rsidP="00C945AE">
      <w:pPr>
        <w:ind w:left="426"/>
        <w:rPr>
          <w:szCs w:val="20"/>
        </w:rPr>
      </w:pPr>
      <w:bookmarkStart w:id="10" w:name="_Hlk2260554"/>
      <w:r>
        <w:t>Redacted</w:t>
      </w:r>
      <w:r w:rsidR="00BA7C1B">
        <w:rPr>
          <w:rFonts w:cs="Calibri"/>
          <w:lang w:eastAsia="en-AU"/>
        </w:rPr>
        <w:t xml:space="preserve">. </w:t>
      </w:r>
      <w:bookmarkEnd w:id="10"/>
    </w:p>
    <w:p w14:paraId="6C424CC7" w14:textId="77777777" w:rsidR="00791C8D" w:rsidRPr="00C945AE" w:rsidRDefault="00791C8D" w:rsidP="00C945AE">
      <w:pPr>
        <w:pStyle w:val="Heading2"/>
      </w:pPr>
      <w:r w:rsidRPr="00C945AE">
        <w:t xml:space="preserve">If applicable, identify any healthcare resources </w:t>
      </w:r>
      <w:r w:rsidR="007522E3" w:rsidRPr="00C945AE">
        <w:t xml:space="preserve">or other medical services </w:t>
      </w:r>
      <w:r w:rsidRPr="00C945AE">
        <w:t xml:space="preserve">that would need to be delivered </w:t>
      </w:r>
      <w:r w:rsidRPr="00C945AE">
        <w:rPr>
          <w:u w:val="single"/>
        </w:rPr>
        <w:t>at the same time</w:t>
      </w:r>
      <w:r w:rsidRPr="00C945AE">
        <w:t xml:space="preserve"> </w:t>
      </w:r>
      <w:r w:rsidR="00197D29" w:rsidRPr="00C945AE">
        <w:t>as the proposed medical service:</w:t>
      </w:r>
    </w:p>
    <w:p w14:paraId="468862E2" w14:textId="681C7662" w:rsidR="007A7B06" w:rsidRDefault="00244CB2" w:rsidP="00A93B0B">
      <w:pPr>
        <w:spacing w:after="360"/>
        <w:ind w:left="425"/>
      </w:pPr>
      <w:r>
        <w:t>Leukapheresis</w:t>
      </w:r>
      <w:r w:rsidR="00C67F2F">
        <w:t xml:space="preserve">, lymphodepleting chemotherapy and </w:t>
      </w:r>
      <w:r w:rsidR="00BB0A93">
        <w:t>infusion</w:t>
      </w:r>
      <w:r w:rsidR="00C67F2F">
        <w:t xml:space="preserve"> of </w:t>
      </w:r>
      <w:r w:rsidR="003055D7" w:rsidRPr="00696A2C">
        <w:rPr>
          <w:rFonts w:cs="Calibri"/>
          <w:lang w:eastAsia="en-AU"/>
        </w:rPr>
        <w:t>axicabtagene ciloleucel</w:t>
      </w:r>
      <w:r w:rsidR="00352840">
        <w:t xml:space="preserve"> will require</w:t>
      </w:r>
      <w:r w:rsidR="003055D7">
        <w:t xml:space="preserve"> IV administration by a nurse</w:t>
      </w:r>
      <w:r w:rsidR="00C67F2F">
        <w:t xml:space="preserve">. IV infusion of </w:t>
      </w:r>
      <w:r w:rsidR="00C67F2F" w:rsidRPr="00696A2C">
        <w:rPr>
          <w:rFonts w:cs="Calibri"/>
          <w:lang w:eastAsia="en-AU"/>
        </w:rPr>
        <w:t>axicabtagene ciloleucel</w:t>
      </w:r>
      <w:r w:rsidR="00C67F2F">
        <w:rPr>
          <w:rFonts w:cs="Calibri"/>
          <w:lang w:eastAsia="en-AU"/>
        </w:rPr>
        <w:t xml:space="preserve"> will also be undertaken u</w:t>
      </w:r>
      <w:r w:rsidR="003055D7">
        <w:t>nder the supervision of a haematologist or haematological o</w:t>
      </w:r>
      <w:r w:rsidR="00A93B0B">
        <w:t>ncologist in a hospital setting.</w:t>
      </w:r>
      <w:r w:rsidR="003055D7">
        <w:t xml:space="preserve"> </w:t>
      </w:r>
    </w:p>
    <w:p w14:paraId="794643DA" w14:textId="77777777" w:rsidR="00B17E26" w:rsidRPr="00154B00" w:rsidRDefault="00B17E26" w:rsidP="00530204">
      <w:pPr>
        <w:pStyle w:val="Heading2"/>
      </w:pPr>
      <w:r w:rsidRPr="00154B00">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14:paraId="17A5F48A" w14:textId="77777777" w:rsidR="00B17E26" w:rsidRPr="00154B00" w:rsidRDefault="0006683A" w:rsidP="00884E69">
      <w:pPr>
        <w:ind w:left="426"/>
        <w:rPr>
          <w:szCs w:val="20"/>
        </w:rPr>
      </w:pPr>
      <w:r>
        <w:lastRenderedPageBreak/>
        <w:t>Haematologists and haematological oncologists</w:t>
      </w:r>
      <w:r w:rsidR="00B67B8C">
        <w:t>.</w:t>
      </w:r>
    </w:p>
    <w:p w14:paraId="54A30CCD" w14:textId="77777777" w:rsidR="00B17E26" w:rsidRDefault="00B17E26" w:rsidP="00530204">
      <w:pPr>
        <w:pStyle w:val="Heading2"/>
      </w:pPr>
      <w:r w:rsidRPr="00154B00">
        <w:t xml:space="preserve">If applicable, advise whether the proposed medical service could be delegated or referred to another professional </w:t>
      </w:r>
      <w:r w:rsidRPr="0073597B">
        <w:t>for</w:t>
      </w:r>
      <w:r w:rsidRPr="00154B00">
        <w:t xml:space="preserve"> delive</w:t>
      </w:r>
      <w:r w:rsidR="00AE1188">
        <w:t>ry:</w:t>
      </w:r>
    </w:p>
    <w:p w14:paraId="0E2EF6EF" w14:textId="77777777" w:rsidR="005041A6" w:rsidRPr="005041A6" w:rsidRDefault="005041A6" w:rsidP="005041A6">
      <w:pPr>
        <w:ind w:left="360"/>
      </w:pPr>
      <w:r>
        <w:t>Not appropriate.</w:t>
      </w:r>
    </w:p>
    <w:p w14:paraId="3AC3D5DD" w14:textId="77777777" w:rsidR="00EA0E25" w:rsidRPr="00154B00" w:rsidRDefault="00EA0E25" w:rsidP="00530204">
      <w:pPr>
        <w:pStyle w:val="Heading2"/>
      </w:pPr>
      <w:r w:rsidRPr="00154B00">
        <w:t xml:space="preserve">If applicable, </w:t>
      </w:r>
      <w:r w:rsidRPr="0073597B">
        <w:t>specify</w:t>
      </w:r>
      <w:r w:rsidRPr="00154B00">
        <w:t xml:space="preserve"> any proposed limitations on who might deliver the proposed medical service, or who </w:t>
      </w:r>
      <w:r w:rsidR="00AE1188">
        <w:t>might provide a referral for it:</w:t>
      </w:r>
    </w:p>
    <w:p w14:paraId="05F04B1E" w14:textId="77777777" w:rsidR="004312BC" w:rsidRDefault="004312BC" w:rsidP="00E92E45">
      <w:pPr>
        <w:ind w:left="360"/>
        <w:rPr>
          <w:rFonts w:cs="Calibri"/>
          <w:lang w:eastAsia="en-AU"/>
        </w:rPr>
      </w:pPr>
      <w:bookmarkStart w:id="11" w:name="_Hlk2595598"/>
      <w:r>
        <w:rPr>
          <w:rFonts w:cs="Calibri"/>
          <w:lang w:eastAsia="en-AU"/>
        </w:rPr>
        <w:t>A</w:t>
      </w:r>
      <w:r w:rsidRPr="00696A2C">
        <w:rPr>
          <w:rFonts w:cs="Calibri"/>
          <w:lang w:eastAsia="en-AU"/>
        </w:rPr>
        <w:t>xicabtagene ciloleucel</w:t>
      </w:r>
      <w:r w:rsidRPr="003A3D01">
        <w:t xml:space="preserve"> will be prescribed </w:t>
      </w:r>
      <w:r>
        <w:t xml:space="preserve">and delivered </w:t>
      </w:r>
      <w:r w:rsidRPr="003A3D01">
        <w:t>by physicians experienced in the</w:t>
      </w:r>
      <w:r>
        <w:t xml:space="preserve"> </w:t>
      </w:r>
      <w:r w:rsidRPr="003A3D01">
        <w:t>treatment of haematological malignancies</w:t>
      </w:r>
      <w:r>
        <w:t>.</w:t>
      </w:r>
      <w:r w:rsidRPr="003A3D01">
        <w:t xml:space="preserve"> </w:t>
      </w:r>
    </w:p>
    <w:bookmarkEnd w:id="11"/>
    <w:p w14:paraId="6E7E6A7A" w14:textId="77777777" w:rsidR="00EA0E25" w:rsidRPr="00154B00" w:rsidRDefault="00EA0E25" w:rsidP="00530204">
      <w:pPr>
        <w:pStyle w:val="Heading2"/>
      </w:pPr>
      <w:r w:rsidRPr="00154B00">
        <w:t xml:space="preserve">If applicable, advise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14:paraId="02C7CD73" w14:textId="77777777" w:rsidR="00EA0E25" w:rsidRDefault="00F373C0" w:rsidP="004312BC">
      <w:pPr>
        <w:ind w:left="360"/>
      </w:pPr>
      <w:r>
        <w:t>Redacted</w:t>
      </w:r>
      <w:r w:rsidR="009669FF">
        <w:t>.</w:t>
      </w:r>
    </w:p>
    <w:p w14:paraId="46216375" w14:textId="77777777" w:rsidR="005F3F07" w:rsidRDefault="00BB0A93" w:rsidP="00530204">
      <w:pPr>
        <w:pStyle w:val="Heading2"/>
      </w:pPr>
      <w:r>
        <w:t xml:space="preserve"> </w:t>
      </w:r>
      <w:r w:rsidR="000C6B8B" w:rsidRPr="000C6B8B">
        <w:rPr>
          <w:rFonts w:ascii="Arial" w:eastAsiaTheme="minorEastAsia" w:hAnsi="Arial" w:cs="Helvetica"/>
          <w:b w:val="0"/>
          <w:bCs/>
          <w:color w:val="FFFFFF"/>
          <w:kern w:val="24"/>
          <w:sz w:val="40"/>
          <w:szCs w:val="40"/>
          <w:lang w:val="en-US" w:eastAsia="en-AU"/>
        </w:rPr>
        <w:t xml:space="preserve"> </w:t>
      </w:r>
      <w:r w:rsidR="005C3AE7">
        <w:t xml:space="preserve">(a)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all relevant settings)</w:t>
      </w:r>
      <w:r w:rsidR="00AE1188">
        <w:t>:</w:t>
      </w:r>
    </w:p>
    <w:p w14:paraId="09F15F91" w14:textId="77777777" w:rsidR="000A478F" w:rsidRDefault="004B72CA" w:rsidP="000A478F">
      <w:pPr>
        <w:spacing w:before="0" w:after="0"/>
        <w:ind w:left="426"/>
      </w:pPr>
      <w:r>
        <w:rPr>
          <w:szCs w:val="20"/>
        </w:rPr>
        <w:fldChar w:fldCharType="begin">
          <w:ffData>
            <w:name w:val=""/>
            <w:enabled/>
            <w:calcOnExit w:val="0"/>
            <w:checkBox>
              <w:sizeAuto/>
              <w:default w:val="0"/>
            </w:checkBox>
          </w:ffData>
        </w:fldChar>
      </w:r>
      <w:r w:rsidR="0006683A">
        <w:rPr>
          <w:szCs w:val="20"/>
        </w:rPr>
        <w:instrText xml:space="preserve"> FORMCHECKBOX </w:instrText>
      </w:r>
      <w:r w:rsidR="003136F9">
        <w:rPr>
          <w:szCs w:val="20"/>
        </w:rPr>
      </w:r>
      <w:r w:rsidR="003136F9">
        <w:rPr>
          <w:szCs w:val="20"/>
        </w:rPr>
        <w:fldChar w:fldCharType="separate"/>
      </w:r>
      <w:r>
        <w:rPr>
          <w:szCs w:val="20"/>
        </w:rPr>
        <w:fldChar w:fldCharType="end"/>
      </w:r>
      <w:r w:rsidR="000A478F">
        <w:rPr>
          <w:szCs w:val="20"/>
        </w:rPr>
        <w:t xml:space="preserve"> </w:t>
      </w:r>
      <w:r w:rsidR="000A478F">
        <w:t>Inpatient private hospital</w:t>
      </w:r>
    </w:p>
    <w:p w14:paraId="0BEC02EA" w14:textId="77777777" w:rsidR="000A478F" w:rsidRDefault="004B72CA" w:rsidP="000A478F">
      <w:pPr>
        <w:spacing w:before="0" w:after="0"/>
        <w:ind w:left="426"/>
      </w:pPr>
      <w:r>
        <w:rPr>
          <w:szCs w:val="20"/>
        </w:rPr>
        <w:fldChar w:fldCharType="begin">
          <w:ffData>
            <w:name w:val=""/>
            <w:enabled/>
            <w:calcOnExit w:val="0"/>
            <w:checkBox>
              <w:sizeAuto/>
              <w:default w:val="1"/>
            </w:checkBox>
          </w:ffData>
        </w:fldChar>
      </w:r>
      <w:r w:rsidR="0006683A">
        <w:rPr>
          <w:szCs w:val="20"/>
        </w:rPr>
        <w:instrText xml:space="preserve"> FORMCHECKBOX </w:instrText>
      </w:r>
      <w:r w:rsidR="003136F9">
        <w:rPr>
          <w:szCs w:val="20"/>
        </w:rPr>
      </w:r>
      <w:r w:rsidR="003136F9">
        <w:rPr>
          <w:szCs w:val="20"/>
        </w:rPr>
        <w:fldChar w:fldCharType="separate"/>
      </w:r>
      <w:r>
        <w:rPr>
          <w:szCs w:val="20"/>
        </w:rPr>
        <w:fldChar w:fldCharType="end"/>
      </w:r>
      <w:r w:rsidR="000A478F">
        <w:rPr>
          <w:szCs w:val="20"/>
        </w:rPr>
        <w:t xml:space="preserve"> </w:t>
      </w:r>
      <w:r w:rsidR="000A478F">
        <w:t>Inpatient public hospital</w:t>
      </w:r>
    </w:p>
    <w:p w14:paraId="78387830" w14:textId="77777777" w:rsidR="000A478F" w:rsidRDefault="004B72CA" w:rsidP="000A478F">
      <w:pPr>
        <w:spacing w:before="0" w:after="0"/>
        <w:ind w:left="426"/>
      </w:pPr>
      <w:r>
        <w:rPr>
          <w:szCs w:val="20"/>
        </w:rPr>
        <w:fldChar w:fldCharType="begin">
          <w:ffData>
            <w:name w:val=""/>
            <w:enabled/>
            <w:calcOnExit w:val="0"/>
            <w:checkBox>
              <w:sizeAuto/>
              <w:default w:val="1"/>
            </w:checkBox>
          </w:ffData>
        </w:fldChar>
      </w:r>
      <w:r w:rsidR="0006683A">
        <w:rPr>
          <w:szCs w:val="20"/>
        </w:rPr>
        <w:instrText xml:space="preserve"> FORMCHECKBOX </w:instrText>
      </w:r>
      <w:r w:rsidR="003136F9">
        <w:rPr>
          <w:szCs w:val="20"/>
        </w:rPr>
      </w:r>
      <w:r w:rsidR="003136F9">
        <w:rPr>
          <w:szCs w:val="20"/>
        </w:rPr>
        <w:fldChar w:fldCharType="separate"/>
      </w:r>
      <w:r>
        <w:rPr>
          <w:szCs w:val="20"/>
        </w:rPr>
        <w:fldChar w:fldCharType="end"/>
      </w:r>
      <w:r w:rsidR="000A478F">
        <w:rPr>
          <w:szCs w:val="20"/>
        </w:rPr>
        <w:t xml:space="preserve"> </w:t>
      </w:r>
      <w:r w:rsidR="000A478F">
        <w:t>Outpatient clinic</w:t>
      </w:r>
    </w:p>
    <w:p w14:paraId="2967B795" w14:textId="77777777" w:rsidR="000A478F" w:rsidRDefault="004B72CA" w:rsidP="000A478F">
      <w:pPr>
        <w:spacing w:before="0" w:after="0"/>
        <w:ind w:left="426"/>
      </w:pPr>
      <w:r w:rsidRPr="000A5B32">
        <w:rPr>
          <w:szCs w:val="20"/>
        </w:rPr>
        <w:fldChar w:fldCharType="begin">
          <w:ffData>
            <w:name w:val="Check1"/>
            <w:enabled/>
            <w:calcOnExit w:val="0"/>
            <w:checkBox>
              <w:sizeAuto/>
              <w:default w:val="0"/>
            </w:checkBox>
          </w:ffData>
        </w:fldChar>
      </w:r>
      <w:r w:rsidR="000A478F" w:rsidRPr="000A5B32">
        <w:rPr>
          <w:szCs w:val="20"/>
        </w:rPr>
        <w:instrText xml:space="preserve"> FORMCHECKBOX </w:instrText>
      </w:r>
      <w:r w:rsidR="003136F9">
        <w:rPr>
          <w:szCs w:val="20"/>
        </w:rPr>
      </w:r>
      <w:r w:rsidR="003136F9">
        <w:rPr>
          <w:szCs w:val="20"/>
        </w:rPr>
        <w:fldChar w:fldCharType="separate"/>
      </w:r>
      <w:r w:rsidRPr="000A5B32">
        <w:rPr>
          <w:szCs w:val="20"/>
        </w:rPr>
        <w:fldChar w:fldCharType="end"/>
      </w:r>
      <w:r w:rsidR="000A478F">
        <w:rPr>
          <w:szCs w:val="20"/>
        </w:rPr>
        <w:t xml:space="preserve"> </w:t>
      </w:r>
      <w:r w:rsidR="000A478F">
        <w:t>Emergency Department</w:t>
      </w:r>
    </w:p>
    <w:p w14:paraId="0AFAA992" w14:textId="77777777" w:rsidR="000A478F" w:rsidRDefault="004B72CA" w:rsidP="000A478F">
      <w:pPr>
        <w:spacing w:before="0" w:after="0"/>
        <w:ind w:left="426"/>
      </w:pPr>
      <w:r w:rsidRPr="000A5B32">
        <w:rPr>
          <w:szCs w:val="20"/>
        </w:rPr>
        <w:fldChar w:fldCharType="begin">
          <w:ffData>
            <w:name w:val="Check1"/>
            <w:enabled/>
            <w:calcOnExit w:val="0"/>
            <w:checkBox>
              <w:sizeAuto/>
              <w:default w:val="0"/>
            </w:checkBox>
          </w:ffData>
        </w:fldChar>
      </w:r>
      <w:r w:rsidR="000A478F" w:rsidRPr="000A5B32">
        <w:rPr>
          <w:szCs w:val="20"/>
        </w:rPr>
        <w:instrText xml:space="preserve"> FORMCHECKBOX </w:instrText>
      </w:r>
      <w:r w:rsidR="003136F9">
        <w:rPr>
          <w:szCs w:val="20"/>
        </w:rPr>
      </w:r>
      <w:r w:rsidR="003136F9">
        <w:rPr>
          <w:szCs w:val="20"/>
        </w:rPr>
        <w:fldChar w:fldCharType="separate"/>
      </w:r>
      <w:r w:rsidRPr="000A5B32">
        <w:rPr>
          <w:szCs w:val="20"/>
        </w:rPr>
        <w:fldChar w:fldCharType="end"/>
      </w:r>
      <w:r w:rsidR="000A478F">
        <w:rPr>
          <w:szCs w:val="20"/>
        </w:rPr>
        <w:t xml:space="preserve"> </w:t>
      </w:r>
      <w:r w:rsidR="000A478F">
        <w:t>Consulting rooms</w:t>
      </w:r>
    </w:p>
    <w:p w14:paraId="4D4802BB" w14:textId="77777777" w:rsidR="000A478F" w:rsidRDefault="004B72CA" w:rsidP="000A478F">
      <w:pPr>
        <w:spacing w:before="0" w:after="0"/>
        <w:ind w:left="426"/>
      </w:pPr>
      <w:r w:rsidRPr="000A5B32">
        <w:rPr>
          <w:szCs w:val="20"/>
        </w:rPr>
        <w:fldChar w:fldCharType="begin">
          <w:ffData>
            <w:name w:val="Check1"/>
            <w:enabled/>
            <w:calcOnExit w:val="0"/>
            <w:checkBox>
              <w:sizeAuto/>
              <w:default w:val="0"/>
            </w:checkBox>
          </w:ffData>
        </w:fldChar>
      </w:r>
      <w:r w:rsidR="000A478F" w:rsidRPr="000A5B32">
        <w:rPr>
          <w:szCs w:val="20"/>
        </w:rPr>
        <w:instrText xml:space="preserve"> FORMCHECKBOX </w:instrText>
      </w:r>
      <w:r w:rsidR="003136F9">
        <w:rPr>
          <w:szCs w:val="20"/>
        </w:rPr>
      </w:r>
      <w:r w:rsidR="003136F9">
        <w:rPr>
          <w:szCs w:val="20"/>
        </w:rPr>
        <w:fldChar w:fldCharType="separate"/>
      </w:r>
      <w:r w:rsidRPr="000A5B32">
        <w:rPr>
          <w:szCs w:val="20"/>
        </w:rPr>
        <w:fldChar w:fldCharType="end"/>
      </w:r>
      <w:r w:rsidR="000A478F">
        <w:rPr>
          <w:szCs w:val="20"/>
        </w:rPr>
        <w:t xml:space="preserve"> </w:t>
      </w:r>
      <w:r w:rsidR="000A478F">
        <w:t>Day surgery centre</w:t>
      </w:r>
    </w:p>
    <w:p w14:paraId="5E9D9EB7" w14:textId="77777777" w:rsidR="000A478F" w:rsidRDefault="004B72CA" w:rsidP="000A478F">
      <w:pPr>
        <w:spacing w:before="0" w:after="0"/>
        <w:ind w:left="426"/>
      </w:pPr>
      <w:r w:rsidRPr="000A5B32">
        <w:rPr>
          <w:szCs w:val="20"/>
        </w:rPr>
        <w:fldChar w:fldCharType="begin">
          <w:ffData>
            <w:name w:val="Check1"/>
            <w:enabled/>
            <w:calcOnExit w:val="0"/>
            <w:checkBox>
              <w:sizeAuto/>
              <w:default w:val="0"/>
            </w:checkBox>
          </w:ffData>
        </w:fldChar>
      </w:r>
      <w:r w:rsidR="000A478F" w:rsidRPr="000A5B32">
        <w:rPr>
          <w:szCs w:val="20"/>
        </w:rPr>
        <w:instrText xml:space="preserve"> FORMCHECKBOX </w:instrText>
      </w:r>
      <w:r w:rsidR="003136F9">
        <w:rPr>
          <w:szCs w:val="20"/>
        </w:rPr>
      </w:r>
      <w:r w:rsidR="003136F9">
        <w:rPr>
          <w:szCs w:val="20"/>
        </w:rPr>
        <w:fldChar w:fldCharType="separate"/>
      </w:r>
      <w:r w:rsidRPr="000A5B32">
        <w:rPr>
          <w:szCs w:val="20"/>
        </w:rPr>
        <w:fldChar w:fldCharType="end"/>
      </w:r>
      <w:r w:rsidR="000A478F">
        <w:rPr>
          <w:szCs w:val="20"/>
        </w:rPr>
        <w:t xml:space="preserve"> </w:t>
      </w:r>
      <w:r w:rsidR="000A478F">
        <w:t>Residential aged care facility</w:t>
      </w:r>
    </w:p>
    <w:p w14:paraId="5FDECA10" w14:textId="77777777" w:rsidR="000A478F" w:rsidRDefault="004B72CA" w:rsidP="000A478F">
      <w:pPr>
        <w:spacing w:before="0" w:after="0"/>
        <w:ind w:left="426"/>
      </w:pPr>
      <w:r w:rsidRPr="000A5B32">
        <w:rPr>
          <w:szCs w:val="20"/>
        </w:rPr>
        <w:fldChar w:fldCharType="begin">
          <w:ffData>
            <w:name w:val="Check1"/>
            <w:enabled/>
            <w:calcOnExit w:val="0"/>
            <w:checkBox>
              <w:sizeAuto/>
              <w:default w:val="0"/>
            </w:checkBox>
          </w:ffData>
        </w:fldChar>
      </w:r>
      <w:r w:rsidR="000A478F" w:rsidRPr="000A5B32">
        <w:rPr>
          <w:szCs w:val="20"/>
        </w:rPr>
        <w:instrText xml:space="preserve"> FORMCHECKBOX </w:instrText>
      </w:r>
      <w:r w:rsidR="003136F9">
        <w:rPr>
          <w:szCs w:val="20"/>
        </w:rPr>
      </w:r>
      <w:r w:rsidR="003136F9">
        <w:rPr>
          <w:szCs w:val="20"/>
        </w:rPr>
        <w:fldChar w:fldCharType="separate"/>
      </w:r>
      <w:r w:rsidRPr="000A5B32">
        <w:rPr>
          <w:szCs w:val="20"/>
        </w:rPr>
        <w:fldChar w:fldCharType="end"/>
      </w:r>
      <w:r w:rsidR="000A478F">
        <w:rPr>
          <w:szCs w:val="20"/>
        </w:rPr>
        <w:t xml:space="preserve"> </w:t>
      </w:r>
      <w:r w:rsidR="000A478F">
        <w:t>Patient’s home</w:t>
      </w:r>
    </w:p>
    <w:p w14:paraId="00FAC41F" w14:textId="77777777" w:rsidR="000A478F" w:rsidRDefault="004B72CA" w:rsidP="000A478F">
      <w:pPr>
        <w:spacing w:before="0" w:after="0"/>
        <w:ind w:left="426"/>
      </w:pPr>
      <w:r w:rsidRPr="000A5B32">
        <w:rPr>
          <w:szCs w:val="20"/>
        </w:rPr>
        <w:fldChar w:fldCharType="begin">
          <w:ffData>
            <w:name w:val="Check1"/>
            <w:enabled/>
            <w:calcOnExit w:val="0"/>
            <w:checkBox>
              <w:sizeAuto/>
              <w:default w:val="0"/>
            </w:checkBox>
          </w:ffData>
        </w:fldChar>
      </w:r>
      <w:r w:rsidR="000A478F" w:rsidRPr="000A5B32">
        <w:rPr>
          <w:szCs w:val="20"/>
        </w:rPr>
        <w:instrText xml:space="preserve"> FORMCHECKBOX </w:instrText>
      </w:r>
      <w:r w:rsidR="003136F9">
        <w:rPr>
          <w:szCs w:val="20"/>
        </w:rPr>
      </w:r>
      <w:r w:rsidR="003136F9">
        <w:rPr>
          <w:szCs w:val="20"/>
        </w:rPr>
        <w:fldChar w:fldCharType="separate"/>
      </w:r>
      <w:r w:rsidRPr="000A5B32">
        <w:rPr>
          <w:szCs w:val="20"/>
        </w:rPr>
        <w:fldChar w:fldCharType="end"/>
      </w:r>
      <w:r w:rsidR="000A478F">
        <w:rPr>
          <w:szCs w:val="20"/>
        </w:rPr>
        <w:t xml:space="preserve"> </w:t>
      </w:r>
      <w:r w:rsidR="000A478F">
        <w:t>Laboratory</w:t>
      </w:r>
    </w:p>
    <w:p w14:paraId="2F4299DA" w14:textId="77777777" w:rsidR="000A478F" w:rsidRPr="000A478F" w:rsidRDefault="004B72CA" w:rsidP="000A478F">
      <w:pPr>
        <w:spacing w:before="0" w:after="0"/>
        <w:ind w:left="426"/>
      </w:pPr>
      <w:r w:rsidRPr="000A5B32">
        <w:rPr>
          <w:szCs w:val="20"/>
        </w:rPr>
        <w:fldChar w:fldCharType="begin">
          <w:ffData>
            <w:name w:val="Check1"/>
            <w:enabled/>
            <w:calcOnExit w:val="0"/>
            <w:checkBox>
              <w:sizeAuto/>
              <w:default w:val="0"/>
            </w:checkBox>
          </w:ffData>
        </w:fldChar>
      </w:r>
      <w:r w:rsidR="000A478F" w:rsidRPr="000A5B32">
        <w:rPr>
          <w:szCs w:val="20"/>
        </w:rPr>
        <w:instrText xml:space="preserve"> FORMCHECKBOX </w:instrText>
      </w:r>
      <w:r w:rsidR="003136F9">
        <w:rPr>
          <w:szCs w:val="20"/>
        </w:rPr>
      </w:r>
      <w:r w:rsidR="003136F9">
        <w:rPr>
          <w:szCs w:val="20"/>
        </w:rPr>
        <w:fldChar w:fldCharType="separate"/>
      </w:r>
      <w:r w:rsidRPr="000A5B32">
        <w:rPr>
          <w:szCs w:val="20"/>
        </w:rPr>
        <w:fldChar w:fldCharType="end"/>
      </w:r>
      <w:r w:rsidR="000A478F">
        <w:rPr>
          <w:szCs w:val="20"/>
        </w:rPr>
        <w:t xml:space="preserve"> </w:t>
      </w:r>
      <w:r w:rsidR="000A478F">
        <w:t>Other – please specify below</w:t>
      </w:r>
    </w:p>
    <w:p w14:paraId="291509B4" w14:textId="77777777" w:rsidR="003433D1" w:rsidRPr="005C3AE7" w:rsidRDefault="00E048ED" w:rsidP="005C3AE7">
      <w:pPr>
        <w:pStyle w:val="ListParagraph"/>
        <w:numPr>
          <w:ilvl w:val="0"/>
          <w:numId w:val="29"/>
        </w:numPr>
        <w:rPr>
          <w:b/>
          <w:szCs w:val="20"/>
        </w:rPr>
      </w:pPr>
      <w:r w:rsidRPr="005C3AE7">
        <w:rPr>
          <w:b/>
          <w:szCs w:val="20"/>
        </w:rPr>
        <w:t>Where the proposed medical service is provided in more than one setting, please describ</w:t>
      </w:r>
      <w:r w:rsidR="00AE1188" w:rsidRPr="005C3AE7">
        <w:rPr>
          <w:b/>
          <w:szCs w:val="20"/>
        </w:rPr>
        <w:t>e the rationale related to each:</w:t>
      </w:r>
    </w:p>
    <w:p w14:paraId="272204A3" w14:textId="77777777" w:rsidR="000D2BF0" w:rsidRPr="005C0AB9" w:rsidRDefault="00F373C0" w:rsidP="00021CF1">
      <w:pPr>
        <w:ind w:left="720"/>
        <w:rPr>
          <w:strike/>
        </w:rPr>
      </w:pPr>
      <w:r>
        <w:t>Redacted</w:t>
      </w:r>
      <w:r w:rsidR="009669FF" w:rsidRPr="009669FF">
        <w:t>.</w:t>
      </w:r>
    </w:p>
    <w:p w14:paraId="5F18B2EC" w14:textId="77777777" w:rsidR="003E30FB" w:rsidRDefault="003E30FB" w:rsidP="00530204">
      <w:pPr>
        <w:pStyle w:val="Heading2"/>
      </w:pPr>
      <w:r>
        <w:t xml:space="preserve">Is the </w:t>
      </w:r>
      <w:r w:rsidRPr="001B29A1">
        <w:t>proposed</w:t>
      </w:r>
      <w:r>
        <w:t xml:space="preserve"> medical service intended to be entirely rendered in Australia?</w:t>
      </w:r>
    </w:p>
    <w:p w14:paraId="5194F7CA" w14:textId="77777777" w:rsidR="000A478F" w:rsidRDefault="004B72CA" w:rsidP="000A478F">
      <w:pPr>
        <w:spacing w:before="0" w:after="0"/>
        <w:ind w:left="426"/>
        <w:rPr>
          <w:szCs w:val="20"/>
        </w:rPr>
      </w:pPr>
      <w:r>
        <w:rPr>
          <w:szCs w:val="20"/>
        </w:rPr>
        <w:fldChar w:fldCharType="begin">
          <w:ffData>
            <w:name w:val=""/>
            <w:enabled/>
            <w:calcOnExit w:val="0"/>
            <w:checkBox>
              <w:sizeAuto/>
              <w:default w:val="1"/>
            </w:checkBox>
          </w:ffData>
        </w:fldChar>
      </w:r>
      <w:r w:rsidR="0076304D">
        <w:rPr>
          <w:szCs w:val="20"/>
        </w:rPr>
        <w:instrText xml:space="preserve"> FORMCHECKBOX </w:instrText>
      </w:r>
      <w:r w:rsidR="003136F9">
        <w:rPr>
          <w:szCs w:val="20"/>
        </w:rPr>
      </w:r>
      <w:r w:rsidR="003136F9">
        <w:rPr>
          <w:szCs w:val="20"/>
        </w:rPr>
        <w:fldChar w:fldCharType="separate"/>
      </w:r>
      <w:r>
        <w:rPr>
          <w:szCs w:val="20"/>
        </w:rPr>
        <w:fldChar w:fldCharType="end"/>
      </w:r>
      <w:r w:rsidR="000A478F">
        <w:rPr>
          <w:szCs w:val="20"/>
        </w:rPr>
        <w:t xml:space="preserve"> Yes</w:t>
      </w:r>
    </w:p>
    <w:p w14:paraId="5AF2DFB1" w14:textId="77777777" w:rsidR="000A478F" w:rsidRPr="00753C44" w:rsidRDefault="004B72CA" w:rsidP="00194C97">
      <w:pPr>
        <w:spacing w:before="0" w:after="240"/>
        <w:ind w:left="425"/>
        <w:rPr>
          <w:szCs w:val="20"/>
        </w:rPr>
      </w:pPr>
      <w:r>
        <w:rPr>
          <w:szCs w:val="20"/>
        </w:rPr>
        <w:fldChar w:fldCharType="begin">
          <w:ffData>
            <w:name w:val=""/>
            <w:enabled/>
            <w:calcOnExit w:val="0"/>
            <w:checkBox>
              <w:sizeAuto/>
              <w:default w:val="0"/>
            </w:checkBox>
          </w:ffData>
        </w:fldChar>
      </w:r>
      <w:r w:rsidR="0076304D">
        <w:rPr>
          <w:szCs w:val="20"/>
        </w:rPr>
        <w:instrText xml:space="preserve"> FORMCHECKBOX </w:instrText>
      </w:r>
      <w:r w:rsidR="003136F9">
        <w:rPr>
          <w:szCs w:val="20"/>
        </w:rPr>
      </w:r>
      <w:r w:rsidR="003136F9">
        <w:rPr>
          <w:szCs w:val="20"/>
        </w:rPr>
        <w:fldChar w:fldCharType="separate"/>
      </w:r>
      <w:r>
        <w:rPr>
          <w:szCs w:val="20"/>
        </w:rPr>
        <w:fldChar w:fldCharType="end"/>
      </w:r>
      <w:r w:rsidR="000A478F">
        <w:rPr>
          <w:szCs w:val="20"/>
        </w:rPr>
        <w:t xml:space="preserve"> No</w:t>
      </w:r>
      <w:r w:rsidR="00C4696B">
        <w:rPr>
          <w:szCs w:val="20"/>
        </w:rPr>
        <w:t xml:space="preserve"> – please specify below</w:t>
      </w:r>
    </w:p>
    <w:p w14:paraId="69392AA5" w14:textId="4C266C00" w:rsidR="005041A6" w:rsidRPr="00194C97" w:rsidRDefault="00F373C0" w:rsidP="00194C97">
      <w:pPr>
        <w:spacing w:after="360"/>
        <w:ind w:left="357"/>
        <w:rPr>
          <w:szCs w:val="20"/>
        </w:rPr>
      </w:pPr>
      <w:r>
        <w:t>Redacted</w:t>
      </w:r>
      <w:r w:rsidR="00194C97">
        <w:rPr>
          <w:szCs w:val="20"/>
        </w:rPr>
        <w:t>.</w:t>
      </w:r>
    </w:p>
    <w:p w14:paraId="5125E584" w14:textId="77777777" w:rsidR="00E60529" w:rsidRPr="00881F93" w:rsidRDefault="005C3AE7" w:rsidP="005C3AE7">
      <w:pPr>
        <w:pStyle w:val="Subtitle"/>
      </w:pPr>
      <w:r>
        <w:t xml:space="preserve">PART 6c – </w:t>
      </w:r>
      <w:r w:rsidR="00E60529" w:rsidRPr="00881F93">
        <w:t>INFORMATION ABOUT THE COMPARATOR</w:t>
      </w:r>
      <w:r w:rsidR="00A83EC6" w:rsidRPr="00881F93">
        <w:t>(S)</w:t>
      </w:r>
    </w:p>
    <w:p w14:paraId="35E2D02C" w14:textId="77777777" w:rsidR="00E60529" w:rsidRPr="00154B00" w:rsidRDefault="00A83EC6" w:rsidP="00530204">
      <w:pPr>
        <w:pStyle w:val="Heading2"/>
      </w:pPr>
      <w:r w:rsidRPr="00154B00">
        <w:t>Nominate the appropriate comparator(s) for the proposed medical service</w:t>
      </w:r>
      <w:r w:rsidR="00757232">
        <w:t>, i</w:t>
      </w:r>
      <w:r w:rsidR="00D30BDC">
        <w:t>.</w:t>
      </w:r>
      <w:r w:rsidR="000159B9" w:rsidRPr="00154B00">
        <w:t xml:space="preserve">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being available in the Australian health care system (</w:t>
      </w:r>
      <w:r w:rsidR="00757232">
        <w:t xml:space="preserve">including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14:paraId="5958EBF1" w14:textId="77777777" w:rsidR="0051591D" w:rsidRDefault="0051591D" w:rsidP="004269BE">
      <w:pPr>
        <w:ind w:left="360"/>
      </w:pPr>
      <w:r>
        <w:rPr>
          <w:szCs w:val="20"/>
        </w:rPr>
        <w:t>A</w:t>
      </w:r>
      <w:r w:rsidRPr="000572D8">
        <w:rPr>
          <w:szCs w:val="20"/>
        </w:rPr>
        <w:t xml:space="preserve">xicabtagene </w:t>
      </w:r>
      <w:r>
        <w:rPr>
          <w:szCs w:val="20"/>
        </w:rPr>
        <w:t>ciloleucel</w:t>
      </w:r>
      <w:r w:rsidRPr="0051591D">
        <w:t xml:space="preserve"> </w:t>
      </w:r>
      <w:r w:rsidRPr="00264322">
        <w:t>is expected to substitute current clinical practice</w:t>
      </w:r>
      <w:r>
        <w:t xml:space="preserve"> of salvage chemotherapy</w:t>
      </w:r>
      <w:r w:rsidR="006C0051">
        <w:t xml:space="preserve"> for</w:t>
      </w:r>
      <w:r w:rsidR="005C0AB9">
        <w:t xml:space="preserve"> relapsed/refractory </w:t>
      </w:r>
      <w:r w:rsidR="006C0051">
        <w:t>DLBCL,</w:t>
      </w:r>
      <w:r w:rsidR="00E8393C">
        <w:t xml:space="preserve"> </w:t>
      </w:r>
      <w:r w:rsidR="006C0051">
        <w:t>PMBCL and TFL</w:t>
      </w:r>
      <w:r w:rsidR="005C0AB9">
        <w:t xml:space="preserve"> patients eligible for CAR-T therapy</w:t>
      </w:r>
      <w:r>
        <w:t>.</w:t>
      </w:r>
      <w:r w:rsidRPr="0051591D">
        <w:rPr>
          <w:i/>
        </w:rPr>
        <w:t xml:space="preserve"> </w:t>
      </w:r>
    </w:p>
    <w:p w14:paraId="43607316" w14:textId="77777777" w:rsidR="00C52FA0" w:rsidRPr="00F33039" w:rsidRDefault="00A45404" w:rsidP="00026CD1">
      <w:pPr>
        <w:pStyle w:val="ListParagraph"/>
        <w:ind w:left="360"/>
      </w:pPr>
      <w:r>
        <w:t>Redacted</w:t>
      </w:r>
    </w:p>
    <w:p w14:paraId="662BFA77" w14:textId="77777777" w:rsidR="00757232" w:rsidRDefault="00AF5D1E" w:rsidP="00530204">
      <w:pPr>
        <w:pStyle w:val="Heading2"/>
      </w:pPr>
      <w:r w:rsidRPr="00154B00">
        <w:t xml:space="preserve">Does the </w:t>
      </w:r>
      <w:r w:rsidRPr="001B29A1">
        <w:t>medical</w:t>
      </w:r>
      <w:r w:rsidRPr="00154B00">
        <w:t xml:space="preserve"> service that has been nominated as the comparator</w:t>
      </w:r>
      <w:r w:rsidR="000159B9" w:rsidRPr="00154B00">
        <w:t xml:space="preserve"> </w:t>
      </w:r>
      <w:r w:rsidRPr="00154B00">
        <w:t>have an existing MBS item number</w:t>
      </w:r>
      <w:r w:rsidR="00D30BDC">
        <w:t>(s)</w:t>
      </w:r>
      <w:r w:rsidR="00757232">
        <w:t>?</w:t>
      </w:r>
    </w:p>
    <w:p w14:paraId="4034A184" w14:textId="77777777" w:rsidR="00422750" w:rsidRPr="00422750" w:rsidRDefault="00422750" w:rsidP="00CB467D">
      <w:pPr>
        <w:ind w:firstLine="360"/>
      </w:pPr>
      <w:r>
        <w:t>Not applicable</w:t>
      </w:r>
      <w:r w:rsidR="00E8393C">
        <w:t>.</w:t>
      </w:r>
    </w:p>
    <w:p w14:paraId="3E250937" w14:textId="77777777" w:rsidR="006A1038" w:rsidRDefault="004B72CA" w:rsidP="006A1038">
      <w:pPr>
        <w:spacing w:before="0" w:after="0"/>
        <w:ind w:left="426"/>
        <w:rPr>
          <w:szCs w:val="20"/>
        </w:rPr>
      </w:pPr>
      <w:r w:rsidRPr="00753C44">
        <w:rPr>
          <w:szCs w:val="20"/>
        </w:rPr>
        <w:fldChar w:fldCharType="begin">
          <w:ffData>
            <w:name w:val="Check1"/>
            <w:enabled/>
            <w:calcOnExit w:val="0"/>
            <w:checkBox>
              <w:sizeAuto/>
              <w:default w:val="0"/>
            </w:checkBox>
          </w:ffData>
        </w:fldChar>
      </w:r>
      <w:r w:rsidR="006A1038" w:rsidRPr="00753C44">
        <w:rPr>
          <w:szCs w:val="20"/>
        </w:rPr>
        <w:instrText xml:space="preserve"> FORMCHECKBOX </w:instrText>
      </w:r>
      <w:r w:rsidR="003136F9">
        <w:rPr>
          <w:szCs w:val="20"/>
        </w:rPr>
      </w:r>
      <w:r w:rsidR="003136F9">
        <w:rPr>
          <w:szCs w:val="20"/>
        </w:rPr>
        <w:fldChar w:fldCharType="separate"/>
      </w:r>
      <w:r w:rsidRPr="00753C44">
        <w:rPr>
          <w:szCs w:val="20"/>
        </w:rPr>
        <w:fldChar w:fldCharType="end"/>
      </w:r>
      <w:r w:rsidR="006A1038">
        <w:rPr>
          <w:szCs w:val="20"/>
        </w:rPr>
        <w:t xml:space="preserve"> Yes (please provide all relevant MBS item numbers below)</w:t>
      </w:r>
    </w:p>
    <w:p w14:paraId="2DDF48AA" w14:textId="019772B9" w:rsidR="000159B9" w:rsidRDefault="004B72CA" w:rsidP="00194C97">
      <w:pPr>
        <w:spacing w:before="0"/>
        <w:ind w:left="426"/>
        <w:rPr>
          <w:szCs w:val="20"/>
        </w:rPr>
      </w:pPr>
      <w:r>
        <w:rPr>
          <w:szCs w:val="20"/>
        </w:rPr>
        <w:fldChar w:fldCharType="begin">
          <w:ffData>
            <w:name w:val=""/>
            <w:enabled/>
            <w:calcOnExit w:val="0"/>
            <w:checkBox>
              <w:sizeAuto/>
              <w:default w:val="0"/>
            </w:checkBox>
          </w:ffData>
        </w:fldChar>
      </w:r>
      <w:r w:rsidR="00901BB5">
        <w:rPr>
          <w:szCs w:val="20"/>
        </w:rPr>
        <w:instrText xml:space="preserve"> FORMCHECKBOX </w:instrText>
      </w:r>
      <w:r w:rsidR="003136F9">
        <w:rPr>
          <w:szCs w:val="20"/>
        </w:rPr>
      </w:r>
      <w:r w:rsidR="003136F9">
        <w:rPr>
          <w:szCs w:val="20"/>
        </w:rPr>
        <w:fldChar w:fldCharType="separate"/>
      </w:r>
      <w:r>
        <w:rPr>
          <w:szCs w:val="20"/>
        </w:rPr>
        <w:fldChar w:fldCharType="end"/>
      </w:r>
      <w:r w:rsidR="00194C97">
        <w:rPr>
          <w:szCs w:val="20"/>
        </w:rPr>
        <w:t xml:space="preserve"> No</w:t>
      </w:r>
    </w:p>
    <w:p w14:paraId="69F378BF" w14:textId="77777777" w:rsidR="00AF5D1E" w:rsidRPr="00154B00" w:rsidRDefault="00AF5D1E" w:rsidP="00530204">
      <w:pPr>
        <w:pStyle w:val="Heading2"/>
      </w:pPr>
      <w:r w:rsidRPr="00154B00">
        <w:lastRenderedPageBreak/>
        <w:t>Define an</w:t>
      </w:r>
      <w:bookmarkStart w:id="12" w:name="_GoBack"/>
      <w:bookmarkEnd w:id="12"/>
      <w:r w:rsidRPr="00154B00">
        <w:t xml:space="preserve">d </w:t>
      </w:r>
      <w:r w:rsidRPr="001B29A1">
        <w:t>summarise</w:t>
      </w:r>
      <w:r w:rsidRPr="00154B00">
        <w:t xml:space="preserve"> the current cl</w:t>
      </w:r>
      <w:r w:rsidR="00F33F1A" w:rsidRPr="00154B00">
        <w:t xml:space="preserve">inical management pathways that patients may follow </w:t>
      </w:r>
      <w:r w:rsidR="00F33F1A" w:rsidRPr="00154B00">
        <w:rPr>
          <w:i/>
        </w:rPr>
        <w:t>after</w:t>
      </w:r>
      <w:r w:rsidR="00757232">
        <w:t xml:space="preserve"> they receive</w:t>
      </w:r>
      <w:r w:rsidRPr="00154B00">
        <w:t xml:space="preserve"> </w:t>
      </w:r>
      <w:r w:rsidR="00F33F1A" w:rsidRPr="00154B00">
        <w:t xml:space="preserve">the medical service that has been nominated as the comparator </w:t>
      </w:r>
      <w:r w:rsidRPr="00154B00">
        <w:t xml:space="preserve">(supplement this summary with </w:t>
      </w:r>
      <w:r w:rsidR="00F33F1A" w:rsidRPr="00154B00">
        <w:t xml:space="preserve">an easy to follow flowchart </w:t>
      </w:r>
      <w:r w:rsidR="00757232">
        <w:t xml:space="preserve">[as an attachment to the Application Form] </w:t>
      </w:r>
      <w:r w:rsidR="00F33F1A" w:rsidRPr="00154B00">
        <w:t>dep</w:t>
      </w:r>
      <w:r w:rsidRPr="00154B00">
        <w:t>icting the current c</w:t>
      </w:r>
      <w:r w:rsidR="0054594B" w:rsidRPr="00154B00">
        <w:t>linical management pathway</w:t>
      </w:r>
      <w:r w:rsidR="00757232">
        <w:t xml:space="preserve"> </w:t>
      </w:r>
      <w:r w:rsidR="0054594B" w:rsidRPr="00154B00">
        <w:t>that patients may follow from the point of receiving the comparator onwards</w:t>
      </w:r>
      <w:r w:rsidR="00E4321E" w:rsidRPr="00154B00">
        <w:t xml:space="preserve"> including health care resources</w:t>
      </w:r>
      <w:r w:rsidR="00AE1188">
        <w:t>):</w:t>
      </w:r>
    </w:p>
    <w:p w14:paraId="3C6C332B" w14:textId="77777777" w:rsidR="0012508A" w:rsidRDefault="0051591D" w:rsidP="0090748F">
      <w:pPr>
        <w:ind w:left="360"/>
      </w:pPr>
      <w:bookmarkStart w:id="13" w:name="_Hlk2678415"/>
      <w:r>
        <w:t>Following salvage chemotherapy, patients may receive best supportive care (BSC), an allogenic stem cell transplant</w:t>
      </w:r>
      <w:r w:rsidR="006555E5">
        <w:t xml:space="preserve">, further salvage therapy </w:t>
      </w:r>
      <w:r w:rsidR="0012508A">
        <w:t>or enrol in a clinical trial</w:t>
      </w:r>
      <w:r w:rsidR="00F00DD1">
        <w:t xml:space="preserve">. </w:t>
      </w:r>
      <w:bookmarkEnd w:id="13"/>
    </w:p>
    <w:p w14:paraId="1DF3D529" w14:textId="77777777" w:rsidR="003433D1" w:rsidRDefault="00BD44C6" w:rsidP="00E92E45">
      <w:pPr>
        <w:ind w:firstLine="360"/>
        <w:rPr>
          <w:b/>
          <w:szCs w:val="20"/>
        </w:rPr>
      </w:pPr>
      <w:r>
        <w:t xml:space="preserve">These are last line </w:t>
      </w:r>
      <w:r w:rsidR="00683030">
        <w:t xml:space="preserve">treatment options </w:t>
      </w:r>
      <w:r>
        <w:t>and are</w:t>
      </w:r>
      <w:r w:rsidR="00683030">
        <w:t xml:space="preserve"> considered </w:t>
      </w:r>
      <w:r>
        <w:t>largely ineffective.</w:t>
      </w:r>
    </w:p>
    <w:p w14:paraId="2E4545E2" w14:textId="77777777" w:rsidR="00A83EC6" w:rsidRPr="00154B00" w:rsidRDefault="005C3AE7" w:rsidP="00530204">
      <w:pPr>
        <w:pStyle w:val="Heading2"/>
      </w:pPr>
      <w:r>
        <w:t xml:space="preserve">(a) </w:t>
      </w:r>
      <w:r w:rsidR="00CD7A7D" w:rsidRPr="00154B00">
        <w:t xml:space="preserve">Will </w:t>
      </w:r>
      <w:r w:rsidR="00A83EC6" w:rsidRPr="00154B00">
        <w:t xml:space="preserve">the proposed medical service be used in addition to, or instead of, the nominated </w:t>
      </w:r>
      <w:r w:rsidR="00A83EC6" w:rsidRPr="001B29A1">
        <w:t>comparator</w:t>
      </w:r>
      <w:r w:rsidR="00A83EC6" w:rsidRPr="00154B00">
        <w:t>(s)</w:t>
      </w:r>
      <w:r w:rsidR="00D30BDC">
        <w:t>?</w:t>
      </w:r>
    </w:p>
    <w:p w14:paraId="3296CD96" w14:textId="77777777" w:rsidR="001B29A1" w:rsidRDefault="004B72CA" w:rsidP="001B29A1">
      <w:pPr>
        <w:spacing w:before="0" w:after="0"/>
        <w:ind w:left="426"/>
        <w:rPr>
          <w:szCs w:val="20"/>
        </w:rPr>
      </w:pPr>
      <w:r>
        <w:rPr>
          <w:szCs w:val="20"/>
        </w:rPr>
        <w:fldChar w:fldCharType="begin">
          <w:ffData>
            <w:name w:val=""/>
            <w:enabled/>
            <w:calcOnExit w:val="0"/>
            <w:checkBox>
              <w:sizeAuto/>
              <w:default w:val="1"/>
            </w:checkBox>
          </w:ffData>
        </w:fldChar>
      </w:r>
      <w:r w:rsidR="007A3FC2">
        <w:rPr>
          <w:szCs w:val="20"/>
        </w:rPr>
        <w:instrText xml:space="preserve"> FORMCHECKBOX </w:instrText>
      </w:r>
      <w:r w:rsidR="003136F9">
        <w:rPr>
          <w:szCs w:val="20"/>
        </w:rPr>
      </w:r>
      <w:r w:rsidR="003136F9">
        <w:rPr>
          <w:szCs w:val="20"/>
        </w:rPr>
        <w:fldChar w:fldCharType="separate"/>
      </w:r>
      <w:r>
        <w:rPr>
          <w:szCs w:val="20"/>
        </w:rPr>
        <w:fldChar w:fldCharType="end"/>
      </w:r>
      <w:r w:rsidR="001B29A1">
        <w:rPr>
          <w:szCs w:val="20"/>
        </w:rPr>
        <w:t xml:space="preserve"> Yes </w:t>
      </w:r>
    </w:p>
    <w:p w14:paraId="5E59CF34" w14:textId="77777777" w:rsidR="001B29A1" w:rsidRDefault="004B72CA" w:rsidP="001B29A1">
      <w:pPr>
        <w:spacing w:before="0" w:after="0"/>
        <w:ind w:left="426"/>
        <w:rPr>
          <w:szCs w:val="20"/>
        </w:rPr>
      </w:pPr>
      <w:r w:rsidRPr="00753C44">
        <w:rPr>
          <w:szCs w:val="20"/>
        </w:rPr>
        <w:fldChar w:fldCharType="begin">
          <w:ffData>
            <w:name w:val="Check2"/>
            <w:enabled/>
            <w:calcOnExit w:val="0"/>
            <w:checkBox>
              <w:sizeAuto/>
              <w:default w:val="0"/>
            </w:checkBox>
          </w:ffData>
        </w:fldChar>
      </w:r>
      <w:r w:rsidR="001B29A1" w:rsidRPr="00753C44">
        <w:rPr>
          <w:szCs w:val="20"/>
        </w:rPr>
        <w:instrText xml:space="preserve"> FORMCHECKBOX </w:instrText>
      </w:r>
      <w:r w:rsidR="003136F9">
        <w:rPr>
          <w:szCs w:val="20"/>
        </w:rPr>
      </w:r>
      <w:r w:rsidR="003136F9">
        <w:rPr>
          <w:szCs w:val="20"/>
        </w:rPr>
        <w:fldChar w:fldCharType="separate"/>
      </w:r>
      <w:r w:rsidRPr="00753C44">
        <w:rPr>
          <w:szCs w:val="20"/>
        </w:rPr>
        <w:fldChar w:fldCharType="end"/>
      </w:r>
      <w:r w:rsidR="001B29A1">
        <w:rPr>
          <w:szCs w:val="20"/>
        </w:rPr>
        <w:t xml:space="preserve"> No  </w:t>
      </w:r>
    </w:p>
    <w:p w14:paraId="366EE452" w14:textId="77777777" w:rsidR="00E70D86" w:rsidRPr="00154B00" w:rsidRDefault="00E70D86" w:rsidP="005C3AE7">
      <w:pPr>
        <w:pStyle w:val="Heading2"/>
        <w:numPr>
          <w:ilvl w:val="0"/>
          <w:numId w:val="30"/>
        </w:numPr>
      </w:pPr>
      <w:r w:rsidRPr="00154B00">
        <w:t xml:space="preserve">If </w:t>
      </w:r>
      <w:r w:rsidR="00D00122">
        <w:t xml:space="preserve">yes, </w:t>
      </w:r>
      <w:r w:rsidRPr="00154B00">
        <w:t xml:space="preserve">please </w:t>
      </w:r>
      <w:r w:rsidR="00F33F1A" w:rsidRPr="00154B00">
        <w:t xml:space="preserve">outline </w:t>
      </w:r>
      <w:r w:rsidRPr="00154B00">
        <w:t xml:space="preserve">the extent of </w:t>
      </w:r>
      <w:r w:rsidR="00F33F1A" w:rsidRPr="00154B00">
        <w:t xml:space="preserve">which </w:t>
      </w:r>
      <w:r w:rsidR="00D00122">
        <w:t xml:space="preserve">the </w:t>
      </w:r>
      <w:r w:rsidR="00F33F1A" w:rsidRPr="00154B00">
        <w:t xml:space="preserve">current service/comparator is expected to be </w:t>
      </w:r>
      <w:r w:rsidR="00AE1188">
        <w:t>substituted:</w:t>
      </w:r>
    </w:p>
    <w:p w14:paraId="5739DCE1" w14:textId="77777777" w:rsidR="0090724E" w:rsidRDefault="00BD44C6" w:rsidP="00021CF1">
      <w:pPr>
        <w:ind w:left="720"/>
      </w:pPr>
      <w:bookmarkStart w:id="14" w:name="_Hlk2678471"/>
      <w:r>
        <w:rPr>
          <w:szCs w:val="20"/>
        </w:rPr>
        <w:t>A</w:t>
      </w:r>
      <w:r w:rsidRPr="000572D8">
        <w:rPr>
          <w:szCs w:val="20"/>
        </w:rPr>
        <w:t xml:space="preserve">xicabtagene </w:t>
      </w:r>
      <w:r w:rsidR="00507825">
        <w:rPr>
          <w:szCs w:val="20"/>
        </w:rPr>
        <w:t>ciloleucel</w:t>
      </w:r>
      <w:r>
        <w:rPr>
          <w:szCs w:val="20"/>
        </w:rPr>
        <w:t xml:space="preserve"> </w:t>
      </w:r>
      <w:r w:rsidR="006555E5">
        <w:rPr>
          <w:szCs w:val="20"/>
        </w:rPr>
        <w:t xml:space="preserve">will substitute salvage chemotherapy in the </w:t>
      </w:r>
      <w:r w:rsidR="00683030">
        <w:rPr>
          <w:szCs w:val="20"/>
        </w:rPr>
        <w:t xml:space="preserve">current </w:t>
      </w:r>
      <w:r w:rsidR="006555E5">
        <w:rPr>
          <w:szCs w:val="20"/>
        </w:rPr>
        <w:t>treatment algorith</w:t>
      </w:r>
      <w:r w:rsidR="009B669B">
        <w:rPr>
          <w:szCs w:val="20"/>
        </w:rPr>
        <w:t>m.</w:t>
      </w:r>
      <w:r w:rsidR="006555E5">
        <w:rPr>
          <w:szCs w:val="20"/>
        </w:rPr>
        <w:t xml:space="preserve"> </w:t>
      </w:r>
      <w:r w:rsidR="006555E5">
        <w:t xml:space="preserve">BSC, allogenic stem cell transplant, salvage chemotherapy or </w:t>
      </w:r>
      <w:r w:rsidR="004C61D5">
        <w:t>enrolment</w:t>
      </w:r>
      <w:r w:rsidR="006555E5">
        <w:t xml:space="preserve"> in a clinical trial</w:t>
      </w:r>
      <w:r w:rsidR="009B669B">
        <w:t xml:space="preserve"> will remain last line options.</w:t>
      </w:r>
    </w:p>
    <w:bookmarkEnd w:id="14"/>
    <w:p w14:paraId="61DB7B54" w14:textId="77777777" w:rsidR="0054594B" w:rsidRPr="00154B00" w:rsidRDefault="009C03FB" w:rsidP="00530204">
      <w:pPr>
        <w:pStyle w:val="Heading2"/>
      </w:pPr>
      <w:r w:rsidRPr="00154B00">
        <w:t xml:space="preserve">Define and </w:t>
      </w:r>
      <w:r w:rsidRPr="004A0BF4">
        <w:t>summarise</w:t>
      </w:r>
      <w:r w:rsidRPr="00154B00">
        <w:t xml:space="preserve"> how</w:t>
      </w:r>
      <w:r w:rsidR="00F33F1A" w:rsidRPr="00154B00">
        <w:t xml:space="preserve"> curr</w:t>
      </w:r>
      <w:r w:rsidRPr="00154B00">
        <w:t>ent clinical management pathways (from the point of service delivery onwards) are</w:t>
      </w:r>
      <w:r w:rsidR="00F33F1A" w:rsidRPr="00154B00">
        <w:t xml:space="preserve"> expected to </w:t>
      </w:r>
      <w:r w:rsidR="00F33F1A" w:rsidRPr="003A2860">
        <w:t>change</w:t>
      </w:r>
      <w:r w:rsidR="00F33F1A" w:rsidRPr="00154B00">
        <w:t xml:space="preserve"> as a consequence of introducing the proposed medical service </w:t>
      </w:r>
      <w:r w:rsidR="007D2358" w:rsidRPr="00154B00">
        <w:t xml:space="preserve">including variation in health care resources </w:t>
      </w:r>
      <w:r w:rsidRPr="00154B00">
        <w:t>(</w:t>
      </w:r>
      <w:r w:rsidR="002053F2">
        <w:t xml:space="preserve">Refer to </w:t>
      </w:r>
      <w:r w:rsidR="00F33F1A" w:rsidRPr="00154B00">
        <w:t xml:space="preserve">Question </w:t>
      </w:r>
      <w:r w:rsidR="00197D29">
        <w:t>39</w:t>
      </w:r>
      <w:r w:rsidR="00F33F1A" w:rsidRPr="00154B00">
        <w:t xml:space="preserve"> as baseline)</w:t>
      </w:r>
      <w:r w:rsidR="00AE1188">
        <w:t>:</w:t>
      </w:r>
    </w:p>
    <w:p w14:paraId="600C015B" w14:textId="33C8F744" w:rsidR="00320BAC" w:rsidRPr="00194C97" w:rsidRDefault="00BD44C6" w:rsidP="00194C97">
      <w:pPr>
        <w:pStyle w:val="ListParagraph"/>
        <w:spacing w:after="360"/>
        <w:ind w:left="357"/>
        <w:rPr>
          <w:szCs w:val="20"/>
        </w:rPr>
      </w:pPr>
      <w:bookmarkStart w:id="15" w:name="_Hlk2678478"/>
      <w:r>
        <w:rPr>
          <w:szCs w:val="20"/>
        </w:rPr>
        <w:t>If</w:t>
      </w:r>
      <w:r w:rsidR="00076658">
        <w:rPr>
          <w:szCs w:val="20"/>
        </w:rPr>
        <w:t xml:space="preserve"> approved for funding</w:t>
      </w:r>
      <w:r>
        <w:rPr>
          <w:szCs w:val="20"/>
        </w:rPr>
        <w:t xml:space="preserve"> as proposed</w:t>
      </w:r>
      <w:r w:rsidR="00076658">
        <w:rPr>
          <w:szCs w:val="20"/>
        </w:rPr>
        <w:t xml:space="preserve">, </w:t>
      </w:r>
      <w:r w:rsidR="00095DD9">
        <w:rPr>
          <w:szCs w:val="20"/>
        </w:rPr>
        <w:t>a</w:t>
      </w:r>
      <w:r w:rsidR="004A0306" w:rsidRPr="000572D8">
        <w:rPr>
          <w:szCs w:val="20"/>
        </w:rPr>
        <w:t xml:space="preserve">xicabtagene </w:t>
      </w:r>
      <w:r w:rsidR="00507825">
        <w:rPr>
          <w:szCs w:val="20"/>
        </w:rPr>
        <w:t>ciloleucel</w:t>
      </w:r>
      <w:r w:rsidR="00076658">
        <w:rPr>
          <w:szCs w:val="20"/>
        </w:rPr>
        <w:t xml:space="preserve"> will provide </w:t>
      </w:r>
      <w:r w:rsidR="00330C6C">
        <w:rPr>
          <w:szCs w:val="20"/>
        </w:rPr>
        <w:t>a more effective treatment</w:t>
      </w:r>
      <w:r w:rsidR="00076658">
        <w:rPr>
          <w:szCs w:val="20"/>
        </w:rPr>
        <w:t xml:space="preserve"> option</w:t>
      </w:r>
      <w:r w:rsidR="00330C6C">
        <w:rPr>
          <w:szCs w:val="20"/>
        </w:rPr>
        <w:t xml:space="preserve"> compared to salvage chemotherapy</w:t>
      </w:r>
      <w:r>
        <w:rPr>
          <w:szCs w:val="20"/>
        </w:rPr>
        <w:t xml:space="preserve">, </w:t>
      </w:r>
      <w:r w:rsidR="00330C6C">
        <w:rPr>
          <w:szCs w:val="20"/>
        </w:rPr>
        <w:t>delaying or eliminating the need for essentially ineffective last line treatment options</w:t>
      </w:r>
      <w:r>
        <w:rPr>
          <w:szCs w:val="20"/>
        </w:rPr>
        <w:t>.</w:t>
      </w:r>
      <w:r w:rsidR="00330C6C">
        <w:rPr>
          <w:szCs w:val="20"/>
        </w:rPr>
        <w:t xml:space="preserve"> </w:t>
      </w:r>
      <w:r>
        <w:rPr>
          <w:szCs w:val="20"/>
        </w:rPr>
        <w:t>There will be no change to earlier lines of therapy</w:t>
      </w:r>
      <w:r w:rsidR="00076658">
        <w:rPr>
          <w:szCs w:val="20"/>
        </w:rPr>
        <w:t>.</w:t>
      </w:r>
      <w:bookmarkEnd w:id="15"/>
    </w:p>
    <w:p w14:paraId="479CE968" w14:textId="77777777" w:rsidR="00DF0D47" w:rsidRPr="00881F93" w:rsidRDefault="005C3AE7" w:rsidP="00E92E45">
      <w:pPr>
        <w:pStyle w:val="Subtitle"/>
        <w:keepNext/>
        <w:keepLines/>
      </w:pPr>
      <w:r>
        <w:t xml:space="preserve">PART 6d – </w:t>
      </w:r>
      <w:r w:rsidR="00DF0D47" w:rsidRPr="00881F93">
        <w:t xml:space="preserve">INFORMATION ABOUT THE </w:t>
      </w:r>
      <w:r w:rsidR="00CF5AD8" w:rsidRPr="00881F93">
        <w:t xml:space="preserve">CLINICAL </w:t>
      </w:r>
      <w:r w:rsidR="00DF0D47" w:rsidRPr="00881F93">
        <w:t>OUTCOME</w:t>
      </w:r>
    </w:p>
    <w:p w14:paraId="69B32374" w14:textId="77777777" w:rsidR="004E3CC7" w:rsidRPr="001B29A1" w:rsidRDefault="004E3CC7" w:rsidP="00E92E45">
      <w:pPr>
        <w:pStyle w:val="Heading2"/>
        <w:keepNext/>
        <w:keepLines/>
      </w:pPr>
      <w:r w:rsidRPr="001B29A1">
        <w:t>Summarise the clinical claims for the proposed medical service against the appropriate comparator(s), in terms of consequences for health outcomes</w:t>
      </w:r>
      <w:r w:rsidR="00CF5AD8" w:rsidRPr="001B29A1">
        <w:t xml:space="preserve"> (</w:t>
      </w:r>
      <w:r w:rsidR="009F0C02" w:rsidRPr="001B29A1">
        <w:t>comparative benefits and harms)</w:t>
      </w:r>
      <w:r w:rsidR="00AE1188">
        <w:t>:</w:t>
      </w:r>
    </w:p>
    <w:p w14:paraId="18640FD4" w14:textId="77777777" w:rsidR="00B17985" w:rsidRPr="00154B00" w:rsidRDefault="00B17985" w:rsidP="00E92E45">
      <w:pPr>
        <w:keepNext/>
        <w:keepLines/>
        <w:ind w:left="426"/>
        <w:rPr>
          <w:szCs w:val="20"/>
        </w:rPr>
      </w:pPr>
      <w:r w:rsidRPr="007544FA">
        <w:rPr>
          <w:szCs w:val="20"/>
        </w:rPr>
        <w:t xml:space="preserve">Axicabtagene ciloleucel represents a significantly improved treatment option for patients with </w:t>
      </w:r>
      <w:r>
        <w:rPr>
          <w:szCs w:val="20"/>
        </w:rPr>
        <w:t>relapsed/</w:t>
      </w:r>
      <w:r w:rsidRPr="007544FA">
        <w:rPr>
          <w:szCs w:val="20"/>
        </w:rPr>
        <w:t>refractory</w:t>
      </w:r>
      <w:r>
        <w:rPr>
          <w:szCs w:val="20"/>
        </w:rPr>
        <w:t xml:space="preserve"> DLBCL, PMBCL and TFL.</w:t>
      </w:r>
    </w:p>
    <w:p w14:paraId="51C00710" w14:textId="77777777" w:rsidR="009B669B" w:rsidRPr="00DF5F86" w:rsidRDefault="009B669B" w:rsidP="00E92E45">
      <w:pPr>
        <w:keepNext/>
        <w:keepLines/>
        <w:ind w:left="426"/>
      </w:pPr>
      <w:r w:rsidRPr="009B669B">
        <w:rPr>
          <w:szCs w:val="20"/>
          <w:lang w:val="en-GB"/>
        </w:rPr>
        <w:t xml:space="preserve">Primary analysis of the pivotal ZUMA-1 Phase 2 study was conducted after a median follow-up of 8.7 months after </w:t>
      </w:r>
      <w:r>
        <w:rPr>
          <w:szCs w:val="20"/>
        </w:rPr>
        <w:t>a</w:t>
      </w:r>
      <w:r w:rsidRPr="000572D8">
        <w:rPr>
          <w:szCs w:val="20"/>
        </w:rPr>
        <w:t xml:space="preserve">xicabtagene </w:t>
      </w:r>
      <w:r>
        <w:rPr>
          <w:szCs w:val="20"/>
        </w:rPr>
        <w:t>ciloleucel</w:t>
      </w:r>
      <w:r w:rsidRPr="009B669B">
        <w:rPr>
          <w:szCs w:val="20"/>
          <w:lang w:val="en-GB"/>
        </w:rPr>
        <w:t xml:space="preserve"> infusion. </w:t>
      </w:r>
      <w:r w:rsidR="00DF5F86" w:rsidRPr="00DF5F86">
        <w:rPr>
          <w:szCs w:val="20"/>
        </w:rPr>
        <w:t>At the time of the analysis, 44% remained in response, including 39% in CR</w:t>
      </w:r>
      <w:r w:rsidR="00DF5F86">
        <w:rPr>
          <w:szCs w:val="20"/>
        </w:rPr>
        <w:t>.</w:t>
      </w:r>
      <w:r w:rsidRPr="009B669B">
        <w:rPr>
          <w:szCs w:val="20"/>
          <w:lang w:val="en-GB"/>
        </w:rPr>
        <w:t xml:space="preserve"> The median </w:t>
      </w:r>
      <w:r w:rsidR="00771D58">
        <w:rPr>
          <w:szCs w:val="20"/>
          <w:lang w:val="en-GB"/>
        </w:rPr>
        <w:t xml:space="preserve">duration of response (DOR) </w:t>
      </w:r>
      <w:r w:rsidRPr="009B669B">
        <w:rPr>
          <w:szCs w:val="20"/>
          <w:lang w:val="en-GB"/>
        </w:rPr>
        <w:t xml:space="preserve">was 8.2 months, and median DOR had not been reached by patients who were lymphoma-free. </w:t>
      </w:r>
      <w:r w:rsidR="00F373C0">
        <w:t>Redacted</w:t>
      </w:r>
      <w:r w:rsidRPr="009B669B">
        <w:rPr>
          <w:szCs w:val="20"/>
          <w:lang w:val="en-GB"/>
        </w:rPr>
        <w:t>. Median OS had not been reached, with a lower confidence interval of 10.5 months.</w:t>
      </w:r>
      <w:r w:rsidR="00F373C0" w:rsidRPr="00F373C0">
        <w:t xml:space="preserve"> </w:t>
      </w:r>
      <w:r w:rsidR="00F373C0">
        <w:t>Redacted</w:t>
      </w:r>
      <w:r w:rsidRPr="009B669B">
        <w:rPr>
          <w:szCs w:val="20"/>
          <w:lang w:val="en-GB"/>
        </w:rPr>
        <w:t>, and median</w:t>
      </w:r>
      <w:r w:rsidR="00771D58">
        <w:rPr>
          <w:szCs w:val="20"/>
          <w:lang w:val="en-GB"/>
        </w:rPr>
        <w:t xml:space="preserve"> progression free survival (</w:t>
      </w:r>
      <w:r w:rsidRPr="009B669B">
        <w:rPr>
          <w:szCs w:val="20"/>
          <w:lang w:val="en-GB"/>
        </w:rPr>
        <w:t>PFS</w:t>
      </w:r>
      <w:r w:rsidR="00771D58">
        <w:rPr>
          <w:szCs w:val="20"/>
          <w:lang w:val="en-GB"/>
        </w:rPr>
        <w:t>)</w:t>
      </w:r>
      <w:r w:rsidRPr="009B669B">
        <w:rPr>
          <w:szCs w:val="20"/>
          <w:lang w:val="en-GB"/>
        </w:rPr>
        <w:t xml:space="preserve"> was 5.9 months. The safety profile was manageable, and most CRS and </w:t>
      </w:r>
      <w:r w:rsidR="00771D58">
        <w:rPr>
          <w:szCs w:val="20"/>
          <w:lang w:val="en-GB"/>
        </w:rPr>
        <w:t>neurological events (</w:t>
      </w:r>
      <w:r w:rsidRPr="009B669B">
        <w:rPr>
          <w:szCs w:val="20"/>
          <w:lang w:val="en-GB"/>
        </w:rPr>
        <w:t>NE</w:t>
      </w:r>
      <w:r w:rsidR="00771D58">
        <w:rPr>
          <w:szCs w:val="20"/>
          <w:lang w:val="en-GB"/>
        </w:rPr>
        <w:t>)</w:t>
      </w:r>
      <w:r w:rsidRPr="009B669B">
        <w:rPr>
          <w:szCs w:val="20"/>
          <w:lang w:val="en-GB"/>
        </w:rPr>
        <w:t xml:space="preserve"> were reversible (Kite, 2017</w:t>
      </w:r>
      <w:r w:rsidR="00FA48AB">
        <w:rPr>
          <w:szCs w:val="20"/>
          <w:lang w:val="en-GB"/>
        </w:rPr>
        <w:t>A</w:t>
      </w:r>
      <w:r w:rsidRPr="009B669B">
        <w:rPr>
          <w:szCs w:val="20"/>
          <w:lang w:val="en-GB"/>
        </w:rPr>
        <w:t>).</w:t>
      </w:r>
    </w:p>
    <w:p w14:paraId="4EDBE2DA" w14:textId="77777777" w:rsidR="009B669B" w:rsidRDefault="00F373C0" w:rsidP="009B669B">
      <w:pPr>
        <w:ind w:left="426"/>
        <w:rPr>
          <w:szCs w:val="20"/>
          <w:lang w:val="en-GB"/>
        </w:rPr>
      </w:pPr>
      <w:r>
        <w:t>Redacted</w:t>
      </w:r>
      <w:r w:rsidR="009B669B" w:rsidRPr="009B669B">
        <w:rPr>
          <w:szCs w:val="20"/>
          <w:lang w:val="en-GB"/>
        </w:rPr>
        <w:t>. CT imaging also demonstrate</w:t>
      </w:r>
      <w:r w:rsidR="001503D2">
        <w:rPr>
          <w:szCs w:val="20"/>
          <w:lang w:val="en-GB"/>
        </w:rPr>
        <w:t>d</w:t>
      </w:r>
      <w:r w:rsidR="009B669B" w:rsidRPr="009B669B">
        <w:rPr>
          <w:szCs w:val="20"/>
          <w:lang w:val="en-GB"/>
        </w:rPr>
        <w:t xml:space="preserve"> that patients with </w:t>
      </w:r>
      <w:r w:rsidR="00771D58">
        <w:rPr>
          <w:szCs w:val="20"/>
          <w:lang w:val="en-GB"/>
        </w:rPr>
        <w:t>partial response (</w:t>
      </w:r>
      <w:r w:rsidR="009B669B" w:rsidRPr="009B669B">
        <w:rPr>
          <w:szCs w:val="20"/>
          <w:lang w:val="en-GB"/>
        </w:rPr>
        <w:t>PR</w:t>
      </w:r>
      <w:r w:rsidR="00771D58">
        <w:rPr>
          <w:szCs w:val="20"/>
          <w:lang w:val="en-GB"/>
        </w:rPr>
        <w:t>)</w:t>
      </w:r>
      <w:r w:rsidR="009B669B" w:rsidRPr="009B669B">
        <w:rPr>
          <w:szCs w:val="20"/>
          <w:lang w:val="en-GB"/>
        </w:rPr>
        <w:t xml:space="preserve">, </w:t>
      </w:r>
      <w:r w:rsidR="00771D58">
        <w:rPr>
          <w:szCs w:val="20"/>
          <w:lang w:val="en-GB"/>
        </w:rPr>
        <w:t>stable disease (</w:t>
      </w:r>
      <w:r w:rsidR="009B669B" w:rsidRPr="009B669B">
        <w:rPr>
          <w:szCs w:val="20"/>
          <w:lang w:val="en-GB"/>
        </w:rPr>
        <w:t>SD</w:t>
      </w:r>
      <w:r w:rsidR="00771D58">
        <w:rPr>
          <w:szCs w:val="20"/>
          <w:lang w:val="en-GB"/>
        </w:rPr>
        <w:t>)</w:t>
      </w:r>
      <w:r w:rsidR="009B669B" w:rsidRPr="009B669B">
        <w:rPr>
          <w:szCs w:val="20"/>
          <w:lang w:val="en-GB"/>
        </w:rPr>
        <w:t xml:space="preserve"> or </w:t>
      </w:r>
      <w:r w:rsidR="00771D58">
        <w:rPr>
          <w:szCs w:val="20"/>
          <w:lang w:val="en-GB"/>
        </w:rPr>
        <w:t>progressive disease (</w:t>
      </w:r>
      <w:r w:rsidR="009B669B" w:rsidRPr="009B669B">
        <w:rPr>
          <w:szCs w:val="20"/>
          <w:lang w:val="en-GB"/>
        </w:rPr>
        <w:t>PD</w:t>
      </w:r>
      <w:r w:rsidR="00771D58">
        <w:rPr>
          <w:szCs w:val="20"/>
          <w:lang w:val="en-GB"/>
        </w:rPr>
        <w:t>)</w:t>
      </w:r>
      <w:r w:rsidR="009B669B" w:rsidRPr="009B669B">
        <w:rPr>
          <w:szCs w:val="20"/>
          <w:lang w:val="en-GB"/>
        </w:rPr>
        <w:t xml:space="preserve"> following </w:t>
      </w:r>
      <w:r w:rsidR="009B669B">
        <w:rPr>
          <w:szCs w:val="20"/>
        </w:rPr>
        <w:t>a</w:t>
      </w:r>
      <w:r w:rsidR="009B669B" w:rsidRPr="000572D8">
        <w:rPr>
          <w:szCs w:val="20"/>
        </w:rPr>
        <w:t xml:space="preserve">xicabtagene </w:t>
      </w:r>
      <w:r w:rsidR="009B669B">
        <w:rPr>
          <w:szCs w:val="20"/>
        </w:rPr>
        <w:t>ciloleucel</w:t>
      </w:r>
      <w:r w:rsidR="009B669B" w:rsidRPr="009B669B">
        <w:rPr>
          <w:szCs w:val="20"/>
          <w:lang w:val="en-GB"/>
        </w:rPr>
        <w:t xml:space="preserve"> infusion still derive</w:t>
      </w:r>
      <w:r w:rsidR="001503D2">
        <w:rPr>
          <w:szCs w:val="20"/>
          <w:lang w:val="en-GB"/>
        </w:rPr>
        <w:t>d</w:t>
      </w:r>
      <w:r w:rsidR="009B669B" w:rsidRPr="009B669B">
        <w:rPr>
          <w:szCs w:val="20"/>
          <w:lang w:val="en-GB"/>
        </w:rPr>
        <w:t xml:space="preserve"> clinical benefit through improvements in symptoms, such as reductions in tumour load and improvements in skin lesions (Neelapu et al, 2017</w:t>
      </w:r>
      <w:r w:rsidR="00B002B3">
        <w:rPr>
          <w:szCs w:val="20"/>
          <w:lang w:val="en-GB"/>
        </w:rPr>
        <w:t>A</w:t>
      </w:r>
      <w:r w:rsidR="009B669B" w:rsidRPr="009B669B">
        <w:rPr>
          <w:szCs w:val="20"/>
          <w:lang w:val="en-GB"/>
        </w:rPr>
        <w:t>).</w:t>
      </w:r>
    </w:p>
    <w:p w14:paraId="649AB091" w14:textId="77777777" w:rsidR="004F32D8" w:rsidRPr="00CB467D" w:rsidRDefault="004F32D8" w:rsidP="00CB467D">
      <w:pPr>
        <w:ind w:left="426"/>
        <w:rPr>
          <w:szCs w:val="20"/>
        </w:rPr>
      </w:pPr>
      <w:r w:rsidRPr="007544FA">
        <w:rPr>
          <w:szCs w:val="20"/>
        </w:rPr>
        <w:t xml:space="preserve">Consistent response rates were observed in both Cohort 1 (DLBCL; n=77) and Cohort 2 (PMBCL or TFL; n=24) and across covariates including disease stage, age, International Prognostic Index scores, CD19 status, and refractory disease subset. </w:t>
      </w:r>
      <w:r w:rsidR="00F373C0">
        <w:t>Redacted</w:t>
      </w:r>
      <w:r w:rsidRPr="007544FA">
        <w:rPr>
          <w:szCs w:val="20"/>
        </w:rPr>
        <w:t xml:space="preserve">. </w:t>
      </w:r>
    </w:p>
    <w:p w14:paraId="1D748FAE" w14:textId="77777777" w:rsidR="00B002B3" w:rsidRDefault="009B669B" w:rsidP="00B002B3">
      <w:pPr>
        <w:ind w:left="426"/>
        <w:rPr>
          <w:szCs w:val="20"/>
          <w:lang w:val="en-GB"/>
        </w:rPr>
      </w:pPr>
      <w:r w:rsidRPr="009B669B">
        <w:rPr>
          <w:szCs w:val="20"/>
          <w:lang w:val="en-GB"/>
        </w:rPr>
        <w:t xml:space="preserve">An updated analysis was conducted after a median follow-up of 15.4 months after infusion of </w:t>
      </w:r>
      <w:r>
        <w:rPr>
          <w:szCs w:val="20"/>
        </w:rPr>
        <w:t>a</w:t>
      </w:r>
      <w:r w:rsidRPr="000572D8">
        <w:rPr>
          <w:szCs w:val="20"/>
        </w:rPr>
        <w:t xml:space="preserve">xicabtagene </w:t>
      </w:r>
      <w:r>
        <w:rPr>
          <w:szCs w:val="20"/>
        </w:rPr>
        <w:t>ciloleucel</w:t>
      </w:r>
      <w:r w:rsidRPr="009B669B">
        <w:rPr>
          <w:szCs w:val="20"/>
          <w:lang w:val="en-GB"/>
        </w:rPr>
        <w:t xml:space="preserve">, when the 108 patients in the Phase 1 and 2 portions of ZUMA-1 had been followed for a minimum of 1 year. At this time, 42% of patients remained in response and 40% were lymphoma-free. The median time that patients had been in response was now 11.1 months, and median DOR had still not been reached by patients who were lymphoma-free. The updated analysis also showed that 52% of patients were still alive at 18 months. Median OS still had not been reached and the lower </w:t>
      </w:r>
      <w:r w:rsidRPr="009B669B">
        <w:rPr>
          <w:szCs w:val="20"/>
          <w:lang w:val="en-GB"/>
        </w:rPr>
        <w:lastRenderedPageBreak/>
        <w:t xml:space="preserve">confidence interval was now up to 12 months. In addition, 41% of patients had no progression of disease at 15 months, with </w:t>
      </w:r>
      <w:r w:rsidR="004F32D8" w:rsidRPr="009B669B">
        <w:rPr>
          <w:szCs w:val="20"/>
          <w:lang w:val="en-GB"/>
        </w:rPr>
        <w:t>a median</w:t>
      </w:r>
      <w:r w:rsidRPr="009B669B">
        <w:rPr>
          <w:szCs w:val="20"/>
          <w:lang w:val="en-GB"/>
        </w:rPr>
        <w:t xml:space="preserve"> PFS of 5.8 months. The safety profile was again manageable, with no new </w:t>
      </w:r>
      <w:r>
        <w:rPr>
          <w:szCs w:val="20"/>
        </w:rPr>
        <w:t>a</w:t>
      </w:r>
      <w:r w:rsidRPr="000572D8">
        <w:rPr>
          <w:szCs w:val="20"/>
        </w:rPr>
        <w:t xml:space="preserve">xicabtagene </w:t>
      </w:r>
      <w:r>
        <w:rPr>
          <w:szCs w:val="20"/>
        </w:rPr>
        <w:t>ciloleucel</w:t>
      </w:r>
      <w:r w:rsidRPr="009B669B">
        <w:rPr>
          <w:szCs w:val="20"/>
          <w:lang w:val="en-GB"/>
        </w:rPr>
        <w:t>-related adverse events associated with CRS or NE, and there were no additional deaths from adverse events arising after the primary analysis (Neelapu et al, 2017B).</w:t>
      </w:r>
    </w:p>
    <w:p w14:paraId="1BB8DA5C" w14:textId="77777777" w:rsidR="000955BD" w:rsidRPr="000955BD" w:rsidRDefault="000955BD" w:rsidP="000955BD">
      <w:pPr>
        <w:ind w:left="426"/>
        <w:rPr>
          <w:szCs w:val="20"/>
        </w:rPr>
      </w:pPr>
      <w:r>
        <w:rPr>
          <w:szCs w:val="20"/>
        </w:rPr>
        <w:t xml:space="preserve">Furthermore, </w:t>
      </w:r>
      <w:r w:rsidR="00066DF9" w:rsidRPr="00E76171">
        <w:rPr>
          <w:rFonts w:ascii="Shaker2Lancet-Regular" w:hAnsi="Shaker2Lancet-Regular" w:cs="Shaker2Lancet-Regular"/>
          <w:szCs w:val="20"/>
        </w:rPr>
        <w:t>long term follow up out to 2 years is now available, extending the median follow up from 15</w:t>
      </w:r>
      <w:r w:rsidR="00F73B53">
        <w:rPr>
          <w:rFonts w:ascii="Shaker2Lancet-Regular" w:hAnsi="Shaker2Lancet-Regular" w:cs="Shaker2Lancet-Regular"/>
          <w:szCs w:val="20"/>
        </w:rPr>
        <w:t>.</w:t>
      </w:r>
      <w:r w:rsidR="00066DF9" w:rsidRPr="00E76171">
        <w:rPr>
          <w:rFonts w:ascii="Shaker2Lancet-Regular" w:hAnsi="Shaker2Lancet-Regular" w:cs="Shaker2Lancet-Regular"/>
          <w:szCs w:val="20"/>
        </w:rPr>
        <w:t>4 months to 27</w:t>
      </w:r>
      <w:r w:rsidR="00F73B53">
        <w:rPr>
          <w:rFonts w:ascii="Shaker2Lancet-Regular" w:hAnsi="Shaker2Lancet-Regular" w:cs="Shaker2Lancet-Regular"/>
          <w:szCs w:val="20"/>
        </w:rPr>
        <w:t>.</w:t>
      </w:r>
      <w:r w:rsidR="00066DF9" w:rsidRPr="00E76171">
        <w:rPr>
          <w:rFonts w:ascii="Shaker2Lancet-Regular" w:hAnsi="Shaker2Lancet-Regular" w:cs="Shaker2Lancet-Regular"/>
          <w:szCs w:val="20"/>
        </w:rPr>
        <w:t>1 months</w:t>
      </w:r>
      <w:r w:rsidR="00066DF9">
        <w:rPr>
          <w:rFonts w:ascii="Shaker2Lancet-Regular" w:hAnsi="Shaker2Lancet-Regular" w:cs="Shaker2Lancet-Regular"/>
          <w:szCs w:val="20"/>
        </w:rPr>
        <w:t xml:space="preserve"> (Locke et al, 2018)</w:t>
      </w:r>
      <w:r w:rsidR="00066DF9" w:rsidRPr="00E76171">
        <w:rPr>
          <w:rFonts w:ascii="Shaker2Lancet-Regular" w:hAnsi="Shaker2Lancet-Regular" w:cs="Shaker2Lancet-Regular"/>
          <w:szCs w:val="20"/>
        </w:rPr>
        <w:t xml:space="preserve">. </w:t>
      </w:r>
      <w:r w:rsidR="00066DF9">
        <w:rPr>
          <w:szCs w:val="20"/>
        </w:rPr>
        <w:t>Results indicate</w:t>
      </w:r>
      <w:r>
        <w:rPr>
          <w:szCs w:val="20"/>
        </w:rPr>
        <w:t xml:space="preserve"> that </w:t>
      </w:r>
      <w:r w:rsidRPr="000955BD">
        <w:rPr>
          <w:szCs w:val="20"/>
        </w:rPr>
        <w:t>single infusion of axicabtagene</w:t>
      </w:r>
      <w:r>
        <w:rPr>
          <w:szCs w:val="20"/>
        </w:rPr>
        <w:t xml:space="preserve"> </w:t>
      </w:r>
      <w:r w:rsidRPr="000955BD">
        <w:rPr>
          <w:szCs w:val="20"/>
        </w:rPr>
        <w:t>ciloleucel achieved durable responses lasting more than</w:t>
      </w:r>
      <w:r>
        <w:rPr>
          <w:szCs w:val="20"/>
        </w:rPr>
        <w:t xml:space="preserve"> </w:t>
      </w:r>
      <w:r w:rsidRPr="000955BD">
        <w:rPr>
          <w:szCs w:val="20"/>
        </w:rPr>
        <w:t>2 years and needed no further consolidation therapy.</w:t>
      </w:r>
      <w:r>
        <w:rPr>
          <w:szCs w:val="20"/>
        </w:rPr>
        <w:t xml:space="preserve"> </w:t>
      </w:r>
      <w:r w:rsidRPr="000955BD">
        <w:rPr>
          <w:szCs w:val="20"/>
        </w:rPr>
        <w:t>Additionally, in this population of patients refractory</w:t>
      </w:r>
      <w:r>
        <w:rPr>
          <w:szCs w:val="20"/>
        </w:rPr>
        <w:t xml:space="preserve"> </w:t>
      </w:r>
      <w:r w:rsidRPr="000955BD">
        <w:rPr>
          <w:szCs w:val="20"/>
        </w:rPr>
        <w:t>to several lines of treatment, which included a large</w:t>
      </w:r>
      <w:r>
        <w:rPr>
          <w:szCs w:val="20"/>
        </w:rPr>
        <w:t xml:space="preserve"> </w:t>
      </w:r>
      <w:r w:rsidRPr="000955BD">
        <w:rPr>
          <w:szCs w:val="20"/>
        </w:rPr>
        <w:t>proportion of patents with activated B-cell-like, double</w:t>
      </w:r>
      <w:r>
        <w:rPr>
          <w:szCs w:val="20"/>
        </w:rPr>
        <w:t xml:space="preserve"> </w:t>
      </w:r>
      <w:r w:rsidRPr="000955BD">
        <w:rPr>
          <w:szCs w:val="20"/>
        </w:rPr>
        <w:t>expressor, and high-grade B-cell lymphoma, outcomes</w:t>
      </w:r>
      <w:r>
        <w:rPr>
          <w:szCs w:val="20"/>
        </w:rPr>
        <w:t xml:space="preserve"> </w:t>
      </w:r>
      <w:r w:rsidRPr="000955BD">
        <w:rPr>
          <w:szCs w:val="20"/>
        </w:rPr>
        <w:t>were similar across all patient subgroups. Median overall</w:t>
      </w:r>
      <w:r>
        <w:rPr>
          <w:szCs w:val="20"/>
        </w:rPr>
        <w:t xml:space="preserve"> </w:t>
      </w:r>
      <w:r w:rsidRPr="000955BD">
        <w:rPr>
          <w:szCs w:val="20"/>
        </w:rPr>
        <w:t>survival was not yet reached at 2 years, with an estimated</w:t>
      </w:r>
      <w:r>
        <w:rPr>
          <w:szCs w:val="20"/>
        </w:rPr>
        <w:t xml:space="preserve"> </w:t>
      </w:r>
      <w:r w:rsidRPr="000955BD">
        <w:rPr>
          <w:szCs w:val="20"/>
        </w:rPr>
        <w:t>24-month survival proportion of 50</w:t>
      </w:r>
      <w:r w:rsidR="00F73B53">
        <w:rPr>
          <w:szCs w:val="20"/>
        </w:rPr>
        <w:t>.</w:t>
      </w:r>
      <w:r w:rsidRPr="000955BD">
        <w:rPr>
          <w:szCs w:val="20"/>
        </w:rPr>
        <w:t>5% (95% CI</w:t>
      </w:r>
      <w:r>
        <w:rPr>
          <w:szCs w:val="20"/>
        </w:rPr>
        <w:t xml:space="preserve"> </w:t>
      </w:r>
      <w:r w:rsidRPr="000955BD">
        <w:rPr>
          <w:szCs w:val="20"/>
        </w:rPr>
        <w:t>40</w:t>
      </w:r>
      <w:r w:rsidR="00F73B53">
        <w:rPr>
          <w:szCs w:val="20"/>
        </w:rPr>
        <w:t>.</w:t>
      </w:r>
      <w:r w:rsidRPr="000955BD">
        <w:rPr>
          <w:szCs w:val="20"/>
        </w:rPr>
        <w:t>2–59</w:t>
      </w:r>
      <w:r w:rsidR="00F73B53">
        <w:rPr>
          <w:szCs w:val="20"/>
        </w:rPr>
        <w:t>.</w:t>
      </w:r>
      <w:r w:rsidRPr="000955BD">
        <w:rPr>
          <w:szCs w:val="20"/>
        </w:rPr>
        <w:t>7)</w:t>
      </w:r>
      <w:r w:rsidR="00066DF9">
        <w:rPr>
          <w:szCs w:val="20"/>
        </w:rPr>
        <w:t xml:space="preserve"> (Locke et al, 2018)</w:t>
      </w:r>
      <w:r w:rsidRPr="000955BD">
        <w:rPr>
          <w:szCs w:val="20"/>
        </w:rPr>
        <w:t xml:space="preserve">. </w:t>
      </w:r>
    </w:p>
    <w:p w14:paraId="1D9DAE3A" w14:textId="77777777" w:rsidR="009B669B" w:rsidRDefault="009B669B" w:rsidP="009B669B">
      <w:pPr>
        <w:ind w:left="426"/>
        <w:rPr>
          <w:szCs w:val="20"/>
          <w:lang w:val="en-GB"/>
        </w:rPr>
      </w:pPr>
      <w:r w:rsidRPr="009B669B">
        <w:rPr>
          <w:szCs w:val="20"/>
          <w:lang w:val="en-GB"/>
        </w:rPr>
        <w:t xml:space="preserve">In contrast, the current standard of care in patients with relapsed/refractory DLBCL, PMBCL and TFL who are ineligible for ASCT affords a median OS of </w:t>
      </w:r>
      <w:r w:rsidR="00477CE0">
        <w:rPr>
          <w:szCs w:val="20"/>
          <w:lang w:val="en-GB"/>
        </w:rPr>
        <w:t>5.1</w:t>
      </w:r>
      <w:r w:rsidRPr="009B669B">
        <w:rPr>
          <w:szCs w:val="20"/>
          <w:lang w:val="en-GB"/>
        </w:rPr>
        <w:t xml:space="preserve"> months (Crump et al, 2017). </w:t>
      </w:r>
      <w:r w:rsidR="00477CE0">
        <w:rPr>
          <w:szCs w:val="20"/>
        </w:rPr>
        <w:t>A</w:t>
      </w:r>
      <w:r w:rsidRPr="000572D8">
        <w:rPr>
          <w:szCs w:val="20"/>
        </w:rPr>
        <w:t xml:space="preserve">xicabtagene </w:t>
      </w:r>
      <w:r>
        <w:rPr>
          <w:szCs w:val="20"/>
        </w:rPr>
        <w:t>ciloleucel</w:t>
      </w:r>
      <w:r w:rsidRPr="009B669B">
        <w:rPr>
          <w:szCs w:val="20"/>
          <w:lang w:val="en-GB"/>
        </w:rPr>
        <w:t xml:space="preserve"> therefore provides a significant step change improvement in survival of patients with relapsed/refractory DLBCL, PMBCL and TFL who are ineligible for ASCT, </w:t>
      </w:r>
      <w:r w:rsidR="00F373C0">
        <w:t>redacted</w:t>
      </w:r>
      <w:r w:rsidRPr="009B669B">
        <w:rPr>
          <w:szCs w:val="20"/>
          <w:lang w:val="en-GB"/>
        </w:rPr>
        <w:t>, and a lower confidence interval for OS that is already 5.7 months longer than that provided by the standard of care (Kite, 2017</w:t>
      </w:r>
      <w:r w:rsidR="00FA48AB">
        <w:rPr>
          <w:szCs w:val="20"/>
          <w:lang w:val="en-GB"/>
        </w:rPr>
        <w:t>A</w:t>
      </w:r>
      <w:r w:rsidRPr="009B669B">
        <w:rPr>
          <w:szCs w:val="20"/>
          <w:lang w:val="en-GB"/>
        </w:rPr>
        <w:t>; Neelapu et al, 2017B).</w:t>
      </w:r>
    </w:p>
    <w:p w14:paraId="4531A064" w14:textId="77777777" w:rsidR="004F32D8" w:rsidRDefault="004F32D8" w:rsidP="004F32D8">
      <w:pPr>
        <w:ind w:left="426"/>
        <w:rPr>
          <w:szCs w:val="20"/>
          <w:lang w:val="en-GB"/>
        </w:rPr>
      </w:pPr>
      <w:r w:rsidRPr="004F32D8">
        <w:rPr>
          <w:szCs w:val="20"/>
          <w:lang w:val="en-GB"/>
        </w:rPr>
        <w:t>The safety profile is well understood, with established protocols in place to manage adverse events, to ensure an acceptable risk-benefit ratio for the indicated population of already very ill patients (Kite, 2017</w:t>
      </w:r>
      <w:r w:rsidR="005401E8">
        <w:rPr>
          <w:szCs w:val="20"/>
          <w:lang w:val="en-GB"/>
        </w:rPr>
        <w:t>A</w:t>
      </w:r>
      <w:r w:rsidRPr="004F32D8">
        <w:rPr>
          <w:szCs w:val="20"/>
          <w:lang w:val="en-GB"/>
        </w:rPr>
        <w:t xml:space="preserve">; Neelapu et al, 2017B). </w:t>
      </w:r>
      <w:r w:rsidR="00F373C0">
        <w:t>Redacted</w:t>
      </w:r>
      <w:r w:rsidRPr="004F32D8">
        <w:rPr>
          <w:szCs w:val="20"/>
          <w:lang w:val="en-GB"/>
        </w:rPr>
        <w:t>.</w:t>
      </w:r>
    </w:p>
    <w:p w14:paraId="1BE2F472" w14:textId="77777777" w:rsidR="00066DF9" w:rsidRPr="0090748F" w:rsidRDefault="00066DF9" w:rsidP="0090748F">
      <w:pPr>
        <w:ind w:left="426"/>
        <w:rPr>
          <w:szCs w:val="20"/>
        </w:rPr>
      </w:pPr>
      <w:r>
        <w:rPr>
          <w:szCs w:val="20"/>
          <w:lang w:val="en-GB"/>
        </w:rPr>
        <w:t xml:space="preserve">The 2 year follow up study with </w:t>
      </w:r>
      <w:r w:rsidRPr="00E76171">
        <w:rPr>
          <w:rFonts w:ascii="Shaker2Lancet-Regular" w:hAnsi="Shaker2Lancet-Regular" w:cs="Shaker2Lancet-Regular"/>
          <w:szCs w:val="20"/>
        </w:rPr>
        <w:t xml:space="preserve">median follow up </w:t>
      </w:r>
      <w:r>
        <w:rPr>
          <w:rFonts w:ascii="Shaker2Lancet-Regular" w:hAnsi="Shaker2Lancet-Regular" w:cs="Shaker2Lancet-Regular"/>
          <w:szCs w:val="20"/>
        </w:rPr>
        <w:t xml:space="preserve">of </w:t>
      </w:r>
      <w:r w:rsidRPr="00E76171">
        <w:rPr>
          <w:rFonts w:ascii="Shaker2Lancet-Regular" w:hAnsi="Shaker2Lancet-Regular" w:cs="Shaker2Lancet-Regular"/>
          <w:szCs w:val="20"/>
        </w:rPr>
        <w:t>27</w:t>
      </w:r>
      <w:r w:rsidR="00F73B53">
        <w:rPr>
          <w:rFonts w:ascii="Shaker2Lancet-Regular" w:hAnsi="Shaker2Lancet-Regular" w:cs="Shaker2Lancet-Regular"/>
          <w:szCs w:val="20"/>
        </w:rPr>
        <w:t>.</w:t>
      </w:r>
      <w:r w:rsidRPr="00E76171">
        <w:rPr>
          <w:rFonts w:ascii="Shaker2Lancet-Regular" w:hAnsi="Shaker2Lancet-Regular" w:cs="Shaker2Lancet-Regular"/>
          <w:szCs w:val="20"/>
        </w:rPr>
        <w:t>1 months</w:t>
      </w:r>
      <w:r>
        <w:rPr>
          <w:rFonts w:ascii="Shaker2Lancet-Regular" w:hAnsi="Shaker2Lancet-Regular" w:cs="Shaker2Lancet-Regular"/>
          <w:szCs w:val="20"/>
        </w:rPr>
        <w:t xml:space="preserve"> </w:t>
      </w:r>
      <w:r>
        <w:rPr>
          <w:szCs w:val="20"/>
          <w:lang w:val="en-GB"/>
        </w:rPr>
        <w:t>showed that a</w:t>
      </w:r>
      <w:r w:rsidRPr="000955BD">
        <w:rPr>
          <w:szCs w:val="20"/>
        </w:rPr>
        <w:t>xicabtagene ciloleucel had a manageable 2-year safety</w:t>
      </w:r>
      <w:r>
        <w:rPr>
          <w:szCs w:val="20"/>
        </w:rPr>
        <w:t xml:space="preserve"> </w:t>
      </w:r>
      <w:r w:rsidRPr="000955BD">
        <w:rPr>
          <w:szCs w:val="20"/>
        </w:rPr>
        <w:t>profile, and late-onset serious adverse events were</w:t>
      </w:r>
      <w:r>
        <w:rPr>
          <w:szCs w:val="20"/>
        </w:rPr>
        <w:t xml:space="preserve"> </w:t>
      </w:r>
      <w:r w:rsidRPr="000955BD">
        <w:rPr>
          <w:szCs w:val="20"/>
        </w:rPr>
        <w:t>uncommon. Importantly, despite targeting of CD19 and</w:t>
      </w:r>
      <w:r>
        <w:rPr>
          <w:szCs w:val="20"/>
        </w:rPr>
        <w:t xml:space="preserve"> </w:t>
      </w:r>
      <w:r w:rsidRPr="000955BD">
        <w:rPr>
          <w:szCs w:val="20"/>
        </w:rPr>
        <w:t>the expected induction of B-cell aplasia, the frequency of</w:t>
      </w:r>
      <w:r>
        <w:rPr>
          <w:szCs w:val="20"/>
        </w:rPr>
        <w:t xml:space="preserve"> </w:t>
      </w:r>
      <w:r w:rsidRPr="000955BD">
        <w:rPr>
          <w:szCs w:val="20"/>
        </w:rPr>
        <w:t>late-onset grade 3 or worse serious infections was low</w:t>
      </w:r>
      <w:r>
        <w:rPr>
          <w:szCs w:val="20"/>
        </w:rPr>
        <w:t xml:space="preserve"> (Locke et al, 2018). </w:t>
      </w:r>
    </w:p>
    <w:p w14:paraId="6CC88444" w14:textId="77777777" w:rsidR="00477CE0" w:rsidRPr="007544FA" w:rsidRDefault="00477CE0" w:rsidP="00477CE0">
      <w:pPr>
        <w:ind w:left="426"/>
      </w:pPr>
      <w:r>
        <w:t>In terms of comparison with historical controls, t</w:t>
      </w:r>
      <w:r w:rsidRPr="007544FA">
        <w:t xml:space="preserve">o provide context to the interpretation of results from ZUMA-1, the results of ZUMA-1 are compared with the results of the aforementioned SCHOLAR-1 study (Crump et al, 2017), a patient-level pooled analysis of a population of refractory DLBCL/PMBCL/TFL patients. This population was chosen to match that of the ZUMA-1 patient population with the comparison conducted after adjusting for imbalances in a broader set of prognostic factors. </w:t>
      </w:r>
    </w:p>
    <w:p w14:paraId="63871026" w14:textId="77777777" w:rsidR="007544FA" w:rsidRPr="007544FA" w:rsidRDefault="004F32D8" w:rsidP="007544FA">
      <w:pPr>
        <w:ind w:left="426"/>
        <w:rPr>
          <w:szCs w:val="20"/>
        </w:rPr>
      </w:pPr>
      <w:r>
        <w:t>In summary, c</w:t>
      </w:r>
      <w:r w:rsidR="007544FA" w:rsidRPr="007544FA">
        <w:t xml:space="preserve">ompared with the historical standard of care, treatment with </w:t>
      </w:r>
      <w:r w:rsidR="007544FA" w:rsidRPr="007544FA">
        <w:rPr>
          <w:szCs w:val="20"/>
        </w:rPr>
        <w:t>axicabtagene ciloleucel was estimated to have:</w:t>
      </w:r>
    </w:p>
    <w:p w14:paraId="4F836DED" w14:textId="77777777" w:rsidR="007544FA" w:rsidRPr="007544FA" w:rsidRDefault="007544FA" w:rsidP="007544FA">
      <w:pPr>
        <w:pStyle w:val="ListParagraph"/>
        <w:numPr>
          <w:ilvl w:val="0"/>
          <w:numId w:val="39"/>
        </w:numPr>
        <w:rPr>
          <w:szCs w:val="20"/>
        </w:rPr>
      </w:pPr>
      <w:r w:rsidRPr="007544FA">
        <w:rPr>
          <w:szCs w:val="20"/>
        </w:rPr>
        <w:t xml:space="preserve">~5-fold increase in </w:t>
      </w:r>
      <w:r w:rsidR="00747B27">
        <w:rPr>
          <w:szCs w:val="20"/>
        </w:rPr>
        <w:t>complete response (</w:t>
      </w:r>
      <w:r w:rsidRPr="007544FA">
        <w:rPr>
          <w:szCs w:val="20"/>
        </w:rPr>
        <w:t>CR</w:t>
      </w:r>
      <w:r w:rsidR="00747B27">
        <w:rPr>
          <w:szCs w:val="20"/>
        </w:rPr>
        <w:t>)</w:t>
      </w:r>
      <w:r w:rsidRPr="007544FA">
        <w:rPr>
          <w:szCs w:val="20"/>
        </w:rPr>
        <w:t xml:space="preserve"> rate</w:t>
      </w:r>
    </w:p>
    <w:p w14:paraId="001CFB10" w14:textId="77777777" w:rsidR="007544FA" w:rsidRPr="007544FA" w:rsidRDefault="007544FA" w:rsidP="007544FA">
      <w:pPr>
        <w:pStyle w:val="ListParagraph"/>
        <w:numPr>
          <w:ilvl w:val="0"/>
          <w:numId w:val="39"/>
        </w:numPr>
        <w:rPr>
          <w:szCs w:val="20"/>
        </w:rPr>
      </w:pPr>
      <w:r w:rsidRPr="007544FA">
        <w:rPr>
          <w:szCs w:val="20"/>
        </w:rPr>
        <w:t>72% reduction in the risk of death</w:t>
      </w:r>
    </w:p>
    <w:p w14:paraId="72D83FBE" w14:textId="77777777" w:rsidR="007544FA" w:rsidRPr="00E76171" w:rsidRDefault="007544FA" w:rsidP="007544FA">
      <w:pPr>
        <w:pStyle w:val="ListParagraph"/>
        <w:numPr>
          <w:ilvl w:val="0"/>
          <w:numId w:val="39"/>
        </w:numPr>
      </w:pPr>
      <w:r w:rsidRPr="007544FA">
        <w:rPr>
          <w:szCs w:val="20"/>
        </w:rPr>
        <w:t xml:space="preserve">~3 fold higher </w:t>
      </w:r>
      <w:r w:rsidR="004C61D5" w:rsidRPr="007544FA">
        <w:rPr>
          <w:szCs w:val="20"/>
        </w:rPr>
        <w:t>12-month</w:t>
      </w:r>
      <w:r w:rsidRPr="007544FA">
        <w:rPr>
          <w:szCs w:val="20"/>
        </w:rPr>
        <w:t xml:space="preserve"> </w:t>
      </w:r>
      <w:r w:rsidR="00A03438">
        <w:rPr>
          <w:szCs w:val="20"/>
        </w:rPr>
        <w:t>overall response (</w:t>
      </w:r>
      <w:r w:rsidRPr="007544FA">
        <w:rPr>
          <w:szCs w:val="20"/>
        </w:rPr>
        <w:t>OS</w:t>
      </w:r>
      <w:r w:rsidR="00A03438">
        <w:rPr>
          <w:szCs w:val="20"/>
        </w:rPr>
        <w:t>)</w:t>
      </w:r>
      <w:r w:rsidRPr="007544FA">
        <w:rPr>
          <w:szCs w:val="20"/>
        </w:rPr>
        <w:t xml:space="preserve"> rate (Neelapu et al; 2017</w:t>
      </w:r>
      <w:r w:rsidR="00AF2219">
        <w:rPr>
          <w:szCs w:val="20"/>
        </w:rPr>
        <w:t>C</w:t>
      </w:r>
      <w:r w:rsidRPr="007544FA">
        <w:rPr>
          <w:szCs w:val="20"/>
        </w:rPr>
        <w:t>)</w:t>
      </w:r>
    </w:p>
    <w:p w14:paraId="6D125F4C" w14:textId="77777777" w:rsidR="004E3CC7" w:rsidRPr="00154B00" w:rsidRDefault="004E3CC7" w:rsidP="00530204">
      <w:pPr>
        <w:pStyle w:val="Heading2"/>
      </w:pPr>
      <w:r w:rsidRPr="00154B00">
        <w:t xml:space="preserve">Please advise if the </w:t>
      </w:r>
      <w:r w:rsidR="00CF5AD8" w:rsidRPr="00092580">
        <w:t>overall</w:t>
      </w:r>
      <w:r w:rsidR="00CF5AD8">
        <w:t xml:space="preserve"> </w:t>
      </w:r>
      <w:r w:rsidRPr="00154B00">
        <w:t>clinical claim is for:</w:t>
      </w:r>
    </w:p>
    <w:p w14:paraId="74DED7D3" w14:textId="77777777" w:rsidR="001B29A1" w:rsidRPr="001B29A1" w:rsidRDefault="004B72CA" w:rsidP="001B29A1">
      <w:pPr>
        <w:spacing w:before="0" w:after="0"/>
        <w:ind w:left="426"/>
        <w:rPr>
          <w:szCs w:val="20"/>
        </w:rPr>
      </w:pPr>
      <w:r>
        <w:rPr>
          <w:szCs w:val="20"/>
        </w:rPr>
        <w:fldChar w:fldCharType="begin">
          <w:ffData>
            <w:name w:val=""/>
            <w:enabled/>
            <w:calcOnExit w:val="0"/>
            <w:checkBox>
              <w:sizeAuto/>
              <w:default w:val="1"/>
            </w:checkBox>
          </w:ffData>
        </w:fldChar>
      </w:r>
      <w:r w:rsidR="00402D6E">
        <w:rPr>
          <w:szCs w:val="20"/>
        </w:rPr>
        <w:instrText xml:space="preserve"> FORMCHECKBOX </w:instrText>
      </w:r>
      <w:r w:rsidR="003136F9">
        <w:rPr>
          <w:szCs w:val="20"/>
        </w:rPr>
      </w:r>
      <w:r w:rsidR="003136F9">
        <w:rPr>
          <w:szCs w:val="20"/>
        </w:rPr>
        <w:fldChar w:fldCharType="separate"/>
      </w:r>
      <w:r>
        <w:rPr>
          <w:szCs w:val="20"/>
        </w:rPr>
        <w:fldChar w:fldCharType="end"/>
      </w:r>
      <w:r w:rsidR="001B29A1" w:rsidRPr="001B29A1">
        <w:rPr>
          <w:szCs w:val="20"/>
        </w:rPr>
        <w:t xml:space="preserve"> Superiority</w:t>
      </w:r>
      <w:r w:rsidR="001B29A1" w:rsidRPr="001B29A1">
        <w:rPr>
          <w:szCs w:val="20"/>
        </w:rPr>
        <w:tab/>
      </w:r>
    </w:p>
    <w:p w14:paraId="240AA52D" w14:textId="77777777" w:rsidR="004E3CC7" w:rsidRPr="001B29A1" w:rsidRDefault="004B72CA" w:rsidP="001B29A1">
      <w:pPr>
        <w:spacing w:before="0" w:after="0"/>
        <w:ind w:left="426"/>
        <w:rPr>
          <w:szCs w:val="20"/>
        </w:rPr>
      </w:pPr>
      <w:r w:rsidRPr="001B29A1">
        <w:rPr>
          <w:szCs w:val="20"/>
        </w:rPr>
        <w:fldChar w:fldCharType="begin">
          <w:ffData>
            <w:name w:val="Check1"/>
            <w:enabled/>
            <w:calcOnExit w:val="0"/>
            <w:checkBox>
              <w:sizeAuto/>
              <w:default w:val="0"/>
            </w:checkBox>
          </w:ffData>
        </w:fldChar>
      </w:r>
      <w:r w:rsidR="001B29A1" w:rsidRPr="001B29A1">
        <w:rPr>
          <w:szCs w:val="20"/>
        </w:rPr>
        <w:instrText xml:space="preserve"> FORMCHECKBOX </w:instrText>
      </w:r>
      <w:r w:rsidR="003136F9">
        <w:rPr>
          <w:szCs w:val="20"/>
        </w:rPr>
      </w:r>
      <w:r w:rsidR="003136F9">
        <w:rPr>
          <w:szCs w:val="20"/>
        </w:rPr>
        <w:fldChar w:fldCharType="separate"/>
      </w:r>
      <w:r w:rsidRPr="001B29A1">
        <w:rPr>
          <w:szCs w:val="20"/>
        </w:rPr>
        <w:fldChar w:fldCharType="end"/>
      </w:r>
      <w:r w:rsidR="001B29A1" w:rsidRPr="001B29A1">
        <w:rPr>
          <w:szCs w:val="20"/>
        </w:rPr>
        <w:t xml:space="preserve"> Non-inferiority</w:t>
      </w:r>
      <w:r w:rsidR="001B29A1" w:rsidRPr="001B29A1">
        <w:rPr>
          <w:szCs w:val="20"/>
        </w:rPr>
        <w:tab/>
      </w:r>
    </w:p>
    <w:p w14:paraId="476F7C00" w14:textId="77777777" w:rsidR="00B25D20" w:rsidRPr="00154B00" w:rsidRDefault="001B29A1" w:rsidP="00530204">
      <w:pPr>
        <w:pStyle w:val="Heading2"/>
      </w:pPr>
      <w:r>
        <w:t>Below, l</w:t>
      </w:r>
      <w:r w:rsidR="00B25D20">
        <w:t xml:space="preserve">ist </w:t>
      </w:r>
      <w:r w:rsidR="00B25D20" w:rsidRPr="00B25CFD">
        <w:t xml:space="preserve">the </w:t>
      </w:r>
      <w:r w:rsidR="00B25D20" w:rsidRPr="00092580">
        <w:t>key</w:t>
      </w:r>
      <w:r w:rsidR="00B25D20" w:rsidRPr="00B25CFD">
        <w:t xml:space="preserve"> health outcomes </w:t>
      </w:r>
      <w:r w:rsidR="00707D4D">
        <w:t xml:space="preserve">(major and minor – prioritising major key health outcomes first) </w:t>
      </w:r>
      <w:r w:rsidR="00B25D20" w:rsidRPr="00B25CFD">
        <w:t>that will ne</w:t>
      </w:r>
      <w:r w:rsidR="00AD37D4">
        <w:t xml:space="preserve">ed to be specifically measured </w:t>
      </w:r>
      <w:r w:rsidR="00B25D20" w:rsidRPr="00B25CFD">
        <w:t>in assessing the clinical claim of the proposed medica</w:t>
      </w:r>
      <w:r>
        <w:t>l service versus the comparator</w:t>
      </w:r>
      <w:r w:rsidR="00AD37D4">
        <w:t>:</w:t>
      </w:r>
    </w:p>
    <w:p w14:paraId="1AF4DEE0" w14:textId="77777777" w:rsidR="001B29A1" w:rsidRDefault="001B29A1" w:rsidP="00DD3501">
      <w:pPr>
        <w:pBdr>
          <w:top w:val="single" w:sz="4" w:space="1" w:color="auto"/>
          <w:left w:val="single" w:sz="4" w:space="4" w:color="auto"/>
          <w:bottom w:val="single" w:sz="4" w:space="1" w:color="auto"/>
          <w:right w:val="single" w:sz="4" w:space="4" w:color="auto"/>
        </w:pBdr>
        <w:ind w:left="360"/>
      </w:pPr>
      <w:r w:rsidRPr="001B29A1">
        <w:rPr>
          <w:b/>
          <w:szCs w:val="20"/>
        </w:rPr>
        <w:t>Clinical Effectiveness Outcomes</w:t>
      </w:r>
      <w:r>
        <w:rPr>
          <w:b/>
          <w:szCs w:val="20"/>
        </w:rPr>
        <w:t xml:space="preserve">: </w:t>
      </w:r>
      <w:r w:rsidR="00AF421A">
        <w:t xml:space="preserve">Objective Response Rate (ORR), </w:t>
      </w:r>
      <w:r w:rsidR="00F3599B">
        <w:t xml:space="preserve">complete response (CR) rate, </w:t>
      </w:r>
      <w:r w:rsidR="00AF421A">
        <w:t>Progression Free Survival (PFS), Overall Survival (OS)</w:t>
      </w:r>
      <w:r w:rsidR="00925A93">
        <w:t xml:space="preserve">, duration of response (DOR) </w:t>
      </w:r>
    </w:p>
    <w:p w14:paraId="3F16E6CE" w14:textId="77777777" w:rsidR="005C0AB9" w:rsidRPr="001D4FA2" w:rsidRDefault="005C0AB9" w:rsidP="00DD3501">
      <w:pPr>
        <w:pBdr>
          <w:top w:val="single" w:sz="4" w:space="1" w:color="auto"/>
          <w:left w:val="single" w:sz="4" w:space="4" w:color="auto"/>
          <w:bottom w:val="single" w:sz="4" w:space="1" w:color="auto"/>
          <w:right w:val="single" w:sz="4" w:space="4" w:color="auto"/>
        </w:pBdr>
        <w:ind w:left="360"/>
        <w:rPr>
          <w:bCs/>
          <w:sz w:val="40"/>
          <w:szCs w:val="32"/>
        </w:rPr>
      </w:pPr>
      <w:r w:rsidRPr="001B29A1">
        <w:rPr>
          <w:b/>
          <w:szCs w:val="20"/>
        </w:rPr>
        <w:t>Safety Outcomes</w:t>
      </w:r>
      <w:r>
        <w:rPr>
          <w:b/>
          <w:szCs w:val="20"/>
        </w:rPr>
        <w:t xml:space="preserve">: </w:t>
      </w:r>
      <w:r>
        <w:t xml:space="preserve">Rate of adverse events (AEs) and serious adverse events (SAEs), events of special interest, AEs due to </w:t>
      </w:r>
      <w:r w:rsidRPr="001D4FA2">
        <w:t>medications, neurotoxicity, infections, secondary cancers</w:t>
      </w:r>
      <w:r w:rsidRPr="001D4FA2">
        <w:rPr>
          <w:shd w:val="clear" w:color="auto" w:fill="FFFFFF"/>
        </w:rPr>
        <w:t>, blood levels of CAR T-cells and serum cytokines.</w:t>
      </w:r>
    </w:p>
    <w:p w14:paraId="6CA145D9" w14:textId="77777777" w:rsidR="00DD3501" w:rsidRPr="001D4FA2" w:rsidRDefault="00DD3501">
      <w:pPr>
        <w:spacing w:before="0" w:after="200" w:line="276" w:lineRule="auto"/>
        <w:rPr>
          <w:bCs/>
          <w:sz w:val="40"/>
          <w:szCs w:val="32"/>
        </w:rPr>
      </w:pPr>
      <w:r w:rsidRPr="001D4FA2">
        <w:br w:type="page"/>
      </w:r>
    </w:p>
    <w:p w14:paraId="02018DF2" w14:textId="77777777" w:rsidR="00C776B1" w:rsidRPr="00C776B1" w:rsidRDefault="005C3AE7" w:rsidP="00092580">
      <w:pPr>
        <w:pStyle w:val="Heading1"/>
      </w:pPr>
      <w:r>
        <w:lastRenderedPageBreak/>
        <w:t>PART 7</w:t>
      </w:r>
      <w:r w:rsidR="00F93784">
        <w:t xml:space="preserve"> – </w:t>
      </w:r>
      <w:r w:rsidR="006C74B1" w:rsidRPr="00C776B1">
        <w:t xml:space="preserve">INFORMATION ABOUT </w:t>
      </w:r>
      <w:r w:rsidR="0018630F" w:rsidRPr="00C776B1">
        <w:t xml:space="preserve">ESTIMATED </w:t>
      </w:r>
      <w:r w:rsidR="00974D50" w:rsidRPr="00C776B1">
        <w:t>UTILISATION</w:t>
      </w:r>
    </w:p>
    <w:p w14:paraId="10AF36FD" w14:textId="77777777" w:rsidR="006C74B1" w:rsidRPr="00092580" w:rsidRDefault="00BE0FDE" w:rsidP="001B5169">
      <w:pPr>
        <w:pStyle w:val="Heading2"/>
      </w:pPr>
      <w:r w:rsidRPr="00092580">
        <w:t>Estimate</w:t>
      </w:r>
      <w:r w:rsidR="00974D50" w:rsidRPr="00092580">
        <w:t xml:space="preserve"> the prevalence</w:t>
      </w:r>
      <w:r w:rsidR="00B771AD" w:rsidRPr="00092580">
        <w:t xml:space="preserve"> and/or incidence</w:t>
      </w:r>
      <w:r w:rsidR="00974D50" w:rsidRPr="00092580">
        <w:t xml:space="preserve"> of </w:t>
      </w:r>
      <w:r w:rsidR="00AE1188">
        <w:t>the proposed population:</w:t>
      </w:r>
    </w:p>
    <w:p w14:paraId="2CDD32A0" w14:textId="77777777" w:rsidR="00D8133F" w:rsidRPr="00D8133F" w:rsidRDefault="00F373C0" w:rsidP="0090748F">
      <w:pPr>
        <w:ind w:left="284" w:firstLine="76"/>
        <w:rPr>
          <w:szCs w:val="20"/>
        </w:rPr>
      </w:pPr>
      <w:r>
        <w:t>Redacted</w:t>
      </w:r>
      <w:r w:rsidR="00D8133F">
        <w:rPr>
          <w:bCs/>
          <w:szCs w:val="20"/>
        </w:rPr>
        <w:t xml:space="preserve">. </w:t>
      </w:r>
    </w:p>
    <w:p w14:paraId="3CEBDCC5" w14:textId="77777777" w:rsidR="00382407" w:rsidRPr="00154B00" w:rsidRDefault="00382407" w:rsidP="00530204">
      <w:pPr>
        <w:pStyle w:val="Heading2"/>
      </w:pPr>
      <w:r w:rsidRPr="00154B00">
        <w:t xml:space="preserve">Estimate the </w:t>
      </w:r>
      <w:r w:rsidRPr="00AE1188">
        <w:t>number</w:t>
      </w:r>
      <w:r w:rsidRPr="00154B00">
        <w:t xml:space="preserve"> of times the proposed medical service</w:t>
      </w:r>
      <w:r w:rsidR="005A58BA">
        <w:t>(s)</w:t>
      </w:r>
      <w:r w:rsidRPr="00154B00">
        <w:t xml:space="preserve"> would be </w:t>
      </w:r>
      <w:r w:rsidR="00AE1188">
        <w:t>delivered to a patient per year:</w:t>
      </w:r>
    </w:p>
    <w:p w14:paraId="3F8157B2" w14:textId="77777777" w:rsidR="00382407" w:rsidRPr="00154B00" w:rsidRDefault="00854720" w:rsidP="00175C5E">
      <w:pPr>
        <w:ind w:firstLine="360"/>
        <w:rPr>
          <w:szCs w:val="20"/>
        </w:rPr>
      </w:pPr>
      <w:r>
        <w:t>The proposed therapy is a single infusion per</w:t>
      </w:r>
      <w:r w:rsidR="00D05104">
        <w:t xml:space="preserve"> lifetime</w:t>
      </w:r>
      <w:r>
        <w:t>.</w:t>
      </w:r>
    </w:p>
    <w:p w14:paraId="600E113E" w14:textId="77777777" w:rsidR="00382407" w:rsidRPr="00154B00" w:rsidRDefault="00382407" w:rsidP="00530204">
      <w:pPr>
        <w:pStyle w:val="Heading2"/>
      </w:pPr>
      <w:r w:rsidRPr="00154B00">
        <w:t>How many years would the proposed medical service</w:t>
      </w:r>
      <w:r w:rsidR="005A58BA">
        <w:t>(s)</w:t>
      </w:r>
      <w:r w:rsidRPr="00154B00">
        <w:t xml:space="preserve"> be required for the patient?</w:t>
      </w:r>
    </w:p>
    <w:p w14:paraId="16B85F9A" w14:textId="77777777" w:rsidR="00382407" w:rsidRPr="00154B00" w:rsidRDefault="00854720" w:rsidP="00175C5E">
      <w:pPr>
        <w:ind w:firstLine="357"/>
        <w:rPr>
          <w:b/>
          <w:szCs w:val="20"/>
        </w:rPr>
      </w:pPr>
      <w:r>
        <w:t>The proposed therapy is a single infusion per lifetime</w:t>
      </w:r>
      <w:r w:rsidR="004F32D8">
        <w:t>.</w:t>
      </w:r>
    </w:p>
    <w:p w14:paraId="3A3855E3" w14:textId="77777777" w:rsidR="00D970A6" w:rsidRPr="00D970A6" w:rsidRDefault="000E47E7" w:rsidP="00D970A6">
      <w:pPr>
        <w:pStyle w:val="Heading2"/>
        <w:ind w:left="357"/>
        <w:contextualSpacing w:val="0"/>
      </w:pPr>
      <w:r w:rsidRPr="00154B00">
        <w:t xml:space="preserve">Estimate </w:t>
      </w:r>
      <w:r w:rsidR="002A6753" w:rsidRPr="00154B00">
        <w:t xml:space="preserve">the projected number of patients who will utilise the proposed </w:t>
      </w:r>
      <w:r w:rsidRPr="00154B00">
        <w:t xml:space="preserve">medical </w:t>
      </w:r>
      <w:r w:rsidR="002A6753" w:rsidRPr="00154B00">
        <w:t>ser</w:t>
      </w:r>
      <w:r w:rsidR="00AE1188">
        <w:t>vice(s) for the first full year:</w:t>
      </w:r>
    </w:p>
    <w:p w14:paraId="1E43AF1F" w14:textId="77777777" w:rsidR="005C3079" w:rsidRDefault="00F373C0" w:rsidP="00D970A6">
      <w:pPr>
        <w:pStyle w:val="Heading2"/>
        <w:numPr>
          <w:ilvl w:val="0"/>
          <w:numId w:val="0"/>
        </w:numPr>
        <w:ind w:left="357"/>
        <w:contextualSpacing w:val="0"/>
      </w:pPr>
      <w:r w:rsidRPr="00613E1C">
        <w:rPr>
          <w:b w:val="0"/>
        </w:rPr>
        <w:t>Redacted</w:t>
      </w:r>
      <w:r w:rsidR="003F0323" w:rsidRPr="003F0323">
        <w:rPr>
          <w:b w:val="0"/>
          <w:szCs w:val="22"/>
        </w:rPr>
        <w:t xml:space="preserve">. </w:t>
      </w:r>
    </w:p>
    <w:p w14:paraId="25A200F2" w14:textId="77777777" w:rsidR="00974D50" w:rsidRPr="00154B00" w:rsidRDefault="005A58BA" w:rsidP="00B067FC">
      <w:pPr>
        <w:pStyle w:val="Heading2"/>
        <w:keepNext/>
        <w:keepLines/>
        <w:rPr>
          <w:b w:val="0"/>
        </w:rPr>
      </w:pPr>
      <w:r>
        <w:t>Estimate the anticipated upt</w:t>
      </w:r>
      <w:r w:rsidR="000E47E7" w:rsidRPr="00154B00">
        <w:t>a</w:t>
      </w:r>
      <w:r w:rsidR="001B171D" w:rsidRPr="00154B00">
        <w:t>k</w:t>
      </w:r>
      <w:r w:rsidR="000E47E7" w:rsidRPr="00154B00">
        <w:t>e of the proposed medical service over the next three years</w:t>
      </w:r>
      <w:r w:rsidR="001B171D" w:rsidRPr="00154B00">
        <w:t xml:space="preserve"> factoring in any constraints in the health system in meeting the needs of the proposed population (suc</w:t>
      </w:r>
      <w:r>
        <w:t>h as supply and demand factors)</w:t>
      </w:r>
      <w:r w:rsidR="001B171D" w:rsidRPr="00154B00">
        <w:t xml:space="preserve"> as well as </w:t>
      </w:r>
      <w:r w:rsidR="009C03FB" w:rsidRPr="00154B00">
        <w:t>provide commentary on</w:t>
      </w:r>
      <w:r w:rsidR="001B171D" w:rsidRPr="00154B00">
        <w:t xml:space="preserve"> risk of ‘leakage’ to populations not targeted by the service</w:t>
      </w:r>
      <w:r w:rsidR="00AE1188">
        <w:t>:</w:t>
      </w:r>
    </w:p>
    <w:p w14:paraId="530AFEBB" w14:textId="77777777" w:rsidR="003433D1" w:rsidRDefault="00F373C0" w:rsidP="00B067FC">
      <w:pPr>
        <w:keepNext/>
        <w:keepLines/>
        <w:ind w:firstLine="360"/>
        <w:rPr>
          <w:b/>
          <w:sz w:val="32"/>
          <w:szCs w:val="32"/>
        </w:rPr>
      </w:pPr>
      <w:r>
        <w:t>Redacted</w:t>
      </w:r>
      <w:r w:rsidR="00E16596" w:rsidRPr="00DD3501">
        <w:rPr>
          <w:szCs w:val="32"/>
        </w:rPr>
        <w:t xml:space="preserve">. </w:t>
      </w:r>
      <w:r w:rsidR="003433D1">
        <w:rPr>
          <w:b/>
          <w:sz w:val="32"/>
          <w:szCs w:val="32"/>
        </w:rPr>
        <w:br w:type="page"/>
      </w:r>
    </w:p>
    <w:p w14:paraId="67DB3C53" w14:textId="77777777" w:rsidR="00951933" w:rsidRPr="00C776B1" w:rsidRDefault="001B5169" w:rsidP="00AE1188">
      <w:pPr>
        <w:pStyle w:val="Heading1"/>
      </w:pPr>
      <w:r>
        <w:lastRenderedPageBreak/>
        <w:t>PART 8</w:t>
      </w:r>
      <w:r w:rsidR="00F93784">
        <w:t xml:space="preserve"> – </w:t>
      </w:r>
      <w:r w:rsidR="005A58BA">
        <w:t>COST</w:t>
      </w:r>
      <w:r w:rsidR="00951933" w:rsidRPr="00C776B1">
        <w:t xml:space="preserve"> INFORMATION</w:t>
      </w:r>
    </w:p>
    <w:p w14:paraId="60A627AC" w14:textId="77777777" w:rsidR="006A649A" w:rsidRPr="00AE1188" w:rsidRDefault="006A649A" w:rsidP="001B5169">
      <w:pPr>
        <w:pStyle w:val="Heading2"/>
      </w:pPr>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p w14:paraId="614CE46C" w14:textId="77777777" w:rsidR="00422750" w:rsidRPr="00422750" w:rsidRDefault="00854720" w:rsidP="0090748F">
      <w:pPr>
        <w:ind w:left="360"/>
      </w:pPr>
      <w:r>
        <w:t xml:space="preserve">The cost of providing the proposed medical service is multi-factorial and not yet fully defined. Further information regarding </w:t>
      </w:r>
      <w:r w:rsidR="00415338">
        <w:t>costs</w:t>
      </w:r>
      <w:r>
        <w:t xml:space="preserve"> will be provided </w:t>
      </w:r>
      <w:r w:rsidR="00625BF8">
        <w:t>in the submission</w:t>
      </w:r>
      <w:r>
        <w:t>.</w:t>
      </w:r>
    </w:p>
    <w:p w14:paraId="5DE3F580" w14:textId="77777777" w:rsidR="00951933" w:rsidRPr="00154B00" w:rsidRDefault="00951933" w:rsidP="00530204">
      <w:pPr>
        <w:pStyle w:val="Heading2"/>
      </w:pPr>
      <w:r w:rsidRPr="00154B00">
        <w:t xml:space="preserve">Specify how </w:t>
      </w:r>
      <w:r w:rsidRPr="00AE1188">
        <w:t>long</w:t>
      </w:r>
      <w:r w:rsidRPr="00154B00">
        <w:t xml:space="preserve"> the proposed medical ser</w:t>
      </w:r>
      <w:r w:rsidR="00AE1188">
        <w:t>vice typically takes to perform:</w:t>
      </w:r>
    </w:p>
    <w:p w14:paraId="0D4E096B" w14:textId="77777777" w:rsidR="005653FD" w:rsidRDefault="00F373C0" w:rsidP="0090748F">
      <w:pPr>
        <w:ind w:firstLine="360"/>
        <w:rPr>
          <w:szCs w:val="20"/>
        </w:rPr>
      </w:pPr>
      <w:r>
        <w:t>Redacted</w:t>
      </w:r>
      <w:r w:rsidR="005653FD">
        <w:rPr>
          <w:szCs w:val="20"/>
        </w:rPr>
        <w:t>.</w:t>
      </w:r>
    </w:p>
    <w:p w14:paraId="05CC0027" w14:textId="77777777" w:rsidR="00707D4D" w:rsidRDefault="004C61D5" w:rsidP="00530204">
      <w:pPr>
        <w:pStyle w:val="Heading2"/>
      </w:pPr>
      <w:r>
        <w:t>I</w:t>
      </w:r>
      <w:r w:rsidR="0054192F">
        <w:t xml:space="preserve">f public funding is sought through the MBS, please draft a proposed MBS item descriptor to define the population and medical </w:t>
      </w:r>
      <w:r w:rsidR="0054192F" w:rsidRPr="00AE1188">
        <w:t>service</w:t>
      </w:r>
      <w:r w:rsidR="0054192F">
        <w:t xml:space="preserve"> usage characteristics that would define eligibility for MBS funding.</w:t>
      </w:r>
    </w:p>
    <w:p w14:paraId="7E2E8712" w14:textId="77777777" w:rsidR="00AE2DCC" w:rsidRPr="00AE2DCC" w:rsidRDefault="00AE2DCC" w:rsidP="0090748F">
      <w:pPr>
        <w:ind w:firstLine="360"/>
      </w:pPr>
      <w:r>
        <w:t xml:space="preserve">Not applicable. </w:t>
      </w:r>
    </w:p>
    <w:p w14:paraId="5A00B280" w14:textId="77777777" w:rsidR="00AE1188" w:rsidRPr="00AE1188" w:rsidRDefault="00AE1188" w:rsidP="0090748F">
      <w:pPr>
        <w:pBdr>
          <w:top w:val="single" w:sz="4" w:space="1" w:color="auto"/>
          <w:left w:val="single" w:sz="4" w:space="0" w:color="auto"/>
          <w:bottom w:val="single" w:sz="4" w:space="1" w:color="auto"/>
          <w:right w:val="single" w:sz="4" w:space="4" w:color="auto"/>
          <w:between w:val="single" w:sz="4" w:space="1" w:color="auto"/>
          <w:bar w:val="single" w:sz="4" w:color="auto"/>
        </w:pBdr>
        <w:rPr>
          <w:szCs w:val="20"/>
        </w:rPr>
      </w:pPr>
      <w:r>
        <w:rPr>
          <w:szCs w:val="20"/>
        </w:rPr>
        <w:t xml:space="preserve">Category </w:t>
      </w:r>
      <w:r w:rsidR="004B72CA">
        <w:fldChar w:fldCharType="begin">
          <w:ffData>
            <w:name w:val=""/>
            <w:enabled/>
            <w:calcOnExit w:val="0"/>
            <w:textInput>
              <w:default w:val="(insert proposed category number here)"/>
            </w:textInput>
          </w:ffData>
        </w:fldChar>
      </w:r>
      <w:r>
        <w:instrText xml:space="preserve"> FORMTEXT </w:instrText>
      </w:r>
      <w:r w:rsidR="004B72CA">
        <w:fldChar w:fldCharType="separate"/>
      </w:r>
      <w:r>
        <w:rPr>
          <w:noProof/>
        </w:rPr>
        <w:t>(insert proposed category number here)</w:t>
      </w:r>
      <w:r w:rsidR="004B72CA">
        <w:fldChar w:fldCharType="end"/>
      </w:r>
      <w:r w:rsidRPr="00AE1188">
        <w:rPr>
          <w:szCs w:val="20"/>
        </w:rPr>
        <w:t xml:space="preserve"> – </w:t>
      </w:r>
      <w:r w:rsidR="004B72CA">
        <w:fldChar w:fldCharType="begin">
          <w:ffData>
            <w:name w:val=""/>
            <w:enabled/>
            <w:calcOnExit w:val="0"/>
            <w:textInput>
              <w:default w:val="(insert proposed category description here)"/>
            </w:textInput>
          </w:ffData>
        </w:fldChar>
      </w:r>
      <w:r>
        <w:instrText xml:space="preserve"> FORMTEXT </w:instrText>
      </w:r>
      <w:r w:rsidR="004B72CA">
        <w:fldChar w:fldCharType="separate"/>
      </w:r>
      <w:r>
        <w:rPr>
          <w:noProof/>
        </w:rPr>
        <w:t>(insert proposed category description here)</w:t>
      </w:r>
      <w:r w:rsidR="004B72CA">
        <w:fldChar w:fldCharType="end"/>
      </w:r>
      <w:r w:rsidRPr="00AE1188">
        <w:rPr>
          <w:szCs w:val="20"/>
        </w:rPr>
        <w:t xml:space="preserve"> </w:t>
      </w:r>
    </w:p>
    <w:p w14:paraId="3601A153" w14:textId="77777777" w:rsidR="00AE1188" w:rsidRPr="00AE1188" w:rsidRDefault="00AE1188" w:rsidP="00194C97">
      <w:pPr>
        <w:pBdr>
          <w:top w:val="single" w:sz="4" w:space="1" w:color="auto"/>
          <w:left w:val="single" w:sz="4" w:space="0" w:color="auto"/>
          <w:bottom w:val="single" w:sz="4" w:space="1" w:color="auto"/>
          <w:right w:val="single" w:sz="4" w:space="4" w:color="auto"/>
        </w:pBdr>
        <w:spacing w:before="360"/>
        <w:rPr>
          <w:szCs w:val="20"/>
        </w:rPr>
      </w:pPr>
      <w:r w:rsidRPr="00AE1188">
        <w:rPr>
          <w:szCs w:val="20"/>
        </w:rPr>
        <w:t>Proposed item descriptor</w:t>
      </w:r>
      <w:r>
        <w:rPr>
          <w:szCs w:val="20"/>
        </w:rPr>
        <w:t xml:space="preserve">: </w:t>
      </w:r>
      <w:r w:rsidR="004B72CA">
        <w:fldChar w:fldCharType="begin">
          <w:ffData>
            <w:name w:val=""/>
            <w:enabled/>
            <w:calcOnExit w:val="0"/>
            <w:textInput>
              <w:default w:val="insert proposed item descriptor here"/>
            </w:textInput>
          </w:ffData>
        </w:fldChar>
      </w:r>
      <w:r>
        <w:instrText xml:space="preserve"> FORMTEXT </w:instrText>
      </w:r>
      <w:r w:rsidR="004B72CA">
        <w:fldChar w:fldCharType="separate"/>
      </w:r>
      <w:r>
        <w:rPr>
          <w:noProof/>
        </w:rPr>
        <w:t>insert proposed item descriptor here</w:t>
      </w:r>
      <w:r w:rsidR="004B72CA">
        <w:fldChar w:fldCharType="end"/>
      </w:r>
    </w:p>
    <w:p w14:paraId="7796CBC9" w14:textId="77777777" w:rsidR="00AE1188" w:rsidRPr="00AE1188" w:rsidRDefault="00AE1188" w:rsidP="0090748F">
      <w:pPr>
        <w:pBdr>
          <w:top w:val="single" w:sz="4" w:space="1" w:color="auto"/>
          <w:left w:val="single" w:sz="4" w:space="0" w:color="auto"/>
          <w:bottom w:val="single" w:sz="4" w:space="1" w:color="auto"/>
          <w:right w:val="single" w:sz="4" w:space="4" w:color="auto"/>
        </w:pBdr>
        <w:rPr>
          <w:szCs w:val="20"/>
        </w:rPr>
      </w:pPr>
      <w:r w:rsidRPr="00AE1188">
        <w:rPr>
          <w:szCs w:val="20"/>
        </w:rPr>
        <w:t>Fee:  $</w:t>
      </w:r>
      <w:r w:rsidR="004B72CA">
        <w:fldChar w:fldCharType="begin">
          <w:ffData>
            <w:name w:val=""/>
            <w:enabled/>
            <w:calcOnExit w:val="0"/>
            <w:textInput>
              <w:default w:val="(insert proposed fee here)"/>
            </w:textInput>
          </w:ffData>
        </w:fldChar>
      </w:r>
      <w:r>
        <w:instrText xml:space="preserve"> FORMTEXT </w:instrText>
      </w:r>
      <w:r w:rsidR="004B72CA">
        <w:fldChar w:fldCharType="separate"/>
      </w:r>
      <w:r>
        <w:rPr>
          <w:noProof/>
        </w:rPr>
        <w:t>(insert proposed fee here)</w:t>
      </w:r>
      <w:r w:rsidR="004B72CA">
        <w:fldChar w:fldCharType="end"/>
      </w:r>
    </w:p>
    <w:p w14:paraId="6F14C7AA" w14:textId="77777777" w:rsidR="00AE1188" w:rsidRDefault="00AE1188" w:rsidP="004A0BF4">
      <w:pPr>
        <w:pStyle w:val="Heading2"/>
        <w:numPr>
          <w:ilvl w:val="0"/>
          <w:numId w:val="0"/>
        </w:numPr>
        <w:ind w:left="360"/>
      </w:pPr>
      <w:r>
        <w:br w:type="page"/>
      </w:r>
    </w:p>
    <w:p w14:paraId="0B3CC976" w14:textId="77777777" w:rsidR="00E058F2" w:rsidRPr="00C776B1" w:rsidRDefault="001B5169" w:rsidP="00AE1188">
      <w:pPr>
        <w:pStyle w:val="Heading1"/>
      </w:pPr>
      <w:r>
        <w:lastRenderedPageBreak/>
        <w:t>PART 9</w:t>
      </w:r>
      <w:r w:rsidR="00F93784">
        <w:t xml:space="preserve"> – </w:t>
      </w:r>
      <w:r w:rsidR="00E058F2" w:rsidRPr="00C776B1">
        <w:t>FEEDBACK</w:t>
      </w:r>
    </w:p>
    <w:p w14:paraId="36095B5B" w14:textId="77777777" w:rsidR="005041A6" w:rsidRDefault="00E058F2" w:rsidP="00E058F2">
      <w:pPr>
        <w:rPr>
          <w:szCs w:val="20"/>
        </w:rPr>
      </w:pPr>
      <w:r w:rsidRPr="00154B00">
        <w:rPr>
          <w:szCs w:val="20"/>
        </w:rPr>
        <w:t>The Department</w:t>
      </w:r>
      <w:r w:rsidR="005A58BA">
        <w:rPr>
          <w:szCs w:val="20"/>
        </w:rPr>
        <w:t xml:space="preserve"> is interested in your feedback.</w:t>
      </w:r>
    </w:p>
    <w:p w14:paraId="20028156" w14:textId="77777777" w:rsidR="005041A6" w:rsidRPr="005041A6" w:rsidRDefault="005041A6" w:rsidP="00E058F2">
      <w:pPr>
        <w:rPr>
          <w:i/>
          <w:szCs w:val="20"/>
        </w:rPr>
      </w:pPr>
      <w:r w:rsidRPr="005041A6">
        <w:rPr>
          <w:i/>
          <w:szCs w:val="20"/>
        </w:rPr>
        <w:t>As this form was not intended for this application, Gilead has intentionally left this section blank.</w:t>
      </w:r>
    </w:p>
    <w:p w14:paraId="1B287A77" w14:textId="77777777" w:rsidR="00E058F2" w:rsidRPr="00AE1188" w:rsidRDefault="00E058F2" w:rsidP="001B5169">
      <w:pPr>
        <w:pStyle w:val="Heading2"/>
      </w:pPr>
      <w:r w:rsidRPr="00AE1188">
        <w:t>How long did it take to complete the Application Form?</w:t>
      </w:r>
    </w:p>
    <w:p w14:paraId="7AEEDFDF" w14:textId="77777777" w:rsidR="00E058F2" w:rsidRPr="00154B00" w:rsidRDefault="004B72CA" w:rsidP="00603D04">
      <w:pPr>
        <w:ind w:left="426"/>
        <w:rPr>
          <w:szCs w:val="20"/>
        </w:rPr>
      </w:pPr>
      <w:r>
        <w:fldChar w:fldCharType="begin">
          <w:ffData>
            <w:name w:val=""/>
            <w:enabled/>
            <w:calcOnExit w:val="0"/>
            <w:textInput>
              <w:default w:val="Insert approximate duration here"/>
            </w:textInput>
          </w:ffData>
        </w:fldChar>
      </w:r>
      <w:r w:rsidR="00603D04">
        <w:instrText xml:space="preserve"> FORMTEXT </w:instrText>
      </w:r>
      <w:r>
        <w:fldChar w:fldCharType="separate"/>
      </w:r>
      <w:r w:rsidR="00603D04">
        <w:rPr>
          <w:noProof/>
        </w:rPr>
        <w:t>Insert approximate duration here</w:t>
      </w:r>
      <w:r>
        <w:fldChar w:fldCharType="end"/>
      </w:r>
    </w:p>
    <w:p w14:paraId="390F7A81" w14:textId="77777777" w:rsidR="00415338" w:rsidRPr="00415338" w:rsidRDefault="001B5169" w:rsidP="00415338">
      <w:pPr>
        <w:pStyle w:val="Heading2"/>
      </w:pPr>
      <w:r>
        <w:t xml:space="preserve">(a) </w:t>
      </w:r>
      <w:r w:rsidR="001845D9" w:rsidRPr="00154B00">
        <w:t xml:space="preserve">Was the </w:t>
      </w:r>
      <w:r w:rsidR="001845D9" w:rsidRPr="00603D04">
        <w:t>Application</w:t>
      </w:r>
      <w:r w:rsidR="001845D9" w:rsidRPr="00154B00">
        <w:t xml:space="preserve"> Form </w:t>
      </w:r>
      <w:r w:rsidR="0081650F" w:rsidRPr="00154B00">
        <w:t>clear and easy to complete?</w:t>
      </w:r>
    </w:p>
    <w:p w14:paraId="21DB7085" w14:textId="77777777" w:rsidR="00603D04" w:rsidRPr="001B29A1" w:rsidRDefault="004B72CA"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00603D04" w:rsidRPr="001B29A1">
        <w:rPr>
          <w:szCs w:val="20"/>
        </w:rPr>
        <w:instrText xml:space="preserve"> FORMCHECKBOX </w:instrText>
      </w:r>
      <w:r w:rsidR="003136F9">
        <w:rPr>
          <w:szCs w:val="20"/>
        </w:rPr>
      </w:r>
      <w:r w:rsidR="003136F9">
        <w:rPr>
          <w:szCs w:val="20"/>
        </w:rPr>
        <w:fldChar w:fldCharType="separate"/>
      </w:r>
      <w:r w:rsidRPr="001B29A1">
        <w:rPr>
          <w:szCs w:val="20"/>
        </w:rPr>
        <w:fldChar w:fldCharType="end"/>
      </w:r>
      <w:r w:rsidR="00603D04" w:rsidRPr="001B29A1">
        <w:rPr>
          <w:szCs w:val="20"/>
        </w:rPr>
        <w:t xml:space="preserve"> </w:t>
      </w:r>
      <w:r w:rsidR="00603D04">
        <w:rPr>
          <w:szCs w:val="20"/>
        </w:rPr>
        <w:t>Yes</w:t>
      </w:r>
      <w:r w:rsidR="00603D04" w:rsidRPr="001B29A1">
        <w:rPr>
          <w:szCs w:val="20"/>
        </w:rPr>
        <w:tab/>
      </w:r>
    </w:p>
    <w:p w14:paraId="7A7866FE" w14:textId="77777777" w:rsidR="00603D04" w:rsidRPr="001B29A1" w:rsidRDefault="004B72CA"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00603D04" w:rsidRPr="001B29A1">
        <w:rPr>
          <w:szCs w:val="20"/>
        </w:rPr>
        <w:instrText xml:space="preserve"> FORMCHECKBOX </w:instrText>
      </w:r>
      <w:r w:rsidR="003136F9">
        <w:rPr>
          <w:szCs w:val="20"/>
        </w:rPr>
      </w:r>
      <w:r w:rsidR="003136F9">
        <w:rPr>
          <w:szCs w:val="20"/>
        </w:rPr>
        <w:fldChar w:fldCharType="separate"/>
      </w:r>
      <w:r w:rsidRPr="001B29A1">
        <w:rPr>
          <w:szCs w:val="20"/>
        </w:rPr>
        <w:fldChar w:fldCharType="end"/>
      </w:r>
      <w:r w:rsidR="00603D04" w:rsidRPr="001B29A1">
        <w:rPr>
          <w:szCs w:val="20"/>
        </w:rPr>
        <w:t xml:space="preserve"> </w:t>
      </w:r>
      <w:r w:rsidR="00603D04">
        <w:rPr>
          <w:szCs w:val="20"/>
        </w:rPr>
        <w:t>No</w:t>
      </w:r>
    </w:p>
    <w:p w14:paraId="781425D1" w14:textId="77777777" w:rsidR="003D6DE1" w:rsidRPr="00154B00" w:rsidRDefault="00603D04" w:rsidP="001B5169">
      <w:pPr>
        <w:pStyle w:val="Heading2"/>
        <w:numPr>
          <w:ilvl w:val="0"/>
          <w:numId w:val="31"/>
        </w:numPr>
      </w:pPr>
      <w:r>
        <w:t>If no, provide areas of concern:</w:t>
      </w:r>
    </w:p>
    <w:p w14:paraId="37FBB365" w14:textId="77777777" w:rsidR="003D6DE1" w:rsidRPr="00154B00" w:rsidRDefault="004B72CA" w:rsidP="00603D04">
      <w:pPr>
        <w:ind w:left="426"/>
        <w:rPr>
          <w:szCs w:val="20"/>
        </w:rPr>
      </w:pPr>
      <w:r>
        <w:fldChar w:fldCharType="begin">
          <w:ffData>
            <w:name w:val=""/>
            <w:enabled/>
            <w:calcOnExit w:val="0"/>
            <w:textInput>
              <w:default w:val="Describe areas of concern here"/>
            </w:textInput>
          </w:ffData>
        </w:fldChar>
      </w:r>
      <w:r w:rsidR="00603D04">
        <w:instrText xml:space="preserve"> FORMTEXT </w:instrText>
      </w:r>
      <w:r>
        <w:fldChar w:fldCharType="separate"/>
      </w:r>
      <w:r w:rsidR="00603D04">
        <w:rPr>
          <w:noProof/>
        </w:rPr>
        <w:t>Describe areas of concern here</w:t>
      </w:r>
      <w:r>
        <w:fldChar w:fldCharType="end"/>
      </w:r>
    </w:p>
    <w:p w14:paraId="4E1DF5E5" w14:textId="77777777" w:rsidR="00E058F2" w:rsidRPr="00154B00" w:rsidRDefault="001B5169" w:rsidP="00530204">
      <w:pPr>
        <w:pStyle w:val="Heading2"/>
      </w:pPr>
      <w:r>
        <w:t xml:space="preserve">(a) </w:t>
      </w:r>
      <w:r w:rsidR="00E058F2" w:rsidRPr="00603D04">
        <w:t>Are</w:t>
      </w:r>
      <w:r w:rsidR="00E058F2" w:rsidRPr="00154B00">
        <w:t xml:space="preserve"> the associated Guidelines to the Application Form useful?</w:t>
      </w:r>
    </w:p>
    <w:p w14:paraId="6E6F219D" w14:textId="77777777" w:rsidR="00603D04" w:rsidRPr="001B29A1" w:rsidRDefault="004B72CA"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00603D04" w:rsidRPr="001B29A1">
        <w:rPr>
          <w:szCs w:val="20"/>
        </w:rPr>
        <w:instrText xml:space="preserve"> FORMCHECKBOX </w:instrText>
      </w:r>
      <w:r w:rsidR="003136F9">
        <w:rPr>
          <w:szCs w:val="20"/>
        </w:rPr>
      </w:r>
      <w:r w:rsidR="003136F9">
        <w:rPr>
          <w:szCs w:val="20"/>
        </w:rPr>
        <w:fldChar w:fldCharType="separate"/>
      </w:r>
      <w:r w:rsidRPr="001B29A1">
        <w:rPr>
          <w:szCs w:val="20"/>
        </w:rPr>
        <w:fldChar w:fldCharType="end"/>
      </w:r>
      <w:r w:rsidR="00603D04" w:rsidRPr="001B29A1">
        <w:rPr>
          <w:szCs w:val="20"/>
        </w:rPr>
        <w:t xml:space="preserve"> </w:t>
      </w:r>
      <w:r w:rsidR="00603D04">
        <w:rPr>
          <w:szCs w:val="20"/>
        </w:rPr>
        <w:t>Yes</w:t>
      </w:r>
      <w:r w:rsidR="00603D04" w:rsidRPr="001B29A1">
        <w:rPr>
          <w:szCs w:val="20"/>
        </w:rPr>
        <w:tab/>
      </w:r>
    </w:p>
    <w:p w14:paraId="3869728E" w14:textId="77777777" w:rsidR="00603D04" w:rsidRPr="001B29A1" w:rsidRDefault="004B72CA"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00603D04" w:rsidRPr="001B29A1">
        <w:rPr>
          <w:szCs w:val="20"/>
        </w:rPr>
        <w:instrText xml:space="preserve"> FORMCHECKBOX </w:instrText>
      </w:r>
      <w:r w:rsidR="003136F9">
        <w:rPr>
          <w:szCs w:val="20"/>
        </w:rPr>
      </w:r>
      <w:r w:rsidR="003136F9">
        <w:rPr>
          <w:szCs w:val="20"/>
        </w:rPr>
        <w:fldChar w:fldCharType="separate"/>
      </w:r>
      <w:r w:rsidRPr="001B29A1">
        <w:rPr>
          <w:szCs w:val="20"/>
        </w:rPr>
        <w:fldChar w:fldCharType="end"/>
      </w:r>
      <w:r w:rsidR="00603D04" w:rsidRPr="001B29A1">
        <w:rPr>
          <w:szCs w:val="20"/>
        </w:rPr>
        <w:t xml:space="preserve"> </w:t>
      </w:r>
      <w:r w:rsidR="00603D04">
        <w:rPr>
          <w:szCs w:val="20"/>
        </w:rPr>
        <w:t>No</w:t>
      </w:r>
    </w:p>
    <w:p w14:paraId="405C886E" w14:textId="77777777" w:rsidR="003D6DE1" w:rsidRPr="00154B00" w:rsidRDefault="003D6DE1" w:rsidP="001B5169">
      <w:pPr>
        <w:pStyle w:val="Heading2"/>
        <w:numPr>
          <w:ilvl w:val="0"/>
          <w:numId w:val="32"/>
        </w:numPr>
      </w:pPr>
      <w:r>
        <w:t>If no, what areas did you find not to be useful?</w:t>
      </w:r>
    </w:p>
    <w:p w14:paraId="38EAAB71" w14:textId="77777777" w:rsidR="003D6DE1" w:rsidRPr="00154B00" w:rsidRDefault="004B72CA" w:rsidP="00603D04">
      <w:pPr>
        <w:ind w:left="426"/>
        <w:rPr>
          <w:szCs w:val="20"/>
        </w:rPr>
      </w:pPr>
      <w:r>
        <w:fldChar w:fldCharType="begin">
          <w:ffData>
            <w:name w:val=""/>
            <w:enabled/>
            <w:calcOnExit w:val="0"/>
            <w:textInput>
              <w:default w:val="Insert feedback here"/>
            </w:textInput>
          </w:ffData>
        </w:fldChar>
      </w:r>
      <w:r w:rsidR="00603D04">
        <w:instrText xml:space="preserve"> FORMTEXT </w:instrText>
      </w:r>
      <w:r>
        <w:fldChar w:fldCharType="separate"/>
      </w:r>
      <w:r w:rsidR="00603D04">
        <w:rPr>
          <w:noProof/>
        </w:rPr>
        <w:t>Insert feedback here</w:t>
      </w:r>
      <w:r>
        <w:fldChar w:fldCharType="end"/>
      </w:r>
    </w:p>
    <w:p w14:paraId="1DBFF2D5" w14:textId="77777777" w:rsidR="00E058F2" w:rsidRPr="00154B00" w:rsidRDefault="001B5169" w:rsidP="00530204">
      <w:pPr>
        <w:pStyle w:val="Heading2"/>
      </w:pPr>
      <w:r>
        <w:t xml:space="preserve">(a) </w:t>
      </w:r>
      <w:r w:rsidR="00E058F2" w:rsidRPr="00154B00">
        <w:t xml:space="preserve">Is there </w:t>
      </w:r>
      <w:r w:rsidR="00E058F2" w:rsidRPr="00603D04">
        <w:t>any</w:t>
      </w:r>
      <w:r w:rsidR="00E058F2" w:rsidRPr="00154B00">
        <w:t xml:space="preserve"> information that the Department should consider in the future</w:t>
      </w:r>
      <w:r w:rsidR="00CF2DFA" w:rsidRPr="00154B00">
        <w:t xml:space="preserve"> relating to the questions within the Application Form</w:t>
      </w:r>
      <w:r w:rsidR="00E058F2" w:rsidRPr="00154B00">
        <w:t xml:space="preserve"> that is not contained in the Application Form?</w:t>
      </w:r>
    </w:p>
    <w:p w14:paraId="67D3949E" w14:textId="77777777" w:rsidR="00603D04" w:rsidRPr="001B29A1" w:rsidRDefault="004B72CA"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00603D04" w:rsidRPr="001B29A1">
        <w:rPr>
          <w:szCs w:val="20"/>
        </w:rPr>
        <w:instrText xml:space="preserve"> FORMCHECKBOX </w:instrText>
      </w:r>
      <w:r w:rsidR="003136F9">
        <w:rPr>
          <w:szCs w:val="20"/>
        </w:rPr>
      </w:r>
      <w:r w:rsidR="003136F9">
        <w:rPr>
          <w:szCs w:val="20"/>
        </w:rPr>
        <w:fldChar w:fldCharType="separate"/>
      </w:r>
      <w:r w:rsidRPr="001B29A1">
        <w:rPr>
          <w:szCs w:val="20"/>
        </w:rPr>
        <w:fldChar w:fldCharType="end"/>
      </w:r>
      <w:r w:rsidR="00603D04" w:rsidRPr="001B29A1">
        <w:rPr>
          <w:szCs w:val="20"/>
        </w:rPr>
        <w:t xml:space="preserve"> </w:t>
      </w:r>
      <w:r w:rsidR="00603D04">
        <w:rPr>
          <w:szCs w:val="20"/>
        </w:rPr>
        <w:t>Yes</w:t>
      </w:r>
      <w:r w:rsidR="00603D04" w:rsidRPr="001B29A1">
        <w:rPr>
          <w:szCs w:val="20"/>
        </w:rPr>
        <w:tab/>
      </w:r>
    </w:p>
    <w:p w14:paraId="3AF956ED" w14:textId="77777777" w:rsidR="00603D04" w:rsidRPr="001B29A1" w:rsidRDefault="004B72CA"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00603D04" w:rsidRPr="001B29A1">
        <w:rPr>
          <w:szCs w:val="20"/>
        </w:rPr>
        <w:instrText xml:space="preserve"> FORMCHECKBOX </w:instrText>
      </w:r>
      <w:r w:rsidR="003136F9">
        <w:rPr>
          <w:szCs w:val="20"/>
        </w:rPr>
      </w:r>
      <w:r w:rsidR="003136F9">
        <w:rPr>
          <w:szCs w:val="20"/>
        </w:rPr>
        <w:fldChar w:fldCharType="separate"/>
      </w:r>
      <w:r w:rsidRPr="001B29A1">
        <w:rPr>
          <w:szCs w:val="20"/>
        </w:rPr>
        <w:fldChar w:fldCharType="end"/>
      </w:r>
      <w:r w:rsidR="00603D04" w:rsidRPr="001B29A1">
        <w:rPr>
          <w:szCs w:val="20"/>
        </w:rPr>
        <w:t xml:space="preserve"> </w:t>
      </w:r>
      <w:r w:rsidR="00603D04">
        <w:rPr>
          <w:szCs w:val="20"/>
        </w:rPr>
        <w:t>No</w:t>
      </w:r>
    </w:p>
    <w:p w14:paraId="0A88A0A9" w14:textId="77777777" w:rsidR="001845D9" w:rsidRPr="00154B00" w:rsidRDefault="001845D9" w:rsidP="001B5169">
      <w:pPr>
        <w:pStyle w:val="Heading2"/>
        <w:numPr>
          <w:ilvl w:val="0"/>
          <w:numId w:val="33"/>
        </w:numPr>
      </w:pPr>
      <w:r w:rsidRPr="00154B00">
        <w:t>If yes, please advise:</w:t>
      </w:r>
    </w:p>
    <w:p w14:paraId="219B3B6D" w14:textId="6CEA473B" w:rsidR="00A7420E" w:rsidRPr="00194C97" w:rsidRDefault="004B72CA" w:rsidP="00194C97">
      <w:pPr>
        <w:ind w:left="426"/>
      </w:pPr>
      <w:r>
        <w:fldChar w:fldCharType="begin">
          <w:ffData>
            <w:name w:val=""/>
            <w:enabled/>
            <w:calcOnExit w:val="0"/>
            <w:textInput>
              <w:default w:val="Insert feedback here"/>
            </w:textInput>
          </w:ffData>
        </w:fldChar>
      </w:r>
      <w:r w:rsidR="00603D04">
        <w:instrText xml:space="preserve"> FORMTEXT </w:instrText>
      </w:r>
      <w:r>
        <w:fldChar w:fldCharType="separate"/>
      </w:r>
      <w:r w:rsidR="00603D04">
        <w:rPr>
          <w:noProof/>
        </w:rPr>
        <w:t>Insert feedback here</w:t>
      </w:r>
      <w:r>
        <w:fldChar w:fldCharType="end"/>
      </w:r>
      <w:r w:rsidR="00A7420E">
        <w:br w:type="page"/>
      </w:r>
      <w:r w:rsidR="00A7420E" w:rsidRPr="004E6291">
        <w:rPr>
          <w:b/>
          <w:szCs w:val="20"/>
        </w:rPr>
        <w:lastRenderedPageBreak/>
        <w:t>A</w:t>
      </w:r>
      <w:r w:rsidR="00357418">
        <w:rPr>
          <w:b/>
          <w:szCs w:val="20"/>
        </w:rPr>
        <w:t>ppendix</w:t>
      </w:r>
      <w:r w:rsidR="00A7420E" w:rsidRPr="004E6291">
        <w:rPr>
          <w:b/>
          <w:szCs w:val="20"/>
        </w:rPr>
        <w:t xml:space="preserve"> A</w:t>
      </w:r>
    </w:p>
    <w:p w14:paraId="5B438410" w14:textId="77777777" w:rsidR="008C6CA4" w:rsidRPr="008C6CA4" w:rsidRDefault="00A7420E" w:rsidP="008C6CA4">
      <w:pPr>
        <w:pStyle w:val="Heading2"/>
        <w:numPr>
          <w:ilvl w:val="0"/>
          <w:numId w:val="0"/>
        </w:numPr>
        <w:ind w:left="360" w:hanging="360"/>
      </w:pPr>
      <w:r>
        <w:t>Figure 1: Current</w:t>
      </w:r>
      <w:r w:rsidR="008C6CA4">
        <w:t xml:space="preserve"> and proposed</w:t>
      </w:r>
      <w:r>
        <w:t xml:space="preserve"> clinical </w:t>
      </w:r>
      <w:r w:rsidR="008C6CA4">
        <w:t>algorithm</w:t>
      </w:r>
      <w:r>
        <w:t xml:space="preserve"> of the propose</w:t>
      </w:r>
      <w:r w:rsidR="00DD3501">
        <w:t>d</w:t>
      </w:r>
      <w:r>
        <w:t xml:space="preserve"> patient population</w:t>
      </w:r>
    </w:p>
    <w:p w14:paraId="482E2DE2" w14:textId="77777777" w:rsidR="00A7420E" w:rsidRDefault="00E30385" w:rsidP="009D412D">
      <w:pPr>
        <w:jc w:val="center"/>
        <w:rPr>
          <w:noProof/>
        </w:rPr>
      </w:pPr>
      <w:r>
        <w:rPr>
          <w:noProof/>
          <w:lang w:eastAsia="en-AU"/>
        </w:rPr>
        <w:drawing>
          <wp:inline distT="0" distB="0" distL="0" distR="0" wp14:anchorId="20ACE862" wp14:editId="245BBB57">
            <wp:extent cx="5524500" cy="7353300"/>
            <wp:effectExtent l="0" t="0" r="0" b="0"/>
            <wp:docPr id="5" name="Picture 5" descr="Current and proposed clinical algorith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stretch>
                      <a:fillRect/>
                    </a:stretch>
                  </pic:blipFill>
                  <pic:spPr>
                    <a:xfrm>
                      <a:off x="0" y="0"/>
                      <a:ext cx="5524500" cy="7353300"/>
                    </a:xfrm>
                    <a:prstGeom prst="rect">
                      <a:avLst/>
                    </a:prstGeom>
                  </pic:spPr>
                </pic:pic>
              </a:graphicData>
            </a:graphic>
          </wp:inline>
        </w:drawing>
      </w:r>
    </w:p>
    <w:p w14:paraId="2EA3094D" w14:textId="77777777" w:rsidR="008C6CA4" w:rsidRPr="008C6CA4" w:rsidRDefault="008C6CA4" w:rsidP="009D412D">
      <w:pPr>
        <w:tabs>
          <w:tab w:val="left" w:pos="3882"/>
        </w:tabs>
        <w:rPr>
          <w:sz w:val="16"/>
        </w:rPr>
      </w:pPr>
      <w:r w:rsidRPr="008C6CA4">
        <w:rPr>
          <w:sz w:val="16"/>
        </w:rPr>
        <w:t>Abbreviations:</w:t>
      </w:r>
      <w:r>
        <w:rPr>
          <w:sz w:val="16"/>
        </w:rPr>
        <w:t xml:space="preserve"> DLBCL = </w:t>
      </w:r>
      <w:r w:rsidRPr="008C6CA4">
        <w:rPr>
          <w:sz w:val="16"/>
        </w:rPr>
        <w:t>diffuse large B-cell lymphoma</w:t>
      </w:r>
      <w:r>
        <w:rPr>
          <w:sz w:val="16"/>
        </w:rPr>
        <w:t>;</w:t>
      </w:r>
      <w:r w:rsidR="009D412D">
        <w:rPr>
          <w:sz w:val="16"/>
        </w:rPr>
        <w:t xml:space="preserve"> PMBCL = p</w:t>
      </w:r>
      <w:r w:rsidR="009D412D" w:rsidRPr="009D412D">
        <w:rPr>
          <w:sz w:val="16"/>
        </w:rPr>
        <w:t xml:space="preserve">rimary </w:t>
      </w:r>
      <w:r w:rsidR="009D412D">
        <w:rPr>
          <w:sz w:val="16"/>
        </w:rPr>
        <w:t>m</w:t>
      </w:r>
      <w:r w:rsidR="009D412D" w:rsidRPr="009D412D">
        <w:rPr>
          <w:sz w:val="16"/>
        </w:rPr>
        <w:t xml:space="preserve">ediastinal </w:t>
      </w:r>
      <w:r w:rsidR="009D412D">
        <w:rPr>
          <w:sz w:val="16"/>
        </w:rPr>
        <w:t>l</w:t>
      </w:r>
      <w:r w:rsidR="009D412D" w:rsidRPr="009D412D">
        <w:rPr>
          <w:sz w:val="16"/>
        </w:rPr>
        <w:t xml:space="preserve">arge B-cell </w:t>
      </w:r>
      <w:r w:rsidR="009D412D">
        <w:rPr>
          <w:sz w:val="16"/>
        </w:rPr>
        <w:t>l</w:t>
      </w:r>
      <w:r w:rsidR="009D412D" w:rsidRPr="009D412D">
        <w:rPr>
          <w:sz w:val="16"/>
        </w:rPr>
        <w:t>ymphoma</w:t>
      </w:r>
      <w:r w:rsidR="009D412D">
        <w:rPr>
          <w:sz w:val="16"/>
        </w:rPr>
        <w:t xml:space="preserve">; TFL = transformed follicular lymphoma; </w:t>
      </w:r>
      <w:r>
        <w:rPr>
          <w:sz w:val="16"/>
        </w:rPr>
        <w:t>RCHOP=</w:t>
      </w:r>
      <w:r w:rsidRPr="008C6CA4">
        <w:rPr>
          <w:rFonts w:ascii="Calibri" w:eastAsia="Calibri" w:hAnsi="Calibri" w:cs="Times New Roman"/>
          <w:sz w:val="22"/>
        </w:rPr>
        <w:t xml:space="preserve"> </w:t>
      </w:r>
      <w:r w:rsidRPr="008C6CA4">
        <w:rPr>
          <w:sz w:val="16"/>
        </w:rPr>
        <w:t>Rituximab, cyclophosphamide, doxorubicin, vincristine, prednisolone</w:t>
      </w:r>
      <w:r>
        <w:rPr>
          <w:sz w:val="16"/>
        </w:rPr>
        <w:t xml:space="preserve">; </w:t>
      </w:r>
      <w:r w:rsidR="006A56F0">
        <w:rPr>
          <w:sz w:val="16"/>
        </w:rPr>
        <w:t xml:space="preserve">RT= radiotherapy; </w:t>
      </w:r>
      <w:r>
        <w:rPr>
          <w:sz w:val="16"/>
        </w:rPr>
        <w:t xml:space="preserve">SCT = </w:t>
      </w:r>
      <w:r w:rsidRPr="008C6CA4">
        <w:rPr>
          <w:sz w:val="16"/>
        </w:rPr>
        <w:t>Stem Cell Transplant</w:t>
      </w:r>
      <w:r>
        <w:rPr>
          <w:sz w:val="16"/>
        </w:rPr>
        <w:t>; HDT =</w:t>
      </w:r>
      <w:r w:rsidRPr="008C6CA4">
        <w:rPr>
          <w:rFonts w:ascii="Calibri" w:eastAsia="Calibri" w:hAnsi="Calibri" w:cs="Times New Roman"/>
          <w:sz w:val="22"/>
        </w:rPr>
        <w:t xml:space="preserve"> </w:t>
      </w:r>
      <w:r w:rsidRPr="008C6CA4">
        <w:rPr>
          <w:sz w:val="16"/>
        </w:rPr>
        <w:t>high-dose therapy</w:t>
      </w:r>
      <w:r>
        <w:rPr>
          <w:sz w:val="16"/>
        </w:rPr>
        <w:t>; BSC = best supportive care</w:t>
      </w:r>
    </w:p>
    <w:p w14:paraId="3FA88C6A" w14:textId="77777777" w:rsidR="001806C3" w:rsidRDefault="008C6CA4" w:rsidP="00974167">
      <w:pPr>
        <w:tabs>
          <w:tab w:val="left" w:pos="3882"/>
        </w:tabs>
      </w:pPr>
      <w:r>
        <w:t xml:space="preserve">The proposed clinical algorithm is depicted by the blue lines in Figure 1. The clinical algorithm was adapted from the PICO Confirmation of Kymriah. </w:t>
      </w:r>
    </w:p>
    <w:p w14:paraId="401F9640" w14:textId="77777777" w:rsidR="003A3D01" w:rsidRPr="00A73B98" w:rsidRDefault="003A3D01" w:rsidP="003A3D01">
      <w:pPr>
        <w:ind w:left="426"/>
        <w:rPr>
          <w:b/>
          <w:sz w:val="22"/>
        </w:rPr>
      </w:pPr>
      <w:r w:rsidRPr="00A73B98">
        <w:rPr>
          <w:b/>
          <w:sz w:val="22"/>
        </w:rPr>
        <w:lastRenderedPageBreak/>
        <w:t>References</w:t>
      </w:r>
    </w:p>
    <w:p w14:paraId="16D3E3A1" w14:textId="77777777" w:rsidR="007C4508" w:rsidRDefault="007C4508" w:rsidP="007C4508">
      <w:pPr>
        <w:ind w:left="426"/>
        <w:rPr>
          <w:rStyle w:val="Hyperlink"/>
          <w:sz w:val="22"/>
        </w:rPr>
      </w:pPr>
      <w:r w:rsidRPr="00A43D21">
        <w:rPr>
          <w:sz w:val="22"/>
        </w:rPr>
        <w:t xml:space="preserve">Australian Institute of Health and Welfare. Australian Cancer database, 2006-2010. Available from: </w:t>
      </w:r>
      <w:hyperlink r:id="rId28" w:tooltip="Link to AIHW website - Australian Cancer Database" w:history="1">
        <w:r w:rsidRPr="00A43D21">
          <w:rPr>
            <w:rStyle w:val="Hyperlink"/>
            <w:sz w:val="22"/>
          </w:rPr>
          <w:t>https://www.aihw.gov.au/about-our-data/our-data-collections/australian-cancer-database</w:t>
        </w:r>
      </w:hyperlink>
      <w:r w:rsidR="00DD3501">
        <w:rPr>
          <w:rStyle w:val="Hyperlink"/>
          <w:sz w:val="22"/>
        </w:rPr>
        <w:t>.</w:t>
      </w:r>
    </w:p>
    <w:p w14:paraId="59D04AD0" w14:textId="77777777" w:rsidR="00E744B4" w:rsidRDefault="00E744B4" w:rsidP="00E744B4">
      <w:pPr>
        <w:ind w:left="426"/>
        <w:rPr>
          <w:rStyle w:val="Hyperlink"/>
          <w:sz w:val="22"/>
        </w:rPr>
      </w:pPr>
      <w:r w:rsidRPr="00A43D21">
        <w:rPr>
          <w:sz w:val="22"/>
        </w:rPr>
        <w:t xml:space="preserve">Australian Institute of Health and Welfare. </w:t>
      </w:r>
      <w:r w:rsidRPr="00E744B4">
        <w:rPr>
          <w:bCs/>
          <w:sz w:val="22"/>
        </w:rPr>
        <w:t>Cancer in Aboriginal &amp; Torres Strait Islander people of Australia</w:t>
      </w:r>
      <w:r>
        <w:rPr>
          <w:bCs/>
          <w:sz w:val="22"/>
        </w:rPr>
        <w:t xml:space="preserve"> 201</w:t>
      </w:r>
      <w:r w:rsidR="00586F95">
        <w:rPr>
          <w:bCs/>
          <w:sz w:val="22"/>
        </w:rPr>
        <w:t>8</w:t>
      </w:r>
      <w:r w:rsidRPr="00A43D21">
        <w:rPr>
          <w:sz w:val="22"/>
        </w:rPr>
        <w:t>. Available from:</w:t>
      </w:r>
      <w:r w:rsidRPr="00E744B4">
        <w:rPr>
          <w:sz w:val="24"/>
        </w:rPr>
        <w:t xml:space="preserve"> </w:t>
      </w:r>
      <w:hyperlink r:id="rId29" w:tooltip="Link to AIHW website - Cancer in Aboriginal &amp; Torres Strait Islander people of Australia" w:history="1">
        <w:r w:rsidRPr="00E744B4">
          <w:rPr>
            <w:rStyle w:val="Hyperlink"/>
            <w:sz w:val="22"/>
          </w:rPr>
          <w:t>https://www.aihw.gov.au/reports/cancer/cancer-in-indigenous-australians/contents/cancer-type/non-hodgkin-lymphoma-c82-c86</w:t>
        </w:r>
      </w:hyperlink>
    </w:p>
    <w:p w14:paraId="26D2F7AA" w14:textId="77777777" w:rsidR="00525700" w:rsidRDefault="00525700" w:rsidP="00525700">
      <w:pPr>
        <w:ind w:left="426"/>
        <w:rPr>
          <w:sz w:val="22"/>
        </w:rPr>
      </w:pPr>
      <w:r w:rsidRPr="00525700">
        <w:rPr>
          <w:sz w:val="22"/>
        </w:rPr>
        <w:t>Australian Institute of Health and Welfare (AIHW) 2017. Australian Cancer Incidence and Mortality (ACIM) books: Non-Hodgkin lymphoma. Canberra: AIHW. &lt;http://www.aihw.gov.au/acim-books&gt;.</w:t>
      </w:r>
    </w:p>
    <w:p w14:paraId="0673F008" w14:textId="77777777" w:rsidR="007C4508" w:rsidRDefault="007C4508" w:rsidP="00525700">
      <w:pPr>
        <w:ind w:left="426"/>
        <w:rPr>
          <w:sz w:val="22"/>
        </w:rPr>
      </w:pPr>
      <w:r w:rsidRPr="00A43D21">
        <w:rPr>
          <w:sz w:val="22"/>
        </w:rPr>
        <w:t xml:space="preserve">Australian </w:t>
      </w:r>
      <w:r w:rsidR="00A43D21" w:rsidRPr="00A43D21">
        <w:rPr>
          <w:sz w:val="22"/>
        </w:rPr>
        <w:t>Government</w:t>
      </w:r>
      <w:r w:rsidRPr="00A43D21">
        <w:rPr>
          <w:sz w:val="22"/>
        </w:rPr>
        <w:t xml:space="preserve"> Cancer A</w:t>
      </w:r>
      <w:r w:rsidR="00A43D21" w:rsidRPr="00A43D21">
        <w:rPr>
          <w:sz w:val="22"/>
        </w:rPr>
        <w:t>u</w:t>
      </w:r>
      <w:r w:rsidRPr="00A43D21">
        <w:rPr>
          <w:sz w:val="22"/>
        </w:rPr>
        <w:t>stralia</w:t>
      </w:r>
      <w:r w:rsidR="00A43D21" w:rsidRPr="00A43D21">
        <w:rPr>
          <w:sz w:val="22"/>
        </w:rPr>
        <w:t xml:space="preserve">. </w:t>
      </w:r>
      <w:r w:rsidR="00B127CA">
        <w:rPr>
          <w:sz w:val="22"/>
        </w:rPr>
        <w:t>non-Hodgkin</w:t>
      </w:r>
      <w:r w:rsidR="00A43D21" w:rsidRPr="00A43D21">
        <w:rPr>
          <w:sz w:val="22"/>
        </w:rPr>
        <w:t xml:space="preserve"> lymphoma (C82-C85). 2011. Available from: </w:t>
      </w:r>
      <w:hyperlink r:id="rId30" w:tooltip="Link to Cancer Australia website - Non-Hodgkin lymphoma statistics" w:history="1">
        <w:r w:rsidR="00A43D21" w:rsidRPr="00A43D21">
          <w:rPr>
            <w:rStyle w:val="Hyperlink"/>
            <w:sz w:val="22"/>
          </w:rPr>
          <w:t>https://canceraustralia.gov.au/affected-cancer/cancer-types/lymphoma/non-hodgkin-lymphoma-statistics</w:t>
        </w:r>
      </w:hyperlink>
      <w:r w:rsidR="00DD3501">
        <w:rPr>
          <w:rStyle w:val="Hyperlink"/>
          <w:sz w:val="22"/>
        </w:rPr>
        <w:t>.</w:t>
      </w:r>
    </w:p>
    <w:p w14:paraId="28CC0A05" w14:textId="77777777" w:rsidR="003A3D01" w:rsidRPr="00A73B98" w:rsidRDefault="003A3D01" w:rsidP="003A3D01">
      <w:pPr>
        <w:ind w:left="426"/>
      </w:pPr>
      <w:r w:rsidRPr="00A73B98">
        <w:rPr>
          <w:sz w:val="22"/>
        </w:rPr>
        <w:t>Bhatt VR, Mourya R, Shrestha R, Armitage JO. Primary mediastinal large B-cell lymphoma. Cancer Treat Rev. 2015;41(6):476-85.</w:t>
      </w:r>
    </w:p>
    <w:p w14:paraId="36A9349D" w14:textId="77777777" w:rsidR="003A3D01" w:rsidRDefault="003A3D01" w:rsidP="003A3D01">
      <w:pPr>
        <w:ind w:left="426"/>
        <w:rPr>
          <w:sz w:val="22"/>
        </w:rPr>
      </w:pPr>
      <w:r w:rsidRPr="00A73B98">
        <w:rPr>
          <w:sz w:val="22"/>
        </w:rPr>
        <w:t>Casulo C, Burack WR, Friedberg JW. Transformed follicular non-Hodgkin lymphoma. Blood. 2015;125(1):40-7.</w:t>
      </w:r>
    </w:p>
    <w:p w14:paraId="145439DD" w14:textId="77777777" w:rsidR="00947167" w:rsidRPr="00947167" w:rsidRDefault="00947167" w:rsidP="00947167">
      <w:pPr>
        <w:ind w:left="426"/>
        <w:rPr>
          <w:sz w:val="22"/>
        </w:rPr>
      </w:pPr>
      <w:r w:rsidRPr="00947167">
        <w:rPr>
          <w:sz w:val="22"/>
          <w:lang w:val="en-GB"/>
        </w:rPr>
        <w:t xml:space="preserve">Casulo, C., Nastoupil, L., Fowler, N., Friedberg, J. and Flowers, C. (2017). Unmet needs in the first-line treatment of follicular lymphoma. </w:t>
      </w:r>
      <w:r w:rsidRPr="00947167">
        <w:rPr>
          <w:i/>
          <w:iCs/>
          <w:sz w:val="22"/>
          <w:lang w:val="en-GB"/>
        </w:rPr>
        <w:t>Annals of Oncology</w:t>
      </w:r>
      <w:r w:rsidRPr="00947167">
        <w:rPr>
          <w:sz w:val="22"/>
          <w:lang w:val="en-GB"/>
        </w:rPr>
        <w:t>.</w:t>
      </w:r>
    </w:p>
    <w:p w14:paraId="7E3C8A0E" w14:textId="77777777" w:rsidR="003A3D01" w:rsidRPr="00A73B98" w:rsidRDefault="003A3D01" w:rsidP="003A3D01">
      <w:pPr>
        <w:ind w:left="426"/>
      </w:pPr>
      <w:r w:rsidRPr="00A73B98">
        <w:rPr>
          <w:sz w:val="22"/>
        </w:rPr>
        <w:t>Cazals-Hatem D, Lepage E, Brice P, Ferrant A, d'Agay MF, Baumelou E, et al. Primary mediastinal large B-cell lymphoma. A clinicopathologic study of 141 cases compared with 916 nonmediastinal large B-cell lymphomas, a GELA ("Groupe d'Etude des Lymphomes de l'Adulte") study. Am J Surg Pathol. 1996;20(7):877-88.</w:t>
      </w:r>
    </w:p>
    <w:p w14:paraId="738932D2" w14:textId="77777777" w:rsidR="003A3D01" w:rsidRDefault="003A3D01" w:rsidP="003A3D01">
      <w:pPr>
        <w:ind w:left="426"/>
        <w:rPr>
          <w:sz w:val="22"/>
        </w:rPr>
      </w:pPr>
      <w:r w:rsidRPr="00A73B98">
        <w:rPr>
          <w:sz w:val="22"/>
        </w:rPr>
        <w:t>Chaganti S, Illidge T, Barrington S, McKay P, Linton K, Cwynarski K, et al. Guidelines for the management of diffuse large B-cell lymphoma. Br J Haematol. 2016;174(1):43-56.</w:t>
      </w:r>
    </w:p>
    <w:p w14:paraId="716F8651" w14:textId="77777777" w:rsidR="008237F5" w:rsidRDefault="008237F5" w:rsidP="003A3D01">
      <w:pPr>
        <w:ind w:left="426"/>
        <w:rPr>
          <w:sz w:val="22"/>
        </w:rPr>
      </w:pPr>
      <w:r w:rsidRPr="008237F5">
        <w:rPr>
          <w:sz w:val="22"/>
          <w:lang w:val="en-GB"/>
        </w:rPr>
        <w:t xml:space="preserve">Colosia, A., Njue, A., Trask, P., Olivares, R., Khan, S., Abbe, A., Police, R., Wang, J., Ruiz-Soto, R., Kaye, J. and Awan, F. (2014). Clinical Efficacy and Safety in Relapsed/Refractory Diffuse Large B-Cell Lymphoma: A Systematic Literature Review. </w:t>
      </w:r>
      <w:r w:rsidRPr="008237F5">
        <w:rPr>
          <w:i/>
          <w:iCs/>
          <w:sz w:val="22"/>
          <w:lang w:val="en-GB"/>
        </w:rPr>
        <w:t>Clinical Lymphoma Myeloma and Leukemia</w:t>
      </w:r>
      <w:r w:rsidRPr="008237F5">
        <w:rPr>
          <w:sz w:val="22"/>
          <w:lang w:val="en-GB"/>
        </w:rPr>
        <w:t>, 14(5), pp.343-355.e6.</w:t>
      </w:r>
    </w:p>
    <w:p w14:paraId="5E80BE25" w14:textId="77777777" w:rsidR="003A3D01" w:rsidRDefault="003A3D01" w:rsidP="003A3D01">
      <w:pPr>
        <w:ind w:left="426"/>
        <w:rPr>
          <w:sz w:val="22"/>
        </w:rPr>
      </w:pPr>
      <w:r w:rsidRPr="00A73B98">
        <w:rPr>
          <w:sz w:val="22"/>
        </w:rPr>
        <w:t xml:space="preserve">Crump M, Kuruvilla J, Couban S, MacDonald DA, Kukreti V, Kouroukis CT, et al. Randomized comparison of gemcitabine, dexamethasone, and cisplatin versus dexamethasone, cytarabine, and cisplatin chemotherapy before autologous stem-cell transplantation for relapsed and refractory aggressive lymphomas: NCIC-CTG LY.12. J Clin Oncol. 2014;32(31):3490-6. </w:t>
      </w:r>
    </w:p>
    <w:p w14:paraId="0C0B80DD" w14:textId="77777777" w:rsidR="008237F5" w:rsidRDefault="008237F5" w:rsidP="003A3D01">
      <w:pPr>
        <w:ind w:left="426"/>
        <w:rPr>
          <w:sz w:val="22"/>
        </w:rPr>
      </w:pPr>
      <w:r w:rsidRPr="008237F5">
        <w:rPr>
          <w:sz w:val="22"/>
          <w:lang w:val="en-GB"/>
        </w:rPr>
        <w:t xml:space="preserve">Crump, M., Neelapu, S., Farooq, U., Van Den Neste, E., Kuruvilla, J., Westin, J., Link, B., Hay, A., Cerhan, J., Zhu, L., Boussetta, S., Feng, L., Maurer, M., Navale, L., Wiezorek, J., Go, W. and Gisselbrecht, C. . Outcomes in refractory diffuse large B-cell lymphoma: results from the international SCHOLAR-1 study. </w:t>
      </w:r>
      <w:r w:rsidRPr="005401E8">
        <w:rPr>
          <w:iCs/>
          <w:sz w:val="22"/>
          <w:lang w:val="en-GB"/>
        </w:rPr>
        <w:t>Blood</w:t>
      </w:r>
      <w:r w:rsidR="005401E8" w:rsidRPr="005401E8">
        <w:rPr>
          <w:iCs/>
          <w:sz w:val="22"/>
          <w:lang w:val="en-GB"/>
        </w:rPr>
        <w:t xml:space="preserve"> (2017)</w:t>
      </w:r>
      <w:r w:rsidRPr="005401E8">
        <w:rPr>
          <w:sz w:val="22"/>
          <w:lang w:val="en-GB"/>
        </w:rPr>
        <w:t>,</w:t>
      </w:r>
      <w:r w:rsidRPr="008237F5">
        <w:rPr>
          <w:sz w:val="22"/>
          <w:lang w:val="en-GB"/>
        </w:rPr>
        <w:t xml:space="preserve"> 130(16), pp.1800-1808.</w:t>
      </w:r>
    </w:p>
    <w:p w14:paraId="305B5595" w14:textId="77777777" w:rsidR="003A3D01" w:rsidRDefault="003A3D01" w:rsidP="003A3D01">
      <w:pPr>
        <w:ind w:left="426"/>
        <w:rPr>
          <w:sz w:val="22"/>
        </w:rPr>
      </w:pPr>
      <w:r w:rsidRPr="00A73B98">
        <w:rPr>
          <w:sz w:val="22"/>
        </w:rPr>
        <w:t>Dabrowska-Iwanicka A, Walewski JA. Primary mediastinal large B-cell lymphoma. Curr Hematol Malig Rep. 2014;9(3):273-83.</w:t>
      </w:r>
    </w:p>
    <w:p w14:paraId="3AEF10EB" w14:textId="77777777" w:rsidR="00947167" w:rsidRPr="00A73B98" w:rsidRDefault="00947167" w:rsidP="003A3D01">
      <w:pPr>
        <w:ind w:left="426"/>
        <w:rPr>
          <w:sz w:val="22"/>
        </w:rPr>
      </w:pPr>
      <w:r w:rsidRPr="00947167">
        <w:rPr>
          <w:sz w:val="22"/>
        </w:rPr>
        <w:t>Ekström-Smedby, K. (2006). Epidemiology and etiology of non-Hodgkin lymphoma – a review. Acta Oncologica, 45(3), pp.258-271.</w:t>
      </w:r>
    </w:p>
    <w:p w14:paraId="0068CE68" w14:textId="77777777" w:rsidR="003A3D01" w:rsidRDefault="003A3D01" w:rsidP="003A3D01">
      <w:pPr>
        <w:ind w:left="426"/>
        <w:rPr>
          <w:sz w:val="22"/>
        </w:rPr>
      </w:pPr>
      <w:r w:rsidRPr="00A73B98">
        <w:rPr>
          <w:sz w:val="22"/>
        </w:rPr>
        <w:t>Falini B, Venturi S, Martelli M, Santucci A, Pileri S, Pescarmona E, et al. Mediastinal large B-cell lymphoma: clinical and immunohistological findings in 18 patients treated with different third-generation regimens. Br J Haematol. 1995;89(4):780-9.</w:t>
      </w:r>
    </w:p>
    <w:p w14:paraId="4FC326C0" w14:textId="77777777" w:rsidR="00CF3776" w:rsidRPr="00A73B98" w:rsidRDefault="00CF3776" w:rsidP="00CF3776">
      <w:pPr>
        <w:ind w:left="426"/>
        <w:rPr>
          <w:sz w:val="22"/>
        </w:rPr>
      </w:pPr>
      <w:r w:rsidRPr="00CF3776">
        <w:rPr>
          <w:sz w:val="22"/>
        </w:rPr>
        <w:lastRenderedPageBreak/>
        <w:t>Finney HM, Lawson AD, Bebbington CR, Weir AN. Chimeric receptors providing both primary</w:t>
      </w:r>
      <w:r>
        <w:rPr>
          <w:sz w:val="22"/>
        </w:rPr>
        <w:t xml:space="preserve"> </w:t>
      </w:r>
      <w:r w:rsidRPr="00CF3776">
        <w:rPr>
          <w:sz w:val="22"/>
        </w:rPr>
        <w:t>and costimulatory signaling in T cells from a single gene product. J Immunol. 1998;161(6):27917.</w:t>
      </w:r>
    </w:p>
    <w:p w14:paraId="0CB26BB9" w14:textId="77777777" w:rsidR="003A3D01" w:rsidRDefault="003A3D01" w:rsidP="003A3D01">
      <w:pPr>
        <w:ind w:left="426"/>
        <w:rPr>
          <w:sz w:val="22"/>
        </w:rPr>
      </w:pPr>
      <w:r w:rsidRPr="00A73B98">
        <w:rPr>
          <w:sz w:val="22"/>
        </w:rPr>
        <w:t>Flowers CR, Sinha R, Vose JM. Improving outcomes for patients with diffuse large B-cell lymphoma. CA: A Cancer Journal for Clinicians. 2010;60(6):393-408.</w:t>
      </w:r>
    </w:p>
    <w:p w14:paraId="33DB3D26" w14:textId="77777777" w:rsidR="00E744B4" w:rsidRPr="00A73B98" w:rsidRDefault="00E744B4" w:rsidP="003A3D01">
      <w:pPr>
        <w:ind w:left="426"/>
        <w:rPr>
          <w:sz w:val="22"/>
        </w:rPr>
      </w:pPr>
      <w:r w:rsidRPr="00E744B4">
        <w:rPr>
          <w:sz w:val="22"/>
          <w:lang w:val="en-GB"/>
        </w:rPr>
        <w:t xml:space="preserve">Freedman, A., Friedberg, J., Lister, A. and Rosmarin, A. (2015). </w:t>
      </w:r>
      <w:r w:rsidRPr="00E744B4">
        <w:rPr>
          <w:i/>
          <w:iCs/>
          <w:sz w:val="22"/>
          <w:lang w:val="en-GB"/>
        </w:rPr>
        <w:t>Diffuse large B cell lymphoma in adults</w:t>
      </w:r>
      <w:r w:rsidRPr="00E744B4">
        <w:rPr>
          <w:sz w:val="22"/>
          <w:lang w:val="en-GB"/>
        </w:rPr>
        <w:t xml:space="preserve">. [online] Uptodate.com. Available at: </w:t>
      </w:r>
      <w:hyperlink r:id="rId31" w:tooltip="Link to UpToDate website - Patient education: Diffuse large B cell lymphoma in adults (Beyond the Basics)" w:history="1">
        <w:r w:rsidRPr="00E744B4">
          <w:rPr>
            <w:rStyle w:val="Hyperlink"/>
            <w:sz w:val="22"/>
            <w:lang w:val="en-GB"/>
          </w:rPr>
          <w:t>http://www.uptodate.com/contents/diffuse-large-b-cell-lymphoma-in-adults-beyond-the-basics</w:t>
        </w:r>
      </w:hyperlink>
    </w:p>
    <w:p w14:paraId="7CC5A355" w14:textId="77777777" w:rsidR="00947167" w:rsidRPr="00947167" w:rsidRDefault="00947167" w:rsidP="003A3D01">
      <w:pPr>
        <w:ind w:left="426"/>
        <w:rPr>
          <w:sz w:val="22"/>
        </w:rPr>
      </w:pPr>
      <w:r w:rsidRPr="00947167">
        <w:rPr>
          <w:sz w:val="22"/>
          <w:lang w:val="en-GB"/>
        </w:rPr>
        <w:t xml:space="preserve">Friedberg, J. and Fisher, R. (2008). Diffuse Large B-Cell Lymphoma. </w:t>
      </w:r>
      <w:r w:rsidRPr="00947167">
        <w:rPr>
          <w:iCs/>
          <w:sz w:val="22"/>
          <w:lang w:val="en-GB"/>
        </w:rPr>
        <w:t>Hematology/Oncology Clinics of North America</w:t>
      </w:r>
      <w:r w:rsidRPr="00947167">
        <w:rPr>
          <w:sz w:val="22"/>
          <w:lang w:val="en-GB"/>
        </w:rPr>
        <w:t>, 22(5), pp.941-952.</w:t>
      </w:r>
    </w:p>
    <w:p w14:paraId="4517ED7D" w14:textId="77777777" w:rsidR="003A3D01" w:rsidRPr="00A73B98" w:rsidRDefault="003A3D01" w:rsidP="003A3D01">
      <w:pPr>
        <w:ind w:left="426"/>
        <w:rPr>
          <w:sz w:val="22"/>
        </w:rPr>
      </w:pPr>
      <w:r w:rsidRPr="00A73B98">
        <w:rPr>
          <w:sz w:val="22"/>
        </w:rPr>
        <w:t xml:space="preserve">Friedberg JW. Relapsed/refractory diffuse large B-cell lymphoma. Hematology Am Soc Hematol Educ Program. 2011;2011:498-505. </w:t>
      </w:r>
    </w:p>
    <w:p w14:paraId="41FEA6C2" w14:textId="77777777" w:rsidR="003A3D01" w:rsidRDefault="003A3D01" w:rsidP="003A3D01">
      <w:pPr>
        <w:ind w:left="426"/>
        <w:rPr>
          <w:sz w:val="22"/>
        </w:rPr>
      </w:pPr>
      <w:r w:rsidRPr="00A73B98">
        <w:rPr>
          <w:sz w:val="22"/>
        </w:rPr>
        <w:t xml:space="preserve">Gisselbrecht C, Schmitz N, Mounier N, Singh Gill D, Linch DC, Trneny M, et al. Rituximab maintenance therapy after autologous stem-cell transplantation in patients with relapsed CD20(+) diffuse large B-cell lymphoma: final analysis of the collaborative trial in relapsed aggressive lymphoma. J Clin Oncol. 2012;30(36):4462-9. </w:t>
      </w:r>
    </w:p>
    <w:p w14:paraId="61502BDA" w14:textId="77777777" w:rsidR="00586F95" w:rsidRDefault="00586F95" w:rsidP="003A3D01">
      <w:pPr>
        <w:ind w:left="426"/>
        <w:rPr>
          <w:sz w:val="22"/>
          <w:lang w:val="en-GB"/>
        </w:rPr>
      </w:pPr>
      <w:r w:rsidRPr="00586F95">
        <w:rPr>
          <w:sz w:val="22"/>
          <w:lang w:val="en-GB"/>
        </w:rPr>
        <w:t>Hutchinson, C.B., Wang, E. (2011). Primary mediastinal (thymic) large B-cell lymphoma: a short review with brief discussion of mediastinal gray zone lymphoma. Archives of Pathology &amp; Laboratory Medicine. 135(3), pp.394-398.</w:t>
      </w:r>
    </w:p>
    <w:p w14:paraId="5BAF400E" w14:textId="77777777" w:rsidR="008237F5" w:rsidRDefault="008237F5" w:rsidP="00947167">
      <w:pPr>
        <w:ind w:left="426"/>
        <w:rPr>
          <w:sz w:val="22"/>
          <w:lang w:val="en-GB"/>
        </w:rPr>
      </w:pPr>
      <w:r w:rsidRPr="008237F5">
        <w:rPr>
          <w:sz w:val="22"/>
          <w:lang w:val="en-GB"/>
        </w:rPr>
        <w:t xml:space="preserve">Kansara, R., Savage, K., Villa, D., Shenkier, T., Gerrie, A., Klasa, R., Hitz, F., Scott, D. W., Slack, G., Gascoyne, R., Connors, J., &amp; Sehn, L. (2014). Outcome in Unselected Patients with Relapsed/Refractory Diffuse Large B-Cell Lymphoma (DLBCL) Following R-CHOP When Stem Cell Transplantation Is Not Feasible. </w:t>
      </w:r>
      <w:r w:rsidRPr="008237F5">
        <w:rPr>
          <w:i/>
          <w:sz w:val="22"/>
          <w:lang w:val="en-GB"/>
        </w:rPr>
        <w:t>Blood</w:t>
      </w:r>
      <w:r w:rsidRPr="008237F5">
        <w:rPr>
          <w:sz w:val="22"/>
          <w:lang w:val="en-GB"/>
        </w:rPr>
        <w:t>, 124(21), p.3069.</w:t>
      </w:r>
    </w:p>
    <w:p w14:paraId="6D394E92" w14:textId="77777777" w:rsidR="00947167" w:rsidRDefault="003811DE" w:rsidP="00947167">
      <w:pPr>
        <w:ind w:left="426"/>
        <w:rPr>
          <w:sz w:val="22"/>
          <w:lang w:val="en-GB"/>
        </w:rPr>
      </w:pPr>
      <w:r w:rsidRPr="003811DE">
        <w:rPr>
          <w:sz w:val="22"/>
          <w:lang w:val="en-GB"/>
        </w:rPr>
        <w:t>(Kite, 2017</w:t>
      </w:r>
      <w:r w:rsidR="005401E8">
        <w:rPr>
          <w:sz w:val="22"/>
          <w:lang w:val="en-GB"/>
        </w:rPr>
        <w:t>A</w:t>
      </w:r>
      <w:r w:rsidRPr="003811DE">
        <w:rPr>
          <w:sz w:val="22"/>
          <w:lang w:val="en-GB"/>
        </w:rPr>
        <w:t>):</w:t>
      </w:r>
      <w:r>
        <w:rPr>
          <w:sz w:val="22"/>
          <w:lang w:val="en-GB"/>
        </w:rPr>
        <w:t xml:space="preserve"> </w:t>
      </w:r>
      <w:r w:rsidR="00947167" w:rsidRPr="00947167">
        <w:rPr>
          <w:sz w:val="22"/>
          <w:lang w:val="en-GB"/>
        </w:rPr>
        <w:t>Kite Pharma. (2017). Data on File (Clinical Study Report): KTE-C19-101 A Phase 1/2 Multicenter Study Evaluating the Safety and Efficacy of KTE-C19 in Subjects with Refractory Aggressive non-Hodgkin Lymphoma (ZUMA-1). Santa Monica (CA) USA.</w:t>
      </w:r>
      <w:r w:rsidRPr="003811DE">
        <w:rPr>
          <w:rFonts w:ascii="Arial" w:eastAsia="Calibri" w:hAnsi="Arial" w:cs="Arial"/>
          <w:sz w:val="18"/>
          <w:szCs w:val="18"/>
          <w:lang w:val="en-GB"/>
        </w:rPr>
        <w:t xml:space="preserve"> </w:t>
      </w:r>
    </w:p>
    <w:p w14:paraId="4A88300C" w14:textId="77777777" w:rsidR="008237F5" w:rsidRDefault="003E75DC" w:rsidP="00947167">
      <w:pPr>
        <w:ind w:left="426"/>
        <w:rPr>
          <w:sz w:val="22"/>
          <w:lang w:val="en-GB"/>
        </w:rPr>
      </w:pPr>
      <w:r w:rsidRPr="003E75DC">
        <w:rPr>
          <w:sz w:val="22"/>
          <w:szCs w:val="20"/>
          <w:lang w:val="en-GB"/>
        </w:rPr>
        <w:t>(Kite, 2017</w:t>
      </w:r>
      <w:r w:rsidR="005401E8">
        <w:rPr>
          <w:sz w:val="22"/>
          <w:szCs w:val="20"/>
          <w:lang w:val="en-GB"/>
        </w:rPr>
        <w:t>B</w:t>
      </w:r>
      <w:r w:rsidRPr="003E75DC">
        <w:rPr>
          <w:sz w:val="22"/>
          <w:szCs w:val="20"/>
          <w:lang w:val="en-GB"/>
        </w:rPr>
        <w:t xml:space="preserve">): </w:t>
      </w:r>
      <w:r w:rsidR="008237F5" w:rsidRPr="008237F5">
        <w:rPr>
          <w:sz w:val="22"/>
          <w:lang w:val="en-GB"/>
        </w:rPr>
        <w:t>Kite Pharma. (2017</w:t>
      </w:r>
      <w:r w:rsidR="00525700">
        <w:rPr>
          <w:sz w:val="22"/>
          <w:lang w:val="en-GB"/>
        </w:rPr>
        <w:t>C</w:t>
      </w:r>
      <w:r w:rsidR="008237F5" w:rsidRPr="008237F5">
        <w:rPr>
          <w:sz w:val="22"/>
          <w:lang w:val="en-GB"/>
        </w:rPr>
        <w:t xml:space="preserve">). </w:t>
      </w:r>
      <w:r w:rsidR="008237F5" w:rsidRPr="008237F5">
        <w:rPr>
          <w:i/>
          <w:sz w:val="22"/>
          <w:lang w:val="en-GB"/>
        </w:rPr>
        <w:t>Data on File: KTE-C19 Clinical data – 5 April.</w:t>
      </w:r>
      <w:r w:rsidR="008237F5" w:rsidRPr="008237F5">
        <w:rPr>
          <w:sz w:val="22"/>
          <w:lang w:val="en-GB"/>
        </w:rPr>
        <w:t xml:space="preserve"> Santa Monica (CA) </w:t>
      </w:r>
      <w:r>
        <w:rPr>
          <w:sz w:val="22"/>
          <w:lang w:val="en-GB"/>
        </w:rPr>
        <w:t>USA</w:t>
      </w:r>
    </w:p>
    <w:p w14:paraId="65A823AF" w14:textId="77777777" w:rsidR="00947167" w:rsidRDefault="00947167" w:rsidP="00947167">
      <w:pPr>
        <w:ind w:left="426"/>
        <w:rPr>
          <w:sz w:val="22"/>
        </w:rPr>
      </w:pPr>
      <w:r w:rsidRPr="00E744B4">
        <w:rPr>
          <w:sz w:val="22"/>
        </w:rPr>
        <w:t xml:space="preserve">Leukaemia Foundation Australia. Follicular lymphoma. Available at: http://www.leukaemia.org.au/blood-cancers/lymphomas/non-hodgkin-lymphomanhl/follicular-lymphoma/follicular-lymphoma. </w:t>
      </w:r>
    </w:p>
    <w:p w14:paraId="7E6DDCEB" w14:textId="77777777" w:rsidR="008237F5" w:rsidRDefault="008237F5" w:rsidP="008237F5">
      <w:pPr>
        <w:ind w:left="426"/>
        <w:rPr>
          <w:sz w:val="22"/>
        </w:rPr>
      </w:pPr>
      <w:r w:rsidRPr="008237F5">
        <w:rPr>
          <w:sz w:val="22"/>
        </w:rPr>
        <w:t>Locke FL, Ghobadi A, Jacobson CA, Miklos DB, Lekakis LJ, Oluwole OO, Lin Y,</w:t>
      </w:r>
      <w:r>
        <w:rPr>
          <w:sz w:val="22"/>
        </w:rPr>
        <w:t xml:space="preserve"> </w:t>
      </w:r>
      <w:r w:rsidRPr="008237F5">
        <w:rPr>
          <w:sz w:val="22"/>
        </w:rPr>
        <w:t>Braunschweig I, Hill BT, Timmerman JM, Deol A, Reagan PM, Stiff P, Flinn IW,</w:t>
      </w:r>
      <w:r>
        <w:rPr>
          <w:sz w:val="22"/>
        </w:rPr>
        <w:t xml:space="preserve"> </w:t>
      </w:r>
      <w:r w:rsidRPr="008237F5">
        <w:rPr>
          <w:sz w:val="22"/>
        </w:rPr>
        <w:t>Farooq U, Goy A, McSweeney PA, Munoz J, Siddiqi T, Chavez JC, Herrera AF,</w:t>
      </w:r>
      <w:r>
        <w:rPr>
          <w:sz w:val="22"/>
        </w:rPr>
        <w:t xml:space="preserve"> </w:t>
      </w:r>
      <w:r w:rsidRPr="008237F5">
        <w:rPr>
          <w:sz w:val="22"/>
        </w:rPr>
        <w:t>Bartlett NL, Wiezorek JS, Navale L, Xue A, Jiang Y, Bot A, Rossi JM, Kim JJ, Go</w:t>
      </w:r>
      <w:r>
        <w:rPr>
          <w:sz w:val="22"/>
        </w:rPr>
        <w:t xml:space="preserve"> </w:t>
      </w:r>
      <w:r w:rsidRPr="008237F5">
        <w:rPr>
          <w:sz w:val="22"/>
        </w:rPr>
        <w:t>WY, Neelapu SS. Long-term safety and activity of axicabtagene ciloleucel in</w:t>
      </w:r>
      <w:r>
        <w:rPr>
          <w:sz w:val="22"/>
        </w:rPr>
        <w:t xml:space="preserve"> </w:t>
      </w:r>
      <w:r w:rsidRPr="008237F5">
        <w:rPr>
          <w:sz w:val="22"/>
        </w:rPr>
        <w:t>refractory large B-cell lymphoma (ZUMA-1): a single-arm, multicentre, phase 1-2</w:t>
      </w:r>
      <w:r>
        <w:rPr>
          <w:sz w:val="22"/>
        </w:rPr>
        <w:t xml:space="preserve"> </w:t>
      </w:r>
      <w:r w:rsidRPr="008237F5">
        <w:rPr>
          <w:sz w:val="22"/>
        </w:rPr>
        <w:t>trial. Lancet Oncol. 201</w:t>
      </w:r>
      <w:r>
        <w:rPr>
          <w:sz w:val="22"/>
        </w:rPr>
        <w:t>8</w:t>
      </w:r>
      <w:r w:rsidRPr="008237F5">
        <w:rPr>
          <w:sz w:val="22"/>
        </w:rPr>
        <w:t xml:space="preserve"> Jan;20(1):31-42. doi: 10.1016/S1470-2045(18)30864-7.</w:t>
      </w:r>
      <w:r>
        <w:rPr>
          <w:sz w:val="22"/>
        </w:rPr>
        <w:t xml:space="preserve"> </w:t>
      </w:r>
    </w:p>
    <w:p w14:paraId="57C1163C" w14:textId="77777777" w:rsidR="00947167" w:rsidRDefault="00947167" w:rsidP="00947167">
      <w:pPr>
        <w:ind w:left="426"/>
        <w:rPr>
          <w:sz w:val="22"/>
        </w:rPr>
      </w:pPr>
      <w:r w:rsidRPr="00960736">
        <w:rPr>
          <w:sz w:val="22"/>
        </w:rPr>
        <w:t>Lossos, I. and Gascoyne, R. (2011). Transformation of follicular lymphoma. Best Practice &amp; Research Clinical Haematology, 24(2), pp.147-163.</w:t>
      </w:r>
    </w:p>
    <w:p w14:paraId="257EE72C" w14:textId="6D439849" w:rsidR="00CD5E13" w:rsidRDefault="00947167" w:rsidP="001B2923">
      <w:pPr>
        <w:spacing w:after="0"/>
        <w:ind w:left="425"/>
        <w:rPr>
          <w:rStyle w:val="Hyperlink"/>
          <w:sz w:val="22"/>
          <w:lang w:val="en-GB"/>
        </w:rPr>
      </w:pPr>
      <w:r w:rsidRPr="00947167">
        <w:rPr>
          <w:sz w:val="22"/>
          <w:lang w:val="en-GB"/>
        </w:rPr>
        <w:t xml:space="preserve">Lymphoma Association. (2016). </w:t>
      </w:r>
      <w:r w:rsidRPr="00947167">
        <w:rPr>
          <w:i/>
          <w:iCs/>
          <w:sz w:val="22"/>
          <w:lang w:val="en-GB"/>
        </w:rPr>
        <w:t>Diffuse large B-cell lymphoma</w:t>
      </w:r>
      <w:r w:rsidRPr="00947167">
        <w:rPr>
          <w:sz w:val="22"/>
          <w:lang w:val="en-GB"/>
        </w:rPr>
        <w:t xml:space="preserve">. [online] Available at: </w:t>
      </w:r>
    </w:p>
    <w:p w14:paraId="107741A1" w14:textId="04E581F4" w:rsidR="00E521E9" w:rsidRDefault="00CB0916" w:rsidP="001B2923">
      <w:pPr>
        <w:spacing w:before="0"/>
        <w:ind w:left="425"/>
        <w:rPr>
          <w:rStyle w:val="Hyperlink"/>
          <w:sz w:val="22"/>
          <w:lang w:val="en-GB"/>
        </w:rPr>
      </w:pPr>
      <w:hyperlink r:id="rId32" w:tooltip="Link to Lymphoma action website - Diffuse large B-cell lymphoma" w:history="1">
        <w:r w:rsidRPr="00E30F68">
          <w:rPr>
            <w:rStyle w:val="Hyperlink"/>
            <w:sz w:val="22"/>
            <w:lang w:val="en-GB"/>
          </w:rPr>
          <w:t>https://lymphoma-action.org.uk/types-lym</w:t>
        </w:r>
        <w:r w:rsidRPr="00E30F68">
          <w:rPr>
            <w:rStyle w:val="Hyperlink"/>
            <w:sz w:val="22"/>
            <w:lang w:val="en-GB"/>
          </w:rPr>
          <w:t>p</w:t>
        </w:r>
        <w:r w:rsidRPr="00E30F68">
          <w:rPr>
            <w:rStyle w:val="Hyperlink"/>
            <w:sz w:val="22"/>
            <w:lang w:val="en-GB"/>
          </w:rPr>
          <w:t>homa-non-hodgkin-lymphoma/diffuse-large-b-cell-lymphoma</w:t>
        </w:r>
      </w:hyperlink>
    </w:p>
    <w:p w14:paraId="4A1D6B45" w14:textId="77777777" w:rsidR="00525700" w:rsidRPr="00947167" w:rsidRDefault="00525700" w:rsidP="00947167">
      <w:pPr>
        <w:ind w:left="426"/>
        <w:rPr>
          <w:sz w:val="22"/>
        </w:rPr>
      </w:pPr>
      <w:r w:rsidRPr="00525700">
        <w:rPr>
          <w:sz w:val="22"/>
          <w:lang w:val="en-GB"/>
        </w:rPr>
        <w:t xml:space="preserve">Lymphoma Research Foundation (LRF). (2016). Diffuse Large B-Cell Lymphoma (DLBCL). [online] Available at: </w:t>
      </w:r>
      <w:hyperlink r:id="rId33" w:tooltip="Link to Lymphoma Research Foundation website" w:history="1">
        <w:r w:rsidRPr="00525700">
          <w:rPr>
            <w:rStyle w:val="Hyperlink"/>
            <w:sz w:val="22"/>
            <w:lang w:val="en-GB"/>
          </w:rPr>
          <w:t>http://www.lymphoma.org</w:t>
        </w:r>
      </w:hyperlink>
      <w:r w:rsidRPr="00525700">
        <w:rPr>
          <w:sz w:val="22"/>
          <w:lang w:val="en-GB"/>
        </w:rPr>
        <w:t xml:space="preserve">. </w:t>
      </w:r>
    </w:p>
    <w:p w14:paraId="65A90F3B" w14:textId="77777777" w:rsidR="00960736" w:rsidRPr="00A73B98" w:rsidRDefault="00960736" w:rsidP="003A3D01">
      <w:pPr>
        <w:ind w:left="426"/>
        <w:rPr>
          <w:sz w:val="22"/>
        </w:rPr>
      </w:pPr>
      <w:r w:rsidRPr="00960736">
        <w:rPr>
          <w:sz w:val="22"/>
          <w:lang w:val="en-GB"/>
        </w:rPr>
        <w:lastRenderedPageBreak/>
        <w:t xml:space="preserve">Martelli, M., Ferreri, A., Agostinelli, C., Di Rocco, A., Pfreundschuh, M. and Pileri, S. (2013). Diffuse large B-cell lymphoma. </w:t>
      </w:r>
      <w:r w:rsidRPr="00960736">
        <w:rPr>
          <w:i/>
          <w:iCs/>
          <w:sz w:val="22"/>
          <w:lang w:val="en-GB"/>
        </w:rPr>
        <w:t>Critical Reviews in Oncology/Hematology</w:t>
      </w:r>
      <w:r w:rsidRPr="00960736">
        <w:rPr>
          <w:sz w:val="22"/>
          <w:lang w:val="en-GB"/>
        </w:rPr>
        <w:t>, 87(2), pp.146-171.</w:t>
      </w:r>
    </w:p>
    <w:p w14:paraId="21BA2A1F" w14:textId="77777777" w:rsidR="003A3D01" w:rsidRPr="00A73B98" w:rsidRDefault="003A3D01" w:rsidP="003A3D01">
      <w:pPr>
        <w:ind w:left="426"/>
        <w:rPr>
          <w:sz w:val="22"/>
        </w:rPr>
      </w:pPr>
      <w:r w:rsidRPr="00A73B98">
        <w:rPr>
          <w:sz w:val="22"/>
        </w:rPr>
        <w:t>Morton LM, Wang SS, Devesa SS, Hartge P, Weisenburger DD, Linet MS. Lymphoma incidence patterns by WHO subtype in the United States, 1992-2001. Blood. 2006;107(1):265-76.</w:t>
      </w:r>
    </w:p>
    <w:p w14:paraId="7DEE9903" w14:textId="77777777" w:rsidR="00A43D21" w:rsidRDefault="003A3D01" w:rsidP="001806C3">
      <w:pPr>
        <w:ind w:left="426"/>
        <w:rPr>
          <w:sz w:val="22"/>
        </w:rPr>
      </w:pPr>
      <w:r w:rsidRPr="00A73B98">
        <w:rPr>
          <w:sz w:val="22"/>
        </w:rPr>
        <w:t xml:space="preserve">Moskowitz CH, Bertino JR, Glassman JR, Hedrick EE, Hunte S, Coady-Lyons N, et al. Ifosfamide, carboplatin, and etoposide: a highly effective cytoreduction and peripheral-blood progenitor-cell mobilization regimen for transplant-eligible patients with non-Hodgkin's lymphoma. J Clin Oncol. 1999;17(12):3776-85. </w:t>
      </w:r>
    </w:p>
    <w:p w14:paraId="4570F94E" w14:textId="77777777" w:rsidR="00A43D21" w:rsidRDefault="00A43D21" w:rsidP="00A43D21">
      <w:pPr>
        <w:ind w:left="426"/>
        <w:rPr>
          <w:sz w:val="22"/>
        </w:rPr>
      </w:pPr>
      <w:r w:rsidRPr="00A43D21">
        <w:rPr>
          <w:sz w:val="22"/>
        </w:rPr>
        <w:t>Nagle SJ, Woo K, Schuster SJ, Nasta SD, Stadtmauer E, Mick R, Svoboda J. Outcomes of</w:t>
      </w:r>
      <w:r>
        <w:rPr>
          <w:sz w:val="22"/>
        </w:rPr>
        <w:t xml:space="preserve"> </w:t>
      </w:r>
      <w:r w:rsidRPr="00A43D21">
        <w:rPr>
          <w:sz w:val="22"/>
        </w:rPr>
        <w:t>patient</w:t>
      </w:r>
      <w:r>
        <w:rPr>
          <w:sz w:val="22"/>
        </w:rPr>
        <w:t xml:space="preserve"> </w:t>
      </w:r>
      <w:r w:rsidRPr="00A43D21">
        <w:rPr>
          <w:sz w:val="22"/>
        </w:rPr>
        <w:t>with relapsed/refractory diffuse large B-cell lymphoma with progression of lymphoma</w:t>
      </w:r>
      <w:r>
        <w:rPr>
          <w:sz w:val="22"/>
        </w:rPr>
        <w:t xml:space="preserve"> </w:t>
      </w:r>
      <w:r w:rsidRPr="00A43D21">
        <w:rPr>
          <w:sz w:val="22"/>
        </w:rPr>
        <w:t>after autologous stem cell transplantation in the rituximab era. American Journal of Hematology.</w:t>
      </w:r>
      <w:r>
        <w:rPr>
          <w:sz w:val="22"/>
        </w:rPr>
        <w:t xml:space="preserve"> </w:t>
      </w:r>
      <w:r w:rsidRPr="00A43D21">
        <w:rPr>
          <w:sz w:val="22"/>
        </w:rPr>
        <w:t>2013;88(10):890-4.</w:t>
      </w:r>
      <w:r>
        <w:rPr>
          <w:sz w:val="22"/>
        </w:rPr>
        <w:t xml:space="preserve"> </w:t>
      </w:r>
      <w:r w:rsidRPr="00A43D21">
        <w:rPr>
          <w:sz w:val="22"/>
        </w:rPr>
        <w:t>NCCN. Clinical Practice</w:t>
      </w:r>
      <w:r w:rsidR="00DD3501">
        <w:rPr>
          <w:sz w:val="22"/>
        </w:rPr>
        <w:t>.</w:t>
      </w:r>
    </w:p>
    <w:p w14:paraId="1A1910DC" w14:textId="77777777" w:rsidR="003A3D01" w:rsidRDefault="003A3D01" w:rsidP="003A3D01">
      <w:pPr>
        <w:ind w:left="426"/>
        <w:rPr>
          <w:rStyle w:val="Hyperlink"/>
          <w:sz w:val="22"/>
        </w:rPr>
      </w:pPr>
      <w:r w:rsidRPr="00A73B98">
        <w:rPr>
          <w:sz w:val="22"/>
        </w:rPr>
        <w:t xml:space="preserve">National Comprehensive Cancer Network. Clinical Practice Guidelines in Oncology; Non-Hodkin’s Lymphomas, Version 1. 2014. Available from: </w:t>
      </w:r>
      <w:hyperlink r:id="rId34" w:tooltip="Link to National Comprehensive Cancer Network website - NCCN Guidelines" w:history="1">
        <w:r w:rsidRPr="00A73B98">
          <w:rPr>
            <w:rStyle w:val="Hyperlink"/>
            <w:sz w:val="22"/>
          </w:rPr>
          <w:t>https://www.nccn.org/professionals/physician_gls/default.aspx</w:t>
        </w:r>
      </w:hyperlink>
    </w:p>
    <w:p w14:paraId="4EA8947F" w14:textId="77777777" w:rsidR="00960736" w:rsidRPr="00C13BF8" w:rsidRDefault="00960736" w:rsidP="00C13BF8">
      <w:pPr>
        <w:ind w:left="426"/>
        <w:rPr>
          <w:sz w:val="22"/>
          <w:lang w:val="en-GB"/>
        </w:rPr>
      </w:pPr>
      <w:r w:rsidRPr="00960736">
        <w:rPr>
          <w:sz w:val="22"/>
          <w:lang w:val="en-GB"/>
        </w:rPr>
        <w:t xml:space="preserve">National Cancer Institute (NCI). (2017). Adult non-Hodgkin lymphoma treatment (PDQ®) – Professional Version. [online] Available at: </w:t>
      </w:r>
      <w:hyperlink r:id="rId35" w:tooltip="Link to National Cancer Institute website - Adult Non-Hodgkin Lymphoma Treatment - Health Professional Version" w:history="1">
        <w:r w:rsidRPr="00960736">
          <w:rPr>
            <w:rStyle w:val="Hyperlink"/>
            <w:color w:val="auto"/>
            <w:sz w:val="22"/>
            <w:u w:val="none"/>
            <w:lang w:val="en-GB"/>
          </w:rPr>
          <w:t>www.cancer.gov/types/lymphoma/hp/adult-nhl-treatment-pdq</w:t>
        </w:r>
      </w:hyperlink>
      <w:r w:rsidRPr="00960736">
        <w:rPr>
          <w:sz w:val="22"/>
          <w:lang w:val="en-GB"/>
        </w:rPr>
        <w:t>.</w:t>
      </w:r>
    </w:p>
    <w:p w14:paraId="3455BE67" w14:textId="77777777" w:rsidR="00B002B3" w:rsidRDefault="00B002B3" w:rsidP="00586F95">
      <w:pPr>
        <w:ind w:left="426"/>
        <w:rPr>
          <w:sz w:val="22"/>
          <w:lang w:val="en-GB"/>
        </w:rPr>
      </w:pPr>
      <w:r w:rsidRPr="00B002B3">
        <w:rPr>
          <w:sz w:val="22"/>
          <w:szCs w:val="20"/>
          <w:lang w:val="en-GB"/>
        </w:rPr>
        <w:t>(Neelapu et al, 2017A)</w:t>
      </w:r>
      <w:r>
        <w:rPr>
          <w:szCs w:val="20"/>
          <w:lang w:val="en-GB"/>
        </w:rPr>
        <w:t xml:space="preserve">: </w:t>
      </w:r>
      <w:r w:rsidRPr="00B002B3">
        <w:rPr>
          <w:sz w:val="22"/>
          <w:lang w:val="en-GB"/>
        </w:rPr>
        <w:t>Neelapu, S., Locke, F., Bartlett, N., Lekakis, L., Miklos, D., Jacobson, C., Braunschweig, I., Oluwole, O., Siddiqi, T., Lin, Y., Timmerman, J., Reagan, P., Navale, L., Jiang, Y., Aycock, J., Elias, M., Wiezorek, J., Go, W. (2017). Axicabtagene Ciloleucel (axi-cel; KTE-C19) in Patients With Refractory Aggressive Non-Hodgkin Lymphoma (NHL): Primary Results of the Pivotal Trial ZUMA-1. International Conference on Malignant Lymphoma (Oral Presentation). 14 June 2017.</w:t>
      </w:r>
    </w:p>
    <w:p w14:paraId="58764F55" w14:textId="77777777" w:rsidR="003811DE" w:rsidRPr="00A73B98" w:rsidRDefault="003811DE" w:rsidP="00586F95">
      <w:pPr>
        <w:ind w:left="426"/>
        <w:rPr>
          <w:sz w:val="22"/>
        </w:rPr>
      </w:pPr>
      <w:r w:rsidRPr="003811DE">
        <w:rPr>
          <w:sz w:val="22"/>
          <w:szCs w:val="20"/>
          <w:lang w:val="en-GB"/>
        </w:rPr>
        <w:t xml:space="preserve">(Neelapu et al, 2017B): </w:t>
      </w:r>
      <w:r w:rsidRPr="003811DE">
        <w:rPr>
          <w:sz w:val="22"/>
        </w:rPr>
        <w:t xml:space="preserve">Neelapu, S., Locke, F., Bartlett, N., Lekakis, L., Miklos, D., Jacobson, C., Braunschweig, I., Oluwole, O., Siddiqi, T., Lin, Y., Timmerman, J., Stiff, P., Friedberg, J., Flinn, I., Goy, A., Hill, B., Smith, M., Deol, A., Farooq, U., McSweeney, P., Munoz, J., Avivi, I., Castro, J., Westin, J., Chavez, J., Ghobadi, A., Komanduri, K., Levy, R., Jacobsen, E., Witzig, T., Reagan, P., Bot, A., Rossi, J., Navale, L., Jiang, Y., Aycock, J., Elias, M., Chang, D., Wiezorek, J. and Go, W. (2017). Axicabtagene Ciloleucel CAR T-Cell Therapy in Refractory Large B-Cell Lymphoma. New England Journal of Medicine. </w:t>
      </w:r>
    </w:p>
    <w:p w14:paraId="4DCE4885" w14:textId="77777777" w:rsidR="003A3D01" w:rsidRDefault="00AF2219" w:rsidP="003A3D01">
      <w:pPr>
        <w:ind w:left="426"/>
        <w:rPr>
          <w:sz w:val="22"/>
        </w:rPr>
      </w:pPr>
      <w:r w:rsidRPr="00590BBC">
        <w:rPr>
          <w:sz w:val="22"/>
          <w:szCs w:val="20"/>
        </w:rPr>
        <w:t>(Neelapu et al; 2017C):</w:t>
      </w:r>
      <w:r w:rsidR="00590BBC" w:rsidRPr="00590BBC">
        <w:rPr>
          <w:sz w:val="22"/>
          <w:szCs w:val="20"/>
        </w:rPr>
        <w:t xml:space="preserve"> </w:t>
      </w:r>
      <w:r w:rsidR="003A3D01" w:rsidRPr="00A73B98">
        <w:rPr>
          <w:sz w:val="22"/>
        </w:rPr>
        <w:t xml:space="preserve">Neelapu SS, Locke FL, Bartlett NL, Lekakis LJ, Reagan PM, Miklos DB et al. A Comparison of one year outcomes in ZUMA-1 (Axicabtagene Ciloceucel) and SCHOLAR-1 in patients with refractory, aggressive </w:t>
      </w:r>
      <w:r w:rsidR="00B127CA">
        <w:rPr>
          <w:sz w:val="22"/>
        </w:rPr>
        <w:t>non-Hodgkin</w:t>
      </w:r>
      <w:r w:rsidR="003A3D01" w:rsidRPr="00A73B98">
        <w:rPr>
          <w:sz w:val="22"/>
        </w:rPr>
        <w:t xml:space="preserve"> Lymphoma. Presentation, American Society of Haematology Annual meeting, Atlanta, Georgia, December 2017.</w:t>
      </w:r>
    </w:p>
    <w:p w14:paraId="7DC0EB95" w14:textId="77777777" w:rsidR="003A3D01" w:rsidRDefault="003A3D01" w:rsidP="003A3D01">
      <w:pPr>
        <w:ind w:left="426"/>
        <w:rPr>
          <w:sz w:val="22"/>
        </w:rPr>
      </w:pPr>
      <w:r w:rsidRPr="00A73B98">
        <w:rPr>
          <w:sz w:val="22"/>
        </w:rPr>
        <w:t xml:space="preserve">Philip T, Guglielmi C, Hagenbeek A, Somers R, Van der Lelie H, Bron D, et al. Autologous bone marrow transplantation as compared with salvage chemotherapy in relapses of chemotherapy-sensitive non-Hodgkin's lymphoma. N Engl J Med. 1995;333(23):1540-5. </w:t>
      </w:r>
    </w:p>
    <w:p w14:paraId="6D1AA817" w14:textId="77777777" w:rsidR="00CF3776" w:rsidRPr="00CF3776" w:rsidRDefault="00CF3776" w:rsidP="00CF3776">
      <w:pPr>
        <w:ind w:left="426"/>
        <w:rPr>
          <w:sz w:val="22"/>
        </w:rPr>
      </w:pPr>
      <w:r w:rsidRPr="00CF3776">
        <w:rPr>
          <w:sz w:val="22"/>
        </w:rPr>
        <w:t>Restifo NP, Dudley ME, Rosenberg SA. Adoptive immunotherapy for cancer: harnessing the T</w:t>
      </w:r>
      <w:r>
        <w:rPr>
          <w:sz w:val="22"/>
        </w:rPr>
        <w:t xml:space="preserve"> </w:t>
      </w:r>
      <w:r w:rsidRPr="00CF3776">
        <w:rPr>
          <w:sz w:val="22"/>
        </w:rPr>
        <w:t>cell response. Nat Rev Immunol. 2012;12(4):269-81.</w:t>
      </w:r>
    </w:p>
    <w:p w14:paraId="32AF6907" w14:textId="77777777" w:rsidR="003A3D01" w:rsidRPr="00A73B98" w:rsidRDefault="003A3D01" w:rsidP="003A3D01">
      <w:pPr>
        <w:ind w:left="426"/>
        <w:rPr>
          <w:sz w:val="22"/>
        </w:rPr>
      </w:pPr>
      <w:r w:rsidRPr="00A73B98">
        <w:rPr>
          <w:sz w:val="22"/>
        </w:rPr>
        <w:t>Savage KJ. Favorable outcome of primary mediastinal large B-cell lymphoma in a single institution: the British Columbia experience. Annals of Oncology. 2006;17(1):123-30.</w:t>
      </w:r>
    </w:p>
    <w:p w14:paraId="0E5CEFF6" w14:textId="77777777" w:rsidR="003A3D01" w:rsidRPr="00A73B98" w:rsidRDefault="003A3D01" w:rsidP="003A3D01">
      <w:pPr>
        <w:ind w:left="426"/>
        <w:rPr>
          <w:sz w:val="22"/>
        </w:rPr>
      </w:pPr>
      <w:r w:rsidRPr="00A73B98">
        <w:rPr>
          <w:sz w:val="22"/>
        </w:rPr>
        <w:t>Sehn LH, Antin JH, Shulman LN, Mauch P, Elias A, Kadin ME, Wheeler C. Primary diffuse large B-cell lymphoma of the mediastinum: outcome following high-dose chemotherapy and autologous hematopoietic cell transplantation. Blood. 1998;91(2):717-23.</w:t>
      </w:r>
    </w:p>
    <w:p w14:paraId="1E6E6F9C" w14:textId="77777777" w:rsidR="003A3D01" w:rsidRPr="00A73B98" w:rsidRDefault="003A3D01" w:rsidP="003A3D01">
      <w:pPr>
        <w:ind w:left="426"/>
        <w:rPr>
          <w:sz w:val="22"/>
        </w:rPr>
      </w:pPr>
      <w:r w:rsidRPr="00A73B98">
        <w:rPr>
          <w:sz w:val="22"/>
        </w:rPr>
        <w:lastRenderedPageBreak/>
        <w:t>Sehn LH, Gascoyne RD. Diffuse large B-cell lymphoma: optimizing outcome in the context of clinical and biologic heterogeneity. Blood. 2015;125(1):22-32.</w:t>
      </w:r>
    </w:p>
    <w:p w14:paraId="0DBC72D7" w14:textId="77777777" w:rsidR="003A3D01" w:rsidRPr="00A43D21" w:rsidRDefault="003A3D01" w:rsidP="003A3D01">
      <w:pPr>
        <w:ind w:left="426"/>
        <w:rPr>
          <w:sz w:val="22"/>
        </w:rPr>
      </w:pPr>
      <w:r w:rsidRPr="00A73B98">
        <w:rPr>
          <w:sz w:val="22"/>
        </w:rPr>
        <w:t xml:space="preserve">Tilly H, Vitolo U, Walewski J, da Silva MG, Shpilberg O, Andr M, Pfreundschuh M, Dreyling M. Diffuse large B-cell lymphoma (DLBCL): ESMO Clinical Practice Guidelines for diagnosis, </w:t>
      </w:r>
      <w:r w:rsidRPr="00A43D21">
        <w:rPr>
          <w:sz w:val="22"/>
        </w:rPr>
        <w:t>treatment and follow-up. Annals of Oncology. 2012;23(Suppl 7):vii78-vii82.</w:t>
      </w:r>
    </w:p>
    <w:p w14:paraId="118E5A4E" w14:textId="77777777" w:rsidR="00A43D21" w:rsidRPr="00A43D21" w:rsidRDefault="00A43D21" w:rsidP="00A43D21">
      <w:pPr>
        <w:ind w:left="426"/>
        <w:rPr>
          <w:sz w:val="22"/>
        </w:rPr>
      </w:pPr>
      <w:r w:rsidRPr="00A43D21">
        <w:rPr>
          <w:sz w:val="22"/>
        </w:rPr>
        <w:t>Tilly H, Gomes da Silva M, Vitolo U, Jack A, Meignan M, Lopez-Guillermo A, et al. Diffuse large B-cell lymphoma (DLBCL): ESMO Clinical Practice Guidelines for diagnosis, treatment and follow-up. Ann Oncol. 2015;26 Suppl 5:v116-25.</w:t>
      </w:r>
    </w:p>
    <w:p w14:paraId="1A43CEFA" w14:textId="2CCCECFD" w:rsidR="003A3D01" w:rsidRPr="001806C3" w:rsidRDefault="00A43D21" w:rsidP="00CB0916">
      <w:pPr>
        <w:ind w:left="426"/>
        <w:rPr>
          <w:sz w:val="22"/>
        </w:rPr>
      </w:pPr>
      <w:r w:rsidRPr="001806C3">
        <w:rPr>
          <w:sz w:val="22"/>
        </w:rPr>
        <w:t>Van Den Neste E, Schmitz N, Mounier N, Gill D, Linch D, Trneny M, et al. Outcome of patients</w:t>
      </w:r>
      <w:r w:rsidR="006D022E" w:rsidRPr="001806C3">
        <w:rPr>
          <w:sz w:val="22"/>
        </w:rPr>
        <w:t xml:space="preserve"> </w:t>
      </w:r>
      <w:r w:rsidRPr="001806C3">
        <w:rPr>
          <w:sz w:val="22"/>
        </w:rPr>
        <w:t>with relapsed diffuse large B-cell lymphoma who fail second-line salvage regimens in the</w:t>
      </w:r>
      <w:r w:rsidR="006D022E" w:rsidRPr="001806C3">
        <w:rPr>
          <w:sz w:val="22"/>
        </w:rPr>
        <w:t xml:space="preserve"> </w:t>
      </w:r>
      <w:r w:rsidRPr="001806C3">
        <w:rPr>
          <w:sz w:val="22"/>
        </w:rPr>
        <w:t>International CORAL study. Bone Marrow Transplant. 2016;51(1):51-7.</w:t>
      </w:r>
    </w:p>
    <w:sectPr w:rsidR="003A3D01" w:rsidRPr="001806C3" w:rsidSect="00DD30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A90EA" w14:textId="77777777" w:rsidR="00D4288A" w:rsidRDefault="00D4288A" w:rsidP="00CF2DFA">
      <w:pPr>
        <w:spacing w:after="0"/>
      </w:pPr>
      <w:r>
        <w:separator/>
      </w:r>
    </w:p>
  </w:endnote>
  <w:endnote w:type="continuationSeparator" w:id="0">
    <w:p w14:paraId="282DC2B0" w14:textId="77777777" w:rsidR="00D4288A" w:rsidRDefault="00D4288A" w:rsidP="00CF2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haker2Lancet-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EF75D" w14:textId="77777777" w:rsidR="003136F9" w:rsidRDefault="003136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14:paraId="582DE2D5" w14:textId="68F98B1F" w:rsidR="00D4288A" w:rsidRDefault="00D4288A">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3136F9" w:rsidRPr="003136F9">
          <w:rPr>
            <w:b/>
            <w:bCs/>
            <w:noProof/>
            <w:sz w:val="18"/>
            <w:szCs w:val="18"/>
          </w:rPr>
          <w:t>16</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14:paraId="7363EE80" w14:textId="77777777" w:rsidR="00D4288A" w:rsidRPr="003F7CB9" w:rsidRDefault="00D4288A"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AE4FB" w14:textId="77777777" w:rsidR="003136F9" w:rsidRDefault="00313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F90FF" w14:textId="77777777" w:rsidR="00D4288A" w:rsidRDefault="00D4288A" w:rsidP="00CF2DFA">
      <w:pPr>
        <w:spacing w:after="0"/>
      </w:pPr>
      <w:r>
        <w:separator/>
      </w:r>
    </w:p>
  </w:footnote>
  <w:footnote w:type="continuationSeparator" w:id="0">
    <w:p w14:paraId="0ACBA51A" w14:textId="77777777" w:rsidR="00D4288A" w:rsidRDefault="00D4288A" w:rsidP="00CF2D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DD64F" w14:textId="77777777" w:rsidR="003136F9" w:rsidRDefault="003136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F116A" w14:textId="77777777" w:rsidR="003136F9" w:rsidRDefault="003136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92DE6" w14:textId="77777777" w:rsidR="003136F9" w:rsidRDefault="003136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236"/>
    <w:multiLevelType w:val="hybridMultilevel"/>
    <w:tmpl w:val="C3AE958E"/>
    <w:lvl w:ilvl="0" w:tplc="120CD9A2">
      <w:start w:val="1"/>
      <w:numFmt w:val="lowerRoman"/>
      <w:lvlText w:val="%1."/>
      <w:lvlJc w:val="left"/>
      <w:pPr>
        <w:ind w:left="644" w:hanging="720"/>
      </w:pPr>
      <w:rPr>
        <w:rFonts w:hint="default"/>
        <w:b w:val="0"/>
      </w:rPr>
    </w:lvl>
    <w:lvl w:ilvl="1" w:tplc="0C090019" w:tentative="1">
      <w:start w:val="1"/>
      <w:numFmt w:val="lowerLetter"/>
      <w:lvlText w:val="%2."/>
      <w:lvlJc w:val="left"/>
      <w:pPr>
        <w:ind w:left="1004" w:hanging="360"/>
      </w:pPr>
    </w:lvl>
    <w:lvl w:ilvl="2" w:tplc="0C09001B" w:tentative="1">
      <w:start w:val="1"/>
      <w:numFmt w:val="lowerRoman"/>
      <w:lvlText w:val="%3."/>
      <w:lvlJc w:val="right"/>
      <w:pPr>
        <w:ind w:left="1724" w:hanging="180"/>
      </w:pPr>
    </w:lvl>
    <w:lvl w:ilvl="3" w:tplc="0C09000F" w:tentative="1">
      <w:start w:val="1"/>
      <w:numFmt w:val="decimal"/>
      <w:lvlText w:val="%4."/>
      <w:lvlJc w:val="left"/>
      <w:pPr>
        <w:ind w:left="2444" w:hanging="360"/>
      </w:pPr>
    </w:lvl>
    <w:lvl w:ilvl="4" w:tplc="0C090019" w:tentative="1">
      <w:start w:val="1"/>
      <w:numFmt w:val="lowerLetter"/>
      <w:lvlText w:val="%5."/>
      <w:lvlJc w:val="left"/>
      <w:pPr>
        <w:ind w:left="3164" w:hanging="360"/>
      </w:pPr>
    </w:lvl>
    <w:lvl w:ilvl="5" w:tplc="0C09001B" w:tentative="1">
      <w:start w:val="1"/>
      <w:numFmt w:val="lowerRoman"/>
      <w:lvlText w:val="%6."/>
      <w:lvlJc w:val="right"/>
      <w:pPr>
        <w:ind w:left="3884" w:hanging="180"/>
      </w:pPr>
    </w:lvl>
    <w:lvl w:ilvl="6" w:tplc="0C09000F" w:tentative="1">
      <w:start w:val="1"/>
      <w:numFmt w:val="decimal"/>
      <w:lvlText w:val="%7."/>
      <w:lvlJc w:val="left"/>
      <w:pPr>
        <w:ind w:left="4604" w:hanging="360"/>
      </w:pPr>
    </w:lvl>
    <w:lvl w:ilvl="7" w:tplc="0C090019" w:tentative="1">
      <w:start w:val="1"/>
      <w:numFmt w:val="lowerLetter"/>
      <w:lvlText w:val="%8."/>
      <w:lvlJc w:val="left"/>
      <w:pPr>
        <w:ind w:left="5324" w:hanging="360"/>
      </w:pPr>
    </w:lvl>
    <w:lvl w:ilvl="8" w:tplc="0C09001B" w:tentative="1">
      <w:start w:val="1"/>
      <w:numFmt w:val="lowerRoman"/>
      <w:lvlText w:val="%9."/>
      <w:lvlJc w:val="right"/>
      <w:pPr>
        <w:ind w:left="6044" w:hanging="180"/>
      </w:pPr>
    </w:lvl>
  </w:abstractNum>
  <w:abstractNum w:abstractNumId="1" w15:restartNumberingAfterBreak="0">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8D2BE8"/>
    <w:multiLevelType w:val="hybridMultilevel"/>
    <w:tmpl w:val="570031CC"/>
    <w:lvl w:ilvl="0" w:tplc="58DEC13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9306E5"/>
    <w:multiLevelType w:val="hybridMultilevel"/>
    <w:tmpl w:val="02EC7278"/>
    <w:lvl w:ilvl="0" w:tplc="01C66D6A">
      <w:start w:val="2"/>
      <w:numFmt w:val="bullet"/>
      <w:lvlText w:val="-"/>
      <w:lvlJc w:val="left"/>
      <w:pPr>
        <w:ind w:left="360" w:hanging="360"/>
      </w:pPr>
      <w:rPr>
        <w:rFonts w:ascii="Calibri" w:eastAsia="Calibri" w:hAnsi="Calibri" w:cs="Times New Roman"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7" w15:restartNumberingAfterBreak="0">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33434B0"/>
    <w:multiLevelType w:val="hybridMultilevel"/>
    <w:tmpl w:val="712E621A"/>
    <w:lvl w:ilvl="0" w:tplc="1A2A340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9" w15:restartNumberingAfterBreak="0">
    <w:nsid w:val="246A2C18"/>
    <w:multiLevelType w:val="hybridMultilevel"/>
    <w:tmpl w:val="8482E626"/>
    <w:lvl w:ilvl="0" w:tplc="CBCE4E7A">
      <w:start w:val="1"/>
      <w:numFmt w:val="bullet"/>
      <w:lvlText w:val="•"/>
      <w:lvlJc w:val="left"/>
      <w:pPr>
        <w:tabs>
          <w:tab w:val="num" w:pos="720"/>
        </w:tabs>
        <w:ind w:left="720" w:hanging="360"/>
      </w:pPr>
      <w:rPr>
        <w:rFonts w:ascii="Arial" w:hAnsi="Arial" w:hint="default"/>
      </w:rPr>
    </w:lvl>
    <w:lvl w:ilvl="1" w:tplc="0750CFEA" w:tentative="1">
      <w:start w:val="1"/>
      <w:numFmt w:val="bullet"/>
      <w:lvlText w:val="•"/>
      <w:lvlJc w:val="left"/>
      <w:pPr>
        <w:tabs>
          <w:tab w:val="num" w:pos="1440"/>
        </w:tabs>
        <w:ind w:left="1440" w:hanging="360"/>
      </w:pPr>
      <w:rPr>
        <w:rFonts w:ascii="Arial" w:hAnsi="Arial" w:hint="default"/>
      </w:rPr>
    </w:lvl>
    <w:lvl w:ilvl="2" w:tplc="FCE6CFF4" w:tentative="1">
      <w:start w:val="1"/>
      <w:numFmt w:val="bullet"/>
      <w:lvlText w:val="•"/>
      <w:lvlJc w:val="left"/>
      <w:pPr>
        <w:tabs>
          <w:tab w:val="num" w:pos="2160"/>
        </w:tabs>
        <w:ind w:left="2160" w:hanging="360"/>
      </w:pPr>
      <w:rPr>
        <w:rFonts w:ascii="Arial" w:hAnsi="Arial" w:hint="default"/>
      </w:rPr>
    </w:lvl>
    <w:lvl w:ilvl="3" w:tplc="7DA00858" w:tentative="1">
      <w:start w:val="1"/>
      <w:numFmt w:val="bullet"/>
      <w:lvlText w:val="•"/>
      <w:lvlJc w:val="left"/>
      <w:pPr>
        <w:tabs>
          <w:tab w:val="num" w:pos="2880"/>
        </w:tabs>
        <w:ind w:left="2880" w:hanging="360"/>
      </w:pPr>
      <w:rPr>
        <w:rFonts w:ascii="Arial" w:hAnsi="Arial" w:hint="default"/>
      </w:rPr>
    </w:lvl>
    <w:lvl w:ilvl="4" w:tplc="7B0ACFBC" w:tentative="1">
      <w:start w:val="1"/>
      <w:numFmt w:val="bullet"/>
      <w:lvlText w:val="•"/>
      <w:lvlJc w:val="left"/>
      <w:pPr>
        <w:tabs>
          <w:tab w:val="num" w:pos="3600"/>
        </w:tabs>
        <w:ind w:left="3600" w:hanging="360"/>
      </w:pPr>
      <w:rPr>
        <w:rFonts w:ascii="Arial" w:hAnsi="Arial" w:hint="default"/>
      </w:rPr>
    </w:lvl>
    <w:lvl w:ilvl="5" w:tplc="EBD4E518" w:tentative="1">
      <w:start w:val="1"/>
      <w:numFmt w:val="bullet"/>
      <w:lvlText w:val="•"/>
      <w:lvlJc w:val="left"/>
      <w:pPr>
        <w:tabs>
          <w:tab w:val="num" w:pos="4320"/>
        </w:tabs>
        <w:ind w:left="4320" w:hanging="360"/>
      </w:pPr>
      <w:rPr>
        <w:rFonts w:ascii="Arial" w:hAnsi="Arial" w:hint="default"/>
      </w:rPr>
    </w:lvl>
    <w:lvl w:ilvl="6" w:tplc="639248BC" w:tentative="1">
      <w:start w:val="1"/>
      <w:numFmt w:val="bullet"/>
      <w:lvlText w:val="•"/>
      <w:lvlJc w:val="left"/>
      <w:pPr>
        <w:tabs>
          <w:tab w:val="num" w:pos="5040"/>
        </w:tabs>
        <w:ind w:left="5040" w:hanging="360"/>
      </w:pPr>
      <w:rPr>
        <w:rFonts w:ascii="Arial" w:hAnsi="Arial" w:hint="default"/>
      </w:rPr>
    </w:lvl>
    <w:lvl w:ilvl="7" w:tplc="C6C27330" w:tentative="1">
      <w:start w:val="1"/>
      <w:numFmt w:val="bullet"/>
      <w:lvlText w:val="•"/>
      <w:lvlJc w:val="left"/>
      <w:pPr>
        <w:tabs>
          <w:tab w:val="num" w:pos="5760"/>
        </w:tabs>
        <w:ind w:left="5760" w:hanging="360"/>
      </w:pPr>
      <w:rPr>
        <w:rFonts w:ascii="Arial" w:hAnsi="Arial" w:hint="default"/>
      </w:rPr>
    </w:lvl>
    <w:lvl w:ilvl="8" w:tplc="94EA6DE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A3B4B73"/>
    <w:multiLevelType w:val="hybridMultilevel"/>
    <w:tmpl w:val="84DA2A0E"/>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1" w15:restartNumberingAfterBreak="0">
    <w:nsid w:val="371B35F4"/>
    <w:multiLevelType w:val="hybridMultilevel"/>
    <w:tmpl w:val="6C7AFEB8"/>
    <w:lvl w:ilvl="0" w:tplc="76D0A74A">
      <w:start w:val="10"/>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2" w15:restartNumberingAfterBreak="0">
    <w:nsid w:val="37D36A0D"/>
    <w:multiLevelType w:val="hybridMultilevel"/>
    <w:tmpl w:val="FFE46A94"/>
    <w:lvl w:ilvl="0" w:tplc="91367026">
      <w:start w:val="2"/>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358459B"/>
    <w:multiLevelType w:val="hybridMultilevel"/>
    <w:tmpl w:val="3FB4505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5" w15:restartNumberingAfterBreak="0">
    <w:nsid w:val="46F27EBA"/>
    <w:multiLevelType w:val="hybridMultilevel"/>
    <w:tmpl w:val="F3D49508"/>
    <w:lvl w:ilvl="0" w:tplc="BFB2B278">
      <w:start w:val="1"/>
      <w:numFmt w:val="bullet"/>
      <w:lvlText w:val="•"/>
      <w:lvlJc w:val="left"/>
      <w:pPr>
        <w:tabs>
          <w:tab w:val="num" w:pos="720"/>
        </w:tabs>
        <w:ind w:left="720" w:hanging="360"/>
      </w:pPr>
      <w:rPr>
        <w:rFonts w:ascii="Arial" w:hAnsi="Arial" w:hint="default"/>
      </w:rPr>
    </w:lvl>
    <w:lvl w:ilvl="1" w:tplc="5890E366" w:tentative="1">
      <w:start w:val="1"/>
      <w:numFmt w:val="bullet"/>
      <w:lvlText w:val="•"/>
      <w:lvlJc w:val="left"/>
      <w:pPr>
        <w:tabs>
          <w:tab w:val="num" w:pos="1440"/>
        </w:tabs>
        <w:ind w:left="1440" w:hanging="360"/>
      </w:pPr>
      <w:rPr>
        <w:rFonts w:ascii="Arial" w:hAnsi="Arial" w:hint="default"/>
      </w:rPr>
    </w:lvl>
    <w:lvl w:ilvl="2" w:tplc="6C1E2552" w:tentative="1">
      <w:start w:val="1"/>
      <w:numFmt w:val="bullet"/>
      <w:lvlText w:val="•"/>
      <w:lvlJc w:val="left"/>
      <w:pPr>
        <w:tabs>
          <w:tab w:val="num" w:pos="2160"/>
        </w:tabs>
        <w:ind w:left="2160" w:hanging="360"/>
      </w:pPr>
      <w:rPr>
        <w:rFonts w:ascii="Arial" w:hAnsi="Arial" w:hint="default"/>
      </w:rPr>
    </w:lvl>
    <w:lvl w:ilvl="3" w:tplc="21704AD0" w:tentative="1">
      <w:start w:val="1"/>
      <w:numFmt w:val="bullet"/>
      <w:lvlText w:val="•"/>
      <w:lvlJc w:val="left"/>
      <w:pPr>
        <w:tabs>
          <w:tab w:val="num" w:pos="2880"/>
        </w:tabs>
        <w:ind w:left="2880" w:hanging="360"/>
      </w:pPr>
      <w:rPr>
        <w:rFonts w:ascii="Arial" w:hAnsi="Arial" w:hint="default"/>
      </w:rPr>
    </w:lvl>
    <w:lvl w:ilvl="4" w:tplc="73A05E1E" w:tentative="1">
      <w:start w:val="1"/>
      <w:numFmt w:val="bullet"/>
      <w:lvlText w:val="•"/>
      <w:lvlJc w:val="left"/>
      <w:pPr>
        <w:tabs>
          <w:tab w:val="num" w:pos="3600"/>
        </w:tabs>
        <w:ind w:left="3600" w:hanging="360"/>
      </w:pPr>
      <w:rPr>
        <w:rFonts w:ascii="Arial" w:hAnsi="Arial" w:hint="default"/>
      </w:rPr>
    </w:lvl>
    <w:lvl w:ilvl="5" w:tplc="3DCE8D18" w:tentative="1">
      <w:start w:val="1"/>
      <w:numFmt w:val="bullet"/>
      <w:lvlText w:val="•"/>
      <w:lvlJc w:val="left"/>
      <w:pPr>
        <w:tabs>
          <w:tab w:val="num" w:pos="4320"/>
        </w:tabs>
        <w:ind w:left="4320" w:hanging="360"/>
      </w:pPr>
      <w:rPr>
        <w:rFonts w:ascii="Arial" w:hAnsi="Arial" w:hint="default"/>
      </w:rPr>
    </w:lvl>
    <w:lvl w:ilvl="6" w:tplc="44C25934" w:tentative="1">
      <w:start w:val="1"/>
      <w:numFmt w:val="bullet"/>
      <w:lvlText w:val="•"/>
      <w:lvlJc w:val="left"/>
      <w:pPr>
        <w:tabs>
          <w:tab w:val="num" w:pos="5040"/>
        </w:tabs>
        <w:ind w:left="5040" w:hanging="360"/>
      </w:pPr>
      <w:rPr>
        <w:rFonts w:ascii="Arial" w:hAnsi="Arial" w:hint="default"/>
      </w:rPr>
    </w:lvl>
    <w:lvl w:ilvl="7" w:tplc="AD8076AA" w:tentative="1">
      <w:start w:val="1"/>
      <w:numFmt w:val="bullet"/>
      <w:lvlText w:val="•"/>
      <w:lvlJc w:val="left"/>
      <w:pPr>
        <w:tabs>
          <w:tab w:val="num" w:pos="5760"/>
        </w:tabs>
        <w:ind w:left="5760" w:hanging="360"/>
      </w:pPr>
      <w:rPr>
        <w:rFonts w:ascii="Arial" w:hAnsi="Arial" w:hint="default"/>
      </w:rPr>
    </w:lvl>
    <w:lvl w:ilvl="8" w:tplc="BA666C8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7" w15:restartNumberingAfterBreak="0">
    <w:nsid w:val="510F6FAE"/>
    <w:multiLevelType w:val="multilevel"/>
    <w:tmpl w:val="40EE46D0"/>
    <w:lvl w:ilvl="0">
      <w:start w:val="1"/>
      <w:numFmt w:val="decimal"/>
      <w:pStyle w:val="Heading2"/>
      <w:lvlText w:val="%1."/>
      <w:lvlJc w:val="left"/>
      <w:pPr>
        <w:ind w:left="360" w:hanging="360"/>
      </w:pPr>
      <w:rPr>
        <w:rFonts w:hint="default"/>
        <w:b/>
        <w:i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530A5D53"/>
    <w:multiLevelType w:val="hybridMultilevel"/>
    <w:tmpl w:val="769EF7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3937A84"/>
    <w:multiLevelType w:val="hybridMultilevel"/>
    <w:tmpl w:val="DDC092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96375D6"/>
    <w:multiLevelType w:val="hybridMultilevel"/>
    <w:tmpl w:val="4D08C4F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EA62D19"/>
    <w:multiLevelType w:val="hybridMultilevel"/>
    <w:tmpl w:val="CBA055A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num w:numId="1">
    <w:abstractNumId w:val="17"/>
  </w:num>
  <w:num w:numId="2">
    <w:abstractNumId w:val="5"/>
    <w:lvlOverride w:ilvl="0"/>
    <w:lvlOverride w:ilvl="1">
      <w:startOverride w:val="1"/>
    </w:lvlOverride>
    <w:lvlOverride w:ilvl="2"/>
    <w:lvlOverride w:ilvl="3"/>
    <w:lvlOverride w:ilvl="4"/>
    <w:lvlOverride w:ilvl="5"/>
    <w:lvlOverride w:ilvl="6"/>
    <w:lvlOverride w:ilvl="7"/>
    <w:lvlOverride w:ilvl="8"/>
  </w:num>
  <w:num w:numId="3">
    <w:abstractNumId w:val="11"/>
  </w:num>
  <w:num w:numId="4">
    <w:abstractNumId w:val="5"/>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9"/>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
  </w:num>
  <w:num w:numId="25">
    <w:abstractNumId w:val="24"/>
  </w:num>
  <w:num w:numId="26">
    <w:abstractNumId w:val="4"/>
  </w:num>
  <w:num w:numId="27">
    <w:abstractNumId w:val="20"/>
  </w:num>
  <w:num w:numId="28">
    <w:abstractNumId w:val="13"/>
  </w:num>
  <w:num w:numId="29">
    <w:abstractNumId w:val="25"/>
  </w:num>
  <w:num w:numId="30">
    <w:abstractNumId w:val="3"/>
  </w:num>
  <w:num w:numId="31">
    <w:abstractNumId w:val="23"/>
  </w:num>
  <w:num w:numId="32">
    <w:abstractNumId w:val="7"/>
  </w:num>
  <w:num w:numId="33">
    <w:abstractNumId w:val="22"/>
  </w:num>
  <w:num w:numId="34">
    <w:abstractNumId w:val="6"/>
  </w:num>
  <w:num w:numId="35">
    <w:abstractNumId w:val="16"/>
  </w:num>
  <w:num w:numId="36">
    <w:abstractNumId w:val="0"/>
  </w:num>
  <w:num w:numId="37">
    <w:abstractNumId w:val="12"/>
  </w:num>
  <w:num w:numId="38">
    <w:abstractNumId w:val="2"/>
  </w:num>
  <w:num w:numId="39">
    <w:abstractNumId w:val="27"/>
  </w:num>
  <w:num w:numId="40">
    <w:abstractNumId w:val="14"/>
  </w:num>
  <w:num w:numId="41">
    <w:abstractNumId w:val="21"/>
  </w:num>
  <w:num w:numId="42">
    <w:abstractNumId w:val="15"/>
  </w:num>
  <w:num w:numId="43">
    <w:abstractNumId w:val="18"/>
  </w:num>
  <w:num w:numId="44">
    <w:abstractNumId w:val="9"/>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forms" w:enforcement="0"/>
  <w:defaultTabStop w:val="720"/>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AC5"/>
    <w:rsid w:val="000110DC"/>
    <w:rsid w:val="00012D82"/>
    <w:rsid w:val="000158AA"/>
    <w:rsid w:val="000159B9"/>
    <w:rsid w:val="00016B6E"/>
    <w:rsid w:val="00021CF1"/>
    <w:rsid w:val="00022153"/>
    <w:rsid w:val="00023E21"/>
    <w:rsid w:val="00024D52"/>
    <w:rsid w:val="00025ABC"/>
    <w:rsid w:val="00026412"/>
    <w:rsid w:val="00026CD1"/>
    <w:rsid w:val="00031F6F"/>
    <w:rsid w:val="00034D6E"/>
    <w:rsid w:val="0004609C"/>
    <w:rsid w:val="0005089D"/>
    <w:rsid w:val="000525BC"/>
    <w:rsid w:val="0006683A"/>
    <w:rsid w:val="00066DF9"/>
    <w:rsid w:val="000709DE"/>
    <w:rsid w:val="00073222"/>
    <w:rsid w:val="000742C0"/>
    <w:rsid w:val="00076658"/>
    <w:rsid w:val="000770BA"/>
    <w:rsid w:val="0008789F"/>
    <w:rsid w:val="00092580"/>
    <w:rsid w:val="0009332D"/>
    <w:rsid w:val="000955BD"/>
    <w:rsid w:val="000955E7"/>
    <w:rsid w:val="00095DD9"/>
    <w:rsid w:val="000A110D"/>
    <w:rsid w:val="000A478F"/>
    <w:rsid w:val="000A5B32"/>
    <w:rsid w:val="000B202F"/>
    <w:rsid w:val="000B3CD0"/>
    <w:rsid w:val="000C35BF"/>
    <w:rsid w:val="000C3852"/>
    <w:rsid w:val="000C3DFD"/>
    <w:rsid w:val="000C6B8B"/>
    <w:rsid w:val="000D066E"/>
    <w:rsid w:val="000D0831"/>
    <w:rsid w:val="000D0D13"/>
    <w:rsid w:val="000D1461"/>
    <w:rsid w:val="000D2BF0"/>
    <w:rsid w:val="000E47E7"/>
    <w:rsid w:val="000E5439"/>
    <w:rsid w:val="000E7A13"/>
    <w:rsid w:val="000F4071"/>
    <w:rsid w:val="000F4C4E"/>
    <w:rsid w:val="00102686"/>
    <w:rsid w:val="0011036E"/>
    <w:rsid w:val="00112A1A"/>
    <w:rsid w:val="001130B0"/>
    <w:rsid w:val="0011369B"/>
    <w:rsid w:val="0011590F"/>
    <w:rsid w:val="0011742E"/>
    <w:rsid w:val="00123D10"/>
    <w:rsid w:val="0012508A"/>
    <w:rsid w:val="00126B33"/>
    <w:rsid w:val="00135B50"/>
    <w:rsid w:val="0014068D"/>
    <w:rsid w:val="00141CCC"/>
    <w:rsid w:val="00143482"/>
    <w:rsid w:val="001503D2"/>
    <w:rsid w:val="0015057F"/>
    <w:rsid w:val="001514EF"/>
    <w:rsid w:val="00154B00"/>
    <w:rsid w:val="001550DF"/>
    <w:rsid w:val="0016215E"/>
    <w:rsid w:val="001644E9"/>
    <w:rsid w:val="001741C6"/>
    <w:rsid w:val="0017528C"/>
    <w:rsid w:val="00175C5E"/>
    <w:rsid w:val="001806C3"/>
    <w:rsid w:val="001845D9"/>
    <w:rsid w:val="00185483"/>
    <w:rsid w:val="0018630F"/>
    <w:rsid w:val="001906CD"/>
    <w:rsid w:val="00191B99"/>
    <w:rsid w:val="00194C97"/>
    <w:rsid w:val="0019694B"/>
    <w:rsid w:val="00197D29"/>
    <w:rsid w:val="001A02E3"/>
    <w:rsid w:val="001A1ADF"/>
    <w:rsid w:val="001A365C"/>
    <w:rsid w:val="001A4B67"/>
    <w:rsid w:val="001B0646"/>
    <w:rsid w:val="001B171D"/>
    <w:rsid w:val="001B2923"/>
    <w:rsid w:val="001B29A1"/>
    <w:rsid w:val="001B3665"/>
    <w:rsid w:val="001B375E"/>
    <w:rsid w:val="001B5169"/>
    <w:rsid w:val="001B6164"/>
    <w:rsid w:val="001C5FEC"/>
    <w:rsid w:val="001D0635"/>
    <w:rsid w:val="001D3AF0"/>
    <w:rsid w:val="001D4FA2"/>
    <w:rsid w:val="001D54A9"/>
    <w:rsid w:val="001D6129"/>
    <w:rsid w:val="001D77ED"/>
    <w:rsid w:val="001E1180"/>
    <w:rsid w:val="001E23EA"/>
    <w:rsid w:val="001E6919"/>
    <w:rsid w:val="001E6958"/>
    <w:rsid w:val="00201924"/>
    <w:rsid w:val="00202473"/>
    <w:rsid w:val="002053F2"/>
    <w:rsid w:val="00206D63"/>
    <w:rsid w:val="0021185D"/>
    <w:rsid w:val="002216D9"/>
    <w:rsid w:val="00226777"/>
    <w:rsid w:val="00226DEA"/>
    <w:rsid w:val="00234DD3"/>
    <w:rsid w:val="00235BD1"/>
    <w:rsid w:val="00235FFD"/>
    <w:rsid w:val="00241186"/>
    <w:rsid w:val="00242B0E"/>
    <w:rsid w:val="00244CB2"/>
    <w:rsid w:val="00245B98"/>
    <w:rsid w:val="00247DF0"/>
    <w:rsid w:val="00254813"/>
    <w:rsid w:val="00256C35"/>
    <w:rsid w:val="00257FF2"/>
    <w:rsid w:val="00264322"/>
    <w:rsid w:val="00265822"/>
    <w:rsid w:val="00267958"/>
    <w:rsid w:val="0027105F"/>
    <w:rsid w:val="002711FB"/>
    <w:rsid w:val="002721A0"/>
    <w:rsid w:val="00274659"/>
    <w:rsid w:val="002832D3"/>
    <w:rsid w:val="00283318"/>
    <w:rsid w:val="0028368F"/>
    <w:rsid w:val="00284D07"/>
    <w:rsid w:val="00285525"/>
    <w:rsid w:val="00294CD8"/>
    <w:rsid w:val="00296806"/>
    <w:rsid w:val="002A270B"/>
    <w:rsid w:val="002A50FD"/>
    <w:rsid w:val="002A6753"/>
    <w:rsid w:val="002B28D7"/>
    <w:rsid w:val="002B7EB6"/>
    <w:rsid w:val="002C0B61"/>
    <w:rsid w:val="002C15E6"/>
    <w:rsid w:val="002C247D"/>
    <w:rsid w:val="002C3345"/>
    <w:rsid w:val="002C62F5"/>
    <w:rsid w:val="002C717E"/>
    <w:rsid w:val="002D409A"/>
    <w:rsid w:val="002E1706"/>
    <w:rsid w:val="002E5298"/>
    <w:rsid w:val="002F30E7"/>
    <w:rsid w:val="002F5158"/>
    <w:rsid w:val="00300EEB"/>
    <w:rsid w:val="003013A9"/>
    <w:rsid w:val="003020B5"/>
    <w:rsid w:val="003027BB"/>
    <w:rsid w:val="00302B26"/>
    <w:rsid w:val="003055D7"/>
    <w:rsid w:val="00310A10"/>
    <w:rsid w:val="00312053"/>
    <w:rsid w:val="003136F9"/>
    <w:rsid w:val="00320BAC"/>
    <w:rsid w:val="00321EDF"/>
    <w:rsid w:val="0032552D"/>
    <w:rsid w:val="0032788B"/>
    <w:rsid w:val="00327D25"/>
    <w:rsid w:val="00330C6C"/>
    <w:rsid w:val="003319A7"/>
    <w:rsid w:val="00334033"/>
    <w:rsid w:val="00334FE3"/>
    <w:rsid w:val="00340B06"/>
    <w:rsid w:val="00341EF7"/>
    <w:rsid w:val="003421AE"/>
    <w:rsid w:val="003425A1"/>
    <w:rsid w:val="003433D1"/>
    <w:rsid w:val="00344B24"/>
    <w:rsid w:val="00345247"/>
    <w:rsid w:val="003456B9"/>
    <w:rsid w:val="00347F4B"/>
    <w:rsid w:val="00350635"/>
    <w:rsid w:val="0035067D"/>
    <w:rsid w:val="00352840"/>
    <w:rsid w:val="00353A16"/>
    <w:rsid w:val="00357418"/>
    <w:rsid w:val="0035776D"/>
    <w:rsid w:val="00357EA8"/>
    <w:rsid w:val="00362164"/>
    <w:rsid w:val="00364FD9"/>
    <w:rsid w:val="00367C1B"/>
    <w:rsid w:val="00375D29"/>
    <w:rsid w:val="00376B61"/>
    <w:rsid w:val="003811DE"/>
    <w:rsid w:val="00382407"/>
    <w:rsid w:val="00386A64"/>
    <w:rsid w:val="00386FA1"/>
    <w:rsid w:val="00390142"/>
    <w:rsid w:val="00392F00"/>
    <w:rsid w:val="00393AA5"/>
    <w:rsid w:val="003952F9"/>
    <w:rsid w:val="00397377"/>
    <w:rsid w:val="003A22DE"/>
    <w:rsid w:val="003A2860"/>
    <w:rsid w:val="003A3C35"/>
    <w:rsid w:val="003A3D01"/>
    <w:rsid w:val="003A7D30"/>
    <w:rsid w:val="003B2EF8"/>
    <w:rsid w:val="003B3C5C"/>
    <w:rsid w:val="003B7206"/>
    <w:rsid w:val="003C06D6"/>
    <w:rsid w:val="003C47CA"/>
    <w:rsid w:val="003C7607"/>
    <w:rsid w:val="003D0A86"/>
    <w:rsid w:val="003D3AB6"/>
    <w:rsid w:val="003D6DE1"/>
    <w:rsid w:val="003D795C"/>
    <w:rsid w:val="003E1C64"/>
    <w:rsid w:val="003E30FB"/>
    <w:rsid w:val="003E341E"/>
    <w:rsid w:val="003E75DC"/>
    <w:rsid w:val="003F0323"/>
    <w:rsid w:val="003F2711"/>
    <w:rsid w:val="003F2B5C"/>
    <w:rsid w:val="003F6C70"/>
    <w:rsid w:val="003F7CB9"/>
    <w:rsid w:val="00402D6E"/>
    <w:rsid w:val="00403333"/>
    <w:rsid w:val="0040797B"/>
    <w:rsid w:val="00411735"/>
    <w:rsid w:val="0041261B"/>
    <w:rsid w:val="00415338"/>
    <w:rsid w:val="00415C74"/>
    <w:rsid w:val="00415E87"/>
    <w:rsid w:val="0041732D"/>
    <w:rsid w:val="00417346"/>
    <w:rsid w:val="00422750"/>
    <w:rsid w:val="0042481F"/>
    <w:rsid w:val="004269BE"/>
    <w:rsid w:val="004312BC"/>
    <w:rsid w:val="0043654D"/>
    <w:rsid w:val="00441447"/>
    <w:rsid w:val="0044518F"/>
    <w:rsid w:val="0045083F"/>
    <w:rsid w:val="00451840"/>
    <w:rsid w:val="00451CFC"/>
    <w:rsid w:val="00453CB1"/>
    <w:rsid w:val="00455699"/>
    <w:rsid w:val="00460C9A"/>
    <w:rsid w:val="0046428E"/>
    <w:rsid w:val="00464924"/>
    <w:rsid w:val="00465CB7"/>
    <w:rsid w:val="0046600B"/>
    <w:rsid w:val="00472F30"/>
    <w:rsid w:val="0047581D"/>
    <w:rsid w:val="00477CE0"/>
    <w:rsid w:val="00480289"/>
    <w:rsid w:val="00481279"/>
    <w:rsid w:val="00483368"/>
    <w:rsid w:val="00483B70"/>
    <w:rsid w:val="0048720F"/>
    <w:rsid w:val="00490B25"/>
    <w:rsid w:val="004924CA"/>
    <w:rsid w:val="00494011"/>
    <w:rsid w:val="004A0306"/>
    <w:rsid w:val="004A0BF4"/>
    <w:rsid w:val="004A263B"/>
    <w:rsid w:val="004B3782"/>
    <w:rsid w:val="004B68AE"/>
    <w:rsid w:val="004B72CA"/>
    <w:rsid w:val="004B7933"/>
    <w:rsid w:val="004C35B0"/>
    <w:rsid w:val="004C49EF"/>
    <w:rsid w:val="004C4A19"/>
    <w:rsid w:val="004C5570"/>
    <w:rsid w:val="004C61D5"/>
    <w:rsid w:val="004D00C9"/>
    <w:rsid w:val="004D11B3"/>
    <w:rsid w:val="004D2CA8"/>
    <w:rsid w:val="004D34E8"/>
    <w:rsid w:val="004D3932"/>
    <w:rsid w:val="004D6C8A"/>
    <w:rsid w:val="004E16F5"/>
    <w:rsid w:val="004E1EC6"/>
    <w:rsid w:val="004E3CC7"/>
    <w:rsid w:val="004E5215"/>
    <w:rsid w:val="004E559F"/>
    <w:rsid w:val="004E5B69"/>
    <w:rsid w:val="004E6291"/>
    <w:rsid w:val="004F2A87"/>
    <w:rsid w:val="004F32D8"/>
    <w:rsid w:val="004F44C2"/>
    <w:rsid w:val="00502097"/>
    <w:rsid w:val="005027BB"/>
    <w:rsid w:val="005041A6"/>
    <w:rsid w:val="00505FEC"/>
    <w:rsid w:val="00507825"/>
    <w:rsid w:val="00507C56"/>
    <w:rsid w:val="005123FB"/>
    <w:rsid w:val="0051591D"/>
    <w:rsid w:val="00515A10"/>
    <w:rsid w:val="0052344E"/>
    <w:rsid w:val="00524A17"/>
    <w:rsid w:val="00525700"/>
    <w:rsid w:val="00526478"/>
    <w:rsid w:val="00530204"/>
    <w:rsid w:val="00533690"/>
    <w:rsid w:val="00534C5F"/>
    <w:rsid w:val="0053555E"/>
    <w:rsid w:val="005401E8"/>
    <w:rsid w:val="00540257"/>
    <w:rsid w:val="0054192F"/>
    <w:rsid w:val="00544EB3"/>
    <w:rsid w:val="0054564F"/>
    <w:rsid w:val="005457AB"/>
    <w:rsid w:val="0054594B"/>
    <w:rsid w:val="0054662F"/>
    <w:rsid w:val="0054749B"/>
    <w:rsid w:val="00551CC6"/>
    <w:rsid w:val="0056047A"/>
    <w:rsid w:val="00560541"/>
    <w:rsid w:val="005653FD"/>
    <w:rsid w:val="005672D0"/>
    <w:rsid w:val="00572CEB"/>
    <w:rsid w:val="0057316F"/>
    <w:rsid w:val="005741D8"/>
    <w:rsid w:val="00574FD4"/>
    <w:rsid w:val="005834C9"/>
    <w:rsid w:val="00586F95"/>
    <w:rsid w:val="00587C8D"/>
    <w:rsid w:val="00590BBC"/>
    <w:rsid w:val="005A112F"/>
    <w:rsid w:val="005A4556"/>
    <w:rsid w:val="005A58BA"/>
    <w:rsid w:val="005A5D30"/>
    <w:rsid w:val="005A6AB9"/>
    <w:rsid w:val="005B206E"/>
    <w:rsid w:val="005B5ACC"/>
    <w:rsid w:val="005B5CE2"/>
    <w:rsid w:val="005C0AB9"/>
    <w:rsid w:val="005C3079"/>
    <w:rsid w:val="005C333E"/>
    <w:rsid w:val="005C3AE7"/>
    <w:rsid w:val="005C50AC"/>
    <w:rsid w:val="005C7292"/>
    <w:rsid w:val="005D0677"/>
    <w:rsid w:val="005D61A6"/>
    <w:rsid w:val="005D7E9B"/>
    <w:rsid w:val="005E294C"/>
    <w:rsid w:val="005E2CE3"/>
    <w:rsid w:val="005E7FB6"/>
    <w:rsid w:val="005F3F07"/>
    <w:rsid w:val="005F4548"/>
    <w:rsid w:val="0060365C"/>
    <w:rsid w:val="00603D04"/>
    <w:rsid w:val="00606857"/>
    <w:rsid w:val="00607F3B"/>
    <w:rsid w:val="00611FF9"/>
    <w:rsid w:val="0061273A"/>
    <w:rsid w:val="00613E1C"/>
    <w:rsid w:val="00615F42"/>
    <w:rsid w:val="006258C2"/>
    <w:rsid w:val="00625BF8"/>
    <w:rsid w:val="00626365"/>
    <w:rsid w:val="0063030B"/>
    <w:rsid w:val="00630E22"/>
    <w:rsid w:val="00634CB8"/>
    <w:rsid w:val="00635FC7"/>
    <w:rsid w:val="0064168C"/>
    <w:rsid w:val="006458A0"/>
    <w:rsid w:val="006555E5"/>
    <w:rsid w:val="00657B46"/>
    <w:rsid w:val="00660CCF"/>
    <w:rsid w:val="006618F7"/>
    <w:rsid w:val="0067118F"/>
    <w:rsid w:val="006764EC"/>
    <w:rsid w:val="00676E85"/>
    <w:rsid w:val="00680342"/>
    <w:rsid w:val="00683030"/>
    <w:rsid w:val="006835FE"/>
    <w:rsid w:val="00693BFD"/>
    <w:rsid w:val="00695065"/>
    <w:rsid w:val="006A1038"/>
    <w:rsid w:val="006A291B"/>
    <w:rsid w:val="006A56F0"/>
    <w:rsid w:val="006A649A"/>
    <w:rsid w:val="006B0D80"/>
    <w:rsid w:val="006B1B49"/>
    <w:rsid w:val="006B4F08"/>
    <w:rsid w:val="006B6390"/>
    <w:rsid w:val="006C0051"/>
    <w:rsid w:val="006C0356"/>
    <w:rsid w:val="006C0843"/>
    <w:rsid w:val="006C74B1"/>
    <w:rsid w:val="006D022E"/>
    <w:rsid w:val="006D3084"/>
    <w:rsid w:val="006D3497"/>
    <w:rsid w:val="006D72E7"/>
    <w:rsid w:val="006D7428"/>
    <w:rsid w:val="006E37CD"/>
    <w:rsid w:val="006E57AA"/>
    <w:rsid w:val="006F20CF"/>
    <w:rsid w:val="006F38ED"/>
    <w:rsid w:val="006F4086"/>
    <w:rsid w:val="006F5F43"/>
    <w:rsid w:val="00707D4D"/>
    <w:rsid w:val="007134C8"/>
    <w:rsid w:val="007145EC"/>
    <w:rsid w:val="00722C2C"/>
    <w:rsid w:val="00723503"/>
    <w:rsid w:val="00726DC5"/>
    <w:rsid w:val="00730C04"/>
    <w:rsid w:val="0073414E"/>
    <w:rsid w:val="00734804"/>
    <w:rsid w:val="0073597B"/>
    <w:rsid w:val="007378F6"/>
    <w:rsid w:val="0074334F"/>
    <w:rsid w:val="0074545D"/>
    <w:rsid w:val="00747B27"/>
    <w:rsid w:val="007522E3"/>
    <w:rsid w:val="0075335B"/>
    <w:rsid w:val="00753C44"/>
    <w:rsid w:val="00754383"/>
    <w:rsid w:val="007544FA"/>
    <w:rsid w:val="007564D1"/>
    <w:rsid w:val="00757232"/>
    <w:rsid w:val="00760679"/>
    <w:rsid w:val="0076304D"/>
    <w:rsid w:val="00763628"/>
    <w:rsid w:val="007651B1"/>
    <w:rsid w:val="00767E99"/>
    <w:rsid w:val="00771D58"/>
    <w:rsid w:val="00771D8D"/>
    <w:rsid w:val="007725B6"/>
    <w:rsid w:val="00772E62"/>
    <w:rsid w:val="007735C4"/>
    <w:rsid w:val="00775261"/>
    <w:rsid w:val="0077789B"/>
    <w:rsid w:val="00780D29"/>
    <w:rsid w:val="007835A9"/>
    <w:rsid w:val="00786AF5"/>
    <w:rsid w:val="00787E9C"/>
    <w:rsid w:val="00791C8D"/>
    <w:rsid w:val="00791EB6"/>
    <w:rsid w:val="00794181"/>
    <w:rsid w:val="007A1E4C"/>
    <w:rsid w:val="007A3FC2"/>
    <w:rsid w:val="007A486B"/>
    <w:rsid w:val="007A7B06"/>
    <w:rsid w:val="007A7F6F"/>
    <w:rsid w:val="007B1655"/>
    <w:rsid w:val="007B4C76"/>
    <w:rsid w:val="007C2260"/>
    <w:rsid w:val="007C2DD0"/>
    <w:rsid w:val="007C4508"/>
    <w:rsid w:val="007D1A99"/>
    <w:rsid w:val="007D1E52"/>
    <w:rsid w:val="007D2358"/>
    <w:rsid w:val="007E39E4"/>
    <w:rsid w:val="007E6FB3"/>
    <w:rsid w:val="007E70BF"/>
    <w:rsid w:val="007F21B4"/>
    <w:rsid w:val="007F474D"/>
    <w:rsid w:val="007F5C00"/>
    <w:rsid w:val="007F5DC7"/>
    <w:rsid w:val="00802553"/>
    <w:rsid w:val="00803EAB"/>
    <w:rsid w:val="008046B5"/>
    <w:rsid w:val="00805036"/>
    <w:rsid w:val="00806222"/>
    <w:rsid w:val="00811928"/>
    <w:rsid w:val="008127C0"/>
    <w:rsid w:val="00812EDD"/>
    <w:rsid w:val="00813755"/>
    <w:rsid w:val="008139C5"/>
    <w:rsid w:val="0081650F"/>
    <w:rsid w:val="008237F5"/>
    <w:rsid w:val="00823FA6"/>
    <w:rsid w:val="00824E27"/>
    <w:rsid w:val="0082615F"/>
    <w:rsid w:val="00826C39"/>
    <w:rsid w:val="00832B31"/>
    <w:rsid w:val="00836717"/>
    <w:rsid w:val="008403E0"/>
    <w:rsid w:val="0084091A"/>
    <w:rsid w:val="0084242D"/>
    <w:rsid w:val="0084657B"/>
    <w:rsid w:val="00854720"/>
    <w:rsid w:val="00855944"/>
    <w:rsid w:val="00863217"/>
    <w:rsid w:val="00864A18"/>
    <w:rsid w:val="0086580C"/>
    <w:rsid w:val="00870833"/>
    <w:rsid w:val="00874571"/>
    <w:rsid w:val="00881F93"/>
    <w:rsid w:val="00882176"/>
    <w:rsid w:val="00882CB5"/>
    <w:rsid w:val="00883641"/>
    <w:rsid w:val="00884479"/>
    <w:rsid w:val="00884E69"/>
    <w:rsid w:val="00886236"/>
    <w:rsid w:val="008867E3"/>
    <w:rsid w:val="00890082"/>
    <w:rsid w:val="00893627"/>
    <w:rsid w:val="0089647D"/>
    <w:rsid w:val="008A48D2"/>
    <w:rsid w:val="008A4DC3"/>
    <w:rsid w:val="008B2610"/>
    <w:rsid w:val="008B471D"/>
    <w:rsid w:val="008B49E4"/>
    <w:rsid w:val="008B729C"/>
    <w:rsid w:val="008C4A93"/>
    <w:rsid w:val="008C6CA4"/>
    <w:rsid w:val="008E0E49"/>
    <w:rsid w:val="008E35FD"/>
    <w:rsid w:val="008E4CF7"/>
    <w:rsid w:val="008E5CDD"/>
    <w:rsid w:val="008E6227"/>
    <w:rsid w:val="008E78B9"/>
    <w:rsid w:val="008F5EC9"/>
    <w:rsid w:val="008F77A7"/>
    <w:rsid w:val="009012ED"/>
    <w:rsid w:val="00901605"/>
    <w:rsid w:val="00901BB5"/>
    <w:rsid w:val="00903492"/>
    <w:rsid w:val="0090543D"/>
    <w:rsid w:val="009056C5"/>
    <w:rsid w:val="00905E2F"/>
    <w:rsid w:val="0090724E"/>
    <w:rsid w:val="0090748F"/>
    <w:rsid w:val="009167DF"/>
    <w:rsid w:val="00925A93"/>
    <w:rsid w:val="009262F2"/>
    <w:rsid w:val="00926C9D"/>
    <w:rsid w:val="00931A5A"/>
    <w:rsid w:val="00937791"/>
    <w:rsid w:val="00947167"/>
    <w:rsid w:val="00950D6C"/>
    <w:rsid w:val="00951933"/>
    <w:rsid w:val="00954343"/>
    <w:rsid w:val="00955271"/>
    <w:rsid w:val="00957B86"/>
    <w:rsid w:val="009601D0"/>
    <w:rsid w:val="00960736"/>
    <w:rsid w:val="00963C9C"/>
    <w:rsid w:val="00965B6B"/>
    <w:rsid w:val="009669FF"/>
    <w:rsid w:val="00971EDB"/>
    <w:rsid w:val="00974167"/>
    <w:rsid w:val="00974B8C"/>
    <w:rsid w:val="00974D50"/>
    <w:rsid w:val="00987ABE"/>
    <w:rsid w:val="00987FF9"/>
    <w:rsid w:val="00991DCB"/>
    <w:rsid w:val="00991EE4"/>
    <w:rsid w:val="009939DC"/>
    <w:rsid w:val="00993B9C"/>
    <w:rsid w:val="009A3436"/>
    <w:rsid w:val="009A3732"/>
    <w:rsid w:val="009A3A57"/>
    <w:rsid w:val="009B167C"/>
    <w:rsid w:val="009B4E1E"/>
    <w:rsid w:val="009B53D5"/>
    <w:rsid w:val="009B669B"/>
    <w:rsid w:val="009C03FB"/>
    <w:rsid w:val="009C0FFF"/>
    <w:rsid w:val="009C262E"/>
    <w:rsid w:val="009C431A"/>
    <w:rsid w:val="009C4B4F"/>
    <w:rsid w:val="009D412D"/>
    <w:rsid w:val="009D565B"/>
    <w:rsid w:val="009D795D"/>
    <w:rsid w:val="009F0756"/>
    <w:rsid w:val="009F0B27"/>
    <w:rsid w:val="009F0C02"/>
    <w:rsid w:val="009F5758"/>
    <w:rsid w:val="00A0283F"/>
    <w:rsid w:val="00A02C5C"/>
    <w:rsid w:val="00A03438"/>
    <w:rsid w:val="00A04F4A"/>
    <w:rsid w:val="00A12500"/>
    <w:rsid w:val="00A17EC3"/>
    <w:rsid w:val="00A26343"/>
    <w:rsid w:val="00A35D2A"/>
    <w:rsid w:val="00A35DBD"/>
    <w:rsid w:val="00A408B5"/>
    <w:rsid w:val="00A43D21"/>
    <w:rsid w:val="00A45404"/>
    <w:rsid w:val="00A46845"/>
    <w:rsid w:val="00A529E2"/>
    <w:rsid w:val="00A539F8"/>
    <w:rsid w:val="00A55C49"/>
    <w:rsid w:val="00A60616"/>
    <w:rsid w:val="00A6083C"/>
    <w:rsid w:val="00A6491A"/>
    <w:rsid w:val="00A6594E"/>
    <w:rsid w:val="00A727B6"/>
    <w:rsid w:val="00A73B98"/>
    <w:rsid w:val="00A7420E"/>
    <w:rsid w:val="00A7505F"/>
    <w:rsid w:val="00A81B57"/>
    <w:rsid w:val="00A81CC6"/>
    <w:rsid w:val="00A82901"/>
    <w:rsid w:val="00A83686"/>
    <w:rsid w:val="00A83BC4"/>
    <w:rsid w:val="00A83EC6"/>
    <w:rsid w:val="00A8688E"/>
    <w:rsid w:val="00A8732C"/>
    <w:rsid w:val="00A9062D"/>
    <w:rsid w:val="00A909D2"/>
    <w:rsid w:val="00A93B0B"/>
    <w:rsid w:val="00A93F58"/>
    <w:rsid w:val="00A96329"/>
    <w:rsid w:val="00AA02BC"/>
    <w:rsid w:val="00AA04F8"/>
    <w:rsid w:val="00AA134B"/>
    <w:rsid w:val="00AA2CFE"/>
    <w:rsid w:val="00AA44F0"/>
    <w:rsid w:val="00AA4B7D"/>
    <w:rsid w:val="00AA5FDA"/>
    <w:rsid w:val="00AA6291"/>
    <w:rsid w:val="00AA7199"/>
    <w:rsid w:val="00AA7FA9"/>
    <w:rsid w:val="00AB4684"/>
    <w:rsid w:val="00AC0C91"/>
    <w:rsid w:val="00AC25EE"/>
    <w:rsid w:val="00AC32C5"/>
    <w:rsid w:val="00AD2BD9"/>
    <w:rsid w:val="00AD2EB6"/>
    <w:rsid w:val="00AD37D4"/>
    <w:rsid w:val="00AD7986"/>
    <w:rsid w:val="00AE1188"/>
    <w:rsid w:val="00AE2595"/>
    <w:rsid w:val="00AE2DCC"/>
    <w:rsid w:val="00AE738C"/>
    <w:rsid w:val="00AF1046"/>
    <w:rsid w:val="00AF2219"/>
    <w:rsid w:val="00AF421A"/>
    <w:rsid w:val="00AF4466"/>
    <w:rsid w:val="00AF5D1E"/>
    <w:rsid w:val="00B002B3"/>
    <w:rsid w:val="00B03A6D"/>
    <w:rsid w:val="00B040A9"/>
    <w:rsid w:val="00B067FC"/>
    <w:rsid w:val="00B06E82"/>
    <w:rsid w:val="00B127CA"/>
    <w:rsid w:val="00B1711E"/>
    <w:rsid w:val="00B17985"/>
    <w:rsid w:val="00B17CBE"/>
    <w:rsid w:val="00B17E26"/>
    <w:rsid w:val="00B231A4"/>
    <w:rsid w:val="00B25D20"/>
    <w:rsid w:val="00B31BA3"/>
    <w:rsid w:val="00B31C99"/>
    <w:rsid w:val="00B33DCA"/>
    <w:rsid w:val="00B34E1F"/>
    <w:rsid w:val="00B4452B"/>
    <w:rsid w:val="00B529E5"/>
    <w:rsid w:val="00B53BA6"/>
    <w:rsid w:val="00B5731D"/>
    <w:rsid w:val="00B6378B"/>
    <w:rsid w:val="00B63E3A"/>
    <w:rsid w:val="00B63F29"/>
    <w:rsid w:val="00B65655"/>
    <w:rsid w:val="00B67B8C"/>
    <w:rsid w:val="00B75965"/>
    <w:rsid w:val="00B771AD"/>
    <w:rsid w:val="00B814CB"/>
    <w:rsid w:val="00B81FA9"/>
    <w:rsid w:val="00B849D4"/>
    <w:rsid w:val="00B85E20"/>
    <w:rsid w:val="00B9101C"/>
    <w:rsid w:val="00B92762"/>
    <w:rsid w:val="00B92D73"/>
    <w:rsid w:val="00BA0CF8"/>
    <w:rsid w:val="00BA11FF"/>
    <w:rsid w:val="00BA1ADF"/>
    <w:rsid w:val="00BA51FC"/>
    <w:rsid w:val="00BA7234"/>
    <w:rsid w:val="00BA7C1B"/>
    <w:rsid w:val="00BB003A"/>
    <w:rsid w:val="00BB0A93"/>
    <w:rsid w:val="00BB3358"/>
    <w:rsid w:val="00BB3382"/>
    <w:rsid w:val="00BB3643"/>
    <w:rsid w:val="00BB4442"/>
    <w:rsid w:val="00BB58A4"/>
    <w:rsid w:val="00BC3DA0"/>
    <w:rsid w:val="00BC424B"/>
    <w:rsid w:val="00BD3C1A"/>
    <w:rsid w:val="00BD44C6"/>
    <w:rsid w:val="00BD78EE"/>
    <w:rsid w:val="00BE0951"/>
    <w:rsid w:val="00BE0FDE"/>
    <w:rsid w:val="00BE3218"/>
    <w:rsid w:val="00BF3C5E"/>
    <w:rsid w:val="00BF6AC5"/>
    <w:rsid w:val="00C01121"/>
    <w:rsid w:val="00C030A5"/>
    <w:rsid w:val="00C034A3"/>
    <w:rsid w:val="00C05A45"/>
    <w:rsid w:val="00C05E23"/>
    <w:rsid w:val="00C05F22"/>
    <w:rsid w:val="00C0796F"/>
    <w:rsid w:val="00C1051A"/>
    <w:rsid w:val="00C11B34"/>
    <w:rsid w:val="00C12C5C"/>
    <w:rsid w:val="00C13BF8"/>
    <w:rsid w:val="00C1701E"/>
    <w:rsid w:val="00C171FB"/>
    <w:rsid w:val="00C209C2"/>
    <w:rsid w:val="00C2267F"/>
    <w:rsid w:val="00C22AD8"/>
    <w:rsid w:val="00C3557E"/>
    <w:rsid w:val="00C3594B"/>
    <w:rsid w:val="00C35A20"/>
    <w:rsid w:val="00C42DD3"/>
    <w:rsid w:val="00C43102"/>
    <w:rsid w:val="00C4696B"/>
    <w:rsid w:val="00C47F81"/>
    <w:rsid w:val="00C50513"/>
    <w:rsid w:val="00C52FA0"/>
    <w:rsid w:val="00C54503"/>
    <w:rsid w:val="00C56825"/>
    <w:rsid w:val="00C62242"/>
    <w:rsid w:val="00C63055"/>
    <w:rsid w:val="00C63EBC"/>
    <w:rsid w:val="00C67F2F"/>
    <w:rsid w:val="00C73B62"/>
    <w:rsid w:val="00C76929"/>
    <w:rsid w:val="00C776B1"/>
    <w:rsid w:val="00C815FE"/>
    <w:rsid w:val="00C8473C"/>
    <w:rsid w:val="00C847AE"/>
    <w:rsid w:val="00C86CEC"/>
    <w:rsid w:val="00C91AD8"/>
    <w:rsid w:val="00C945AE"/>
    <w:rsid w:val="00CA04C6"/>
    <w:rsid w:val="00CA26DD"/>
    <w:rsid w:val="00CA6377"/>
    <w:rsid w:val="00CB0916"/>
    <w:rsid w:val="00CB12EC"/>
    <w:rsid w:val="00CB34E3"/>
    <w:rsid w:val="00CB467D"/>
    <w:rsid w:val="00CC09D7"/>
    <w:rsid w:val="00CC12B8"/>
    <w:rsid w:val="00CC1A72"/>
    <w:rsid w:val="00CC59CF"/>
    <w:rsid w:val="00CC7F0E"/>
    <w:rsid w:val="00CD22E3"/>
    <w:rsid w:val="00CD4E44"/>
    <w:rsid w:val="00CD5AE4"/>
    <w:rsid w:val="00CD5E13"/>
    <w:rsid w:val="00CD7A7D"/>
    <w:rsid w:val="00CE7FA4"/>
    <w:rsid w:val="00CF2D8E"/>
    <w:rsid w:val="00CF2DFA"/>
    <w:rsid w:val="00CF3776"/>
    <w:rsid w:val="00CF426C"/>
    <w:rsid w:val="00CF5005"/>
    <w:rsid w:val="00CF5AD8"/>
    <w:rsid w:val="00CF65A6"/>
    <w:rsid w:val="00D00122"/>
    <w:rsid w:val="00D019CA"/>
    <w:rsid w:val="00D01D2A"/>
    <w:rsid w:val="00D05104"/>
    <w:rsid w:val="00D056E7"/>
    <w:rsid w:val="00D0595B"/>
    <w:rsid w:val="00D10B47"/>
    <w:rsid w:val="00D11D01"/>
    <w:rsid w:val="00D11E65"/>
    <w:rsid w:val="00D11EB1"/>
    <w:rsid w:val="00D14D7C"/>
    <w:rsid w:val="00D17F17"/>
    <w:rsid w:val="00D226B0"/>
    <w:rsid w:val="00D23597"/>
    <w:rsid w:val="00D23CF7"/>
    <w:rsid w:val="00D23D15"/>
    <w:rsid w:val="00D30A44"/>
    <w:rsid w:val="00D30BDC"/>
    <w:rsid w:val="00D328B5"/>
    <w:rsid w:val="00D4288A"/>
    <w:rsid w:val="00D4370F"/>
    <w:rsid w:val="00D507FC"/>
    <w:rsid w:val="00D57F88"/>
    <w:rsid w:val="00D7105C"/>
    <w:rsid w:val="00D73646"/>
    <w:rsid w:val="00D751FF"/>
    <w:rsid w:val="00D777B4"/>
    <w:rsid w:val="00D77A90"/>
    <w:rsid w:val="00D8133F"/>
    <w:rsid w:val="00D82171"/>
    <w:rsid w:val="00D8346F"/>
    <w:rsid w:val="00D8360B"/>
    <w:rsid w:val="00D85676"/>
    <w:rsid w:val="00D86648"/>
    <w:rsid w:val="00D933CB"/>
    <w:rsid w:val="00D93832"/>
    <w:rsid w:val="00D96ADA"/>
    <w:rsid w:val="00D970A6"/>
    <w:rsid w:val="00DA0AB4"/>
    <w:rsid w:val="00DA2886"/>
    <w:rsid w:val="00DA5E50"/>
    <w:rsid w:val="00DA7D0C"/>
    <w:rsid w:val="00DB311C"/>
    <w:rsid w:val="00DB41E0"/>
    <w:rsid w:val="00DB432D"/>
    <w:rsid w:val="00DB519B"/>
    <w:rsid w:val="00DB6C6C"/>
    <w:rsid w:val="00DC2442"/>
    <w:rsid w:val="00DC336E"/>
    <w:rsid w:val="00DC7694"/>
    <w:rsid w:val="00DC7FBE"/>
    <w:rsid w:val="00DD130E"/>
    <w:rsid w:val="00DD308E"/>
    <w:rsid w:val="00DD32A1"/>
    <w:rsid w:val="00DD3501"/>
    <w:rsid w:val="00DF0C51"/>
    <w:rsid w:val="00DF0D47"/>
    <w:rsid w:val="00DF1652"/>
    <w:rsid w:val="00DF36DB"/>
    <w:rsid w:val="00DF5F86"/>
    <w:rsid w:val="00DF6D37"/>
    <w:rsid w:val="00E048ED"/>
    <w:rsid w:val="00E04FB3"/>
    <w:rsid w:val="00E058F2"/>
    <w:rsid w:val="00E05D9C"/>
    <w:rsid w:val="00E06102"/>
    <w:rsid w:val="00E07ED7"/>
    <w:rsid w:val="00E10395"/>
    <w:rsid w:val="00E16596"/>
    <w:rsid w:val="00E23E71"/>
    <w:rsid w:val="00E24B3B"/>
    <w:rsid w:val="00E277E2"/>
    <w:rsid w:val="00E30385"/>
    <w:rsid w:val="00E30F19"/>
    <w:rsid w:val="00E3174E"/>
    <w:rsid w:val="00E33C4A"/>
    <w:rsid w:val="00E357B9"/>
    <w:rsid w:val="00E4321E"/>
    <w:rsid w:val="00E44B80"/>
    <w:rsid w:val="00E47623"/>
    <w:rsid w:val="00E51E08"/>
    <w:rsid w:val="00E521E9"/>
    <w:rsid w:val="00E578A4"/>
    <w:rsid w:val="00E60529"/>
    <w:rsid w:val="00E66AB0"/>
    <w:rsid w:val="00E70D86"/>
    <w:rsid w:val="00E71644"/>
    <w:rsid w:val="00E744B4"/>
    <w:rsid w:val="00E76171"/>
    <w:rsid w:val="00E7628E"/>
    <w:rsid w:val="00E82F54"/>
    <w:rsid w:val="00E8393C"/>
    <w:rsid w:val="00E8581D"/>
    <w:rsid w:val="00E8649B"/>
    <w:rsid w:val="00E871CD"/>
    <w:rsid w:val="00E90990"/>
    <w:rsid w:val="00E92E45"/>
    <w:rsid w:val="00E95D3D"/>
    <w:rsid w:val="00E973E3"/>
    <w:rsid w:val="00EA0E25"/>
    <w:rsid w:val="00EA173C"/>
    <w:rsid w:val="00EA5294"/>
    <w:rsid w:val="00EB0261"/>
    <w:rsid w:val="00EB5F1C"/>
    <w:rsid w:val="00EC0C4C"/>
    <w:rsid w:val="00EC127A"/>
    <w:rsid w:val="00EC1FF9"/>
    <w:rsid w:val="00EC2737"/>
    <w:rsid w:val="00EC5F1D"/>
    <w:rsid w:val="00ED3E64"/>
    <w:rsid w:val="00EE0962"/>
    <w:rsid w:val="00EE2716"/>
    <w:rsid w:val="00EE45A2"/>
    <w:rsid w:val="00EE6450"/>
    <w:rsid w:val="00EF6102"/>
    <w:rsid w:val="00EF7B19"/>
    <w:rsid w:val="00F00C59"/>
    <w:rsid w:val="00F00DD1"/>
    <w:rsid w:val="00F01C2C"/>
    <w:rsid w:val="00F10ED8"/>
    <w:rsid w:val="00F11121"/>
    <w:rsid w:val="00F127AA"/>
    <w:rsid w:val="00F217F5"/>
    <w:rsid w:val="00F222BE"/>
    <w:rsid w:val="00F24179"/>
    <w:rsid w:val="00F301F1"/>
    <w:rsid w:val="00F30C22"/>
    <w:rsid w:val="00F33039"/>
    <w:rsid w:val="00F334F6"/>
    <w:rsid w:val="00F33F1A"/>
    <w:rsid w:val="00F3599B"/>
    <w:rsid w:val="00F373C0"/>
    <w:rsid w:val="00F40495"/>
    <w:rsid w:val="00F444D8"/>
    <w:rsid w:val="00F50E10"/>
    <w:rsid w:val="00F547F7"/>
    <w:rsid w:val="00F54CCF"/>
    <w:rsid w:val="00F61D7A"/>
    <w:rsid w:val="00F637B3"/>
    <w:rsid w:val="00F66CF7"/>
    <w:rsid w:val="00F67BCB"/>
    <w:rsid w:val="00F73B53"/>
    <w:rsid w:val="00F7661C"/>
    <w:rsid w:val="00F7717F"/>
    <w:rsid w:val="00F77C57"/>
    <w:rsid w:val="00F813C7"/>
    <w:rsid w:val="00F82174"/>
    <w:rsid w:val="00F83566"/>
    <w:rsid w:val="00F83A9D"/>
    <w:rsid w:val="00F906B5"/>
    <w:rsid w:val="00F93784"/>
    <w:rsid w:val="00F950EA"/>
    <w:rsid w:val="00F969BF"/>
    <w:rsid w:val="00F971CC"/>
    <w:rsid w:val="00FA1069"/>
    <w:rsid w:val="00FA2A52"/>
    <w:rsid w:val="00FA2CAA"/>
    <w:rsid w:val="00FA3DA1"/>
    <w:rsid w:val="00FA48AB"/>
    <w:rsid w:val="00FA6554"/>
    <w:rsid w:val="00FB43A9"/>
    <w:rsid w:val="00FB7305"/>
    <w:rsid w:val="00FD0721"/>
    <w:rsid w:val="00FE01EC"/>
    <w:rsid w:val="00FE16C1"/>
    <w:rsid w:val="00FE19FF"/>
    <w:rsid w:val="00FE33A6"/>
    <w:rsid w:val="00FE5452"/>
    <w:rsid w:val="00FF199F"/>
    <w:rsid w:val="00FF2E25"/>
    <w:rsid w:val="00FF59A8"/>
    <w:rsid w:val="00FF66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184E1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1E8"/>
    <w:pPr>
      <w:spacing w:before="120" w:after="120" w:line="240" w:lineRule="auto"/>
    </w:pPr>
    <w:rPr>
      <w:sz w:val="20"/>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paragraph" w:styleId="Heading3">
    <w:name w:val="heading 3"/>
    <w:basedOn w:val="Normal"/>
    <w:next w:val="Normal"/>
    <w:link w:val="Heading3Char"/>
    <w:uiPriority w:val="9"/>
    <w:unhideWhenUsed/>
    <w:qFormat/>
    <w:rsid w:val="004D2C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unhideWhenUsed/>
    <w:rsid w:val="005A6AB9"/>
    <w:rPr>
      <w:szCs w:val="20"/>
    </w:rPr>
  </w:style>
  <w:style w:type="character" w:customStyle="1" w:styleId="CommentTextChar">
    <w:name w:val="Comment Text Char"/>
    <w:basedOn w:val="DefaultParagraphFont"/>
    <w:link w:val="CommentText"/>
    <w:uiPriority w:val="99"/>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customStyle="1" w:styleId="Default">
    <w:name w:val="Default"/>
    <w:rsid w:val="00AF421A"/>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AF421A"/>
    <w:rPr>
      <w:color w:val="800080" w:themeColor="followedHyperlink"/>
      <w:u w:val="single"/>
    </w:rPr>
  </w:style>
  <w:style w:type="character" w:customStyle="1" w:styleId="UnresolvedMention1">
    <w:name w:val="Unresolved Mention1"/>
    <w:basedOn w:val="DefaultParagraphFont"/>
    <w:uiPriority w:val="99"/>
    <w:semiHidden/>
    <w:unhideWhenUsed/>
    <w:rsid w:val="00357EA8"/>
    <w:rPr>
      <w:color w:val="605E5C"/>
      <w:shd w:val="clear" w:color="auto" w:fill="E1DFDD"/>
    </w:rPr>
  </w:style>
  <w:style w:type="paragraph" w:styleId="FootnoteText">
    <w:name w:val="footnote text"/>
    <w:basedOn w:val="Normal"/>
    <w:link w:val="FootnoteTextChar"/>
    <w:uiPriority w:val="99"/>
    <w:semiHidden/>
    <w:unhideWhenUsed/>
    <w:rsid w:val="004A0306"/>
    <w:pPr>
      <w:spacing w:before="0" w:after="0"/>
    </w:pPr>
    <w:rPr>
      <w:rFonts w:ascii="Calibri" w:eastAsia="Calibri" w:hAnsi="Calibri" w:cs="Times New Roman"/>
      <w:szCs w:val="20"/>
    </w:rPr>
  </w:style>
  <w:style w:type="character" w:customStyle="1" w:styleId="FootnoteTextChar">
    <w:name w:val="Footnote Text Char"/>
    <w:basedOn w:val="DefaultParagraphFont"/>
    <w:link w:val="FootnoteText"/>
    <w:uiPriority w:val="99"/>
    <w:semiHidden/>
    <w:rsid w:val="004A0306"/>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4A0306"/>
    <w:rPr>
      <w:vertAlign w:val="superscript"/>
    </w:rPr>
  </w:style>
  <w:style w:type="character" w:customStyle="1" w:styleId="Heading3Char">
    <w:name w:val="Heading 3 Char"/>
    <w:basedOn w:val="DefaultParagraphFont"/>
    <w:link w:val="Heading3"/>
    <w:uiPriority w:val="9"/>
    <w:rsid w:val="004D2CA8"/>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A12500"/>
    <w:pPr>
      <w:spacing w:after="0" w:line="240" w:lineRule="auto"/>
    </w:pPr>
    <w:rPr>
      <w:sz w:val="20"/>
    </w:rPr>
  </w:style>
  <w:style w:type="paragraph" w:styleId="NormalWeb">
    <w:name w:val="Normal (Web)"/>
    <w:basedOn w:val="Normal"/>
    <w:uiPriority w:val="99"/>
    <w:semiHidden/>
    <w:unhideWhenUsed/>
    <w:rsid w:val="00DB6C6C"/>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UnresolvedMention2">
    <w:name w:val="Unresolved Mention2"/>
    <w:basedOn w:val="DefaultParagraphFont"/>
    <w:uiPriority w:val="99"/>
    <w:semiHidden/>
    <w:unhideWhenUsed/>
    <w:rsid w:val="007C4508"/>
    <w:rPr>
      <w:color w:val="605E5C"/>
      <w:shd w:val="clear" w:color="auto" w:fill="E1DFDD"/>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35"/>
    <w:qFormat/>
    <w:rsid w:val="00826C39"/>
    <w:pPr>
      <w:keepNext/>
      <w:spacing w:before="0" w:after="40"/>
      <w:ind w:left="709" w:hanging="709"/>
    </w:pPr>
    <w:rPr>
      <w:rFonts w:ascii="Arial Narrow" w:eastAsia="Times New Roman" w:hAnsi="Arial Narrow" w:cs="Tahoma"/>
      <w:b/>
      <w:szCs w:val="20"/>
      <w:lang w:val="en-GB" w:eastAsia="ja-JP"/>
    </w:rPr>
  </w:style>
  <w:style w:type="character" w:customStyle="1" w:styleId="UnresolvedMention3">
    <w:name w:val="Unresolved Mention3"/>
    <w:basedOn w:val="DefaultParagraphFont"/>
    <w:uiPriority w:val="99"/>
    <w:semiHidden/>
    <w:unhideWhenUsed/>
    <w:rsid w:val="00960736"/>
    <w:rPr>
      <w:color w:val="605E5C"/>
      <w:shd w:val="clear" w:color="auto" w:fill="E1DFDD"/>
    </w:rPr>
  </w:style>
  <w:style w:type="paragraph" w:customStyle="1" w:styleId="xmsolistparagraph">
    <w:name w:val="x_msolistparagraph"/>
    <w:basedOn w:val="Normal"/>
    <w:rsid w:val="001D4FA2"/>
    <w:pPr>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9392">
      <w:bodyDiv w:val="1"/>
      <w:marLeft w:val="0"/>
      <w:marRight w:val="0"/>
      <w:marTop w:val="0"/>
      <w:marBottom w:val="0"/>
      <w:divBdr>
        <w:top w:val="none" w:sz="0" w:space="0" w:color="auto"/>
        <w:left w:val="none" w:sz="0" w:space="0" w:color="auto"/>
        <w:bottom w:val="none" w:sz="0" w:space="0" w:color="auto"/>
        <w:right w:val="none" w:sz="0" w:space="0" w:color="auto"/>
      </w:divBdr>
    </w:div>
    <w:div w:id="22706841">
      <w:bodyDiv w:val="1"/>
      <w:marLeft w:val="0"/>
      <w:marRight w:val="0"/>
      <w:marTop w:val="0"/>
      <w:marBottom w:val="0"/>
      <w:divBdr>
        <w:top w:val="none" w:sz="0" w:space="0" w:color="auto"/>
        <w:left w:val="none" w:sz="0" w:space="0" w:color="auto"/>
        <w:bottom w:val="none" w:sz="0" w:space="0" w:color="auto"/>
        <w:right w:val="none" w:sz="0" w:space="0" w:color="auto"/>
      </w:divBdr>
    </w:div>
    <w:div w:id="43794637">
      <w:bodyDiv w:val="1"/>
      <w:marLeft w:val="0"/>
      <w:marRight w:val="0"/>
      <w:marTop w:val="0"/>
      <w:marBottom w:val="0"/>
      <w:divBdr>
        <w:top w:val="none" w:sz="0" w:space="0" w:color="auto"/>
        <w:left w:val="none" w:sz="0" w:space="0" w:color="auto"/>
        <w:bottom w:val="none" w:sz="0" w:space="0" w:color="auto"/>
        <w:right w:val="none" w:sz="0" w:space="0" w:color="auto"/>
      </w:divBdr>
    </w:div>
    <w:div w:id="92239344">
      <w:bodyDiv w:val="1"/>
      <w:marLeft w:val="0"/>
      <w:marRight w:val="0"/>
      <w:marTop w:val="0"/>
      <w:marBottom w:val="0"/>
      <w:divBdr>
        <w:top w:val="none" w:sz="0" w:space="0" w:color="auto"/>
        <w:left w:val="none" w:sz="0" w:space="0" w:color="auto"/>
        <w:bottom w:val="none" w:sz="0" w:space="0" w:color="auto"/>
        <w:right w:val="none" w:sz="0" w:space="0" w:color="auto"/>
      </w:divBdr>
    </w:div>
    <w:div w:id="141241132">
      <w:bodyDiv w:val="1"/>
      <w:marLeft w:val="0"/>
      <w:marRight w:val="0"/>
      <w:marTop w:val="0"/>
      <w:marBottom w:val="0"/>
      <w:divBdr>
        <w:top w:val="none" w:sz="0" w:space="0" w:color="auto"/>
        <w:left w:val="none" w:sz="0" w:space="0" w:color="auto"/>
        <w:bottom w:val="none" w:sz="0" w:space="0" w:color="auto"/>
        <w:right w:val="none" w:sz="0" w:space="0" w:color="auto"/>
      </w:divBdr>
    </w:div>
    <w:div w:id="237181400">
      <w:bodyDiv w:val="1"/>
      <w:marLeft w:val="0"/>
      <w:marRight w:val="0"/>
      <w:marTop w:val="0"/>
      <w:marBottom w:val="0"/>
      <w:divBdr>
        <w:top w:val="none" w:sz="0" w:space="0" w:color="auto"/>
        <w:left w:val="none" w:sz="0" w:space="0" w:color="auto"/>
        <w:bottom w:val="none" w:sz="0" w:space="0" w:color="auto"/>
        <w:right w:val="none" w:sz="0" w:space="0" w:color="auto"/>
      </w:divBdr>
    </w:div>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334844866">
      <w:bodyDiv w:val="1"/>
      <w:marLeft w:val="0"/>
      <w:marRight w:val="0"/>
      <w:marTop w:val="0"/>
      <w:marBottom w:val="0"/>
      <w:divBdr>
        <w:top w:val="none" w:sz="0" w:space="0" w:color="auto"/>
        <w:left w:val="none" w:sz="0" w:space="0" w:color="auto"/>
        <w:bottom w:val="none" w:sz="0" w:space="0" w:color="auto"/>
        <w:right w:val="none" w:sz="0" w:space="0" w:color="auto"/>
      </w:divBdr>
    </w:div>
    <w:div w:id="348260426">
      <w:bodyDiv w:val="1"/>
      <w:marLeft w:val="0"/>
      <w:marRight w:val="0"/>
      <w:marTop w:val="0"/>
      <w:marBottom w:val="0"/>
      <w:divBdr>
        <w:top w:val="none" w:sz="0" w:space="0" w:color="auto"/>
        <w:left w:val="none" w:sz="0" w:space="0" w:color="auto"/>
        <w:bottom w:val="none" w:sz="0" w:space="0" w:color="auto"/>
        <w:right w:val="none" w:sz="0" w:space="0" w:color="auto"/>
      </w:divBdr>
    </w:div>
    <w:div w:id="381104327">
      <w:bodyDiv w:val="1"/>
      <w:marLeft w:val="0"/>
      <w:marRight w:val="0"/>
      <w:marTop w:val="0"/>
      <w:marBottom w:val="0"/>
      <w:divBdr>
        <w:top w:val="none" w:sz="0" w:space="0" w:color="auto"/>
        <w:left w:val="none" w:sz="0" w:space="0" w:color="auto"/>
        <w:bottom w:val="none" w:sz="0" w:space="0" w:color="auto"/>
        <w:right w:val="none" w:sz="0" w:space="0" w:color="auto"/>
      </w:divBdr>
    </w:div>
    <w:div w:id="431433237">
      <w:bodyDiv w:val="1"/>
      <w:marLeft w:val="0"/>
      <w:marRight w:val="0"/>
      <w:marTop w:val="0"/>
      <w:marBottom w:val="0"/>
      <w:divBdr>
        <w:top w:val="none" w:sz="0" w:space="0" w:color="auto"/>
        <w:left w:val="none" w:sz="0" w:space="0" w:color="auto"/>
        <w:bottom w:val="none" w:sz="0" w:space="0" w:color="auto"/>
        <w:right w:val="none" w:sz="0" w:space="0" w:color="auto"/>
      </w:divBdr>
    </w:div>
    <w:div w:id="599677541">
      <w:bodyDiv w:val="1"/>
      <w:marLeft w:val="0"/>
      <w:marRight w:val="0"/>
      <w:marTop w:val="0"/>
      <w:marBottom w:val="0"/>
      <w:divBdr>
        <w:top w:val="none" w:sz="0" w:space="0" w:color="auto"/>
        <w:left w:val="none" w:sz="0" w:space="0" w:color="auto"/>
        <w:bottom w:val="none" w:sz="0" w:space="0" w:color="auto"/>
        <w:right w:val="none" w:sz="0" w:space="0" w:color="auto"/>
      </w:divBdr>
    </w:div>
    <w:div w:id="604776328">
      <w:bodyDiv w:val="1"/>
      <w:marLeft w:val="0"/>
      <w:marRight w:val="0"/>
      <w:marTop w:val="0"/>
      <w:marBottom w:val="0"/>
      <w:divBdr>
        <w:top w:val="none" w:sz="0" w:space="0" w:color="auto"/>
        <w:left w:val="none" w:sz="0" w:space="0" w:color="auto"/>
        <w:bottom w:val="none" w:sz="0" w:space="0" w:color="auto"/>
        <w:right w:val="none" w:sz="0" w:space="0" w:color="auto"/>
      </w:divBdr>
    </w:div>
    <w:div w:id="610861706">
      <w:bodyDiv w:val="1"/>
      <w:marLeft w:val="0"/>
      <w:marRight w:val="0"/>
      <w:marTop w:val="0"/>
      <w:marBottom w:val="0"/>
      <w:divBdr>
        <w:top w:val="none" w:sz="0" w:space="0" w:color="auto"/>
        <w:left w:val="none" w:sz="0" w:space="0" w:color="auto"/>
        <w:bottom w:val="none" w:sz="0" w:space="0" w:color="auto"/>
        <w:right w:val="none" w:sz="0" w:space="0" w:color="auto"/>
      </w:divBdr>
    </w:div>
    <w:div w:id="643971339">
      <w:bodyDiv w:val="1"/>
      <w:marLeft w:val="0"/>
      <w:marRight w:val="0"/>
      <w:marTop w:val="0"/>
      <w:marBottom w:val="0"/>
      <w:divBdr>
        <w:top w:val="none" w:sz="0" w:space="0" w:color="auto"/>
        <w:left w:val="none" w:sz="0" w:space="0" w:color="auto"/>
        <w:bottom w:val="none" w:sz="0" w:space="0" w:color="auto"/>
        <w:right w:val="none" w:sz="0" w:space="0" w:color="auto"/>
      </w:divBdr>
    </w:div>
    <w:div w:id="652683114">
      <w:bodyDiv w:val="1"/>
      <w:marLeft w:val="0"/>
      <w:marRight w:val="0"/>
      <w:marTop w:val="0"/>
      <w:marBottom w:val="0"/>
      <w:divBdr>
        <w:top w:val="none" w:sz="0" w:space="0" w:color="auto"/>
        <w:left w:val="none" w:sz="0" w:space="0" w:color="auto"/>
        <w:bottom w:val="none" w:sz="0" w:space="0" w:color="auto"/>
        <w:right w:val="none" w:sz="0" w:space="0" w:color="auto"/>
      </w:divBdr>
    </w:div>
    <w:div w:id="657542280">
      <w:bodyDiv w:val="1"/>
      <w:marLeft w:val="0"/>
      <w:marRight w:val="0"/>
      <w:marTop w:val="0"/>
      <w:marBottom w:val="0"/>
      <w:divBdr>
        <w:top w:val="none" w:sz="0" w:space="0" w:color="auto"/>
        <w:left w:val="none" w:sz="0" w:space="0" w:color="auto"/>
        <w:bottom w:val="none" w:sz="0" w:space="0" w:color="auto"/>
        <w:right w:val="none" w:sz="0" w:space="0" w:color="auto"/>
      </w:divBdr>
    </w:div>
    <w:div w:id="854151839">
      <w:bodyDiv w:val="1"/>
      <w:marLeft w:val="0"/>
      <w:marRight w:val="0"/>
      <w:marTop w:val="0"/>
      <w:marBottom w:val="0"/>
      <w:divBdr>
        <w:top w:val="none" w:sz="0" w:space="0" w:color="auto"/>
        <w:left w:val="none" w:sz="0" w:space="0" w:color="auto"/>
        <w:bottom w:val="none" w:sz="0" w:space="0" w:color="auto"/>
        <w:right w:val="none" w:sz="0" w:space="0" w:color="auto"/>
      </w:divBdr>
    </w:div>
    <w:div w:id="876357017">
      <w:bodyDiv w:val="1"/>
      <w:marLeft w:val="0"/>
      <w:marRight w:val="0"/>
      <w:marTop w:val="0"/>
      <w:marBottom w:val="0"/>
      <w:divBdr>
        <w:top w:val="none" w:sz="0" w:space="0" w:color="auto"/>
        <w:left w:val="none" w:sz="0" w:space="0" w:color="auto"/>
        <w:bottom w:val="none" w:sz="0" w:space="0" w:color="auto"/>
        <w:right w:val="none" w:sz="0" w:space="0" w:color="auto"/>
      </w:divBdr>
    </w:div>
    <w:div w:id="890772766">
      <w:bodyDiv w:val="1"/>
      <w:marLeft w:val="0"/>
      <w:marRight w:val="0"/>
      <w:marTop w:val="0"/>
      <w:marBottom w:val="0"/>
      <w:divBdr>
        <w:top w:val="none" w:sz="0" w:space="0" w:color="auto"/>
        <w:left w:val="none" w:sz="0" w:space="0" w:color="auto"/>
        <w:bottom w:val="none" w:sz="0" w:space="0" w:color="auto"/>
        <w:right w:val="none" w:sz="0" w:space="0" w:color="auto"/>
      </w:divBdr>
    </w:div>
    <w:div w:id="907574183">
      <w:bodyDiv w:val="1"/>
      <w:marLeft w:val="0"/>
      <w:marRight w:val="0"/>
      <w:marTop w:val="0"/>
      <w:marBottom w:val="0"/>
      <w:divBdr>
        <w:top w:val="none" w:sz="0" w:space="0" w:color="auto"/>
        <w:left w:val="none" w:sz="0" w:space="0" w:color="auto"/>
        <w:bottom w:val="none" w:sz="0" w:space="0" w:color="auto"/>
        <w:right w:val="none" w:sz="0" w:space="0" w:color="auto"/>
      </w:divBdr>
    </w:div>
    <w:div w:id="918366130">
      <w:bodyDiv w:val="1"/>
      <w:marLeft w:val="0"/>
      <w:marRight w:val="0"/>
      <w:marTop w:val="0"/>
      <w:marBottom w:val="0"/>
      <w:divBdr>
        <w:top w:val="none" w:sz="0" w:space="0" w:color="auto"/>
        <w:left w:val="none" w:sz="0" w:space="0" w:color="auto"/>
        <w:bottom w:val="none" w:sz="0" w:space="0" w:color="auto"/>
        <w:right w:val="none" w:sz="0" w:space="0" w:color="auto"/>
      </w:divBdr>
    </w:div>
    <w:div w:id="944923173">
      <w:bodyDiv w:val="1"/>
      <w:marLeft w:val="0"/>
      <w:marRight w:val="0"/>
      <w:marTop w:val="0"/>
      <w:marBottom w:val="0"/>
      <w:divBdr>
        <w:top w:val="none" w:sz="0" w:space="0" w:color="auto"/>
        <w:left w:val="none" w:sz="0" w:space="0" w:color="auto"/>
        <w:bottom w:val="none" w:sz="0" w:space="0" w:color="auto"/>
        <w:right w:val="none" w:sz="0" w:space="0" w:color="auto"/>
      </w:divBdr>
    </w:div>
    <w:div w:id="984705075">
      <w:bodyDiv w:val="1"/>
      <w:marLeft w:val="0"/>
      <w:marRight w:val="0"/>
      <w:marTop w:val="0"/>
      <w:marBottom w:val="0"/>
      <w:divBdr>
        <w:top w:val="none" w:sz="0" w:space="0" w:color="auto"/>
        <w:left w:val="none" w:sz="0" w:space="0" w:color="auto"/>
        <w:bottom w:val="none" w:sz="0" w:space="0" w:color="auto"/>
        <w:right w:val="none" w:sz="0" w:space="0" w:color="auto"/>
      </w:divBdr>
    </w:div>
    <w:div w:id="1016999856">
      <w:bodyDiv w:val="1"/>
      <w:marLeft w:val="0"/>
      <w:marRight w:val="0"/>
      <w:marTop w:val="0"/>
      <w:marBottom w:val="0"/>
      <w:divBdr>
        <w:top w:val="none" w:sz="0" w:space="0" w:color="auto"/>
        <w:left w:val="none" w:sz="0" w:space="0" w:color="auto"/>
        <w:bottom w:val="none" w:sz="0" w:space="0" w:color="auto"/>
        <w:right w:val="none" w:sz="0" w:space="0" w:color="auto"/>
      </w:divBdr>
    </w:div>
    <w:div w:id="1134517075">
      <w:bodyDiv w:val="1"/>
      <w:marLeft w:val="0"/>
      <w:marRight w:val="0"/>
      <w:marTop w:val="0"/>
      <w:marBottom w:val="0"/>
      <w:divBdr>
        <w:top w:val="none" w:sz="0" w:space="0" w:color="auto"/>
        <w:left w:val="none" w:sz="0" w:space="0" w:color="auto"/>
        <w:bottom w:val="none" w:sz="0" w:space="0" w:color="auto"/>
        <w:right w:val="none" w:sz="0" w:space="0" w:color="auto"/>
      </w:divBdr>
    </w:div>
    <w:div w:id="1271817701">
      <w:bodyDiv w:val="1"/>
      <w:marLeft w:val="0"/>
      <w:marRight w:val="0"/>
      <w:marTop w:val="0"/>
      <w:marBottom w:val="0"/>
      <w:divBdr>
        <w:top w:val="none" w:sz="0" w:space="0" w:color="auto"/>
        <w:left w:val="none" w:sz="0" w:space="0" w:color="auto"/>
        <w:bottom w:val="none" w:sz="0" w:space="0" w:color="auto"/>
        <w:right w:val="none" w:sz="0" w:space="0" w:color="auto"/>
      </w:divBdr>
      <w:divsChild>
        <w:div w:id="1513469">
          <w:marLeft w:val="446"/>
          <w:marRight w:val="0"/>
          <w:marTop w:val="0"/>
          <w:marBottom w:val="80"/>
          <w:divBdr>
            <w:top w:val="none" w:sz="0" w:space="0" w:color="auto"/>
            <w:left w:val="none" w:sz="0" w:space="0" w:color="auto"/>
            <w:bottom w:val="none" w:sz="0" w:space="0" w:color="auto"/>
            <w:right w:val="none" w:sz="0" w:space="0" w:color="auto"/>
          </w:divBdr>
        </w:div>
      </w:divsChild>
    </w:div>
    <w:div w:id="1272586378">
      <w:bodyDiv w:val="1"/>
      <w:marLeft w:val="0"/>
      <w:marRight w:val="0"/>
      <w:marTop w:val="0"/>
      <w:marBottom w:val="0"/>
      <w:divBdr>
        <w:top w:val="none" w:sz="0" w:space="0" w:color="auto"/>
        <w:left w:val="none" w:sz="0" w:space="0" w:color="auto"/>
        <w:bottom w:val="none" w:sz="0" w:space="0" w:color="auto"/>
        <w:right w:val="none" w:sz="0" w:space="0" w:color="auto"/>
      </w:divBdr>
    </w:div>
    <w:div w:id="1507356964">
      <w:bodyDiv w:val="1"/>
      <w:marLeft w:val="0"/>
      <w:marRight w:val="0"/>
      <w:marTop w:val="0"/>
      <w:marBottom w:val="0"/>
      <w:divBdr>
        <w:top w:val="none" w:sz="0" w:space="0" w:color="auto"/>
        <w:left w:val="none" w:sz="0" w:space="0" w:color="auto"/>
        <w:bottom w:val="none" w:sz="0" w:space="0" w:color="auto"/>
        <w:right w:val="none" w:sz="0" w:space="0" w:color="auto"/>
      </w:divBdr>
    </w:div>
    <w:div w:id="1525829273">
      <w:bodyDiv w:val="1"/>
      <w:marLeft w:val="0"/>
      <w:marRight w:val="0"/>
      <w:marTop w:val="0"/>
      <w:marBottom w:val="0"/>
      <w:divBdr>
        <w:top w:val="none" w:sz="0" w:space="0" w:color="auto"/>
        <w:left w:val="none" w:sz="0" w:space="0" w:color="auto"/>
        <w:bottom w:val="none" w:sz="0" w:space="0" w:color="auto"/>
        <w:right w:val="none" w:sz="0" w:space="0" w:color="auto"/>
      </w:divBdr>
      <w:divsChild>
        <w:div w:id="2103917512">
          <w:marLeft w:val="533"/>
          <w:marRight w:val="0"/>
          <w:marTop w:val="80"/>
          <w:marBottom w:val="0"/>
          <w:divBdr>
            <w:top w:val="none" w:sz="0" w:space="0" w:color="auto"/>
            <w:left w:val="none" w:sz="0" w:space="0" w:color="auto"/>
            <w:bottom w:val="none" w:sz="0" w:space="0" w:color="auto"/>
            <w:right w:val="none" w:sz="0" w:space="0" w:color="auto"/>
          </w:divBdr>
        </w:div>
        <w:div w:id="2136168250">
          <w:marLeft w:val="533"/>
          <w:marRight w:val="0"/>
          <w:marTop w:val="80"/>
          <w:marBottom w:val="0"/>
          <w:divBdr>
            <w:top w:val="none" w:sz="0" w:space="0" w:color="auto"/>
            <w:left w:val="none" w:sz="0" w:space="0" w:color="auto"/>
            <w:bottom w:val="none" w:sz="0" w:space="0" w:color="auto"/>
            <w:right w:val="none" w:sz="0" w:space="0" w:color="auto"/>
          </w:divBdr>
        </w:div>
        <w:div w:id="539634094">
          <w:marLeft w:val="533"/>
          <w:marRight w:val="0"/>
          <w:marTop w:val="80"/>
          <w:marBottom w:val="0"/>
          <w:divBdr>
            <w:top w:val="none" w:sz="0" w:space="0" w:color="auto"/>
            <w:left w:val="none" w:sz="0" w:space="0" w:color="auto"/>
            <w:bottom w:val="none" w:sz="0" w:space="0" w:color="auto"/>
            <w:right w:val="none" w:sz="0" w:space="0" w:color="auto"/>
          </w:divBdr>
        </w:div>
        <w:div w:id="539636655">
          <w:marLeft w:val="533"/>
          <w:marRight w:val="0"/>
          <w:marTop w:val="80"/>
          <w:marBottom w:val="0"/>
          <w:divBdr>
            <w:top w:val="none" w:sz="0" w:space="0" w:color="auto"/>
            <w:left w:val="none" w:sz="0" w:space="0" w:color="auto"/>
            <w:bottom w:val="none" w:sz="0" w:space="0" w:color="auto"/>
            <w:right w:val="none" w:sz="0" w:space="0" w:color="auto"/>
          </w:divBdr>
        </w:div>
      </w:divsChild>
    </w:div>
    <w:div w:id="1536190453">
      <w:bodyDiv w:val="1"/>
      <w:marLeft w:val="0"/>
      <w:marRight w:val="0"/>
      <w:marTop w:val="0"/>
      <w:marBottom w:val="0"/>
      <w:divBdr>
        <w:top w:val="none" w:sz="0" w:space="0" w:color="auto"/>
        <w:left w:val="none" w:sz="0" w:space="0" w:color="auto"/>
        <w:bottom w:val="none" w:sz="0" w:space="0" w:color="auto"/>
        <w:right w:val="none" w:sz="0" w:space="0" w:color="auto"/>
      </w:divBdr>
    </w:div>
    <w:div w:id="1540044421">
      <w:bodyDiv w:val="1"/>
      <w:marLeft w:val="0"/>
      <w:marRight w:val="0"/>
      <w:marTop w:val="0"/>
      <w:marBottom w:val="0"/>
      <w:divBdr>
        <w:top w:val="none" w:sz="0" w:space="0" w:color="auto"/>
        <w:left w:val="none" w:sz="0" w:space="0" w:color="auto"/>
        <w:bottom w:val="none" w:sz="0" w:space="0" w:color="auto"/>
        <w:right w:val="none" w:sz="0" w:space="0" w:color="auto"/>
      </w:divBdr>
    </w:div>
    <w:div w:id="1585719083">
      <w:bodyDiv w:val="1"/>
      <w:marLeft w:val="0"/>
      <w:marRight w:val="0"/>
      <w:marTop w:val="0"/>
      <w:marBottom w:val="0"/>
      <w:divBdr>
        <w:top w:val="none" w:sz="0" w:space="0" w:color="auto"/>
        <w:left w:val="none" w:sz="0" w:space="0" w:color="auto"/>
        <w:bottom w:val="none" w:sz="0" w:space="0" w:color="auto"/>
        <w:right w:val="none" w:sz="0" w:space="0" w:color="auto"/>
      </w:divBdr>
    </w:div>
    <w:div w:id="1605576621">
      <w:bodyDiv w:val="1"/>
      <w:marLeft w:val="0"/>
      <w:marRight w:val="0"/>
      <w:marTop w:val="0"/>
      <w:marBottom w:val="0"/>
      <w:divBdr>
        <w:top w:val="none" w:sz="0" w:space="0" w:color="auto"/>
        <w:left w:val="none" w:sz="0" w:space="0" w:color="auto"/>
        <w:bottom w:val="none" w:sz="0" w:space="0" w:color="auto"/>
        <w:right w:val="none" w:sz="0" w:space="0" w:color="auto"/>
      </w:divBdr>
    </w:div>
    <w:div w:id="1630552515">
      <w:bodyDiv w:val="1"/>
      <w:marLeft w:val="0"/>
      <w:marRight w:val="0"/>
      <w:marTop w:val="0"/>
      <w:marBottom w:val="0"/>
      <w:divBdr>
        <w:top w:val="none" w:sz="0" w:space="0" w:color="auto"/>
        <w:left w:val="none" w:sz="0" w:space="0" w:color="auto"/>
        <w:bottom w:val="none" w:sz="0" w:space="0" w:color="auto"/>
        <w:right w:val="none" w:sz="0" w:space="0" w:color="auto"/>
      </w:divBdr>
    </w:div>
    <w:div w:id="1635286956">
      <w:bodyDiv w:val="1"/>
      <w:marLeft w:val="0"/>
      <w:marRight w:val="0"/>
      <w:marTop w:val="0"/>
      <w:marBottom w:val="0"/>
      <w:divBdr>
        <w:top w:val="none" w:sz="0" w:space="0" w:color="auto"/>
        <w:left w:val="none" w:sz="0" w:space="0" w:color="auto"/>
        <w:bottom w:val="none" w:sz="0" w:space="0" w:color="auto"/>
        <w:right w:val="none" w:sz="0" w:space="0" w:color="auto"/>
      </w:divBdr>
    </w:div>
    <w:div w:id="1655138085">
      <w:bodyDiv w:val="1"/>
      <w:marLeft w:val="0"/>
      <w:marRight w:val="0"/>
      <w:marTop w:val="0"/>
      <w:marBottom w:val="0"/>
      <w:divBdr>
        <w:top w:val="none" w:sz="0" w:space="0" w:color="auto"/>
        <w:left w:val="none" w:sz="0" w:space="0" w:color="auto"/>
        <w:bottom w:val="none" w:sz="0" w:space="0" w:color="auto"/>
        <w:right w:val="none" w:sz="0" w:space="0" w:color="auto"/>
      </w:divBdr>
    </w:div>
    <w:div w:id="1687101154">
      <w:bodyDiv w:val="1"/>
      <w:marLeft w:val="0"/>
      <w:marRight w:val="0"/>
      <w:marTop w:val="0"/>
      <w:marBottom w:val="0"/>
      <w:divBdr>
        <w:top w:val="none" w:sz="0" w:space="0" w:color="auto"/>
        <w:left w:val="none" w:sz="0" w:space="0" w:color="auto"/>
        <w:bottom w:val="none" w:sz="0" w:space="0" w:color="auto"/>
        <w:right w:val="none" w:sz="0" w:space="0" w:color="auto"/>
      </w:divBdr>
    </w:div>
    <w:div w:id="1708482591">
      <w:bodyDiv w:val="1"/>
      <w:marLeft w:val="0"/>
      <w:marRight w:val="0"/>
      <w:marTop w:val="0"/>
      <w:marBottom w:val="0"/>
      <w:divBdr>
        <w:top w:val="none" w:sz="0" w:space="0" w:color="auto"/>
        <w:left w:val="none" w:sz="0" w:space="0" w:color="auto"/>
        <w:bottom w:val="none" w:sz="0" w:space="0" w:color="auto"/>
        <w:right w:val="none" w:sz="0" w:space="0" w:color="auto"/>
      </w:divBdr>
    </w:div>
    <w:div w:id="1733037418">
      <w:bodyDiv w:val="1"/>
      <w:marLeft w:val="0"/>
      <w:marRight w:val="0"/>
      <w:marTop w:val="0"/>
      <w:marBottom w:val="0"/>
      <w:divBdr>
        <w:top w:val="none" w:sz="0" w:space="0" w:color="auto"/>
        <w:left w:val="none" w:sz="0" w:space="0" w:color="auto"/>
        <w:bottom w:val="none" w:sz="0" w:space="0" w:color="auto"/>
        <w:right w:val="none" w:sz="0" w:space="0" w:color="auto"/>
      </w:divBdr>
    </w:div>
    <w:div w:id="1758860506">
      <w:bodyDiv w:val="1"/>
      <w:marLeft w:val="0"/>
      <w:marRight w:val="0"/>
      <w:marTop w:val="0"/>
      <w:marBottom w:val="0"/>
      <w:divBdr>
        <w:top w:val="none" w:sz="0" w:space="0" w:color="auto"/>
        <w:left w:val="none" w:sz="0" w:space="0" w:color="auto"/>
        <w:bottom w:val="none" w:sz="0" w:space="0" w:color="auto"/>
        <w:right w:val="none" w:sz="0" w:space="0" w:color="auto"/>
      </w:divBdr>
      <w:divsChild>
        <w:div w:id="1105735519">
          <w:marLeft w:val="274"/>
          <w:marRight w:val="0"/>
          <w:marTop w:val="0"/>
          <w:marBottom w:val="120"/>
          <w:divBdr>
            <w:top w:val="none" w:sz="0" w:space="0" w:color="auto"/>
            <w:left w:val="none" w:sz="0" w:space="0" w:color="auto"/>
            <w:bottom w:val="none" w:sz="0" w:space="0" w:color="auto"/>
            <w:right w:val="none" w:sz="0" w:space="0" w:color="auto"/>
          </w:divBdr>
        </w:div>
      </w:divsChild>
    </w:div>
    <w:div w:id="1797988762">
      <w:bodyDiv w:val="1"/>
      <w:marLeft w:val="0"/>
      <w:marRight w:val="0"/>
      <w:marTop w:val="0"/>
      <w:marBottom w:val="0"/>
      <w:divBdr>
        <w:top w:val="none" w:sz="0" w:space="0" w:color="auto"/>
        <w:left w:val="none" w:sz="0" w:space="0" w:color="auto"/>
        <w:bottom w:val="none" w:sz="0" w:space="0" w:color="auto"/>
        <w:right w:val="none" w:sz="0" w:space="0" w:color="auto"/>
      </w:divBdr>
      <w:divsChild>
        <w:div w:id="1050543114">
          <w:marLeft w:val="446"/>
          <w:marRight w:val="0"/>
          <w:marTop w:val="0"/>
          <w:marBottom w:val="80"/>
          <w:divBdr>
            <w:top w:val="none" w:sz="0" w:space="0" w:color="auto"/>
            <w:left w:val="none" w:sz="0" w:space="0" w:color="auto"/>
            <w:bottom w:val="none" w:sz="0" w:space="0" w:color="auto"/>
            <w:right w:val="none" w:sz="0" w:space="0" w:color="auto"/>
          </w:divBdr>
        </w:div>
      </w:divsChild>
    </w:div>
    <w:div w:id="1849900508">
      <w:bodyDiv w:val="1"/>
      <w:marLeft w:val="0"/>
      <w:marRight w:val="0"/>
      <w:marTop w:val="0"/>
      <w:marBottom w:val="0"/>
      <w:divBdr>
        <w:top w:val="none" w:sz="0" w:space="0" w:color="auto"/>
        <w:left w:val="none" w:sz="0" w:space="0" w:color="auto"/>
        <w:bottom w:val="none" w:sz="0" w:space="0" w:color="auto"/>
        <w:right w:val="none" w:sz="0" w:space="0" w:color="auto"/>
      </w:divBdr>
    </w:div>
    <w:div w:id="1925335287">
      <w:bodyDiv w:val="1"/>
      <w:marLeft w:val="0"/>
      <w:marRight w:val="0"/>
      <w:marTop w:val="0"/>
      <w:marBottom w:val="0"/>
      <w:divBdr>
        <w:top w:val="none" w:sz="0" w:space="0" w:color="auto"/>
        <w:left w:val="none" w:sz="0" w:space="0" w:color="auto"/>
        <w:bottom w:val="none" w:sz="0" w:space="0" w:color="auto"/>
        <w:right w:val="none" w:sz="0" w:space="0" w:color="auto"/>
      </w:divBdr>
    </w:div>
    <w:div w:id="2007438372">
      <w:bodyDiv w:val="1"/>
      <w:marLeft w:val="0"/>
      <w:marRight w:val="0"/>
      <w:marTop w:val="0"/>
      <w:marBottom w:val="0"/>
      <w:divBdr>
        <w:top w:val="none" w:sz="0" w:space="0" w:color="auto"/>
        <w:left w:val="none" w:sz="0" w:space="0" w:color="auto"/>
        <w:bottom w:val="none" w:sz="0" w:space="0" w:color="auto"/>
        <w:right w:val="none" w:sz="0" w:space="0" w:color="auto"/>
      </w:divBdr>
    </w:div>
    <w:div w:id="2059894755">
      <w:bodyDiv w:val="1"/>
      <w:marLeft w:val="0"/>
      <w:marRight w:val="0"/>
      <w:marTop w:val="0"/>
      <w:marBottom w:val="0"/>
      <w:divBdr>
        <w:top w:val="none" w:sz="0" w:space="0" w:color="auto"/>
        <w:left w:val="none" w:sz="0" w:space="0" w:color="auto"/>
        <w:bottom w:val="none" w:sz="0" w:space="0" w:color="auto"/>
        <w:right w:val="none" w:sz="0" w:space="0" w:color="auto"/>
      </w:divBdr>
    </w:div>
    <w:div w:id="2067676860">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 w:id="2120906754">
      <w:bodyDiv w:val="1"/>
      <w:marLeft w:val="0"/>
      <w:marRight w:val="0"/>
      <w:marTop w:val="0"/>
      <w:marBottom w:val="0"/>
      <w:divBdr>
        <w:top w:val="none" w:sz="0" w:space="0" w:color="auto"/>
        <w:left w:val="none" w:sz="0" w:space="0" w:color="auto"/>
        <w:bottom w:val="none" w:sz="0" w:space="0" w:color="auto"/>
        <w:right w:val="none" w:sz="0" w:space="0" w:color="auto"/>
      </w:divBdr>
    </w:div>
    <w:div w:id="214060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s://www.ncbi.nlm.nih.gov/pubmed/?term=Locke%20FL%5BAuthor%5D&amp;cauthor=true&amp;cauthor_uid=29226797"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s://www.ncbi.nlm.nih.gov/pubmed/?term=Miklos%20DB%5BAuthor%5D&amp;cauthor=true&amp;cauthor_uid=29226797" TargetMode="External"/><Relationship Id="rId34" Type="http://schemas.openxmlformats.org/officeDocument/2006/relationships/hyperlink" Target="https://www.nccn.org/professionals/physician_gls/default.aspx"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ncbi.nlm.nih.gov/pubmed/?term=Neelapu%20SS%5BAuthor%5D&amp;cauthor=true&amp;cauthor_uid=29226797" TargetMode="External"/><Relationship Id="rId25" Type="http://schemas.openxmlformats.org/officeDocument/2006/relationships/hyperlink" Target="https://www.ncbi.nlm.nih.gov/pmc/articles/PMC5363293/" TargetMode="External"/><Relationship Id="rId33" Type="http://schemas.openxmlformats.org/officeDocument/2006/relationships/hyperlink" Target="http://www.lymphoma.org/"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ncbi.nlm.nih.gov/pubmed/?term=Lekakis%20LJ%5BAuthor%5D&amp;cauthor=true&amp;cauthor_uid=29226797" TargetMode="External"/><Relationship Id="rId29" Type="http://schemas.openxmlformats.org/officeDocument/2006/relationships/hyperlink" Target="https://www.aihw.gov.au/reports/cancer/cancer-in-indigenous-australians/contents/cancer-type/non-hodgkin-lymphoma-c82-c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ncbi.nlm.nih.gov/pubmed/30518502" TargetMode="External"/><Relationship Id="rId32" Type="http://schemas.openxmlformats.org/officeDocument/2006/relationships/hyperlink" Target="https://lymphoma-action.org.uk/types-lymphoma-non-hodgkin-lymphoma/diffuse-large-b-cell-lymphoma"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ncbi.nlm.nih.gov/pubmed/29226797?dopt=Abstract" TargetMode="External"/><Relationship Id="rId28" Type="http://schemas.openxmlformats.org/officeDocument/2006/relationships/hyperlink" Target="https://www.aihw.gov.au/about-our-data/our-data-collections/australian-cancer-database" TargetMode="External"/><Relationship Id="rId36" Type="http://schemas.openxmlformats.org/officeDocument/2006/relationships/fontTable" Target="fontTable.xml"/><Relationship Id="rId10" Type="http://schemas.openxmlformats.org/officeDocument/2006/relationships/hyperlink" Target="http://www.msac.gov.au/" TargetMode="External"/><Relationship Id="rId19" Type="http://schemas.openxmlformats.org/officeDocument/2006/relationships/hyperlink" Target="https://www.ncbi.nlm.nih.gov/pubmed/?term=Bartlett%20NL%5BAuthor%5D&amp;cauthor=true&amp;cauthor_uid=29226797" TargetMode="External"/><Relationship Id="rId31" Type="http://schemas.openxmlformats.org/officeDocument/2006/relationships/hyperlink" Target="http://www.uptodate.com/contents/diffuse-large-b-cell-lymphoma-in-adults-beyond-the-basics" TargetMode="External"/><Relationship Id="rId4" Type="http://schemas.openxmlformats.org/officeDocument/2006/relationships/settings" Target="settings.xml"/><Relationship Id="rId9" Type="http://schemas.openxmlformats.org/officeDocument/2006/relationships/hyperlink" Target="mailto:hta@health.gov.au" TargetMode="External"/><Relationship Id="rId14" Type="http://schemas.openxmlformats.org/officeDocument/2006/relationships/footer" Target="footer2.xml"/><Relationship Id="rId22" Type="http://schemas.openxmlformats.org/officeDocument/2006/relationships/hyperlink" Target="https://www.ncbi.nlm.nih.gov/pubmed/?term=Jacobson%20CA%5BAuthor%5D&amp;cauthor=true&amp;cauthor_uid=29226797" TargetMode="External"/><Relationship Id="rId27" Type="http://schemas.openxmlformats.org/officeDocument/2006/relationships/image" Target="media/image3.png"/><Relationship Id="rId30" Type="http://schemas.openxmlformats.org/officeDocument/2006/relationships/hyperlink" Target="https://canceraustralia.gov.au/affected-cancer/cancer-types/lymphoma/non-hodgkin-lymphoma-statistics" TargetMode="External"/><Relationship Id="rId35" Type="http://schemas.openxmlformats.org/officeDocument/2006/relationships/hyperlink" Target="http://www.cancer.gov/types/lymphoma/hp/adult-nhl-treatment-pd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4EF0B-E112-48EC-B271-CC4FFA474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9495</Words>
  <Characters>54123</Characters>
  <Application>Microsoft Office Word</Application>
  <DocSecurity>0</DocSecurity>
  <Lines>451</Lines>
  <Paragraphs>126</Paragraphs>
  <ScaleCrop>false</ScaleCrop>
  <Company/>
  <LinksUpToDate>false</LinksUpToDate>
  <CharactersWithSpaces>63492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1587 MSAC Application Form_redcated_Final</dc:title>
  <dc:creator/>
  <cp:lastModifiedBy/>
  <cp:revision>1</cp:revision>
  <dcterms:created xsi:type="dcterms:W3CDTF">2019-08-13T00:32:00Z</dcterms:created>
  <dcterms:modified xsi:type="dcterms:W3CDTF">2019-08-13T00:33:00Z</dcterms:modified>
</cp:coreProperties>
</file>