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7FE21" w14:textId="58069875" w:rsidR="00732394" w:rsidRPr="003D062F" w:rsidRDefault="00732394" w:rsidP="00D93ADB">
      <w:pPr>
        <w:jc w:val="center"/>
      </w:pPr>
    </w:p>
    <w:p w14:paraId="403D3592" w14:textId="77777777" w:rsidR="008F4EBB" w:rsidRPr="008F4EBB" w:rsidRDefault="008F4EBB" w:rsidP="008F4EBB">
      <w:pPr>
        <w:spacing w:after="240" w:line="312" w:lineRule="auto"/>
        <w:jc w:val="both"/>
        <w:rPr>
          <w:rFonts w:ascii="Tahoma" w:eastAsia="SimSun" w:hAnsi="Tahoma" w:cs="Tahoma"/>
          <w:lang w:eastAsia="zh-CN"/>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11"/>
      </w:tblGrid>
      <w:tr w:rsidR="008F4EBB" w:rsidRPr="008F4EBB" w14:paraId="19140FA1" w14:textId="77777777" w:rsidTr="00030328">
        <w:tc>
          <w:tcPr>
            <w:tcW w:w="5000" w:type="pct"/>
          </w:tcPr>
          <w:p w14:paraId="073CE601" w14:textId="77777777" w:rsidR="008F4EBB" w:rsidRPr="008F4EBB" w:rsidRDefault="008F4EBB" w:rsidP="008F4EBB">
            <w:pPr>
              <w:spacing w:after="0" w:line="240" w:lineRule="auto"/>
              <w:rPr>
                <w:rFonts w:ascii="Tahoma" w:eastAsia="Times New Roman" w:hAnsi="Tahoma" w:cs="Tahoma"/>
                <w:sz w:val="44"/>
                <w:szCs w:val="56"/>
              </w:rPr>
            </w:pPr>
            <w:r>
              <w:rPr>
                <w:rFonts w:ascii="Tahoma" w:eastAsia="Times New Roman" w:hAnsi="Tahoma" w:cs="Tahoma"/>
                <w:sz w:val="44"/>
                <w:szCs w:val="56"/>
              </w:rPr>
              <w:t>1408</w:t>
            </w:r>
          </w:p>
          <w:p w14:paraId="46505E2C" w14:textId="77777777" w:rsidR="008F4EBB" w:rsidRPr="008F4EBB" w:rsidRDefault="008F4EBB" w:rsidP="008F4EBB">
            <w:pPr>
              <w:spacing w:after="0" w:line="240" w:lineRule="auto"/>
              <w:rPr>
                <w:rFonts w:ascii="Tahoma" w:eastAsia="Times New Roman" w:hAnsi="Tahoma" w:cs="Tahoma"/>
                <w:sz w:val="44"/>
                <w:szCs w:val="56"/>
              </w:rPr>
            </w:pPr>
          </w:p>
          <w:p w14:paraId="1439A577" w14:textId="2A1AEBCA" w:rsidR="008F4EBB" w:rsidRPr="008F4EBB" w:rsidRDefault="00645034" w:rsidP="008F4EBB">
            <w:pPr>
              <w:spacing w:after="0" w:line="240" w:lineRule="auto"/>
              <w:rPr>
                <w:rFonts w:ascii="Tahoma" w:eastAsia="Times New Roman" w:hAnsi="Tahoma" w:cs="Tahoma"/>
                <w:sz w:val="44"/>
                <w:szCs w:val="56"/>
              </w:rPr>
            </w:pPr>
            <w:r>
              <w:rPr>
                <w:rFonts w:ascii="Tahoma" w:eastAsia="Times New Roman" w:hAnsi="Tahoma" w:cs="Tahoma"/>
                <w:sz w:val="44"/>
                <w:szCs w:val="56"/>
              </w:rPr>
              <w:t>P</w:t>
            </w:r>
            <w:r w:rsidR="00621540" w:rsidRPr="008F4EBB">
              <w:rPr>
                <w:rFonts w:ascii="Tahoma" w:eastAsia="Times New Roman" w:hAnsi="Tahoma" w:cs="Tahoma"/>
                <w:sz w:val="44"/>
                <w:szCs w:val="56"/>
              </w:rPr>
              <w:t xml:space="preserve">rotocol </w:t>
            </w:r>
            <w:r w:rsidR="008F4EBB" w:rsidRPr="008F4EBB">
              <w:rPr>
                <w:rFonts w:ascii="Tahoma" w:eastAsia="Times New Roman" w:hAnsi="Tahoma" w:cs="Tahoma"/>
                <w:sz w:val="44"/>
                <w:szCs w:val="56"/>
              </w:rPr>
              <w:t xml:space="preserve">to guide the assessment </w:t>
            </w:r>
            <w:r w:rsidR="00650B8B">
              <w:rPr>
                <w:rFonts w:ascii="Tahoma" w:eastAsia="Times New Roman" w:hAnsi="Tahoma" w:cs="Tahoma"/>
                <w:sz w:val="44"/>
                <w:szCs w:val="56"/>
              </w:rPr>
              <w:t xml:space="preserve">of </w:t>
            </w:r>
            <w:r w:rsidR="00816869">
              <w:rPr>
                <w:rFonts w:ascii="Tahoma" w:eastAsia="Times New Roman" w:hAnsi="Tahoma" w:cs="Tahoma"/>
                <w:sz w:val="44"/>
                <w:szCs w:val="56"/>
              </w:rPr>
              <w:t xml:space="preserve">a </w:t>
            </w:r>
            <w:r w:rsidR="007B49DD">
              <w:rPr>
                <w:rFonts w:ascii="Tahoma" w:eastAsia="Times New Roman" w:hAnsi="Tahoma" w:cs="Tahoma"/>
                <w:sz w:val="44"/>
                <w:szCs w:val="56"/>
              </w:rPr>
              <w:t>prognostic RT-</w:t>
            </w:r>
            <w:r w:rsidR="00CA3CE8">
              <w:rPr>
                <w:rFonts w:ascii="Tahoma" w:eastAsia="Times New Roman" w:hAnsi="Tahoma" w:cs="Tahoma"/>
                <w:sz w:val="44"/>
                <w:szCs w:val="56"/>
              </w:rPr>
              <w:t>qPCR test for ER+ve, HER2-ve primary breast cancer</w:t>
            </w:r>
          </w:p>
          <w:p w14:paraId="028D73CA" w14:textId="77777777" w:rsidR="008F4EBB" w:rsidRPr="008F4EBB" w:rsidRDefault="008F4EBB" w:rsidP="008F4EBB">
            <w:pPr>
              <w:spacing w:after="0" w:line="240" w:lineRule="auto"/>
              <w:rPr>
                <w:rFonts w:ascii="Tahoma" w:eastAsia="Times New Roman" w:hAnsi="Tahoma" w:cs="Tahoma"/>
                <w:sz w:val="200"/>
                <w:szCs w:val="200"/>
                <w:lang w:val="en-US"/>
              </w:rPr>
            </w:pPr>
          </w:p>
          <w:p w14:paraId="079FD0A5" w14:textId="77777777" w:rsidR="008F4EBB" w:rsidRPr="008F4EBB" w:rsidRDefault="008F4EBB" w:rsidP="008F4EBB">
            <w:pPr>
              <w:spacing w:after="0" w:line="240" w:lineRule="auto"/>
              <w:jc w:val="center"/>
              <w:rPr>
                <w:rFonts w:ascii="Tahoma" w:eastAsia="Times New Roman" w:hAnsi="Tahoma" w:cs="Tahoma"/>
                <w:sz w:val="48"/>
                <w:szCs w:val="56"/>
                <w:lang w:val="en-US"/>
              </w:rPr>
            </w:pPr>
          </w:p>
        </w:tc>
      </w:tr>
      <w:tr w:rsidR="008F4EBB" w:rsidRPr="008F4EBB" w14:paraId="22BC24A4" w14:textId="77777777" w:rsidTr="00030328">
        <w:tc>
          <w:tcPr>
            <w:tcW w:w="5000" w:type="pct"/>
          </w:tcPr>
          <w:p w14:paraId="31A85B1D" w14:textId="6EDFD8C0" w:rsidR="008F4EBB" w:rsidRPr="008F4EBB" w:rsidRDefault="00606A82" w:rsidP="008F4EBB">
            <w:pPr>
              <w:spacing w:after="0" w:line="240" w:lineRule="auto"/>
              <w:rPr>
                <w:rFonts w:ascii="Tahoma" w:eastAsia="Times New Roman" w:hAnsi="Tahoma" w:cs="Tahoma"/>
                <w:sz w:val="32"/>
                <w:szCs w:val="40"/>
                <w:lang w:val="en-US"/>
              </w:rPr>
            </w:pPr>
            <w:r>
              <w:rPr>
                <w:rFonts w:ascii="Tahoma" w:eastAsia="Times New Roman" w:hAnsi="Tahoma" w:cs="Tahoma"/>
                <w:sz w:val="32"/>
                <w:szCs w:val="40"/>
              </w:rPr>
              <w:t>January 2016</w:t>
            </w:r>
          </w:p>
        </w:tc>
      </w:tr>
    </w:tbl>
    <w:p w14:paraId="26D67325" w14:textId="77777777" w:rsidR="008F4EBB" w:rsidRPr="008F4EBB" w:rsidRDefault="008F4EBB" w:rsidP="008F4EBB">
      <w:pPr>
        <w:spacing w:after="240" w:line="312" w:lineRule="auto"/>
        <w:jc w:val="both"/>
        <w:rPr>
          <w:rFonts w:ascii="Tahoma" w:eastAsia="SimSun" w:hAnsi="Tahoma" w:cs="Tahoma"/>
          <w:lang w:eastAsia="zh-CN"/>
        </w:rPr>
      </w:pPr>
    </w:p>
    <w:p w14:paraId="0C0C202F" w14:textId="77777777" w:rsidR="008F4EBB" w:rsidRPr="008F4EBB" w:rsidRDefault="008F4EBB" w:rsidP="008F4EBB">
      <w:pPr>
        <w:spacing w:after="240" w:line="312" w:lineRule="auto"/>
        <w:jc w:val="both"/>
        <w:rPr>
          <w:rFonts w:ascii="Cambria" w:eastAsia="Times New Roman" w:hAnsi="Cambria" w:cs="Times New Roman"/>
          <w:b/>
          <w:i/>
          <w:color w:val="365F91"/>
          <w:lang w:val="en-US"/>
        </w:rPr>
      </w:pPr>
      <w:r w:rsidRPr="008F4EBB">
        <w:rPr>
          <w:rFonts w:ascii="Tahoma" w:eastAsia="SimSun" w:hAnsi="Tahoma" w:cs="Tahoma"/>
          <w:lang w:eastAsia="zh-CN"/>
        </w:rPr>
        <w:br w:type="page"/>
      </w:r>
    </w:p>
    <w:bookmarkEnd w:id="0"/>
    <w:p w14:paraId="483B5CB7" w14:textId="77777777" w:rsidR="00BC4EFE" w:rsidRPr="003D062F" w:rsidRDefault="008F4EBB" w:rsidP="008F4EBB">
      <w:r>
        <w:lastRenderedPageBreak/>
        <w:tab/>
      </w:r>
    </w:p>
    <w:p w14:paraId="2860AC11" w14:textId="77777777" w:rsidR="00BC4EFE" w:rsidRPr="00005108" w:rsidRDefault="00BC4EFE" w:rsidP="00005108">
      <w:pPr>
        <w:pStyle w:val="Heading1"/>
      </w:pPr>
      <w:r w:rsidRPr="00005108">
        <w:t>Title of Application</w:t>
      </w:r>
    </w:p>
    <w:p w14:paraId="1FB5C039" w14:textId="77777777" w:rsidR="001B74F5" w:rsidRDefault="00CA3CE8" w:rsidP="001B74F5">
      <w:r w:rsidRPr="00CA3CE8">
        <w:t>A prognostic RT-qPCR test run locally for ER+ve /HER2-ve breast cancer that determines the risk of early and late metastasis in node negative and positive cancer under endocrine treatment</w:t>
      </w:r>
      <w:r>
        <w:t>.</w:t>
      </w:r>
      <w:r w:rsidR="001B74F5">
        <w:t xml:space="preserve"> </w:t>
      </w:r>
    </w:p>
    <w:p w14:paraId="1A9C1F74" w14:textId="77777777" w:rsidR="00BC4EFE" w:rsidRPr="00BC4EFE" w:rsidRDefault="00BC4EFE" w:rsidP="001B74F5">
      <w:pPr>
        <w:pStyle w:val="Heading1"/>
      </w:pPr>
      <w:r w:rsidRPr="00BC4EFE">
        <w:t>Purpose of application</w:t>
      </w:r>
    </w:p>
    <w:p w14:paraId="37287A3B" w14:textId="77777777" w:rsidR="00C63A04" w:rsidRDefault="0095251B" w:rsidP="00BC4EFE">
      <w:r>
        <w:t xml:space="preserve">An application was received from Myriad Genetics Australia Pty Ltd </w:t>
      </w:r>
      <w:r w:rsidR="009A5175">
        <w:t xml:space="preserve">(a distributor for </w:t>
      </w:r>
      <w:proofErr w:type="spellStart"/>
      <w:r w:rsidR="009A5175">
        <w:t>Sividon</w:t>
      </w:r>
      <w:proofErr w:type="spellEnd"/>
      <w:r w:rsidR="009A5175">
        <w:t xml:space="preserve"> Diagnostics GmbH) </w:t>
      </w:r>
      <w:r>
        <w:t xml:space="preserve">requesting the listing of </w:t>
      </w:r>
      <w:r w:rsidR="00480ACA" w:rsidRPr="00480ACA">
        <w:rPr>
          <w:i/>
        </w:rPr>
        <w:t>A prognostic RT-qPCR test run locally for ER+ve /HER2-ve</w:t>
      </w:r>
      <w:r w:rsidR="001F7F0A">
        <w:rPr>
          <w:rStyle w:val="FootnoteReference"/>
          <w:i/>
        </w:rPr>
        <w:footnoteReference w:id="2"/>
      </w:r>
      <w:r w:rsidR="00480ACA" w:rsidRPr="00480ACA">
        <w:rPr>
          <w:i/>
        </w:rPr>
        <w:t xml:space="preserve"> breast cancer that determines the risk of early and late metastasis in node negative and positive cancer under endocrine treatment</w:t>
      </w:r>
      <w:r w:rsidR="009A5175">
        <w:t xml:space="preserve">. The </w:t>
      </w:r>
      <w:r w:rsidR="00A932D8">
        <w:t xml:space="preserve">prognostic </w:t>
      </w:r>
      <w:r w:rsidR="007D7FCC">
        <w:t xml:space="preserve">gene profiling </w:t>
      </w:r>
      <w:r w:rsidR="00C63A04">
        <w:t>test</w:t>
      </w:r>
      <w:r>
        <w:t xml:space="preserve"> is claimed to determine the risk of </w:t>
      </w:r>
      <w:r w:rsidR="003F3BA1">
        <w:t>distant</w:t>
      </w:r>
      <w:r w:rsidR="001F7F0A">
        <w:t xml:space="preserve"> recurrence</w:t>
      </w:r>
      <w:r w:rsidR="000C00CF">
        <w:t xml:space="preserve"> or metastases</w:t>
      </w:r>
      <w:r w:rsidR="001F7F0A">
        <w:t xml:space="preserve"> in primary breast cancer patients</w:t>
      </w:r>
      <w:r>
        <w:t xml:space="preserve"> and </w:t>
      </w:r>
      <w:r w:rsidR="009A5175">
        <w:t xml:space="preserve">assist in the </w:t>
      </w:r>
      <w:r w:rsidR="0090490C">
        <w:t>selection</w:t>
      </w:r>
      <w:r w:rsidR="009A5175">
        <w:t xml:space="preserve"> of appropriate therapy. </w:t>
      </w:r>
    </w:p>
    <w:p w14:paraId="26E604A0" w14:textId="77777777" w:rsidR="00C03B5D" w:rsidRDefault="008F3D2A" w:rsidP="00BC4EFE">
      <w:r w:rsidRPr="00C03B5D">
        <w:t>P</w:t>
      </w:r>
      <w:r w:rsidR="003D32EB" w:rsidRPr="00C03B5D">
        <w:t>atients with</w:t>
      </w:r>
      <w:r w:rsidR="00FE21BE" w:rsidRPr="00C03B5D">
        <w:t xml:space="preserve"> primary</w:t>
      </w:r>
      <w:r w:rsidR="003D32EB" w:rsidRPr="00C03B5D">
        <w:t xml:space="preserve"> breast tumours</w:t>
      </w:r>
      <w:r w:rsidRPr="00C03B5D">
        <w:t xml:space="preserve"> who</w:t>
      </w:r>
      <w:r w:rsidR="003D32EB" w:rsidRPr="00C03B5D">
        <w:t xml:space="preserve"> fall into the subtype ER+ve, HER2-ve</w:t>
      </w:r>
      <w:r w:rsidRPr="00C03B5D">
        <w:t xml:space="preserve"> often do not have clear-cut treatment options. While clinical factors and immunohistochemistry (IHC) may predict risk of recurrence </w:t>
      </w:r>
      <w:r w:rsidR="00CB17DF" w:rsidRPr="00C03B5D">
        <w:t xml:space="preserve">for those at the low and high risk ends of the spectrum, many patients fall into an intermediate risk group, for whom treatment options could be better informed. </w:t>
      </w:r>
      <w:r w:rsidR="00C03B5D">
        <w:t>The proposed new test claims to provide additional information to aid the decision for treatment.</w:t>
      </w:r>
    </w:p>
    <w:p w14:paraId="614C23C6" w14:textId="77777777" w:rsidR="00A83F22" w:rsidRDefault="00023491" w:rsidP="00BC4EFE">
      <w:r>
        <w:t>The test</w:t>
      </w:r>
      <w:r w:rsidR="00A932D8">
        <w:t xml:space="preserve"> and algorithm </w:t>
      </w:r>
      <w:r>
        <w:t xml:space="preserve">referred to in the application is </w:t>
      </w:r>
      <w:r w:rsidR="004D535A">
        <w:t>registered outside</w:t>
      </w:r>
      <w:r w:rsidR="00480ACA">
        <w:t xml:space="preserve"> and within</w:t>
      </w:r>
      <w:r w:rsidR="004D535A">
        <w:t xml:space="preserve"> Australia as</w:t>
      </w:r>
      <w:r>
        <w:t xml:space="preserve"> </w:t>
      </w:r>
      <w:proofErr w:type="spellStart"/>
      <w:r w:rsidR="00320917">
        <w:t>EndoPredict</w:t>
      </w:r>
      <w:proofErr w:type="spellEnd"/>
      <w:r w:rsidR="00320917">
        <w:t>®</w:t>
      </w:r>
      <w:r>
        <w:t xml:space="preserve">. The </w:t>
      </w:r>
      <w:r w:rsidR="008F3D2A">
        <w:t xml:space="preserve">quantitative </w:t>
      </w:r>
      <w:r>
        <w:t xml:space="preserve">real-time </w:t>
      </w:r>
      <w:r w:rsidR="006068FB">
        <w:t>polymerase chain reaction</w:t>
      </w:r>
      <w:r>
        <w:t xml:space="preserve"> </w:t>
      </w:r>
      <w:r w:rsidR="00A932D8">
        <w:t>(RT</w:t>
      </w:r>
      <w:r w:rsidR="007B49DD">
        <w:t>-</w:t>
      </w:r>
      <w:r w:rsidR="00A932D8">
        <w:t xml:space="preserve">qPCR) </w:t>
      </w:r>
      <w:r w:rsidR="00BF2D09">
        <w:t xml:space="preserve">gene </w:t>
      </w:r>
      <w:r>
        <w:t>profiling test determines the expression level of eight genes, three of which are associate</w:t>
      </w:r>
      <w:r w:rsidR="0089731A">
        <w:t>d</w:t>
      </w:r>
      <w:r>
        <w:t xml:space="preserve"> with tumour cell proliferation and five </w:t>
      </w:r>
      <w:r w:rsidR="0089731A">
        <w:t xml:space="preserve">with hormone receptor function. </w:t>
      </w:r>
      <w:r w:rsidR="00A83F22">
        <w:t>Risk of d</w:t>
      </w:r>
      <w:r w:rsidR="003F3BA1">
        <w:t>istant</w:t>
      </w:r>
      <w:r w:rsidR="00A83F22">
        <w:t xml:space="preserve"> recurrence or </w:t>
      </w:r>
      <w:r w:rsidR="003F3BA1">
        <w:t>metastases</w:t>
      </w:r>
      <w:r w:rsidR="00A83F22">
        <w:t xml:space="preserve"> is calculated from t</w:t>
      </w:r>
      <w:r w:rsidR="00480ACA">
        <w:t>he RT</w:t>
      </w:r>
      <w:r w:rsidR="007B49DD">
        <w:t>-</w:t>
      </w:r>
      <w:r w:rsidR="00480ACA">
        <w:t xml:space="preserve">qPCR gene </w:t>
      </w:r>
      <w:r w:rsidR="00BF2D09">
        <w:t xml:space="preserve">expression </w:t>
      </w:r>
      <w:r w:rsidR="00480ACA">
        <w:t xml:space="preserve">profile combined </w:t>
      </w:r>
      <w:r w:rsidR="0089731A">
        <w:t xml:space="preserve">with classical clinical </w:t>
      </w:r>
      <w:r w:rsidR="000912A3">
        <w:t xml:space="preserve">markers </w:t>
      </w:r>
      <w:r w:rsidR="0089731A">
        <w:t xml:space="preserve">of tumour size and nodal status </w:t>
      </w:r>
      <w:r w:rsidR="000912A3">
        <w:t>to calculate</w:t>
      </w:r>
      <w:r w:rsidR="009258D2">
        <w:t xml:space="preserve"> the score</w:t>
      </w:r>
      <w:r w:rsidR="000912A3">
        <w:t xml:space="preserve"> </w:t>
      </w:r>
      <w:r w:rsidR="00C526DD">
        <w:t>in patients who have undergone surgical tumour removal (EPclin Score)</w:t>
      </w:r>
      <w:r w:rsidR="0089731A">
        <w:t xml:space="preserve">. </w:t>
      </w:r>
    </w:p>
    <w:p w14:paraId="41053EDE" w14:textId="4F1B693A" w:rsidR="00023491" w:rsidRDefault="00A8763A" w:rsidP="00BC4EFE">
      <w:proofErr w:type="spellStart"/>
      <w:r>
        <w:t>Beside</w:t>
      </w:r>
      <w:proofErr w:type="spellEnd"/>
      <w:r>
        <w:t xml:space="preserve"> providing the continuous EPclin risk score p</w:t>
      </w:r>
      <w:r w:rsidR="00A932D8">
        <w:t xml:space="preserve">atients with ER+ve, HER2-ve tumours are classified by the prognostic tool as </w:t>
      </w:r>
      <w:r w:rsidR="00A932D8" w:rsidRPr="00A932D8">
        <w:rPr>
          <w:i/>
        </w:rPr>
        <w:t>low</w:t>
      </w:r>
      <w:r w:rsidR="00A932D8">
        <w:t xml:space="preserve"> or </w:t>
      </w:r>
      <w:r w:rsidR="00A932D8" w:rsidRPr="00A932D8">
        <w:rPr>
          <w:i/>
        </w:rPr>
        <w:t>high</w:t>
      </w:r>
      <w:r w:rsidR="00A932D8">
        <w:t xml:space="preserve"> risk of </w:t>
      </w:r>
      <w:r w:rsidR="00A5455E">
        <w:t xml:space="preserve">distant </w:t>
      </w:r>
      <w:r w:rsidR="00A932D8">
        <w:t xml:space="preserve">recurrence or metastases. As there is no </w:t>
      </w:r>
      <w:r w:rsidR="00A932D8" w:rsidRPr="00A932D8">
        <w:rPr>
          <w:i/>
        </w:rPr>
        <w:t>intermediate</w:t>
      </w:r>
      <w:r w:rsidR="00A932D8">
        <w:t xml:space="preserve"> risk classification, the treatment </w:t>
      </w:r>
      <w:r w:rsidR="00A932D8" w:rsidRPr="00A932D8">
        <w:t>decision</w:t>
      </w:r>
      <w:r w:rsidR="00A932D8">
        <w:t xml:space="preserve"> is simplified. </w:t>
      </w:r>
      <w:r w:rsidR="0089731A">
        <w:t xml:space="preserve">The applicant claims </w:t>
      </w:r>
      <w:proofErr w:type="spellStart"/>
      <w:r w:rsidR="00C66262">
        <w:t>EndoPredict</w:t>
      </w:r>
      <w:proofErr w:type="spellEnd"/>
      <w:r w:rsidR="00C66262">
        <w:t>®</w:t>
      </w:r>
      <w:r w:rsidR="0089731A">
        <w:t xml:space="preserve"> is useful in both node negative </w:t>
      </w:r>
      <w:r w:rsidR="00A932D8">
        <w:t xml:space="preserve">and </w:t>
      </w:r>
      <w:r w:rsidR="00A932D8" w:rsidRPr="00A932D8">
        <w:t xml:space="preserve">positive </w:t>
      </w:r>
      <w:r w:rsidR="00A932D8">
        <w:t>patients</w:t>
      </w:r>
      <w:r w:rsidR="00A83F22">
        <w:t xml:space="preserve"> (up to 3 nodes)</w:t>
      </w:r>
      <w:r w:rsidR="00A932D8">
        <w:t>.</w:t>
      </w:r>
      <w:r w:rsidR="001E480C">
        <w:t xml:space="preserve"> It is proposed that more patients will benefit by being classified as low risk and </w:t>
      </w:r>
      <w:r w:rsidR="001E480C" w:rsidRPr="001B74F5">
        <w:rPr>
          <w:i/>
        </w:rPr>
        <w:t>avoiding</w:t>
      </w:r>
      <w:r w:rsidR="001E480C">
        <w:t xml:space="preserve"> chemotherapy, than is currently the case.</w:t>
      </w:r>
    </w:p>
    <w:p w14:paraId="01499F9F" w14:textId="4E36B19D" w:rsidR="00237128" w:rsidRDefault="002A0544" w:rsidP="00BC4EFE">
      <w:r>
        <w:t>For further descriptio</w:t>
      </w:r>
      <w:r w:rsidR="007F6607">
        <w:t>n</w:t>
      </w:r>
      <w:r>
        <w:t xml:space="preserve"> of </w:t>
      </w:r>
      <w:r w:rsidR="007F6607">
        <w:t xml:space="preserve">the </w:t>
      </w:r>
      <w:proofErr w:type="spellStart"/>
      <w:r>
        <w:t>EndoPredict</w:t>
      </w:r>
      <w:proofErr w:type="spellEnd"/>
      <w:r>
        <w:t xml:space="preserve">® </w:t>
      </w:r>
      <w:r w:rsidR="007F6607">
        <w:t xml:space="preserve">tool </w:t>
      </w:r>
      <w:r>
        <w:t xml:space="preserve">and its clinical application refer to the </w:t>
      </w:r>
      <w:r w:rsidR="0092298E">
        <w:t xml:space="preserve">following </w:t>
      </w:r>
      <w:r>
        <w:t>article</w:t>
      </w:r>
      <w:r w:rsidR="00BF2D09">
        <w:t xml:space="preserve">s which describe its </w:t>
      </w:r>
      <w:r w:rsidR="0092298E">
        <w:t xml:space="preserve">design and </w:t>
      </w:r>
      <w:r w:rsidR="00BF2D09">
        <w:t xml:space="preserve">use in </w:t>
      </w:r>
      <w:r w:rsidR="0092298E">
        <w:t xml:space="preserve">a </w:t>
      </w:r>
      <w:r w:rsidR="00BF2D09">
        <w:t>European setting</w:t>
      </w:r>
      <w:r>
        <w:t xml:space="preserve"> </w:t>
      </w:r>
      <w:r w:rsidR="0020041D">
        <w:fldChar w:fldCharType="begin">
          <w:fldData xml:space="preserve">PEVuZE5vdGU+PENpdGU+PEF1dGhvcj5NdWxsZXI8L0F1dGhvcj48WWVhcj4yMDEzPC9ZZWFyPjxS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</w:fldData>
        </w:fldChar>
      </w:r>
      <w:r w:rsidR="0020041D">
        <w:instrText xml:space="preserve"> ADDIN EN.CITE </w:instrText>
      </w:r>
      <w:r w:rsidR="0020041D">
        <w:fldChar w:fldCharType="begin">
          <w:fldData xml:space="preserve">PEVuZE5vdGU+PENpdGU+PEF1dGhvcj5NdWxsZXI8L0F1dGhvcj48WWVhcj4yMDEzPC9ZZWFyPjxS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</w:fldData>
        </w:fldChar>
      </w:r>
      <w:r w:rsidR="0020041D">
        <w:instrText xml:space="preserve"> ADDIN EN.CITE.DATA </w:instrText>
      </w:r>
      <w:r w:rsidR="0020041D">
        <w:fldChar w:fldCharType="end"/>
      </w:r>
      <w:r w:rsidR="0020041D">
        <w:fldChar w:fldCharType="separate"/>
      </w:r>
      <w:r w:rsidR="0020041D">
        <w:rPr>
          <w:noProof/>
        </w:rPr>
        <w:t>(</w:t>
      </w:r>
      <w:hyperlink w:anchor="_ENREF_4" w:tooltip="Brase JC, 2013 #55" w:history="1">
        <w:r w:rsidR="009558F1">
          <w:rPr>
            <w:noProof/>
          </w:rPr>
          <w:t>Brase JC 2013</w:t>
        </w:r>
      </w:hyperlink>
      <w:r w:rsidR="0020041D">
        <w:rPr>
          <w:noProof/>
        </w:rPr>
        <w:t xml:space="preserve">; </w:t>
      </w:r>
      <w:hyperlink w:anchor="_ENREF_13" w:tooltip="Muller, 2013 #32" w:history="1">
        <w:r w:rsidR="009558F1">
          <w:rPr>
            <w:noProof/>
          </w:rPr>
          <w:t>Muller et al. 2013</w:t>
        </w:r>
      </w:hyperlink>
      <w:r w:rsidR="0020041D">
        <w:rPr>
          <w:noProof/>
        </w:rPr>
        <w:t>)</w:t>
      </w:r>
      <w:r w:rsidR="0020041D">
        <w:fldChar w:fldCharType="end"/>
      </w:r>
      <w:r w:rsidR="007F6607">
        <w:t xml:space="preserve">. </w:t>
      </w:r>
    </w:p>
    <w:p w14:paraId="007D497E" w14:textId="77777777" w:rsidR="002C7875" w:rsidRDefault="002C7875" w:rsidP="00BC4EFE"/>
    <w:p w14:paraId="61791920" w14:textId="77777777" w:rsidR="00BC4EFE" w:rsidRPr="00BC4EFE" w:rsidRDefault="00BC4EFE" w:rsidP="00005108">
      <w:pPr>
        <w:pStyle w:val="Heading1"/>
      </w:pPr>
      <w:r w:rsidRPr="00BC4EFE">
        <w:lastRenderedPageBreak/>
        <w:t>Po</w:t>
      </w:r>
      <w:r w:rsidR="00D90D8F">
        <w:t xml:space="preserve">pulation and medical condition </w:t>
      </w:r>
      <w:r w:rsidRPr="00BC4EFE">
        <w:t>eligible for the proposed medical services</w:t>
      </w:r>
    </w:p>
    <w:p w14:paraId="7DC5C85C" w14:textId="0C1164F7" w:rsidR="00BC4EFE" w:rsidRPr="00BE2386" w:rsidRDefault="00E12B34" w:rsidP="00BE2386">
      <w:pPr>
        <w:pStyle w:val="Heading2"/>
        <w:rPr>
          <w:i/>
          <w:sz w:val="24"/>
          <w:szCs w:val="24"/>
        </w:rPr>
      </w:pPr>
      <w:r w:rsidRPr="00BE2386">
        <w:rPr>
          <w:i/>
          <w:sz w:val="24"/>
          <w:szCs w:val="24"/>
        </w:rPr>
        <w:t>D</w:t>
      </w:r>
      <w:r w:rsidR="00BC4EFE" w:rsidRPr="00BE2386">
        <w:rPr>
          <w:i/>
          <w:sz w:val="24"/>
          <w:szCs w:val="24"/>
        </w:rPr>
        <w:t>escri</w:t>
      </w:r>
      <w:r w:rsidRPr="00BE2386">
        <w:rPr>
          <w:i/>
          <w:sz w:val="24"/>
          <w:szCs w:val="24"/>
        </w:rPr>
        <w:t xml:space="preserve">ption of the medical condition </w:t>
      </w:r>
      <w:r w:rsidR="00BC4EFE" w:rsidRPr="00BE2386">
        <w:rPr>
          <w:i/>
          <w:sz w:val="24"/>
          <w:szCs w:val="24"/>
        </w:rPr>
        <w:t>relevant to the</w:t>
      </w:r>
      <w:r w:rsidR="007548BA" w:rsidRPr="00BE2386">
        <w:rPr>
          <w:i/>
          <w:sz w:val="24"/>
          <w:szCs w:val="24"/>
        </w:rPr>
        <w:t xml:space="preserve"> proposed</w:t>
      </w:r>
      <w:r w:rsidR="00BC4EFE" w:rsidRPr="00BE2386">
        <w:rPr>
          <w:i/>
          <w:sz w:val="24"/>
          <w:szCs w:val="24"/>
        </w:rPr>
        <w:t xml:space="preserve"> service.</w:t>
      </w:r>
    </w:p>
    <w:p w14:paraId="27A459F3" w14:textId="2DB9B3B1" w:rsidR="0061028A" w:rsidRDefault="00C363EB" w:rsidP="00DD0352">
      <w:r>
        <w:t>Breast cancer is th</w:t>
      </w:r>
      <w:r w:rsidR="00CB17DF">
        <w:t>e most common cancer type among</w:t>
      </w:r>
      <w:r>
        <w:t xml:space="preserve"> women</w:t>
      </w:r>
      <w:r w:rsidR="00DE6F18">
        <w:t>,</w:t>
      </w:r>
      <w:r w:rsidR="00F751CD">
        <w:t xml:space="preserve"> representing 28% of all reported cancer in females</w:t>
      </w:r>
      <w:r w:rsidR="00A92BDA">
        <w:t xml:space="preserve"> in Australia </w:t>
      </w:r>
      <w:r w:rsidR="00A92BDA">
        <w:fldChar w:fldCharType="begin"/>
      </w:r>
      <w:r w:rsidR="00A92BDA">
        <w:instrText xml:space="preserve"> ADDIN EN.CITE &lt;EndNote&gt;&lt;Cite&gt;&lt;Author&gt;AIHW&lt;/Author&gt;&lt;Year&gt;2012&lt;/Year&gt;&lt;RecNum&gt;41&lt;/RecNum&gt;&lt;DisplayText&gt;(AIHW 2012)&lt;/DisplayText&gt;&lt;record&gt;&lt;rec-number&gt;41&lt;/rec-number&gt;&lt;foreign-keys&gt;&lt;key app="EN" db-id="ttvewf9xnepwp2edxe5xxzfw9et0wp9vf9wd" timestamp="1431496792"&gt;41&lt;/key&gt;&lt;/foreign-keys&gt;&lt;ref-type name="Report"&gt;27&lt;/ref-type&gt;&lt;contributors&gt;&lt;authors&gt;&lt;author&gt;AIHW&lt;/author&gt;&lt;/authors&gt;&lt;/contributors&gt;&lt;titles&gt;&lt;title&gt;Breast cancer in Australia: an overview&lt;/title&gt;&lt;secondary-title&gt;Cancer series no. 71. Cat. no. CAN 67&lt;/secondary-title&gt;&lt;/titles&gt;&lt;dates&gt;&lt;year&gt;2012&lt;/year&gt;&lt;/dates&gt;&lt;pub-location&gt;Canberra&lt;/pub-location&gt;&lt;publisher&gt;AIHW&lt;/publisher&gt;&lt;urls&gt;&lt;related-urls&gt;&lt;url&gt;http://www.aihw.gov.au/publication-detail/?id=10737423008&lt;/url&gt;&lt;/related-urls&gt;&lt;/urls&gt;&lt;/record&gt;&lt;/Cite&gt;&lt;/EndNote&gt;</w:instrText>
      </w:r>
      <w:r w:rsidR="00A92BDA">
        <w:fldChar w:fldCharType="separate"/>
      </w:r>
      <w:r w:rsidR="00A92BDA">
        <w:rPr>
          <w:noProof/>
        </w:rPr>
        <w:t>(</w:t>
      </w:r>
      <w:hyperlink w:anchor="_ENREF_1" w:tooltip="AIHW, 2012 #41" w:history="1">
        <w:r w:rsidR="009558F1">
          <w:rPr>
            <w:noProof/>
          </w:rPr>
          <w:t>AIHW 2012</w:t>
        </w:r>
      </w:hyperlink>
      <w:r w:rsidR="00A92BDA">
        <w:rPr>
          <w:noProof/>
        </w:rPr>
        <w:t>)</w:t>
      </w:r>
      <w:r w:rsidR="00A92BDA">
        <w:fldChar w:fldCharType="end"/>
      </w:r>
      <w:r w:rsidR="00A92BDA">
        <w:t>.</w:t>
      </w:r>
      <w:r>
        <w:t xml:space="preserve"> </w:t>
      </w:r>
      <w:r w:rsidR="004A12F3">
        <w:t xml:space="preserve">The incidence of breast cancer in Australia is increasing, and has risen from 5303 new cases in 1982 to 14181 new cases in 2010 </w:t>
      </w:r>
      <w:r w:rsidR="004A12F3">
        <w:fldChar w:fldCharType="begin"/>
      </w:r>
      <w:r w:rsidR="0020041D">
        <w:instrText xml:space="preserve"> ADDIN EN.CITE &lt;EndNote&gt;&lt;Cite&gt;&lt;Author&gt;Cancer Australia&lt;/Author&gt;&lt;RecNum&gt;40&lt;/RecNum&gt;&lt;DisplayText&gt;(Cancer Australia 2015)&lt;/DisplayText&gt;&lt;record&gt;&lt;rec-number&gt;40&lt;/rec-number&gt;&lt;foreign-keys&gt;&lt;key app="EN" db-id="ttvewf9xnepwp2edxe5xxzfw9et0wp9vf9wd" timestamp="1431494869"&gt;40&lt;/key&gt;&lt;/foreign-keys&gt;&lt;ref-type name="Online Database"&gt;45&lt;/ref-type&gt;&lt;contributors&gt;&lt;authors&gt;&lt;author&gt;Cancer Australia, &lt;/author&gt;&lt;/authors&gt;&lt;/contributors&gt;&lt;titles&gt;&lt;title&gt;Breast cancer statistics&lt;/title&gt;&lt;/titles&gt;&lt;dates&gt;&lt;year&gt;2015&lt;/year&gt;&lt;pub-dates&gt;&lt;date&gt;13/05/2015&lt;/date&gt;&lt;/pub-dates&gt;&lt;/dates&gt;&lt;publisher&gt;Australian Government&lt;/publisher&gt;&lt;urls&gt;&lt;related-urls&gt;&lt;url&gt;http://canceraustralia.gov.au/affected-cancer/cancer-types/breast-cancer/breast-cancer-statistics&lt;/url&gt;&lt;/related-urls&gt;&lt;/urls&gt;&lt;remote-database-provider&gt;Australian Government&lt;/remote-database-provider&gt;&lt;/record&gt;&lt;/Cite&gt;&lt;/EndNote&gt;</w:instrText>
      </w:r>
      <w:r w:rsidR="004A12F3">
        <w:fldChar w:fldCharType="separate"/>
      </w:r>
      <w:r w:rsidR="0020041D">
        <w:rPr>
          <w:noProof/>
        </w:rPr>
        <w:t>(</w:t>
      </w:r>
      <w:hyperlink w:anchor="_ENREF_5" w:tooltip="Cancer Australia, 2015 #40" w:history="1">
        <w:r w:rsidR="009558F1">
          <w:rPr>
            <w:noProof/>
          </w:rPr>
          <w:t>Cancer Australia 2015</w:t>
        </w:r>
      </w:hyperlink>
      <w:r w:rsidR="0020041D">
        <w:rPr>
          <w:noProof/>
        </w:rPr>
        <w:t>)</w:t>
      </w:r>
      <w:r w:rsidR="004A12F3">
        <w:fldChar w:fldCharType="end"/>
      </w:r>
      <w:r w:rsidR="004A12F3">
        <w:t xml:space="preserve">. </w:t>
      </w:r>
      <w:r w:rsidR="00A92BDA">
        <w:t>T</w:t>
      </w:r>
      <w:r w:rsidR="00A92BDA" w:rsidRPr="00A92BDA">
        <w:t xml:space="preserve">here are multiple </w:t>
      </w:r>
      <w:r w:rsidR="00CB17DF">
        <w:t>classifications</w:t>
      </w:r>
      <w:r w:rsidR="00A92BDA">
        <w:t xml:space="preserve"> of breast cancer</w:t>
      </w:r>
      <w:r w:rsidR="00A92BDA" w:rsidRPr="00A92BDA">
        <w:t xml:space="preserve">. </w:t>
      </w:r>
      <w:r w:rsidR="006B6D8E">
        <w:t xml:space="preserve">The most important primary tumour markers in terms of prognosis and metastatic disease are now considered to be the </w:t>
      </w:r>
      <w:r w:rsidR="006B6D8E" w:rsidRPr="006B6D8E">
        <w:t xml:space="preserve">epidermal growth factor gene (HER2) and hormone receptor genes (ER and </w:t>
      </w:r>
      <w:proofErr w:type="spellStart"/>
      <w:r w:rsidR="006B6D8E" w:rsidRPr="006B6D8E">
        <w:t>P</w:t>
      </w:r>
      <w:r w:rsidR="000C00CF">
        <w:t>g</w:t>
      </w:r>
      <w:r w:rsidR="006B6D8E" w:rsidRPr="006B6D8E">
        <w:t>R</w:t>
      </w:r>
      <w:proofErr w:type="spellEnd"/>
      <w:r w:rsidR="006B6D8E" w:rsidRPr="006B6D8E">
        <w:t>)</w:t>
      </w:r>
      <w:r w:rsidR="005B0814">
        <w:t xml:space="preserve"> </w:t>
      </w:r>
      <w:r w:rsidR="005B0814">
        <w:fldChar w:fldCharType="begin">
          <w:fldData xml:space="preserve">PEVuZE5vdGU+PENpdGU+PEF1dGhvcj5Db2F0ZXM8L0F1dGhvcj48WWVhcj4yMDE1PC9ZZWFyPjxS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</w:fldData>
        </w:fldChar>
      </w:r>
      <w:r w:rsidR="00540D92">
        <w:instrText xml:space="preserve"> ADDIN EN.CITE </w:instrText>
      </w:r>
      <w:r w:rsidR="00540D92">
        <w:fldChar w:fldCharType="begin">
          <w:fldData xml:space="preserve">PEVuZE5vdGU+PENpdGU+PEF1dGhvcj5Db2F0ZXM8L0F1dGhvcj48WWVhcj4yMDE1PC9ZZWFyPjxS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</w:fldData>
        </w:fldChar>
      </w:r>
      <w:r w:rsidR="00540D92">
        <w:instrText xml:space="preserve"> ADDIN EN.CITE.DATA </w:instrText>
      </w:r>
      <w:r w:rsidR="00540D92">
        <w:fldChar w:fldCharType="end"/>
      </w:r>
      <w:r w:rsidR="005B0814">
        <w:fldChar w:fldCharType="separate"/>
      </w:r>
      <w:r w:rsidR="00540D92">
        <w:rPr>
          <w:noProof/>
        </w:rPr>
        <w:t>(</w:t>
      </w:r>
      <w:hyperlink w:anchor="_ENREF_6" w:tooltip="Coates, 2015 #11" w:history="1">
        <w:r w:rsidR="009558F1">
          <w:rPr>
            <w:noProof/>
          </w:rPr>
          <w:t>Coates et al. 2015</w:t>
        </w:r>
      </w:hyperlink>
      <w:r w:rsidR="00540D92">
        <w:rPr>
          <w:noProof/>
        </w:rPr>
        <w:t xml:space="preserve">; </w:t>
      </w:r>
      <w:hyperlink w:anchor="_ENREF_18" w:tooltip="Rossi, 2015 #15" w:history="1">
        <w:r w:rsidR="009558F1">
          <w:rPr>
            <w:noProof/>
          </w:rPr>
          <w:t>Rossi et al. 2015</w:t>
        </w:r>
      </w:hyperlink>
      <w:r w:rsidR="00540D92">
        <w:rPr>
          <w:noProof/>
        </w:rPr>
        <w:t>)</w:t>
      </w:r>
      <w:r w:rsidR="005B0814">
        <w:fldChar w:fldCharType="end"/>
      </w:r>
      <w:r w:rsidR="006B6D8E">
        <w:t xml:space="preserve">. </w:t>
      </w:r>
      <w:r w:rsidR="00463260">
        <w:t xml:space="preserve">These markers categorise disease into four basic </w:t>
      </w:r>
      <w:r w:rsidR="00CB05AF">
        <w:t xml:space="preserve">groups </w:t>
      </w:r>
      <w:r w:rsidR="00463260">
        <w:t xml:space="preserve">through </w:t>
      </w:r>
      <w:r w:rsidR="00DB120D">
        <w:t xml:space="preserve">in </w:t>
      </w:r>
      <w:r w:rsidR="00CB05AF">
        <w:t xml:space="preserve">situ hybridisation (ISH) and </w:t>
      </w:r>
      <w:r w:rsidR="004A12F3">
        <w:t xml:space="preserve">IHC </w:t>
      </w:r>
      <w:r w:rsidR="00CF3762">
        <w:t>definition</w:t>
      </w:r>
      <w:r w:rsidR="00463260">
        <w:t xml:space="preserve">, </w:t>
      </w:r>
      <w:r w:rsidR="00CF3762">
        <w:t xml:space="preserve">and </w:t>
      </w:r>
      <w:r w:rsidR="00463260">
        <w:t xml:space="preserve">are described in </w:t>
      </w:r>
      <w:r w:rsidR="00582C30">
        <w:t xml:space="preserve">an American </w:t>
      </w:r>
      <w:r w:rsidR="00DE6029">
        <w:t xml:space="preserve">retrospective </w:t>
      </w:r>
      <w:r w:rsidR="00582C30">
        <w:t xml:space="preserve">study </w:t>
      </w:r>
      <w:r w:rsidR="00D46C80">
        <w:t xml:space="preserve">by </w:t>
      </w:r>
      <w:proofErr w:type="spellStart"/>
      <w:r w:rsidR="00D46C80">
        <w:t>Onitilo</w:t>
      </w:r>
      <w:proofErr w:type="spellEnd"/>
      <w:r w:rsidR="00D46C80">
        <w:t xml:space="preserve"> et al (2009)</w:t>
      </w:r>
      <w:r w:rsidR="001E370D">
        <w:t xml:space="preserve"> </w:t>
      </w:r>
      <w:r w:rsidR="00DE6029">
        <w:t xml:space="preserve">of 1134 invasive breast cancer patients </w:t>
      </w:r>
      <w:r w:rsidR="001E370D">
        <w:fldChar w:fldCharType="begin"/>
      </w:r>
      <w:r w:rsidR="00540D92">
        <w:instrText xml:space="preserve"> ADDIN EN.CITE &lt;EndNote&gt;&lt;Cite&gt;&lt;Author&gt;Onitilo&lt;/Author&gt;&lt;Year&gt;2009&lt;/Year&gt;&lt;RecNum&gt;37&lt;/RecNum&gt;&lt;IDText&gt;4-13&lt;/IDText&gt;&lt;DisplayText&gt;(Onitilo et al. 2009)&lt;/DisplayText&gt;&lt;record&gt;&lt;rec-number&gt;37&lt;/rec-number&gt;&lt;foreign-keys&gt;&lt;key app="EN" db-id="ttvewf9xnepwp2edxe5xxzfw9et0wp9vf9wd" timestamp="1431313082"&gt;37&lt;/key&gt;&lt;/foreign-keys&gt;&lt;ref-type name="Journal Article"&gt;17&lt;/ref-type&gt;&lt;contributors&gt;&lt;authors&gt;&lt;author&gt;Onitilo, Adedayo A.&lt;/author&gt;&lt;author&gt;Engel, Jessica M.&lt;/author&gt;&lt;author&gt;Greenlee, Robert T.&lt;/author&gt;&lt;author&gt;Mukesh, Bickol N.&lt;/author&gt;&lt;/authors&gt;&lt;/contributors&gt;&lt;titles&gt;&lt;title&gt;Breast Cancer Subtypes Based on ER/PR and Her2 Expression: Comparison of Clinicopathologic Features and Survival&lt;/title&gt;&lt;secondary-title&gt;Clinical Medicine &amp;amp; Research&lt;/secondary-title&gt;&lt;/titles&gt;&lt;periodical&gt;&lt;full-title&gt;Clinical Medicine &amp;amp; Research&lt;/full-title&gt;&lt;/periodical&gt;&lt;pages&gt;4-13&lt;/pages&gt;&lt;volume&gt;7&lt;/volume&gt;&lt;number&gt;1-2&lt;/number&gt;&lt;dates&gt;&lt;year&gt;2009&lt;/year&gt;&lt;pub-dates&gt;&lt;date&gt;June 1, 2009&lt;/date&gt;&lt;/pub-dates&gt;&lt;/dates&gt;&lt;urls&gt;&lt;related-urls&gt;&lt;url&gt;http://www.clinmedres.org/content/7/1-2/4.abstract&lt;/url&gt;&lt;url&gt;http://www.clinmedres.org/content/7/1-2/4.full.pdf&lt;/url&gt;&lt;/related-urls&gt;&lt;/urls&gt;&lt;electronic-resource-num&gt;10.3121/cmr.2008.825&lt;/electronic-resource-num&gt;&lt;/record&gt;&lt;/Cite&gt;&lt;/EndNote&gt;</w:instrText>
      </w:r>
      <w:r w:rsidR="001E370D">
        <w:fldChar w:fldCharType="separate"/>
      </w:r>
      <w:r w:rsidR="00540D92">
        <w:rPr>
          <w:noProof/>
        </w:rPr>
        <w:t>(</w:t>
      </w:r>
      <w:hyperlink w:anchor="_ENREF_17" w:tooltip="Onitilo, 2009 #37" w:history="1">
        <w:r w:rsidR="009558F1">
          <w:rPr>
            <w:noProof/>
          </w:rPr>
          <w:t>Onitilo et al. 2009</w:t>
        </w:r>
      </w:hyperlink>
      <w:r w:rsidR="00540D92">
        <w:rPr>
          <w:noProof/>
        </w:rPr>
        <w:t>)</w:t>
      </w:r>
      <w:r w:rsidR="001E370D">
        <w:fldChar w:fldCharType="end"/>
      </w:r>
      <w:r w:rsidR="00D46C80">
        <w:t xml:space="preserve">. The categories and survival rates </w:t>
      </w:r>
      <w:r w:rsidR="00DE6029">
        <w:t xml:space="preserve">published by the study </w:t>
      </w:r>
      <w:r w:rsidR="00D46C80">
        <w:t xml:space="preserve">are shown in </w:t>
      </w:r>
      <w:r w:rsidR="00D46C80">
        <w:fldChar w:fldCharType="begin"/>
      </w:r>
      <w:r w:rsidR="00D46C80">
        <w:instrText xml:space="preserve"> REF _Ref419111608 \h </w:instrText>
      </w:r>
      <w:r w:rsidR="00A83F22">
        <w:instrText xml:space="preserve"> \* MERGEFORMAT </w:instrText>
      </w:r>
      <w:r w:rsidR="00D46C80">
        <w:fldChar w:fldCharType="separate"/>
      </w:r>
      <w:r w:rsidR="00126DA6" w:rsidRPr="00126DA6">
        <w:t>Table 1</w:t>
      </w:r>
      <w:r w:rsidR="00D46C80">
        <w:fldChar w:fldCharType="end"/>
      </w:r>
      <w:r w:rsidR="00D46C80">
        <w:t xml:space="preserve">. </w:t>
      </w:r>
      <w:r w:rsidR="0069076C">
        <w:t xml:space="preserve">The population for </w:t>
      </w:r>
      <w:r w:rsidR="0047251D">
        <w:t xml:space="preserve">the study </w:t>
      </w:r>
      <w:r w:rsidR="0069076C">
        <w:t>include</w:t>
      </w:r>
      <w:r w:rsidR="0047251D">
        <w:t>d</w:t>
      </w:r>
      <w:r w:rsidR="0069076C">
        <w:t xml:space="preserve"> patients with primary breast tumours</w:t>
      </w:r>
      <w:r w:rsidR="006E4D67">
        <w:t xml:space="preserve"> (stage</w:t>
      </w:r>
      <w:r w:rsidR="002205B0">
        <w:t>s</w:t>
      </w:r>
      <w:r w:rsidR="006E4D67">
        <w:t xml:space="preserve"> 1-111)</w:t>
      </w:r>
      <w:r w:rsidR="00E20CF8">
        <w:t xml:space="preserve"> categorised as ER</w:t>
      </w:r>
      <w:r w:rsidR="006E4D67">
        <w:t>+ve, HER2-ve as determined by IHC</w:t>
      </w:r>
      <w:r w:rsidR="00E20CF8">
        <w:t xml:space="preserve"> (highlighted in green in Table 1)</w:t>
      </w:r>
      <w:r w:rsidR="006E4D67">
        <w:t>.</w:t>
      </w:r>
      <w:r w:rsidR="00CF5FDB">
        <w:t xml:space="preserve"> This is the largest category, making up 65-70% of all breast cancer according to published evidence </w:t>
      </w:r>
      <w:r w:rsidR="00CF5FDB">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instrText xml:space="preserve"> ADDIN EN.CITE </w:instrText>
      </w:r>
      <w:r w:rsidR="00540D92">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instrText xml:space="preserve"> ADDIN EN.CITE.DATA </w:instrText>
      </w:r>
      <w:r w:rsidR="00540D92">
        <w:fldChar w:fldCharType="end"/>
      </w:r>
      <w:r w:rsidR="00CF5FDB">
        <w:fldChar w:fldCharType="separate"/>
      </w:r>
      <w:r w:rsidR="00540D92">
        <w:rPr>
          <w:noProof/>
        </w:rPr>
        <w:t>(</w:t>
      </w:r>
      <w:hyperlink w:anchor="_ENREF_19" w:tooltip="Voduc, 2010 #42" w:history="1">
        <w:r w:rsidR="009558F1">
          <w:rPr>
            <w:noProof/>
          </w:rPr>
          <w:t>Voduc et al. 2010</w:t>
        </w:r>
      </w:hyperlink>
      <w:r w:rsidR="00540D92">
        <w:rPr>
          <w:noProof/>
        </w:rPr>
        <w:t xml:space="preserve">; </w:t>
      </w:r>
      <w:hyperlink w:anchor="_ENREF_20" w:tooltip="Wang-Lopez, 2015 #14" w:history="1">
        <w:r w:rsidR="009558F1">
          <w:rPr>
            <w:noProof/>
          </w:rPr>
          <w:t>Wang-Lopez et al. 2015</w:t>
        </w:r>
      </w:hyperlink>
      <w:r w:rsidR="00540D92">
        <w:rPr>
          <w:noProof/>
        </w:rPr>
        <w:t>)</w:t>
      </w:r>
      <w:r w:rsidR="00CF5FDB">
        <w:fldChar w:fldCharType="end"/>
      </w:r>
      <w:r w:rsidR="001B1BE8">
        <w:t>.</w:t>
      </w:r>
      <w:r w:rsidR="009A6324">
        <w:t xml:space="preserve"> </w:t>
      </w:r>
    </w:p>
    <w:p w14:paraId="671B81BD" w14:textId="5EFFE36B" w:rsidR="00C363EB" w:rsidRDefault="0061028A" w:rsidP="00BC4EFE">
      <w:r>
        <w:t xml:space="preserve">Another way of defining breast cancer is by classification of the level of Ki67 </w:t>
      </w:r>
      <w:r w:rsidR="00FB5FF0">
        <w:t xml:space="preserve">gene </w:t>
      </w:r>
      <w:r>
        <w:t>expression. Luminal cell tumours which express low levels of Ki67 are called luminal A type and tend not to be responsive to chemotherapy. Those expressing high levels of Ki67 are called luminal B type tumours</w:t>
      </w:r>
      <w:r w:rsidR="00775AE4">
        <w:t xml:space="preserve"> </w:t>
      </w:r>
      <w:r w:rsidR="0020041D">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20041D">
        <w:instrText xml:space="preserve"> ADDIN EN.CITE </w:instrText>
      </w:r>
      <w:r w:rsidR="0020041D">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20041D">
        <w:instrText xml:space="preserve"> ADDIN EN.CITE.DATA </w:instrText>
      </w:r>
      <w:r w:rsidR="0020041D">
        <w:fldChar w:fldCharType="end"/>
      </w:r>
      <w:r w:rsidR="0020041D">
        <w:fldChar w:fldCharType="separate"/>
      </w:r>
      <w:r w:rsidR="0020041D">
        <w:rPr>
          <w:noProof/>
        </w:rPr>
        <w:t>(</w:t>
      </w:r>
      <w:hyperlink w:anchor="_ENREF_6" w:tooltip="Coates, 2015 #11" w:history="1">
        <w:r w:rsidR="009558F1">
          <w:rPr>
            <w:noProof/>
          </w:rPr>
          <w:t>Coates et al. 2015</w:t>
        </w:r>
      </w:hyperlink>
      <w:r w:rsidR="0020041D">
        <w:rPr>
          <w:noProof/>
        </w:rPr>
        <w:t>)</w:t>
      </w:r>
      <w:r w:rsidR="0020041D">
        <w:fldChar w:fldCharType="end"/>
      </w:r>
      <w:r>
        <w:t xml:space="preserve">. </w:t>
      </w:r>
      <w:r w:rsidR="00B80F72">
        <w:t xml:space="preserve"> </w:t>
      </w:r>
      <w:r w:rsidR="00775AE4">
        <w:t>T</w:t>
      </w:r>
      <w:r w:rsidR="00B80F72">
        <w:t>here is some overlap of HER</w:t>
      </w:r>
      <w:r>
        <w:t>2</w:t>
      </w:r>
      <w:r w:rsidR="00B80F72">
        <w:t>+ve and -</w:t>
      </w:r>
      <w:proofErr w:type="spellStart"/>
      <w:r w:rsidR="00B80F72">
        <w:t>ve</w:t>
      </w:r>
      <w:proofErr w:type="spellEnd"/>
      <w:r w:rsidR="00B80F72">
        <w:t xml:space="preserve"> expression between luminal A and B groups.</w:t>
      </w:r>
      <w:r>
        <w:t xml:space="preserve"> While most Luminal A type cancers will be HER2-ve, some will be HER2+ve. Some HER2-ve patients may fall into the luminal B type cancer group. For the proposed </w:t>
      </w:r>
      <w:r w:rsidR="00775AE4">
        <w:t xml:space="preserve">new </w:t>
      </w:r>
      <w:r>
        <w:t>service, only HER2-ve tumours will be eligible</w:t>
      </w:r>
      <w:r w:rsidR="00A5455E">
        <w:t xml:space="preserve"> </w:t>
      </w:r>
      <w:r w:rsidR="001B74F5">
        <w:t>(either luminal A or B type)</w:t>
      </w:r>
      <w:r>
        <w:t xml:space="preserve">. </w:t>
      </w:r>
    </w:p>
    <w:p w14:paraId="254D0DEC" w14:textId="1F84A694" w:rsidR="006B6D8E" w:rsidRPr="00241102" w:rsidRDefault="00D46C80" w:rsidP="00241102">
      <w:pPr>
        <w:pStyle w:val="Tableheading"/>
      </w:pPr>
      <w:bookmarkStart w:id="1" w:name="_Ref419111608"/>
      <w:r w:rsidRPr="00241102">
        <w:rPr>
          <w:rStyle w:val="TableheadingChar"/>
          <w:b/>
        </w:rPr>
        <w:t xml:space="preserve">Table </w:t>
      </w:r>
      <w:r w:rsidRPr="00241102">
        <w:rPr>
          <w:rStyle w:val="TableheadingChar"/>
          <w:b/>
        </w:rPr>
        <w:fldChar w:fldCharType="begin"/>
      </w:r>
      <w:r w:rsidRPr="00241102">
        <w:rPr>
          <w:rStyle w:val="TableheadingChar"/>
          <w:b/>
        </w:rPr>
        <w:instrText xml:space="preserve"> SEQ Table \* ARABIC </w:instrText>
      </w:r>
      <w:r w:rsidRPr="00241102">
        <w:rPr>
          <w:rStyle w:val="TableheadingChar"/>
          <w:b/>
        </w:rPr>
        <w:fldChar w:fldCharType="separate"/>
      </w:r>
      <w:r w:rsidR="00126DA6">
        <w:rPr>
          <w:rStyle w:val="TableheadingChar"/>
          <w:b/>
          <w:noProof/>
        </w:rPr>
        <w:t>1</w:t>
      </w:r>
      <w:r w:rsidRPr="00241102">
        <w:rPr>
          <w:rStyle w:val="TableheadingChar"/>
          <w:b/>
        </w:rPr>
        <w:fldChar w:fldCharType="end"/>
      </w:r>
      <w:bookmarkEnd w:id="1"/>
      <w:r w:rsidRPr="00241102">
        <w:rPr>
          <w:rStyle w:val="TableheadingChar"/>
          <w:b/>
        </w:rPr>
        <w:tab/>
        <w:t>Five-year overall and disease-free survival by tumour subtype, ER/</w:t>
      </w:r>
      <w:proofErr w:type="spellStart"/>
      <w:r w:rsidRPr="00241102">
        <w:rPr>
          <w:rStyle w:val="TableheadingChar"/>
          <w:b/>
        </w:rPr>
        <w:t>PgR</w:t>
      </w:r>
      <w:proofErr w:type="spellEnd"/>
      <w:r w:rsidRPr="00241102">
        <w:rPr>
          <w:rStyle w:val="TableheadingChar"/>
          <w:b/>
        </w:rPr>
        <w:t xml:space="preserve"> and HER2 status</w:t>
      </w:r>
      <w:r w:rsidR="001E370D" w:rsidRPr="00241102">
        <w:rPr>
          <w:rStyle w:val="TableheadingChar"/>
          <w:b/>
        </w:rPr>
        <w:t xml:space="preserve"> </w:t>
      </w:r>
      <w:r w:rsidR="00DE6029" w:rsidRPr="00241102">
        <w:rPr>
          <w:rStyle w:val="TableheadingChar"/>
          <w:b/>
        </w:rPr>
        <w:t>for US breast</w:t>
      </w:r>
      <w:r w:rsidR="00DE6029" w:rsidRPr="00241102">
        <w:t xml:space="preserve"> cancer patients </w:t>
      </w:r>
      <w:r w:rsidR="001E370D" w:rsidRPr="00241102">
        <w:fldChar w:fldCharType="begin"/>
      </w:r>
      <w:r w:rsidR="00540D92">
        <w:instrText xml:space="preserve"> ADDIN EN.CITE &lt;EndNote&gt;&lt;Cite&gt;&lt;Author&gt;Onitilo&lt;/Author&gt;&lt;Year&gt;2009&lt;/Year&gt;&lt;RecNum&gt;37&lt;/RecNum&gt;&lt;IDText&gt;4-13&lt;/IDText&gt;&lt;DisplayText&gt;(Onitilo et al. 2009)&lt;/DisplayText&gt;&lt;record&gt;&lt;rec-number&gt;37&lt;/rec-number&gt;&lt;foreign-keys&gt;&lt;key app="EN" db-id="ttvewf9xnepwp2edxe5xxzfw9et0wp9vf9wd" timestamp="1431313082"&gt;37&lt;/key&gt;&lt;/foreign-keys&gt;&lt;ref-type name="Journal Article"&gt;17&lt;/ref-type&gt;&lt;contributors&gt;&lt;authors&gt;&lt;author&gt;Onitilo, Adedayo A.&lt;/author&gt;&lt;author&gt;Engel, Jessica M.&lt;/author&gt;&lt;author&gt;Greenlee, Robert T.&lt;/author&gt;&lt;author&gt;Mukesh, Bickol N.&lt;/author&gt;&lt;/authors&gt;&lt;/contributors&gt;&lt;titles&gt;&lt;title&gt;Breast Cancer Subtypes Based on ER/PR and Her2 Expression: Comparison of Clinicopathologic Features and Survival&lt;/title&gt;&lt;secondary-title&gt;Clinical Medicine &amp;amp; Research&lt;/secondary-title&gt;&lt;/titles&gt;&lt;periodical&gt;&lt;full-title&gt;Clinical Medicine &amp;amp; Research&lt;/full-title&gt;&lt;/periodical&gt;&lt;pages&gt;4-13&lt;/pages&gt;&lt;volume&gt;7&lt;/volume&gt;&lt;number&gt;1-2&lt;/number&gt;&lt;dates&gt;&lt;year&gt;2009&lt;/year&gt;&lt;pub-dates&gt;&lt;date&gt;June 1, 2009&lt;/date&gt;&lt;/pub-dates&gt;&lt;/dates&gt;&lt;urls&gt;&lt;related-urls&gt;&lt;url&gt;http://www.clinmedres.org/content/7/1-2/4.abstract&lt;/url&gt;&lt;url&gt;http://www.clinmedres.org/content/7/1-2/4.full.pdf&lt;/url&gt;&lt;/related-urls&gt;&lt;/urls&gt;&lt;electronic-resource-num&gt;10.3121/cmr.2008.825&lt;/electronic-resource-num&gt;&lt;/record&gt;&lt;/Cite&gt;&lt;/EndNote&gt;</w:instrText>
      </w:r>
      <w:r w:rsidR="001E370D" w:rsidRPr="00241102">
        <w:fldChar w:fldCharType="separate"/>
      </w:r>
      <w:r w:rsidR="00540D92">
        <w:rPr>
          <w:noProof/>
        </w:rPr>
        <w:t>(</w:t>
      </w:r>
      <w:hyperlink w:anchor="_ENREF_17" w:tooltip="Onitilo, 2009 #37" w:history="1">
        <w:r w:rsidR="009558F1">
          <w:rPr>
            <w:noProof/>
          </w:rPr>
          <w:t>Onitilo et al. 2009</w:t>
        </w:r>
      </w:hyperlink>
      <w:r w:rsidR="00540D92">
        <w:rPr>
          <w:noProof/>
        </w:rPr>
        <w:t>)</w:t>
      </w:r>
      <w:r w:rsidR="001E370D" w:rsidRPr="00241102">
        <w:fldChar w:fldCharType="end"/>
      </w:r>
      <w:r w:rsidRPr="00241102">
        <w:t xml:space="preserve"> </w:t>
      </w:r>
    </w:p>
    <w:tbl>
      <w:tblPr>
        <w:tblStyle w:val="TableGrid"/>
        <w:tblW w:w="0" w:type="auto"/>
        <w:tblLook w:val="04A0" w:firstRow="1" w:lastRow="0" w:firstColumn="1" w:lastColumn="0" w:noHBand="0" w:noVBand="1"/>
        <w:tblDescription w:val="Table 1: Five-year overall and disease-free survival by tumour subtype, ER/PgR and HER2 status for US breast cancer patients (Onitilo et al. 2009) "/>
      </w:tblPr>
      <w:tblGrid>
        <w:gridCol w:w="2518"/>
        <w:gridCol w:w="2552"/>
        <w:gridCol w:w="2409"/>
      </w:tblGrid>
      <w:tr w:rsidR="001B27ED" w:rsidRPr="00454702" w14:paraId="0A1D32F9" w14:textId="77777777" w:rsidTr="00CE6281">
        <w:trPr>
          <w:tblHeader/>
        </w:trPr>
        <w:tc>
          <w:tcPr>
            <w:tcW w:w="2518" w:type="dxa"/>
          </w:tcPr>
          <w:p w14:paraId="181BDD8B" w14:textId="77777777" w:rsidR="001B27ED" w:rsidRPr="00540D92" w:rsidRDefault="00006C67" w:rsidP="00540D92">
            <w:pPr>
              <w:spacing w:before="40" w:after="40"/>
              <w:rPr>
                <w:rFonts w:ascii="Arial Narrow" w:hAnsi="Arial Narrow"/>
                <w:b/>
                <w:sz w:val="20"/>
              </w:rPr>
            </w:pPr>
            <w:r w:rsidRPr="00540D92">
              <w:rPr>
                <w:rFonts w:ascii="Arial Narrow" w:hAnsi="Arial Narrow"/>
                <w:b/>
                <w:sz w:val="20"/>
              </w:rPr>
              <w:t>Subtype</w:t>
            </w:r>
          </w:p>
        </w:tc>
        <w:tc>
          <w:tcPr>
            <w:tcW w:w="2552" w:type="dxa"/>
          </w:tcPr>
          <w:p w14:paraId="000EE9ED" w14:textId="77777777" w:rsidR="001B27ED" w:rsidRPr="00540D92" w:rsidRDefault="001B27ED" w:rsidP="00540D92">
            <w:pPr>
              <w:spacing w:before="40" w:after="40"/>
              <w:rPr>
                <w:rFonts w:ascii="Arial Narrow" w:hAnsi="Arial Narrow"/>
                <w:b/>
                <w:sz w:val="20"/>
              </w:rPr>
            </w:pPr>
            <w:r w:rsidRPr="00540D92">
              <w:rPr>
                <w:rFonts w:ascii="Arial Narrow" w:hAnsi="Arial Narrow"/>
                <w:b/>
                <w:sz w:val="20"/>
              </w:rPr>
              <w:t>Overall survival, % (95% CI)</w:t>
            </w:r>
          </w:p>
        </w:tc>
        <w:tc>
          <w:tcPr>
            <w:tcW w:w="2409" w:type="dxa"/>
          </w:tcPr>
          <w:p w14:paraId="5730E710" w14:textId="77777777" w:rsidR="001B27ED" w:rsidRPr="00540D92" w:rsidRDefault="001B27ED" w:rsidP="00540D92">
            <w:pPr>
              <w:spacing w:before="40" w:after="40"/>
              <w:rPr>
                <w:rFonts w:ascii="Arial Narrow" w:hAnsi="Arial Narrow"/>
                <w:b/>
                <w:sz w:val="20"/>
              </w:rPr>
            </w:pPr>
            <w:r w:rsidRPr="00540D92">
              <w:rPr>
                <w:rFonts w:ascii="Arial Narrow" w:hAnsi="Arial Narrow"/>
                <w:b/>
                <w:sz w:val="20"/>
              </w:rPr>
              <w:t>Disease-free survival</w:t>
            </w:r>
          </w:p>
        </w:tc>
      </w:tr>
      <w:tr w:rsidR="001B27ED" w:rsidRPr="00454702" w14:paraId="26ABB8E7" w14:textId="77777777" w:rsidTr="00CE6281">
        <w:tc>
          <w:tcPr>
            <w:tcW w:w="2518" w:type="dxa"/>
          </w:tcPr>
          <w:p w14:paraId="1D3939A0" w14:textId="77777777" w:rsidR="001B27ED" w:rsidRPr="00540D92" w:rsidRDefault="001B27ED" w:rsidP="00540D92">
            <w:pPr>
              <w:spacing w:before="40" w:after="40"/>
              <w:rPr>
                <w:rFonts w:ascii="Arial Narrow" w:hAnsi="Arial Narrow"/>
                <w:sz w:val="20"/>
                <w:highlight w:val="green"/>
              </w:rPr>
            </w:pPr>
            <w:r w:rsidRPr="00540D92">
              <w:rPr>
                <w:rFonts w:ascii="Arial Narrow" w:hAnsi="Arial Narrow"/>
                <w:sz w:val="20"/>
                <w:highlight w:val="green"/>
              </w:rPr>
              <w:t>ER/</w:t>
            </w:r>
            <w:proofErr w:type="spellStart"/>
            <w:r w:rsidRPr="00540D92">
              <w:rPr>
                <w:rFonts w:ascii="Arial Narrow" w:hAnsi="Arial Narrow"/>
                <w:sz w:val="20"/>
                <w:highlight w:val="green"/>
              </w:rPr>
              <w:t>PgR</w:t>
            </w:r>
            <w:proofErr w:type="spellEnd"/>
            <w:r w:rsidRPr="00540D92">
              <w:rPr>
                <w:rFonts w:ascii="Arial Narrow" w:hAnsi="Arial Narrow"/>
                <w:sz w:val="20"/>
                <w:highlight w:val="green"/>
              </w:rPr>
              <w:t>+, HER2- (luminal A)</w:t>
            </w:r>
            <w:r w:rsidR="009727DD" w:rsidRPr="00540D92">
              <w:rPr>
                <w:rFonts w:ascii="Arial Narrow" w:hAnsi="Arial Narrow"/>
                <w:sz w:val="20"/>
                <w:highlight w:val="green"/>
              </w:rPr>
              <w:t>*</w:t>
            </w:r>
          </w:p>
        </w:tc>
        <w:tc>
          <w:tcPr>
            <w:tcW w:w="2552" w:type="dxa"/>
          </w:tcPr>
          <w:p w14:paraId="37646752" w14:textId="77777777" w:rsidR="001B27ED" w:rsidRPr="00540D92" w:rsidRDefault="001B27ED" w:rsidP="00540D92">
            <w:pPr>
              <w:spacing w:before="40" w:after="40"/>
              <w:rPr>
                <w:rFonts w:ascii="Arial Narrow" w:hAnsi="Arial Narrow"/>
                <w:sz w:val="20"/>
                <w:highlight w:val="green"/>
              </w:rPr>
            </w:pPr>
            <w:r w:rsidRPr="00540D92">
              <w:rPr>
                <w:rFonts w:ascii="Arial Narrow" w:hAnsi="Arial Narrow"/>
                <w:sz w:val="20"/>
                <w:highlight w:val="green"/>
              </w:rPr>
              <w:t>90.3% (87.6</w:t>
            </w:r>
            <w:r w:rsidR="003F4412" w:rsidRPr="00540D92">
              <w:rPr>
                <w:rFonts w:ascii="Arial Narrow" w:hAnsi="Arial Narrow"/>
                <w:sz w:val="20"/>
                <w:highlight w:val="green"/>
              </w:rPr>
              <w:t xml:space="preserve">, </w:t>
            </w:r>
            <w:r w:rsidRPr="00540D92">
              <w:rPr>
                <w:rFonts w:ascii="Arial Narrow" w:hAnsi="Arial Narrow"/>
                <w:sz w:val="20"/>
                <w:highlight w:val="green"/>
              </w:rPr>
              <w:t>92.5)</w:t>
            </w:r>
          </w:p>
        </w:tc>
        <w:tc>
          <w:tcPr>
            <w:tcW w:w="2409" w:type="dxa"/>
          </w:tcPr>
          <w:p w14:paraId="21DC9779" w14:textId="77777777" w:rsidR="001B27ED" w:rsidRPr="00540D92" w:rsidRDefault="001176C1" w:rsidP="00540D92">
            <w:pPr>
              <w:spacing w:before="40" w:after="40"/>
              <w:rPr>
                <w:rFonts w:ascii="Arial Narrow" w:hAnsi="Arial Narrow"/>
                <w:sz w:val="20"/>
              </w:rPr>
            </w:pPr>
            <w:r w:rsidRPr="00540D92">
              <w:rPr>
                <w:rFonts w:ascii="Arial Narrow" w:hAnsi="Arial Narrow"/>
                <w:sz w:val="20"/>
                <w:highlight w:val="green"/>
              </w:rPr>
              <w:t>86.8% (83.8</w:t>
            </w:r>
            <w:r w:rsidR="003F4412" w:rsidRPr="00540D92">
              <w:rPr>
                <w:rFonts w:ascii="Arial Narrow" w:hAnsi="Arial Narrow"/>
                <w:sz w:val="20"/>
                <w:highlight w:val="green"/>
              </w:rPr>
              <w:t xml:space="preserve">, </w:t>
            </w:r>
            <w:r w:rsidRPr="00540D92">
              <w:rPr>
                <w:rFonts w:ascii="Arial Narrow" w:hAnsi="Arial Narrow"/>
                <w:sz w:val="20"/>
                <w:highlight w:val="green"/>
              </w:rPr>
              <w:t>89.4)</w:t>
            </w:r>
          </w:p>
        </w:tc>
      </w:tr>
      <w:tr w:rsidR="001B27ED" w:rsidRPr="00454702" w14:paraId="60DB1317" w14:textId="77777777" w:rsidTr="00CE6281">
        <w:tc>
          <w:tcPr>
            <w:tcW w:w="2518" w:type="dxa"/>
          </w:tcPr>
          <w:p w14:paraId="24E13562"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ER/</w:t>
            </w:r>
            <w:proofErr w:type="spellStart"/>
            <w:r w:rsidRPr="00540D92">
              <w:rPr>
                <w:rFonts w:ascii="Arial Narrow" w:hAnsi="Arial Narrow"/>
                <w:sz w:val="20"/>
              </w:rPr>
              <w:t>PgR</w:t>
            </w:r>
            <w:proofErr w:type="spellEnd"/>
            <w:r w:rsidRPr="00540D92">
              <w:rPr>
                <w:rFonts w:ascii="Arial Narrow" w:hAnsi="Arial Narrow"/>
                <w:sz w:val="20"/>
              </w:rPr>
              <w:t>+, HER2+ (luminal B)</w:t>
            </w:r>
            <w:r w:rsidR="009727DD" w:rsidRPr="00540D92">
              <w:rPr>
                <w:rFonts w:ascii="Arial Narrow" w:hAnsi="Arial Narrow"/>
                <w:sz w:val="20"/>
              </w:rPr>
              <w:t>*</w:t>
            </w:r>
          </w:p>
        </w:tc>
        <w:tc>
          <w:tcPr>
            <w:tcW w:w="2552" w:type="dxa"/>
          </w:tcPr>
          <w:p w14:paraId="6EC9C4AB"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88.7% (79.2</w:t>
            </w:r>
            <w:r w:rsidR="003F4412" w:rsidRPr="00540D92">
              <w:rPr>
                <w:rFonts w:ascii="Arial Narrow" w:hAnsi="Arial Narrow"/>
                <w:sz w:val="20"/>
              </w:rPr>
              <w:t xml:space="preserve">, </w:t>
            </w:r>
            <w:r w:rsidRPr="00540D92">
              <w:rPr>
                <w:rFonts w:ascii="Arial Narrow" w:hAnsi="Arial Narrow"/>
                <w:sz w:val="20"/>
              </w:rPr>
              <w:t>94.1)</w:t>
            </w:r>
          </w:p>
        </w:tc>
        <w:tc>
          <w:tcPr>
            <w:tcW w:w="2409" w:type="dxa"/>
          </w:tcPr>
          <w:p w14:paraId="4D8ACCAE" w14:textId="77777777" w:rsidR="001B27ED" w:rsidRPr="00540D92" w:rsidRDefault="001176C1" w:rsidP="00540D92">
            <w:pPr>
              <w:spacing w:before="40" w:after="40"/>
              <w:rPr>
                <w:rFonts w:ascii="Arial Narrow" w:hAnsi="Arial Narrow"/>
                <w:sz w:val="20"/>
              </w:rPr>
            </w:pPr>
            <w:r w:rsidRPr="00540D92">
              <w:rPr>
                <w:rFonts w:ascii="Arial Narrow" w:hAnsi="Arial Narrow"/>
                <w:sz w:val="20"/>
              </w:rPr>
              <w:t>83.2% (74.0</w:t>
            </w:r>
            <w:r w:rsidR="003F4412" w:rsidRPr="00540D92">
              <w:rPr>
                <w:rFonts w:ascii="Arial Narrow" w:hAnsi="Arial Narrow"/>
                <w:sz w:val="20"/>
              </w:rPr>
              <w:t xml:space="preserve">, </w:t>
            </w:r>
            <w:r w:rsidRPr="00540D92">
              <w:rPr>
                <w:rFonts w:ascii="Arial Narrow" w:hAnsi="Arial Narrow"/>
                <w:sz w:val="20"/>
              </w:rPr>
              <w:t>89.6)</w:t>
            </w:r>
          </w:p>
        </w:tc>
      </w:tr>
      <w:tr w:rsidR="001B27ED" w:rsidRPr="00454702" w14:paraId="2C1BA8C2" w14:textId="77777777" w:rsidTr="00CE6281">
        <w:tc>
          <w:tcPr>
            <w:tcW w:w="2518" w:type="dxa"/>
          </w:tcPr>
          <w:p w14:paraId="4F783810"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ER/</w:t>
            </w:r>
            <w:proofErr w:type="spellStart"/>
            <w:r w:rsidRPr="00540D92">
              <w:rPr>
                <w:rFonts w:ascii="Arial Narrow" w:hAnsi="Arial Narrow"/>
                <w:sz w:val="20"/>
              </w:rPr>
              <w:t>PgR</w:t>
            </w:r>
            <w:proofErr w:type="spellEnd"/>
            <w:r w:rsidRPr="00540D92">
              <w:rPr>
                <w:rFonts w:ascii="Arial Narrow" w:hAnsi="Arial Narrow"/>
                <w:sz w:val="20"/>
              </w:rPr>
              <w:t xml:space="preserve">-, HER2+ </w:t>
            </w:r>
          </w:p>
        </w:tc>
        <w:tc>
          <w:tcPr>
            <w:tcW w:w="2552" w:type="dxa"/>
          </w:tcPr>
          <w:p w14:paraId="520BAE6E"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78.8% (66.0</w:t>
            </w:r>
            <w:r w:rsidR="003F4412" w:rsidRPr="00540D92">
              <w:rPr>
                <w:rFonts w:ascii="Arial Narrow" w:hAnsi="Arial Narrow"/>
                <w:sz w:val="20"/>
              </w:rPr>
              <w:t xml:space="preserve">, </w:t>
            </w:r>
            <w:r w:rsidRPr="00540D92">
              <w:rPr>
                <w:rFonts w:ascii="Arial Narrow" w:hAnsi="Arial Narrow"/>
                <w:sz w:val="20"/>
              </w:rPr>
              <w:t>87.7)</w:t>
            </w:r>
          </w:p>
        </w:tc>
        <w:tc>
          <w:tcPr>
            <w:tcW w:w="2409" w:type="dxa"/>
          </w:tcPr>
          <w:p w14:paraId="252F8C07" w14:textId="77777777" w:rsidR="001B27ED" w:rsidRPr="00540D92" w:rsidRDefault="001176C1" w:rsidP="00540D92">
            <w:pPr>
              <w:spacing w:before="40" w:after="40"/>
              <w:rPr>
                <w:rFonts w:ascii="Arial Narrow" w:hAnsi="Arial Narrow"/>
                <w:sz w:val="20"/>
              </w:rPr>
            </w:pPr>
            <w:r w:rsidRPr="00540D92">
              <w:rPr>
                <w:rFonts w:ascii="Arial Narrow" w:hAnsi="Arial Narrow"/>
                <w:sz w:val="20"/>
              </w:rPr>
              <w:t>66.0% (53.9</w:t>
            </w:r>
            <w:r w:rsidR="003F4412" w:rsidRPr="00540D92">
              <w:rPr>
                <w:rFonts w:ascii="Arial Narrow" w:hAnsi="Arial Narrow"/>
                <w:sz w:val="20"/>
              </w:rPr>
              <w:t xml:space="preserve">, </w:t>
            </w:r>
            <w:r w:rsidRPr="00540D92">
              <w:rPr>
                <w:rFonts w:ascii="Arial Narrow" w:hAnsi="Arial Narrow"/>
                <w:sz w:val="20"/>
              </w:rPr>
              <w:t>76.3)</w:t>
            </w:r>
          </w:p>
        </w:tc>
      </w:tr>
      <w:tr w:rsidR="00582C30" w:rsidRPr="00454702" w14:paraId="2093B683" w14:textId="77777777" w:rsidTr="00CE6281">
        <w:tc>
          <w:tcPr>
            <w:tcW w:w="2518" w:type="dxa"/>
          </w:tcPr>
          <w:p w14:paraId="3C25E781"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ER/</w:t>
            </w:r>
            <w:proofErr w:type="spellStart"/>
            <w:r w:rsidRPr="00540D92">
              <w:rPr>
                <w:rFonts w:ascii="Arial Narrow" w:hAnsi="Arial Narrow"/>
                <w:sz w:val="20"/>
              </w:rPr>
              <w:t>PgR</w:t>
            </w:r>
            <w:proofErr w:type="spellEnd"/>
            <w:r w:rsidRPr="00540D92">
              <w:rPr>
                <w:rFonts w:ascii="Arial Narrow" w:hAnsi="Arial Narrow"/>
                <w:sz w:val="20"/>
              </w:rPr>
              <w:t xml:space="preserve">-, HER2- </w:t>
            </w:r>
          </w:p>
        </w:tc>
        <w:tc>
          <w:tcPr>
            <w:tcW w:w="2552" w:type="dxa"/>
          </w:tcPr>
          <w:p w14:paraId="152F0F37"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79.0% (70.8</w:t>
            </w:r>
            <w:r w:rsidR="003F4412" w:rsidRPr="00540D92">
              <w:rPr>
                <w:rFonts w:ascii="Arial Narrow" w:hAnsi="Arial Narrow"/>
                <w:sz w:val="20"/>
              </w:rPr>
              <w:t xml:space="preserve">, </w:t>
            </w:r>
            <w:r w:rsidRPr="00540D92">
              <w:rPr>
                <w:rFonts w:ascii="Arial Narrow" w:hAnsi="Arial Narrow"/>
                <w:sz w:val="20"/>
              </w:rPr>
              <w:t>85.3)</w:t>
            </w:r>
          </w:p>
        </w:tc>
        <w:tc>
          <w:tcPr>
            <w:tcW w:w="2409" w:type="dxa"/>
          </w:tcPr>
          <w:p w14:paraId="4967722B" w14:textId="77777777" w:rsidR="001B27ED" w:rsidRPr="00540D92" w:rsidRDefault="001176C1" w:rsidP="00540D92">
            <w:pPr>
              <w:spacing w:before="40" w:after="40"/>
              <w:rPr>
                <w:rFonts w:ascii="Arial Narrow" w:hAnsi="Arial Narrow"/>
                <w:sz w:val="20"/>
              </w:rPr>
            </w:pPr>
            <w:r w:rsidRPr="00540D92">
              <w:rPr>
                <w:rFonts w:ascii="Arial Narrow" w:hAnsi="Arial Narrow"/>
                <w:sz w:val="20"/>
              </w:rPr>
              <w:t>73.5% (65.0</w:t>
            </w:r>
            <w:r w:rsidR="003F4412" w:rsidRPr="00540D92">
              <w:rPr>
                <w:rFonts w:ascii="Arial Narrow" w:hAnsi="Arial Narrow"/>
                <w:sz w:val="20"/>
              </w:rPr>
              <w:t xml:space="preserve">, </w:t>
            </w:r>
            <w:r w:rsidRPr="00540D92">
              <w:rPr>
                <w:rFonts w:ascii="Arial Narrow" w:hAnsi="Arial Narrow"/>
                <w:sz w:val="20"/>
              </w:rPr>
              <w:t>80.5)</w:t>
            </w:r>
          </w:p>
        </w:tc>
      </w:tr>
      <w:tr w:rsidR="001B27ED" w:rsidRPr="00454702" w14:paraId="7D79B532" w14:textId="77777777" w:rsidTr="00CE6281">
        <w:tc>
          <w:tcPr>
            <w:tcW w:w="2518" w:type="dxa"/>
            <w:tcBorders>
              <w:right w:val="single" w:sz="4" w:space="0" w:color="FFFFFF" w:themeColor="background1"/>
            </w:tcBorders>
          </w:tcPr>
          <w:p w14:paraId="5DCD7FBA" w14:textId="77777777" w:rsidR="001B27ED" w:rsidRPr="00540D92" w:rsidRDefault="001B27ED" w:rsidP="00540D92">
            <w:pPr>
              <w:spacing w:before="40" w:after="40"/>
              <w:rPr>
                <w:rFonts w:ascii="Arial Narrow" w:hAnsi="Arial Narrow"/>
                <w:b/>
                <w:sz w:val="20"/>
              </w:rPr>
            </w:pPr>
            <w:r w:rsidRPr="00540D92">
              <w:rPr>
                <w:rFonts w:ascii="Arial Narrow" w:hAnsi="Arial Narrow"/>
                <w:b/>
                <w:sz w:val="20"/>
              </w:rPr>
              <w:t>ER/</w:t>
            </w:r>
            <w:proofErr w:type="spellStart"/>
            <w:r w:rsidRPr="00540D92">
              <w:rPr>
                <w:rFonts w:ascii="Arial Narrow" w:hAnsi="Arial Narrow"/>
                <w:b/>
                <w:sz w:val="20"/>
              </w:rPr>
              <w:t>PgR</w:t>
            </w:r>
            <w:proofErr w:type="spellEnd"/>
            <w:r w:rsidRPr="00540D92">
              <w:rPr>
                <w:rFonts w:ascii="Arial Narrow" w:hAnsi="Arial Narrow"/>
                <w:b/>
                <w:sz w:val="20"/>
              </w:rPr>
              <w:t xml:space="preserve"> status</w:t>
            </w:r>
          </w:p>
        </w:tc>
        <w:tc>
          <w:tcPr>
            <w:tcW w:w="2552" w:type="dxa"/>
            <w:tcBorders>
              <w:left w:val="single" w:sz="4" w:space="0" w:color="FFFFFF" w:themeColor="background1"/>
              <w:right w:val="single" w:sz="4" w:space="0" w:color="FFFFFF" w:themeColor="background1"/>
            </w:tcBorders>
          </w:tcPr>
          <w:p w14:paraId="2FA9EEFE" w14:textId="77777777" w:rsidR="001B27ED" w:rsidRPr="00540D92" w:rsidRDefault="00582C30" w:rsidP="00540D92">
            <w:pPr>
              <w:spacing w:before="40" w:after="40"/>
              <w:rPr>
                <w:rFonts w:ascii="Arial Narrow" w:hAnsi="Arial Narrow"/>
                <w:b/>
                <w:sz w:val="20"/>
              </w:rPr>
            </w:pPr>
            <w:r w:rsidRPr="00540D92">
              <w:rPr>
                <w:rFonts w:ascii="Arial Narrow" w:hAnsi="Arial Narrow"/>
                <w:b/>
                <w:color w:val="FFFFFF" w:themeColor="background1"/>
                <w:sz w:val="20"/>
              </w:rPr>
              <w:t>-</w:t>
            </w:r>
          </w:p>
        </w:tc>
        <w:tc>
          <w:tcPr>
            <w:tcW w:w="2409" w:type="dxa"/>
            <w:tcBorders>
              <w:left w:val="single" w:sz="4" w:space="0" w:color="FFFFFF" w:themeColor="background1"/>
            </w:tcBorders>
          </w:tcPr>
          <w:p w14:paraId="254259BF" w14:textId="77777777" w:rsidR="001B27ED" w:rsidRPr="00540D92" w:rsidRDefault="00582C30" w:rsidP="00540D92">
            <w:pPr>
              <w:spacing w:before="40" w:after="40"/>
              <w:rPr>
                <w:rFonts w:ascii="Arial Narrow" w:hAnsi="Arial Narrow"/>
                <w:b/>
                <w:sz w:val="20"/>
              </w:rPr>
            </w:pPr>
            <w:r w:rsidRPr="00540D92">
              <w:rPr>
                <w:rFonts w:ascii="Arial Narrow" w:hAnsi="Arial Narrow"/>
                <w:b/>
                <w:color w:val="FFFFFF" w:themeColor="background1"/>
                <w:sz w:val="20"/>
              </w:rPr>
              <w:t>-</w:t>
            </w:r>
          </w:p>
        </w:tc>
      </w:tr>
      <w:tr w:rsidR="001B27ED" w:rsidRPr="00454702" w14:paraId="412604CE" w14:textId="77777777" w:rsidTr="00CE6281">
        <w:tc>
          <w:tcPr>
            <w:tcW w:w="2518" w:type="dxa"/>
          </w:tcPr>
          <w:p w14:paraId="412943F0"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ER/</w:t>
            </w:r>
            <w:proofErr w:type="spellStart"/>
            <w:r w:rsidRPr="00540D92">
              <w:rPr>
                <w:rFonts w:ascii="Arial Narrow" w:hAnsi="Arial Narrow"/>
                <w:sz w:val="20"/>
              </w:rPr>
              <w:t>PgR</w:t>
            </w:r>
            <w:proofErr w:type="spellEnd"/>
            <w:r w:rsidRPr="00540D92">
              <w:rPr>
                <w:rFonts w:ascii="Arial Narrow" w:hAnsi="Arial Narrow"/>
                <w:sz w:val="20"/>
              </w:rPr>
              <w:t>+</w:t>
            </w:r>
          </w:p>
        </w:tc>
        <w:tc>
          <w:tcPr>
            <w:tcW w:w="2552" w:type="dxa"/>
          </w:tcPr>
          <w:p w14:paraId="672022EE"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90.1% (87.5</w:t>
            </w:r>
            <w:r w:rsidR="003F4412" w:rsidRPr="00540D92">
              <w:rPr>
                <w:rFonts w:ascii="Arial Narrow" w:hAnsi="Arial Narrow"/>
                <w:sz w:val="20"/>
              </w:rPr>
              <w:t xml:space="preserve">, </w:t>
            </w:r>
            <w:r w:rsidRPr="00540D92">
              <w:rPr>
                <w:rFonts w:ascii="Arial Narrow" w:hAnsi="Arial Narrow"/>
                <w:sz w:val="20"/>
              </w:rPr>
              <w:t>92.2)</w:t>
            </w:r>
          </w:p>
        </w:tc>
        <w:tc>
          <w:tcPr>
            <w:tcW w:w="2409" w:type="dxa"/>
          </w:tcPr>
          <w:p w14:paraId="56E8EF02"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86.5% (83.6</w:t>
            </w:r>
            <w:r w:rsidR="003F4412" w:rsidRPr="00540D92">
              <w:rPr>
                <w:rFonts w:ascii="Arial Narrow" w:hAnsi="Arial Narrow"/>
                <w:sz w:val="20"/>
              </w:rPr>
              <w:t xml:space="preserve">, </w:t>
            </w:r>
            <w:r w:rsidRPr="00540D92">
              <w:rPr>
                <w:rFonts w:ascii="Arial Narrow" w:hAnsi="Arial Narrow"/>
                <w:sz w:val="20"/>
              </w:rPr>
              <w:t>88.8)</w:t>
            </w:r>
          </w:p>
        </w:tc>
      </w:tr>
      <w:tr w:rsidR="001B27ED" w:rsidRPr="00454702" w14:paraId="0C9C966E" w14:textId="77777777" w:rsidTr="00CE6281">
        <w:tc>
          <w:tcPr>
            <w:tcW w:w="2518" w:type="dxa"/>
          </w:tcPr>
          <w:p w14:paraId="6A932DF2"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ER/</w:t>
            </w:r>
            <w:proofErr w:type="spellStart"/>
            <w:r w:rsidRPr="00540D92">
              <w:rPr>
                <w:rFonts w:ascii="Arial Narrow" w:hAnsi="Arial Narrow"/>
                <w:sz w:val="20"/>
              </w:rPr>
              <w:t>PgR</w:t>
            </w:r>
            <w:proofErr w:type="spellEnd"/>
            <w:r w:rsidRPr="00540D92">
              <w:rPr>
                <w:rFonts w:ascii="Arial Narrow" w:hAnsi="Arial Narrow"/>
                <w:sz w:val="20"/>
              </w:rPr>
              <w:t>-</w:t>
            </w:r>
          </w:p>
        </w:tc>
        <w:tc>
          <w:tcPr>
            <w:tcW w:w="2552" w:type="dxa"/>
          </w:tcPr>
          <w:p w14:paraId="2B569853"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79.0% (72.4</w:t>
            </w:r>
            <w:r w:rsidR="003F4412" w:rsidRPr="00540D92">
              <w:rPr>
                <w:rFonts w:ascii="Arial Narrow" w:hAnsi="Arial Narrow"/>
                <w:sz w:val="20"/>
              </w:rPr>
              <w:t xml:space="preserve">, </w:t>
            </w:r>
            <w:r w:rsidRPr="00540D92">
              <w:rPr>
                <w:rFonts w:ascii="Arial Narrow" w:hAnsi="Arial Narrow"/>
                <w:sz w:val="20"/>
              </w:rPr>
              <w:t>84.4)</w:t>
            </w:r>
          </w:p>
        </w:tc>
        <w:tc>
          <w:tcPr>
            <w:tcW w:w="2409" w:type="dxa"/>
          </w:tcPr>
          <w:p w14:paraId="341E61D9"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70.8% (63.9</w:t>
            </w:r>
            <w:r w:rsidR="003F4412" w:rsidRPr="00540D92">
              <w:rPr>
                <w:rFonts w:ascii="Arial Narrow" w:hAnsi="Arial Narrow"/>
                <w:sz w:val="20"/>
              </w:rPr>
              <w:t xml:space="preserve">, </w:t>
            </w:r>
            <w:r w:rsidRPr="00540D92">
              <w:rPr>
                <w:rFonts w:ascii="Arial Narrow" w:hAnsi="Arial Narrow"/>
                <w:sz w:val="20"/>
              </w:rPr>
              <w:t>76.8)</w:t>
            </w:r>
          </w:p>
        </w:tc>
      </w:tr>
      <w:tr w:rsidR="001B27ED" w:rsidRPr="00454702" w14:paraId="0A59962A" w14:textId="77777777" w:rsidTr="00CE6281">
        <w:tc>
          <w:tcPr>
            <w:tcW w:w="2518" w:type="dxa"/>
            <w:tcBorders>
              <w:right w:val="single" w:sz="4" w:space="0" w:color="FFFFFF" w:themeColor="background1"/>
            </w:tcBorders>
          </w:tcPr>
          <w:p w14:paraId="6E43B035" w14:textId="77777777" w:rsidR="001B27ED" w:rsidRPr="00540D92" w:rsidRDefault="001B27ED" w:rsidP="00540D92">
            <w:pPr>
              <w:spacing w:before="40" w:after="40"/>
              <w:rPr>
                <w:rFonts w:ascii="Arial Narrow" w:hAnsi="Arial Narrow"/>
                <w:b/>
                <w:sz w:val="20"/>
              </w:rPr>
            </w:pPr>
            <w:r w:rsidRPr="00540D92">
              <w:rPr>
                <w:rFonts w:ascii="Arial Narrow" w:hAnsi="Arial Narrow"/>
                <w:b/>
                <w:sz w:val="20"/>
              </w:rPr>
              <w:t>HER2 status</w:t>
            </w:r>
          </w:p>
        </w:tc>
        <w:tc>
          <w:tcPr>
            <w:tcW w:w="2552" w:type="dxa"/>
            <w:tcBorders>
              <w:left w:val="single" w:sz="4" w:space="0" w:color="FFFFFF" w:themeColor="background1"/>
              <w:right w:val="single" w:sz="4" w:space="0" w:color="FFFFFF" w:themeColor="background1"/>
            </w:tcBorders>
          </w:tcPr>
          <w:p w14:paraId="35CBCE93" w14:textId="77777777" w:rsidR="001B27ED" w:rsidRPr="00540D92" w:rsidRDefault="00582C30" w:rsidP="00540D92">
            <w:pPr>
              <w:spacing w:before="40" w:after="40"/>
              <w:rPr>
                <w:rFonts w:ascii="Arial Narrow" w:hAnsi="Arial Narrow"/>
                <w:b/>
                <w:sz w:val="20"/>
              </w:rPr>
            </w:pPr>
            <w:r w:rsidRPr="00540D92">
              <w:rPr>
                <w:rFonts w:ascii="Arial Narrow" w:hAnsi="Arial Narrow"/>
                <w:b/>
                <w:color w:val="FFFFFF" w:themeColor="background1"/>
                <w:sz w:val="20"/>
              </w:rPr>
              <w:t>-</w:t>
            </w:r>
          </w:p>
        </w:tc>
        <w:tc>
          <w:tcPr>
            <w:tcW w:w="2409" w:type="dxa"/>
            <w:tcBorders>
              <w:left w:val="single" w:sz="4" w:space="0" w:color="FFFFFF" w:themeColor="background1"/>
            </w:tcBorders>
          </w:tcPr>
          <w:p w14:paraId="66C0B7D7" w14:textId="77777777" w:rsidR="001B27ED" w:rsidRPr="00540D92" w:rsidRDefault="00582C30" w:rsidP="00540D92">
            <w:pPr>
              <w:spacing w:before="40" w:after="40"/>
              <w:rPr>
                <w:rFonts w:ascii="Arial Narrow" w:hAnsi="Arial Narrow"/>
                <w:b/>
                <w:sz w:val="20"/>
              </w:rPr>
            </w:pPr>
            <w:r w:rsidRPr="00540D92">
              <w:rPr>
                <w:rFonts w:ascii="Arial Narrow" w:hAnsi="Arial Narrow"/>
                <w:b/>
                <w:color w:val="FFFFFF" w:themeColor="background1"/>
                <w:sz w:val="20"/>
              </w:rPr>
              <w:t>-</w:t>
            </w:r>
          </w:p>
        </w:tc>
      </w:tr>
      <w:tr w:rsidR="001B27ED" w:rsidRPr="00454702" w14:paraId="11AD38BC" w14:textId="77777777" w:rsidTr="00CE6281">
        <w:tc>
          <w:tcPr>
            <w:tcW w:w="2518" w:type="dxa"/>
          </w:tcPr>
          <w:p w14:paraId="29E281AE"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Positive</w:t>
            </w:r>
          </w:p>
        </w:tc>
        <w:tc>
          <w:tcPr>
            <w:tcW w:w="2552" w:type="dxa"/>
          </w:tcPr>
          <w:p w14:paraId="7195C16E"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84.6% (77.3</w:t>
            </w:r>
            <w:r w:rsidR="003F4412" w:rsidRPr="00540D92">
              <w:rPr>
                <w:rFonts w:ascii="Arial Narrow" w:hAnsi="Arial Narrow"/>
                <w:sz w:val="20"/>
              </w:rPr>
              <w:t xml:space="preserve">, </w:t>
            </w:r>
            <w:r w:rsidRPr="00540D92">
              <w:rPr>
                <w:rFonts w:ascii="Arial Narrow" w:hAnsi="Arial Narrow"/>
                <w:sz w:val="20"/>
              </w:rPr>
              <w:t>89.9)</w:t>
            </w:r>
          </w:p>
        </w:tc>
        <w:tc>
          <w:tcPr>
            <w:tcW w:w="2409" w:type="dxa"/>
          </w:tcPr>
          <w:p w14:paraId="192A9545"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75.9% (68.6</w:t>
            </w:r>
            <w:r w:rsidR="003F4412" w:rsidRPr="00540D92">
              <w:rPr>
                <w:rFonts w:ascii="Arial Narrow" w:hAnsi="Arial Narrow"/>
                <w:sz w:val="20"/>
              </w:rPr>
              <w:t xml:space="preserve">, </w:t>
            </w:r>
            <w:r w:rsidRPr="00540D92">
              <w:rPr>
                <w:rFonts w:ascii="Arial Narrow" w:hAnsi="Arial Narrow"/>
                <w:sz w:val="20"/>
              </w:rPr>
              <w:t>81.9)</w:t>
            </w:r>
          </w:p>
        </w:tc>
      </w:tr>
      <w:tr w:rsidR="001B27ED" w:rsidRPr="00454702" w14:paraId="08ADD920" w14:textId="77777777" w:rsidTr="00CE6281">
        <w:tc>
          <w:tcPr>
            <w:tcW w:w="2518" w:type="dxa"/>
          </w:tcPr>
          <w:p w14:paraId="3D662E68" w14:textId="77777777" w:rsidR="001B27ED" w:rsidRPr="00540D92" w:rsidRDefault="001B27ED" w:rsidP="00540D92">
            <w:pPr>
              <w:spacing w:before="40" w:after="40"/>
              <w:rPr>
                <w:rFonts w:ascii="Arial Narrow" w:hAnsi="Arial Narrow"/>
                <w:sz w:val="20"/>
              </w:rPr>
            </w:pPr>
            <w:r w:rsidRPr="00540D92">
              <w:rPr>
                <w:rFonts w:ascii="Arial Narrow" w:hAnsi="Arial Narrow"/>
                <w:sz w:val="20"/>
              </w:rPr>
              <w:t>Negative</w:t>
            </w:r>
          </w:p>
        </w:tc>
        <w:tc>
          <w:tcPr>
            <w:tcW w:w="2552" w:type="dxa"/>
          </w:tcPr>
          <w:p w14:paraId="140F28C5"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88.5% (85.9</w:t>
            </w:r>
            <w:r w:rsidR="003F4412" w:rsidRPr="00540D92">
              <w:rPr>
                <w:rFonts w:ascii="Arial Narrow" w:hAnsi="Arial Narrow"/>
                <w:sz w:val="20"/>
              </w:rPr>
              <w:t xml:space="preserve">, </w:t>
            </w:r>
            <w:r w:rsidRPr="00540D92">
              <w:rPr>
                <w:rFonts w:ascii="Arial Narrow" w:hAnsi="Arial Narrow"/>
                <w:sz w:val="20"/>
              </w:rPr>
              <w:t>90.6)</w:t>
            </w:r>
          </w:p>
        </w:tc>
        <w:tc>
          <w:tcPr>
            <w:tcW w:w="2409" w:type="dxa"/>
          </w:tcPr>
          <w:p w14:paraId="249BD101"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84.7% (81.9</w:t>
            </w:r>
            <w:r w:rsidR="003F4412" w:rsidRPr="00540D92">
              <w:rPr>
                <w:rFonts w:ascii="Arial Narrow" w:hAnsi="Arial Narrow"/>
                <w:sz w:val="20"/>
              </w:rPr>
              <w:t xml:space="preserve">, </w:t>
            </w:r>
            <w:r w:rsidRPr="00540D92">
              <w:rPr>
                <w:rFonts w:ascii="Arial Narrow" w:hAnsi="Arial Narrow"/>
                <w:sz w:val="20"/>
              </w:rPr>
              <w:t>87.2)</w:t>
            </w:r>
          </w:p>
        </w:tc>
      </w:tr>
      <w:tr w:rsidR="001B27ED" w:rsidRPr="00454702" w14:paraId="60E16B42" w14:textId="77777777" w:rsidTr="00CE6281">
        <w:tc>
          <w:tcPr>
            <w:tcW w:w="2518" w:type="dxa"/>
          </w:tcPr>
          <w:p w14:paraId="106F583A" w14:textId="77777777" w:rsidR="001B27ED" w:rsidRPr="00540D92" w:rsidRDefault="001B27ED" w:rsidP="00540D92">
            <w:pPr>
              <w:spacing w:before="40" w:after="40"/>
              <w:rPr>
                <w:rFonts w:ascii="Arial Narrow" w:hAnsi="Arial Narrow"/>
                <w:b/>
                <w:sz w:val="20"/>
              </w:rPr>
            </w:pPr>
            <w:r w:rsidRPr="00540D92">
              <w:rPr>
                <w:rFonts w:ascii="Arial Narrow" w:hAnsi="Arial Narrow"/>
                <w:b/>
                <w:sz w:val="20"/>
              </w:rPr>
              <w:t>Overall</w:t>
            </w:r>
          </w:p>
        </w:tc>
        <w:tc>
          <w:tcPr>
            <w:tcW w:w="2552" w:type="dxa"/>
          </w:tcPr>
          <w:p w14:paraId="1A985402"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87.8% (85.4</w:t>
            </w:r>
            <w:r w:rsidR="003F4412" w:rsidRPr="00540D92">
              <w:rPr>
                <w:rFonts w:ascii="Arial Narrow" w:hAnsi="Arial Narrow"/>
                <w:sz w:val="20"/>
              </w:rPr>
              <w:t xml:space="preserve">, </w:t>
            </w:r>
            <w:r w:rsidRPr="00540D92">
              <w:rPr>
                <w:rFonts w:ascii="Arial Narrow" w:hAnsi="Arial Narrow"/>
                <w:sz w:val="20"/>
              </w:rPr>
              <w:t>89.9)</w:t>
            </w:r>
          </w:p>
        </w:tc>
        <w:tc>
          <w:tcPr>
            <w:tcW w:w="2409" w:type="dxa"/>
          </w:tcPr>
          <w:p w14:paraId="60DB8746" w14:textId="77777777" w:rsidR="001B27ED" w:rsidRPr="00540D92" w:rsidRDefault="00582C30" w:rsidP="00540D92">
            <w:pPr>
              <w:spacing w:before="40" w:after="40"/>
              <w:rPr>
                <w:rFonts w:ascii="Arial Narrow" w:hAnsi="Arial Narrow"/>
                <w:sz w:val="20"/>
              </w:rPr>
            </w:pPr>
            <w:r w:rsidRPr="00540D92">
              <w:rPr>
                <w:rFonts w:ascii="Arial Narrow" w:hAnsi="Arial Narrow"/>
                <w:sz w:val="20"/>
              </w:rPr>
              <w:t>83.1% (80.5</w:t>
            </w:r>
            <w:r w:rsidR="003F4412" w:rsidRPr="00540D92">
              <w:rPr>
                <w:rFonts w:ascii="Arial Narrow" w:hAnsi="Arial Narrow"/>
                <w:sz w:val="20"/>
              </w:rPr>
              <w:t xml:space="preserve">, </w:t>
            </w:r>
            <w:r w:rsidRPr="00540D92">
              <w:rPr>
                <w:rFonts w:ascii="Arial Narrow" w:hAnsi="Arial Narrow"/>
                <w:sz w:val="20"/>
              </w:rPr>
              <w:t>85.5)</w:t>
            </w:r>
          </w:p>
        </w:tc>
      </w:tr>
    </w:tbl>
    <w:p w14:paraId="42DCB338" w14:textId="77777777" w:rsidR="00463260" w:rsidRDefault="00D46C80" w:rsidP="0081471D">
      <w:pPr>
        <w:pStyle w:val="Tablefootnote"/>
      </w:pPr>
      <w:r w:rsidRPr="001E370D">
        <w:t xml:space="preserve">CI = confidence interval; ER = </w:t>
      </w:r>
      <w:r w:rsidR="00426D78">
        <w:t>o</w:t>
      </w:r>
      <w:r w:rsidRPr="001E370D">
        <w:t xml:space="preserve">estrogen receptor; HER2 = human epidermal growth factor receptor 2; </w:t>
      </w:r>
      <w:r w:rsidR="00E6106D">
        <w:t xml:space="preserve"> </w:t>
      </w:r>
      <w:proofErr w:type="spellStart"/>
      <w:r w:rsidRPr="001E370D">
        <w:t>PgR</w:t>
      </w:r>
      <w:proofErr w:type="spellEnd"/>
      <w:r w:rsidRPr="001E370D">
        <w:t xml:space="preserve"> = progesterone receptor; + = positive; - = negative</w:t>
      </w:r>
    </w:p>
    <w:p w14:paraId="27D448EE" w14:textId="17F8E343" w:rsidR="009727DD" w:rsidRPr="001E370D" w:rsidRDefault="009727DD" w:rsidP="009727DD">
      <w:pPr>
        <w:spacing w:after="0"/>
        <w:rPr>
          <w:rFonts w:ascii="Arial Narrow" w:hAnsi="Arial Narrow"/>
          <w:sz w:val="16"/>
          <w:szCs w:val="16"/>
        </w:rPr>
      </w:pPr>
      <w:r w:rsidRPr="00B91321">
        <w:rPr>
          <w:rFonts w:ascii="Arial Narrow" w:hAnsi="Arial Narrow"/>
          <w:sz w:val="16"/>
          <w:szCs w:val="16"/>
        </w:rPr>
        <w:t>*</w:t>
      </w:r>
      <w:r w:rsidR="00B20C2F">
        <w:rPr>
          <w:rFonts w:ascii="Arial Narrow" w:hAnsi="Arial Narrow"/>
          <w:sz w:val="16"/>
          <w:szCs w:val="16"/>
        </w:rPr>
        <w:t xml:space="preserve"> </w:t>
      </w:r>
      <w:r w:rsidR="00FB5FF0">
        <w:rPr>
          <w:rFonts w:ascii="Arial Narrow" w:hAnsi="Arial Narrow"/>
          <w:sz w:val="16"/>
          <w:szCs w:val="16"/>
        </w:rPr>
        <w:t xml:space="preserve">According to 4/5ths of the 2015 St </w:t>
      </w:r>
      <w:proofErr w:type="spellStart"/>
      <w:r w:rsidR="00FB5FF0">
        <w:rPr>
          <w:rFonts w:ascii="Arial Narrow" w:hAnsi="Arial Narrow"/>
          <w:sz w:val="16"/>
          <w:szCs w:val="16"/>
        </w:rPr>
        <w:t>Gallen’s</w:t>
      </w:r>
      <w:proofErr w:type="spellEnd"/>
      <w:r w:rsidR="00FB5FF0">
        <w:rPr>
          <w:rFonts w:ascii="Arial Narrow" w:hAnsi="Arial Narrow"/>
          <w:sz w:val="16"/>
          <w:szCs w:val="16"/>
        </w:rPr>
        <w:t xml:space="preserve"> consensus panel </w:t>
      </w:r>
      <w:r w:rsidR="00B20C2F">
        <w:rPr>
          <w:rFonts w:ascii="Arial Narrow" w:hAnsi="Arial Narrow"/>
          <w:sz w:val="16"/>
          <w:szCs w:val="16"/>
        </w:rPr>
        <w:t xml:space="preserve">Luminal A tumours are </w:t>
      </w:r>
      <w:r w:rsidR="00FB5FF0">
        <w:rPr>
          <w:rFonts w:ascii="Arial Narrow" w:hAnsi="Arial Narrow"/>
          <w:sz w:val="16"/>
          <w:szCs w:val="16"/>
        </w:rPr>
        <w:t>those expressing</w:t>
      </w:r>
      <w:r w:rsidR="00B20C2F">
        <w:rPr>
          <w:rFonts w:ascii="Arial Narrow" w:hAnsi="Arial Narrow"/>
          <w:sz w:val="16"/>
          <w:szCs w:val="16"/>
        </w:rPr>
        <w:t xml:space="preserve"> low Ki</w:t>
      </w:r>
      <w:r w:rsidR="003A19A0">
        <w:rPr>
          <w:rFonts w:ascii="Arial Narrow" w:hAnsi="Arial Narrow"/>
          <w:sz w:val="16"/>
          <w:szCs w:val="16"/>
        </w:rPr>
        <w:t>-</w:t>
      </w:r>
      <w:r w:rsidR="00B20C2F">
        <w:rPr>
          <w:rFonts w:ascii="Arial Narrow" w:hAnsi="Arial Narrow"/>
          <w:sz w:val="16"/>
          <w:szCs w:val="16"/>
        </w:rPr>
        <w:t xml:space="preserve">67 activity </w:t>
      </w:r>
      <w:r w:rsidR="00FB5FF0">
        <w:rPr>
          <w:rFonts w:ascii="Arial Narrow" w:hAnsi="Arial Narrow"/>
          <w:sz w:val="16"/>
          <w:szCs w:val="16"/>
        </w:rPr>
        <w:t xml:space="preserve">(&lt;20-29%) </w:t>
      </w:r>
      <w:r w:rsidR="00B20C2F">
        <w:rPr>
          <w:rFonts w:ascii="Arial Narrow" w:hAnsi="Arial Narrow"/>
          <w:sz w:val="16"/>
          <w:szCs w:val="16"/>
        </w:rPr>
        <w:t xml:space="preserve">and Luminal B tumours </w:t>
      </w:r>
      <w:r w:rsidR="00FB5FF0">
        <w:rPr>
          <w:rFonts w:ascii="Arial Narrow" w:hAnsi="Arial Narrow"/>
          <w:sz w:val="16"/>
          <w:szCs w:val="16"/>
        </w:rPr>
        <w:t xml:space="preserve">expressing </w:t>
      </w:r>
      <w:r w:rsidR="00B20C2F">
        <w:rPr>
          <w:rFonts w:ascii="Arial Narrow" w:hAnsi="Arial Narrow"/>
          <w:sz w:val="16"/>
          <w:szCs w:val="16"/>
        </w:rPr>
        <w:t xml:space="preserve"> high Ki</w:t>
      </w:r>
      <w:r w:rsidR="003A19A0">
        <w:rPr>
          <w:rFonts w:ascii="Arial Narrow" w:hAnsi="Arial Narrow"/>
          <w:sz w:val="16"/>
          <w:szCs w:val="16"/>
        </w:rPr>
        <w:t>-</w:t>
      </w:r>
      <w:r w:rsidR="00B20C2F">
        <w:rPr>
          <w:rFonts w:ascii="Arial Narrow" w:hAnsi="Arial Narrow"/>
          <w:sz w:val="16"/>
          <w:szCs w:val="16"/>
        </w:rPr>
        <w:t xml:space="preserve">67 activity </w:t>
      </w:r>
      <w:r w:rsidR="00FB5FF0">
        <w:rPr>
          <w:rFonts w:ascii="Arial Narrow" w:hAnsi="Arial Narrow"/>
          <w:sz w:val="16"/>
          <w:szCs w:val="16"/>
        </w:rPr>
        <w:t>(&gt;20-29%)</w:t>
      </w:r>
      <w:r w:rsidR="0020041D">
        <w:rPr>
          <w:rFonts w:ascii="Arial Narrow" w:hAnsi="Arial Narrow"/>
          <w:sz w:val="16"/>
          <w:szCs w:val="16"/>
        </w:rPr>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20041D">
        <w:rPr>
          <w:rFonts w:ascii="Arial Narrow" w:hAnsi="Arial Narrow"/>
          <w:sz w:val="16"/>
          <w:szCs w:val="16"/>
        </w:rPr>
        <w:instrText xml:space="preserve"> ADDIN EN.CITE </w:instrText>
      </w:r>
      <w:r w:rsidR="0020041D">
        <w:rPr>
          <w:rFonts w:ascii="Arial Narrow" w:hAnsi="Arial Narrow"/>
          <w:sz w:val="16"/>
          <w:szCs w:val="16"/>
        </w:rPr>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20041D">
        <w:rPr>
          <w:rFonts w:ascii="Arial Narrow" w:hAnsi="Arial Narrow"/>
          <w:sz w:val="16"/>
          <w:szCs w:val="16"/>
        </w:rPr>
        <w:instrText xml:space="preserve"> ADDIN EN.CITE.DATA </w:instrText>
      </w:r>
      <w:r w:rsidR="0020041D">
        <w:rPr>
          <w:rFonts w:ascii="Arial Narrow" w:hAnsi="Arial Narrow"/>
          <w:sz w:val="16"/>
          <w:szCs w:val="16"/>
        </w:rPr>
      </w:r>
      <w:r w:rsidR="0020041D">
        <w:rPr>
          <w:rFonts w:ascii="Arial Narrow" w:hAnsi="Arial Narrow"/>
          <w:sz w:val="16"/>
          <w:szCs w:val="16"/>
        </w:rPr>
        <w:fldChar w:fldCharType="end"/>
      </w:r>
      <w:r w:rsidR="0020041D">
        <w:rPr>
          <w:rFonts w:ascii="Arial Narrow" w:hAnsi="Arial Narrow"/>
          <w:sz w:val="16"/>
          <w:szCs w:val="16"/>
        </w:rPr>
      </w:r>
      <w:r w:rsidR="0020041D">
        <w:rPr>
          <w:rFonts w:ascii="Arial Narrow" w:hAnsi="Arial Narrow"/>
          <w:sz w:val="16"/>
          <w:szCs w:val="16"/>
        </w:rPr>
        <w:fldChar w:fldCharType="separate"/>
      </w:r>
      <w:r w:rsidR="0020041D">
        <w:rPr>
          <w:rFonts w:ascii="Arial Narrow" w:hAnsi="Arial Narrow"/>
          <w:noProof/>
          <w:sz w:val="16"/>
          <w:szCs w:val="16"/>
        </w:rPr>
        <w:t>(</w:t>
      </w:r>
      <w:hyperlink w:anchor="_ENREF_6" w:tooltip="Coates, 2015 #11" w:history="1">
        <w:r w:rsidR="009558F1">
          <w:rPr>
            <w:rFonts w:ascii="Arial Narrow" w:hAnsi="Arial Narrow"/>
            <w:noProof/>
            <w:sz w:val="16"/>
            <w:szCs w:val="16"/>
          </w:rPr>
          <w:t>Coates et al. 2015</w:t>
        </w:r>
      </w:hyperlink>
      <w:r w:rsidR="0020041D">
        <w:rPr>
          <w:rFonts w:ascii="Arial Narrow" w:hAnsi="Arial Narrow"/>
          <w:noProof/>
          <w:sz w:val="16"/>
          <w:szCs w:val="16"/>
        </w:rPr>
        <w:t>)</w:t>
      </w:r>
      <w:r w:rsidR="0020041D">
        <w:rPr>
          <w:rFonts w:ascii="Arial Narrow" w:hAnsi="Arial Narrow"/>
          <w:sz w:val="16"/>
          <w:szCs w:val="16"/>
        </w:rPr>
        <w:fldChar w:fldCharType="end"/>
      </w:r>
    </w:p>
    <w:p w14:paraId="15FEA748" w14:textId="77777777" w:rsidR="009727DD" w:rsidRDefault="009727DD" w:rsidP="00BC4EFE"/>
    <w:p w14:paraId="7E43CF19" w14:textId="77777777" w:rsidR="0043034D" w:rsidRDefault="0043034D" w:rsidP="00BC4EFE"/>
    <w:p w14:paraId="6564404F" w14:textId="58CA70E5" w:rsidR="00E640E6" w:rsidRDefault="00E640E6" w:rsidP="00BC4EFE">
      <w:r w:rsidRPr="00E640E6">
        <w:lastRenderedPageBreak/>
        <w:t>Tumour grade is another important prognostic factor for breast cancer. The grade of a cancer is a qualitative assessment of the degree of differentiation of the tumour. Although criteria can vary, grade reflects the extent to which a tumour resembles normal tissue at that site, where tumour tissue that is well differentiated is classified as Grade 1, moderately differentiated is Grade 2, and poorly differentiated is Grade 3</w:t>
      </w:r>
      <w:r>
        <w:t xml:space="preserve"> </w:t>
      </w:r>
      <w:r>
        <w:fldChar w:fldCharType="begin"/>
      </w:r>
      <w:r>
        <w:instrText xml:space="preserve"> ADDIN EN.CITE &lt;EndNote&gt;&lt;Cite&gt;&lt;Author&gt;AJCC&lt;/Author&gt;&lt;Year&gt;2012&lt;/Year&gt;&lt;RecNum&gt;57&lt;/RecNum&gt;&lt;DisplayText&gt;(AJCC 2012)&lt;/DisplayText&gt;&lt;record&gt;&lt;rec-number&gt;57&lt;/rec-number&gt;&lt;foreign-keys&gt;&lt;key app="EN" db-id="ttvewf9xnepwp2edxe5xxzfw9et0wp9vf9wd" timestamp="1436859454"&gt;57&lt;/key&gt;&lt;/foreign-keys&gt;&lt;ref-type name="Report"&gt;27&lt;/ref-type&gt;&lt;contributors&gt;&lt;authors&gt;&lt;author&gt;AJCC&lt;/author&gt;&lt;/authors&gt;&lt;secondary-authors&gt;&lt;author&gt;Compton C, Byrd DR, Garcia-Aguilar J, Kurtzman SH, Olawaiye A, Washington MK, &lt;/author&gt;&lt;/secondary-authors&gt;&lt;tertiary-authors&gt;&lt;author&gt;Springer&lt;/author&gt;&lt;/tertiary-authors&gt;&lt;/contributors&gt;&lt;titles&gt;&lt;title&gt;Cancer Staging Atlas&lt;/title&gt;&lt;/titles&gt;&lt;edition&gt;2&lt;/edition&gt;&lt;dates&gt;&lt;year&gt;2012&lt;/year&gt;&lt;/dates&gt;&lt;urls&gt;&lt;/urls&gt;&lt;/record&gt;&lt;/Cite&gt;&lt;/EndNote&gt;</w:instrText>
      </w:r>
      <w:r>
        <w:fldChar w:fldCharType="separate"/>
      </w:r>
      <w:r>
        <w:rPr>
          <w:noProof/>
        </w:rPr>
        <w:t>(</w:t>
      </w:r>
      <w:hyperlink w:anchor="_ENREF_3" w:tooltip="AJCC, 2012 #57" w:history="1">
        <w:r w:rsidR="009558F1">
          <w:rPr>
            <w:noProof/>
          </w:rPr>
          <w:t>AJCC 2012</w:t>
        </w:r>
      </w:hyperlink>
      <w:r>
        <w:rPr>
          <w:noProof/>
        </w:rPr>
        <w:t>)</w:t>
      </w:r>
      <w:r>
        <w:fldChar w:fldCharType="end"/>
      </w:r>
      <w:r w:rsidRPr="00E640E6">
        <w:t xml:space="preserve">. The American Joint Committee of Cancer </w:t>
      </w:r>
      <w:r w:rsidR="001B49AE">
        <w:t xml:space="preserve">(AJCC) </w:t>
      </w:r>
      <w:r w:rsidRPr="00E640E6">
        <w:t>recommend that all invasive breast cancer should be graded using the Nottingham combined histologic grade (</w:t>
      </w:r>
      <w:proofErr w:type="spellStart"/>
      <w:r w:rsidRPr="00E640E6">
        <w:t>Elston</w:t>
      </w:r>
      <w:proofErr w:type="spellEnd"/>
      <w:r w:rsidRPr="00E640E6">
        <w:t>-Ellis modification of Scarf-B</w:t>
      </w:r>
      <w:r>
        <w:t xml:space="preserve">loom-Richardson grading system) </w:t>
      </w:r>
      <w:r>
        <w:fldChar w:fldCharType="begin"/>
      </w:r>
      <w:r>
        <w:instrText xml:space="preserve"> ADDIN EN.CITE &lt;EndNote&gt;&lt;Cite&gt;&lt;Author&gt;Elston&lt;/Author&gt;&lt;Year&gt;2002&lt;/Year&gt;&lt;RecNum&gt;59&lt;/RecNum&gt;&lt;IDText&gt;154-61&lt;/IDText&gt;&lt;DisplayText&gt;(Elston &amp;amp; Ellis 2002)&lt;/DisplayText&gt;&lt;record&gt;&lt;rec-number&gt;59&lt;/rec-number&gt;&lt;foreign-keys&gt;&lt;key app="EN" db-id="ttvewf9xnepwp2edxe5xxzfw9et0wp9vf9wd" timestamp="1442383417"&gt;59&lt;/key&gt;&lt;/foreign-keys&gt;&lt;ref-type name="Journal Article"&gt;17&lt;/ref-type&gt;&lt;contributors&gt;&lt;authors&gt;&lt;author&gt;Elston, C. W.&lt;/author&gt;&lt;author&gt;Ellis, I. O.&lt;/author&gt;&lt;/authors&gt;&lt;/contributors&gt;&lt;auth-address&gt;Department of Histopathology, City Hospital, Nottingham, UK&lt;/auth-address&gt;&lt;titles&gt;&lt;title&gt;Pathological prognostic factors in breast cancer. I. The value of histological grade in breast cancer: experience from a large study with long-term follow-up&lt;/title&gt;&lt;secondary-title&gt;Histopathology&lt;/secondary-title&gt;&lt;/titles&gt;&lt;periodical&gt;&lt;full-title&gt;Histopathology&lt;/full-title&gt;&lt;abbr-1&gt;Histopathology&lt;/abbr-1&gt;&lt;/periodical&gt;&lt;pages&gt;154-61&lt;/pages&gt;&lt;volume&gt;41&lt;/volume&gt;&lt;number&gt;3A&lt;/number&gt;&lt;edition&gt;2002/10/31&lt;/edition&gt;&lt;dates&gt;&lt;year&gt;2002&lt;/year&gt;&lt;pub-dates&gt;&lt;date&gt;Sep&lt;/date&gt;&lt;/pub-dates&gt;&lt;/dates&gt;&lt;isbn&gt;1365-2559 (Electronic)&amp;#xD;0309-0167 (Linking)&lt;/isbn&gt;&lt;accession-num&gt;12405947&lt;/accession-num&gt;&lt;urls&gt;&lt;/urls&gt;&lt;remote-database-provider&gt;NLM&lt;/remote-database-provider&gt;&lt;language&gt;eng&lt;/language&gt;&lt;/record&gt;&lt;/Cite&gt;&lt;/EndNote&gt;</w:instrText>
      </w:r>
      <w:r>
        <w:fldChar w:fldCharType="separate"/>
      </w:r>
      <w:r>
        <w:rPr>
          <w:noProof/>
        </w:rPr>
        <w:t>(</w:t>
      </w:r>
      <w:hyperlink w:anchor="_ENREF_9" w:tooltip="Elston, 2002 #59" w:history="1">
        <w:r w:rsidR="009558F1">
          <w:rPr>
            <w:noProof/>
          </w:rPr>
          <w:t>Elston &amp; Ellis 2002</w:t>
        </w:r>
      </w:hyperlink>
      <w:r>
        <w:rPr>
          <w:noProof/>
        </w:rPr>
        <w:t>)</w:t>
      </w:r>
      <w:r>
        <w:fldChar w:fldCharType="end"/>
      </w:r>
      <w:r w:rsidRPr="00E640E6">
        <w:t>.</w:t>
      </w:r>
    </w:p>
    <w:p w14:paraId="5203F7A8" w14:textId="0D10B1E6" w:rsidR="00463260" w:rsidRDefault="0069076C" w:rsidP="00BC4EFE">
      <w:r>
        <w:t>In recent years additional prognostic tests hav</w:t>
      </w:r>
      <w:r w:rsidR="00922F3A">
        <w:t>e been developed that provide multi-parameter molecular markers</w:t>
      </w:r>
      <w:r w:rsidR="00190C21">
        <w:t xml:space="preserve"> for </w:t>
      </w:r>
      <w:r w:rsidR="00D324D1">
        <w:t xml:space="preserve">hormone receptor and proliferation related genes in </w:t>
      </w:r>
      <w:r w:rsidR="00CF3762">
        <w:t xml:space="preserve">individual </w:t>
      </w:r>
      <w:r w:rsidR="00D324D1">
        <w:t xml:space="preserve">breast cancer patients. </w:t>
      </w:r>
      <w:r w:rsidR="00190C21">
        <w:t xml:space="preserve">These tests act as tools for </w:t>
      </w:r>
      <w:r w:rsidR="00EF2153">
        <w:t xml:space="preserve">the </w:t>
      </w:r>
      <w:r w:rsidR="00190C21">
        <w:t xml:space="preserve">selection of patients </w:t>
      </w:r>
      <w:r w:rsidR="00281021">
        <w:t xml:space="preserve">who are unlikely to benefit from </w:t>
      </w:r>
      <w:r w:rsidR="00190C21">
        <w:t xml:space="preserve">chemotherapy by assessing their gene expression profile </w:t>
      </w:r>
      <w:r w:rsidR="00D60D0E">
        <w:t xml:space="preserve">as a means of </w:t>
      </w:r>
      <w:r w:rsidR="00190C21">
        <w:t>predict</w:t>
      </w:r>
      <w:r w:rsidR="00D60D0E">
        <w:t>ing</w:t>
      </w:r>
      <w:r w:rsidR="00190C21">
        <w:t xml:space="preserve"> the risk of recurrence </w:t>
      </w:r>
      <w:r w:rsidR="00D60D0E">
        <w:t xml:space="preserve">within </w:t>
      </w:r>
      <w:r w:rsidR="00190C21">
        <w:t xml:space="preserve">1-5 years and beyond 5 years. </w:t>
      </w:r>
      <w:r w:rsidR="00D324D1">
        <w:t xml:space="preserve">Tests currently available </w:t>
      </w:r>
      <w:r w:rsidR="00D60D0E">
        <w:t>internationally</w:t>
      </w:r>
      <w:r w:rsidR="00D324D1">
        <w:t xml:space="preserve"> include </w:t>
      </w:r>
      <w:proofErr w:type="spellStart"/>
      <w:r w:rsidR="00190C21">
        <w:t>OncotypeDX</w:t>
      </w:r>
      <w:proofErr w:type="spellEnd"/>
      <w:r w:rsidR="00190C21">
        <w:t xml:space="preserve">®, </w:t>
      </w:r>
      <w:proofErr w:type="spellStart"/>
      <w:r w:rsidR="00190C21">
        <w:t>MammaPrint</w:t>
      </w:r>
      <w:proofErr w:type="spellEnd"/>
      <w:r w:rsidR="00190C21">
        <w:t xml:space="preserve">®, PAM-50 ROR® score, Breast Cancer Index® and </w:t>
      </w:r>
      <w:proofErr w:type="spellStart"/>
      <w:r w:rsidR="00B923E9">
        <w:t>EndoPredict</w:t>
      </w:r>
      <w:proofErr w:type="spellEnd"/>
      <w:r w:rsidR="00B923E9">
        <w:t>®</w:t>
      </w:r>
      <w:r w:rsidR="00190C21">
        <w:t xml:space="preserve"> </w:t>
      </w:r>
      <w:r w:rsidR="00190C21">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190C21">
        <w:instrText xml:space="preserve"> ADDIN EN.CITE </w:instrText>
      </w:r>
      <w:r w:rsidR="00190C21">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190C21">
        <w:instrText xml:space="preserve"> ADDIN EN.CITE.DATA </w:instrText>
      </w:r>
      <w:r w:rsidR="00190C21">
        <w:fldChar w:fldCharType="end"/>
      </w:r>
      <w:r w:rsidR="00190C21">
        <w:fldChar w:fldCharType="separate"/>
      </w:r>
      <w:r w:rsidR="00190C21">
        <w:rPr>
          <w:noProof/>
        </w:rPr>
        <w:t>(</w:t>
      </w:r>
      <w:hyperlink w:anchor="_ENREF_6" w:tooltip="Coates, 2015 #11" w:history="1">
        <w:r w:rsidR="009558F1">
          <w:rPr>
            <w:noProof/>
          </w:rPr>
          <w:t>Coates et al. 2015</w:t>
        </w:r>
      </w:hyperlink>
      <w:r w:rsidR="00190C21">
        <w:rPr>
          <w:noProof/>
        </w:rPr>
        <w:t>)</w:t>
      </w:r>
      <w:r w:rsidR="00190C21">
        <w:fldChar w:fldCharType="end"/>
      </w:r>
      <w:r w:rsidR="00190C21">
        <w:t>.</w:t>
      </w:r>
    </w:p>
    <w:p w14:paraId="7D40C384" w14:textId="3017C6FA" w:rsidR="00E12B34" w:rsidRDefault="00237128" w:rsidP="00E12B34">
      <w:pPr>
        <w:spacing w:after="0"/>
      </w:pPr>
      <w:r>
        <w:t>Additional information on the assay techniques and application of currently available gene expression profiling tools may be found in the publication</w:t>
      </w:r>
      <w:r w:rsidR="00C333C3">
        <w:t xml:space="preserve"> by Cobain and Hayes</w:t>
      </w:r>
      <w:r w:rsidR="00BC7BE8">
        <w:t>, 2015</w:t>
      </w:r>
      <w:r w:rsidR="008E70B8">
        <w:t xml:space="preserve"> </w:t>
      </w:r>
      <w:r w:rsidR="0020041D">
        <w:fldChar w:fldCharType="begin"/>
      </w:r>
      <w:r w:rsidR="0020041D">
        <w:instrText xml:space="preserve"> ADDIN EN.CITE &lt;EndNote&gt;&lt;Cite&gt;&lt;Author&gt;Cobain EF&lt;/Author&gt;&lt;Year&gt;2015&lt;/Year&gt;&lt;RecNum&gt;45&lt;/RecNum&gt;&lt;IDText&gt;340&lt;/IDText&gt;&lt;DisplayText&gt;(Cobain EF &amp;amp; Hayes DF 2015)&lt;/DisplayText&gt;&lt;record&gt;&lt;rec-number&gt;45&lt;/rec-number&gt;&lt;foreign-keys&gt;&lt;key app="EN" db-id="ttvewf9xnepwp2edxe5xxzfw9et0wp9vf9wd" timestamp="1432008173"&gt;45&lt;/key&gt;&lt;/foreign-keys&gt;&lt;ref-type name="Journal Article"&gt;17&lt;/ref-type&gt;&lt;contributors&gt;&lt;authors&gt;&lt;author&gt;Cobain EF,&lt;/author&gt;&lt;author&gt;Hayes DF, &lt;/author&gt;&lt;/authors&gt;&lt;/contributors&gt;&lt;auth-address&gt;University of Michigan Comprehensive Cancer Center, 6312 CCC, 1500 East Medical Center Drive, SPC5942, Ann Arbor, MI, 48109-5942, USA, ecobain@med.umich.edu.&lt;/auth-address&gt;&lt;titles&gt;&lt;title&gt;Indications for prognostic gene expression profiling in early breast cancer&lt;/title&gt;&lt;secondary-title&gt;Curr Treat Options Oncol&lt;/secondary-title&gt;&lt;alt-title&gt;Current treatment options in oncology&lt;/alt-title&gt;&lt;/titles&gt;&lt;periodical&gt;&lt;full-title&gt;Curr Treat Options Oncol&lt;/full-title&gt;&lt;abbr-1&gt;Current treatment options in oncology&lt;/abbr-1&gt;&lt;/periodical&gt;&lt;alt-periodical&gt;&lt;full-title&gt;Curr Treat Options Oncol&lt;/full-title&gt;&lt;abbr-1&gt;Current treatment options in oncology&lt;/abbr-1&gt;&lt;/alt-periodical&gt;&lt;pages&gt;340&lt;/pages&gt;&lt;volume&gt;16&lt;/volume&gt;&lt;number&gt;5&lt;/number&gt;&lt;edition&gt;2015/05/02&lt;/edition&gt;&lt;dates&gt;&lt;year&gt;2015&lt;/year&gt;&lt;pub-dates&gt;&lt;date&gt;May&lt;/date&gt;&lt;/pub-dates&gt;&lt;/dates&gt;&lt;isbn&gt;1534-6277&lt;/isbn&gt;&lt;accession-num&gt;25929335&lt;/accession-num&gt;&lt;urls&gt;&lt;related-urls&gt;&lt;url&gt;http://download-v2.springer.com/static/pdf/12/art%253A10.1007%252Fs11864-015-0340-x.pdf?token2=exp=1432009429~acl=%2Fstatic%2Fpdf%2F12%2Fart%25253A10.1007%25252Fs11864-015-0340-x.pdf*~hmac=45399369000edca1254f8e8fbda66ba555eab7189ea44b5f79880de28ac3d43d&lt;/url&gt;&lt;/related-urls&gt;&lt;/urls&gt;&lt;electronic-resource-num&gt;10.1007/s11864-015-0340-x&lt;/electronic-resource-num&gt;&lt;remote-database-provider&gt;NLM&lt;/remote-database-provider&gt;&lt;language&gt;eng&lt;/language&gt;&lt;/record&gt;&lt;/Cite&gt;&lt;/EndNote&gt;</w:instrText>
      </w:r>
      <w:r w:rsidR="0020041D">
        <w:fldChar w:fldCharType="separate"/>
      </w:r>
      <w:r w:rsidR="0020041D">
        <w:rPr>
          <w:noProof/>
        </w:rPr>
        <w:t>(</w:t>
      </w:r>
      <w:hyperlink w:anchor="_ENREF_7" w:tooltip="Cobain EF, 2015 #45" w:history="1">
        <w:r w:rsidR="009558F1">
          <w:rPr>
            <w:noProof/>
          </w:rPr>
          <w:t>Cobain EF &amp; Hayes DF 2015</w:t>
        </w:r>
      </w:hyperlink>
      <w:r w:rsidR="0020041D">
        <w:rPr>
          <w:noProof/>
        </w:rPr>
        <w:t>)</w:t>
      </w:r>
      <w:r w:rsidR="0020041D">
        <w:fldChar w:fldCharType="end"/>
      </w:r>
      <w:r w:rsidR="00BC7BE8">
        <w:t xml:space="preserve">. A systematic review of effectiveness and cost-effectiveness of available breast cancer gene profiling tools was conducted by Ward et al (2013) and provides useful information on their analytic validity, clinical validity and clinical utility </w:t>
      </w:r>
      <w:r w:rsidR="00FF434D">
        <w:t xml:space="preserve">in the UK </w:t>
      </w:r>
      <w:r w:rsidR="0020041D">
        <w:fldChar w:fldCharType="begin"/>
      </w:r>
      <w:r w:rsidR="009558F1">
        <w:instrText xml:space="preserve"> ADDIN EN.CITE &lt;EndNote&gt;&lt;Cite&gt;&lt;Author&gt;Ward&lt;/Author&gt;&lt;Year&gt;2013&lt;/Year&gt;&lt;RecNum&gt;1507&lt;/RecNum&gt;&lt;IDText&gt;1-302&lt;/IDText&gt;&lt;DisplayText&gt;(Ward et al. 2013)&lt;/DisplayText&gt;&lt;record&gt;&lt;rec-number&gt;1507&lt;/rec-number&gt;&lt;foreign-keys&gt;&lt;key app="EN" db-id="05tx9dwxpspefue5z9u50zawssazp090290s" timestamp="1447302655"&gt;1507&lt;/key&gt;&lt;/foreign-keys&gt;&lt;ref-type name="Journal Article"&gt;17&lt;/ref-type&gt;&lt;contributors&gt;&lt;authors&gt;&lt;author&gt;Ward, S.&lt;/author&gt;&lt;author&gt;Scope, A.&lt;/author&gt;&lt;author&gt;Rafia, R.&lt;/author&gt;&lt;author&gt;Pandor, A.&lt;/author&gt;&lt;author&gt;Harnan, S.&lt;/author&gt;&lt;author&gt;Evans, P.&lt;/author&gt;&lt;author&gt;Wyld, L.&lt;/author&gt;&lt;/authors&gt;&lt;/contributors&gt;&lt;auth-address&gt;School of Health and Related Research (ScHARR), University of Sheffield, Sheffield, UK.&lt;/auth-address&gt;&lt;titles&gt;&lt;title&gt;Gene expression profiling and expanded immunohistochemistry tests to guide the use of adjuvant chemotherapy in breast cancer management: a systematic review and cost-effectiveness analysis&lt;/title&gt;&lt;secondary-title&gt;Health Technol Assess&lt;/secondary-title&gt;&lt;/titles&gt;&lt;periodical&gt;&lt;full-title&gt;Health Technol Assess&lt;/full-title&gt;&lt;/periodical&gt;&lt;pages&gt;1-302&lt;/pages&gt;&lt;volume&gt;17&lt;/volume&gt;&lt;number&gt;44&lt;/number&gt;&lt;edition&gt;2013/10/04&lt;/edition&gt;&lt;keywords&gt;&lt;keyword&gt;Antineoplastic Agents/economics/ therapeutic use&lt;/keyword&gt;&lt;keyword&gt;Breast Neoplasms/diagnosis/ drug therapy/economics/genetics&lt;/keyword&gt;&lt;keyword&gt;Chemotherapy, Adjuvant/economics/methods&lt;/keyword&gt;&lt;keyword&gt;Cost-Benefit Analysis&lt;/keyword&gt;&lt;keyword&gt;Female&lt;/keyword&gt;&lt;keyword&gt;Gene Expression Profiling/economics/methods&lt;/keyword&gt;&lt;keyword&gt;Humans&lt;/keyword&gt;&lt;keyword&gt;Immunohistochemistry&lt;/keyword&gt;&lt;keyword&gt;Prognosis&lt;/keyword&gt;&lt;keyword&gt;Treatment Outcome&lt;/keyword&gt;&lt;/keywords&gt;&lt;dates&gt;&lt;year&gt;2013&lt;/year&gt;&lt;pub-dates&gt;&lt;date&gt;Oct&lt;/date&gt;&lt;/pub-dates&gt;&lt;/dates&gt;&lt;isbn&gt;2046-4924 (Electronic)&amp;#xD;1366-5278 (Linking)&lt;/isbn&gt;&lt;accession-num&gt;24088296&lt;/accession-num&gt;&lt;urls&gt;&lt;/urls&gt;&lt;electronic-resource-num&gt;10.3310/hta17440&lt;/electronic-resource-num&gt;&lt;remote-database-provider&gt;NLM&lt;/remote-database-provider&gt;&lt;language&gt;eng&lt;/language&gt;&lt;/record&gt;&lt;/Cite&gt;&lt;/EndNote&gt;</w:instrText>
      </w:r>
      <w:r w:rsidR="0020041D">
        <w:fldChar w:fldCharType="separate"/>
      </w:r>
      <w:r w:rsidR="0020041D">
        <w:rPr>
          <w:noProof/>
        </w:rPr>
        <w:t>(</w:t>
      </w:r>
      <w:hyperlink w:anchor="_ENREF_21" w:tooltip="Ward, 2013 #1507" w:history="1">
        <w:r w:rsidR="009558F1">
          <w:rPr>
            <w:noProof/>
          </w:rPr>
          <w:t>Ward et al. 2013</w:t>
        </w:r>
      </w:hyperlink>
      <w:r w:rsidR="0020041D">
        <w:rPr>
          <w:noProof/>
        </w:rPr>
        <w:t>)</w:t>
      </w:r>
      <w:r w:rsidR="0020041D">
        <w:fldChar w:fldCharType="end"/>
      </w:r>
      <w:r w:rsidR="00BC7BE8">
        <w:t>.</w:t>
      </w:r>
    </w:p>
    <w:p w14:paraId="389996D7" w14:textId="77777777" w:rsidR="00E12B34" w:rsidRDefault="00E12B34" w:rsidP="00E12B34">
      <w:pPr>
        <w:spacing w:after="0"/>
      </w:pPr>
    </w:p>
    <w:p w14:paraId="773C818E" w14:textId="0EEAE454" w:rsidR="00E12B34" w:rsidRPr="00BE2386" w:rsidRDefault="00E12B34" w:rsidP="00BE2386">
      <w:pPr>
        <w:pStyle w:val="Heading2"/>
        <w:rPr>
          <w:i/>
          <w:sz w:val="24"/>
          <w:szCs w:val="24"/>
        </w:rPr>
      </w:pPr>
      <w:r w:rsidRPr="00BE2386">
        <w:rPr>
          <w:i/>
          <w:sz w:val="24"/>
          <w:szCs w:val="24"/>
        </w:rPr>
        <w:t>Patient population that would benefit from the proposed service</w:t>
      </w:r>
    </w:p>
    <w:p w14:paraId="6743216A" w14:textId="157D9357" w:rsidR="00B34234" w:rsidRDefault="00B34234" w:rsidP="00540D92">
      <w:r>
        <w:t xml:space="preserve">The </w:t>
      </w:r>
      <w:r w:rsidR="00F15F66">
        <w:t>AJCC</w:t>
      </w:r>
      <w:r w:rsidR="0081571B">
        <w:t xml:space="preserve"> Tumour (T), Lymph Nodes affected (N) and Metastases (M)</w:t>
      </w:r>
      <w:r w:rsidR="00F15F66">
        <w:t xml:space="preserve"> </w:t>
      </w:r>
      <w:r>
        <w:t xml:space="preserve">TNM breast cancer staging classifications are outlined in </w:t>
      </w:r>
      <w:r w:rsidR="0023032E">
        <w:fldChar w:fldCharType="begin"/>
      </w:r>
      <w:r w:rsidR="0023032E">
        <w:instrText xml:space="preserve"> REF _Ref424656500 \h </w:instrText>
      </w:r>
      <w:r w:rsidR="0023032E">
        <w:fldChar w:fldCharType="separate"/>
      </w:r>
      <w:r w:rsidR="00126DA6">
        <w:t xml:space="preserve">Table </w:t>
      </w:r>
      <w:r w:rsidR="00126DA6">
        <w:rPr>
          <w:noProof/>
        </w:rPr>
        <w:t>2</w:t>
      </w:r>
      <w:r w:rsidR="0023032E">
        <w:fldChar w:fldCharType="end"/>
      </w:r>
      <w:r w:rsidR="00F15F66">
        <w:t xml:space="preserve"> </w:t>
      </w:r>
      <w:r w:rsidR="00F15F66">
        <w:fldChar w:fldCharType="begin"/>
      </w:r>
      <w:r w:rsidR="00F15F66">
        <w:instrText xml:space="preserve"> ADDIN EN.CITE &lt;EndNote&gt;&lt;Cite&gt;&lt;Author&gt;AJCC&lt;/Author&gt;&lt;Year&gt;2012&lt;/Year&gt;&lt;RecNum&gt;57&lt;/RecNum&gt;&lt;DisplayText&gt;(AJCC 2012)&lt;/DisplayText&gt;&lt;record&gt;&lt;rec-number&gt;57&lt;/rec-number&gt;&lt;foreign-keys&gt;&lt;key app="EN" db-id="ttvewf9xnepwp2edxe5xxzfw9et0wp9vf9wd" timestamp="1436859454"&gt;57&lt;/key&gt;&lt;/foreign-keys&gt;&lt;ref-type name="Report"&gt;27&lt;/ref-type&gt;&lt;contributors&gt;&lt;authors&gt;&lt;author&gt;AJCC&lt;/author&gt;&lt;/authors&gt;&lt;secondary-authors&gt;&lt;author&gt;Compton C, Byrd DR, Garcia-Aguilar J, Kurtzman SH, Olawaiye A, Washington MK, &lt;/author&gt;&lt;/secondary-authors&gt;&lt;tertiary-authors&gt;&lt;author&gt;Springer&lt;/author&gt;&lt;/tertiary-authors&gt;&lt;/contributors&gt;&lt;titles&gt;&lt;title&gt;Cancer Staging Atlas&lt;/title&gt;&lt;/titles&gt;&lt;edition&gt;2&lt;/edition&gt;&lt;dates&gt;&lt;year&gt;2012&lt;/year&gt;&lt;/dates&gt;&lt;urls&gt;&lt;/urls&gt;&lt;/record&gt;&lt;/Cite&gt;&lt;/EndNote&gt;</w:instrText>
      </w:r>
      <w:r w:rsidR="00F15F66">
        <w:fldChar w:fldCharType="separate"/>
      </w:r>
      <w:r w:rsidR="00F15F66">
        <w:rPr>
          <w:noProof/>
        </w:rPr>
        <w:t>(</w:t>
      </w:r>
      <w:hyperlink w:anchor="_ENREF_3" w:tooltip="AJCC, 2012 #57" w:history="1">
        <w:r w:rsidR="009558F1">
          <w:rPr>
            <w:noProof/>
          </w:rPr>
          <w:t>AJCC 2012</w:t>
        </w:r>
      </w:hyperlink>
      <w:r w:rsidR="00F15F66">
        <w:rPr>
          <w:noProof/>
        </w:rPr>
        <w:t>)</w:t>
      </w:r>
      <w:r w:rsidR="00F15F66">
        <w:fldChar w:fldCharType="end"/>
      </w:r>
      <w:r>
        <w:t xml:space="preserve">. </w:t>
      </w:r>
      <w:r w:rsidR="006C16E5" w:rsidRPr="008E7E83">
        <w:t xml:space="preserve">This application applies to </w:t>
      </w:r>
      <w:r w:rsidR="006C16E5">
        <w:t xml:space="preserve">primary </w:t>
      </w:r>
      <w:r w:rsidR="006C16E5" w:rsidRPr="008E7E83">
        <w:t xml:space="preserve">breast cancer patients who fall into the category of HER2-ve </w:t>
      </w:r>
      <w:r w:rsidR="006C16E5">
        <w:t xml:space="preserve">determined by ISH </w:t>
      </w:r>
      <w:r w:rsidR="006C16E5" w:rsidRPr="008E7E83">
        <w:t xml:space="preserve">and </w:t>
      </w:r>
      <w:proofErr w:type="spellStart"/>
      <w:r w:rsidR="006C16E5" w:rsidRPr="008E7E83">
        <w:t>ER</w:t>
      </w:r>
      <w:r w:rsidR="006C16E5">
        <w:t>+ve</w:t>
      </w:r>
      <w:proofErr w:type="spellEnd"/>
      <w:r w:rsidR="006C16E5">
        <w:t xml:space="preserve"> (either </w:t>
      </w:r>
      <w:proofErr w:type="spellStart"/>
      <w:r w:rsidR="006C16E5">
        <w:t>Pg</w:t>
      </w:r>
      <w:r w:rsidR="006C16E5" w:rsidRPr="008E7E83">
        <w:t>R</w:t>
      </w:r>
      <w:proofErr w:type="spellEnd"/>
      <w:r w:rsidR="006C16E5" w:rsidRPr="008E7E83">
        <w:t xml:space="preserve"> positive</w:t>
      </w:r>
      <w:r w:rsidR="006C16E5">
        <w:t xml:space="preserve"> or negative</w:t>
      </w:r>
      <w:r w:rsidR="006C16E5" w:rsidRPr="008E7E83">
        <w:t>)</w:t>
      </w:r>
      <w:r w:rsidR="006C16E5">
        <w:t>, as determined by IHC, have an operable class T1, T2 or T3 tumour, with or without lymph node involvement (up to 3 nodes)</w:t>
      </w:r>
      <w:r w:rsidR="006C16E5" w:rsidRPr="008E7E83">
        <w:t>.</w:t>
      </w:r>
      <w:r w:rsidR="006C16E5">
        <w:t xml:space="preserve"> </w:t>
      </w:r>
      <w:r w:rsidR="00A643DA">
        <w:t>S</w:t>
      </w:r>
      <w:r>
        <w:t>tages wh</w:t>
      </w:r>
      <w:r w:rsidR="00F15F66">
        <w:t>ich</w:t>
      </w:r>
      <w:r w:rsidR="00A643DA">
        <w:t xml:space="preserve"> </w:t>
      </w:r>
      <w:r w:rsidR="00843FAC">
        <w:t xml:space="preserve">apply to primary </w:t>
      </w:r>
      <w:r w:rsidR="003473C5">
        <w:t xml:space="preserve">operable </w:t>
      </w:r>
      <w:r w:rsidR="00A5455E">
        <w:t>tumour</w:t>
      </w:r>
      <w:r w:rsidR="003473C5">
        <w:t>s</w:t>
      </w:r>
      <w:r w:rsidR="00A5455E">
        <w:t xml:space="preserve"> </w:t>
      </w:r>
      <w:r w:rsidR="003473C5">
        <w:t xml:space="preserve">with </w:t>
      </w:r>
      <w:r w:rsidR="00A5455E">
        <w:t xml:space="preserve">size classifications of T1 </w:t>
      </w:r>
      <w:r w:rsidR="00FC6006">
        <w:t xml:space="preserve">- </w:t>
      </w:r>
      <w:r w:rsidR="003473C5">
        <w:t xml:space="preserve">T3 </w:t>
      </w:r>
      <w:r w:rsidR="00A5455E">
        <w:t>(</w:t>
      </w:r>
      <w:r w:rsidR="003944C0">
        <w:t>but not S</w:t>
      </w:r>
      <w:r w:rsidR="003473C5">
        <w:t>tage III</w:t>
      </w:r>
      <w:r w:rsidR="00A5455E">
        <w:t xml:space="preserve">), </w:t>
      </w:r>
      <w:r w:rsidR="003944C0" w:rsidRPr="003944C0">
        <w:t xml:space="preserve">involvement of 0-3 lymph nodes </w:t>
      </w:r>
      <w:r w:rsidR="003944C0">
        <w:t xml:space="preserve">(N0 or N1) </w:t>
      </w:r>
      <w:r w:rsidR="00A5455E">
        <w:t xml:space="preserve">and </w:t>
      </w:r>
      <w:r w:rsidR="00F15F66">
        <w:t>without distant metastases (classification M0)</w:t>
      </w:r>
      <w:r w:rsidR="003944C0">
        <w:t xml:space="preserve"> are </w:t>
      </w:r>
      <w:r w:rsidR="0033435B">
        <w:t>highlighted.</w:t>
      </w:r>
      <w:r w:rsidR="001B49AE">
        <w:t xml:space="preserve"> Alternatively, tumours assessed as Grade2 are eligible.</w:t>
      </w:r>
    </w:p>
    <w:p w14:paraId="1565D107" w14:textId="7F4D77E9" w:rsidR="0023032E" w:rsidRDefault="0023032E" w:rsidP="00E12B34">
      <w:pPr>
        <w:pStyle w:val="Caption"/>
      </w:pPr>
      <w:bookmarkStart w:id="2" w:name="_Ref424656500"/>
      <w:r>
        <w:lastRenderedPageBreak/>
        <w:t xml:space="preserve">Table </w:t>
      </w:r>
      <w:r>
        <w:fldChar w:fldCharType="begin"/>
      </w:r>
      <w:r>
        <w:instrText xml:space="preserve"> SEQ Table \* ARABIC </w:instrText>
      </w:r>
      <w:r>
        <w:fldChar w:fldCharType="separate"/>
      </w:r>
      <w:r w:rsidR="00126DA6">
        <w:rPr>
          <w:noProof/>
        </w:rPr>
        <w:t>2</w:t>
      </w:r>
      <w:r>
        <w:fldChar w:fldCharType="end"/>
      </w:r>
      <w:bookmarkEnd w:id="2"/>
      <w:r w:rsidR="00BE4CA8">
        <w:tab/>
      </w:r>
      <w:r>
        <w:t xml:space="preserve">TNM staging for breast cancer </w:t>
      </w:r>
      <w:r w:rsidR="005C3DA3">
        <w:fldChar w:fldCharType="begin"/>
      </w:r>
      <w:r w:rsidR="005C3DA3">
        <w:instrText xml:space="preserve"> ADDIN EN.CITE &lt;EndNote&gt;&lt;Cite&gt;&lt;Author&gt;AJCC&lt;/Author&gt;&lt;Year&gt;2012&lt;/Year&gt;&lt;RecNum&gt;57&lt;/RecNum&gt;&lt;DisplayText&gt;(AJCC 2012)&lt;/DisplayText&gt;&lt;record&gt;&lt;rec-number&gt;57&lt;/rec-number&gt;&lt;foreign-keys&gt;&lt;key app="EN" db-id="ttvewf9xnepwp2edxe5xxzfw9et0wp9vf9wd" timestamp="1436859454"&gt;57&lt;/key&gt;&lt;/foreign-keys&gt;&lt;ref-type name="Report"&gt;27&lt;/ref-type&gt;&lt;contributors&gt;&lt;authors&gt;&lt;author&gt;AJCC&lt;/author&gt;&lt;/authors&gt;&lt;secondary-authors&gt;&lt;author&gt;Compton C, Byrd DR, Garcia-Aguilar J, Kurtzman SH, Olawaiye A, Washington MK, &lt;/author&gt;&lt;/secondary-authors&gt;&lt;tertiary-authors&gt;&lt;author&gt;Springer&lt;/author&gt;&lt;/tertiary-authors&gt;&lt;/contributors&gt;&lt;titles&gt;&lt;title&gt;Cancer Staging Atlas&lt;/title&gt;&lt;/titles&gt;&lt;edition&gt;2&lt;/edition&gt;&lt;dates&gt;&lt;year&gt;2012&lt;/year&gt;&lt;/dates&gt;&lt;urls&gt;&lt;/urls&gt;&lt;/record&gt;&lt;/Cite&gt;&lt;/EndNote&gt;</w:instrText>
      </w:r>
      <w:r w:rsidR="005C3DA3">
        <w:fldChar w:fldCharType="separate"/>
      </w:r>
      <w:r w:rsidR="005C3DA3">
        <w:rPr>
          <w:noProof/>
        </w:rPr>
        <w:t>(</w:t>
      </w:r>
      <w:hyperlink w:anchor="_ENREF_3" w:tooltip="AJCC, 2012 #57" w:history="1">
        <w:r w:rsidR="009558F1">
          <w:rPr>
            <w:noProof/>
          </w:rPr>
          <w:t>AJCC 2012</w:t>
        </w:r>
      </w:hyperlink>
      <w:r w:rsidR="005C3DA3">
        <w:rPr>
          <w:noProof/>
        </w:rPr>
        <w:t>)</w:t>
      </w:r>
      <w:r w:rsidR="005C3DA3">
        <w:fldChar w:fldCharType="end"/>
      </w:r>
    </w:p>
    <w:tbl>
      <w:tblPr>
        <w:tblStyle w:val="TableGrid"/>
        <w:tblW w:w="0" w:type="auto"/>
        <w:tblLook w:val="04A0" w:firstRow="1" w:lastRow="0" w:firstColumn="1" w:lastColumn="0" w:noHBand="0" w:noVBand="1"/>
        <w:tblDescription w:val="Table 2: TNM staging for breast cancer, with highlights to show which population is proposed to be suitable for Endopredict."/>
      </w:tblPr>
      <w:tblGrid>
        <w:gridCol w:w="1809"/>
        <w:gridCol w:w="1985"/>
        <w:gridCol w:w="2126"/>
        <w:gridCol w:w="2126"/>
      </w:tblGrid>
      <w:tr w:rsidR="0023032E" w:rsidRPr="00454702" w14:paraId="40A4E8BA" w14:textId="77777777" w:rsidTr="00A20F81">
        <w:trPr>
          <w:tblHeader/>
        </w:trPr>
        <w:tc>
          <w:tcPr>
            <w:tcW w:w="1809" w:type="dxa"/>
          </w:tcPr>
          <w:p w14:paraId="7E10B422" w14:textId="77777777" w:rsidR="0023032E" w:rsidRPr="00540D92" w:rsidRDefault="0023032E" w:rsidP="00540D92">
            <w:pPr>
              <w:keepNext/>
              <w:spacing w:before="40" w:after="40"/>
              <w:rPr>
                <w:rFonts w:ascii="Arial Narrow" w:hAnsi="Arial Narrow"/>
                <w:b/>
                <w:sz w:val="20"/>
              </w:rPr>
            </w:pPr>
            <w:r w:rsidRPr="00540D92">
              <w:rPr>
                <w:rFonts w:ascii="Arial Narrow" w:hAnsi="Arial Narrow"/>
                <w:b/>
                <w:sz w:val="20"/>
              </w:rPr>
              <w:t>Stage</w:t>
            </w:r>
          </w:p>
        </w:tc>
        <w:tc>
          <w:tcPr>
            <w:tcW w:w="1985" w:type="dxa"/>
          </w:tcPr>
          <w:p w14:paraId="61DB7E33" w14:textId="77777777" w:rsidR="0023032E" w:rsidRPr="00540D92" w:rsidRDefault="0023032E" w:rsidP="00540D92">
            <w:pPr>
              <w:keepNext/>
              <w:spacing w:before="40" w:after="40"/>
              <w:rPr>
                <w:rFonts w:ascii="Arial Narrow" w:hAnsi="Arial Narrow"/>
                <w:b/>
                <w:sz w:val="20"/>
              </w:rPr>
            </w:pPr>
            <w:r w:rsidRPr="00540D92">
              <w:rPr>
                <w:rFonts w:ascii="Arial Narrow" w:hAnsi="Arial Narrow"/>
                <w:b/>
                <w:sz w:val="20"/>
              </w:rPr>
              <w:t>T classification</w:t>
            </w:r>
          </w:p>
        </w:tc>
        <w:tc>
          <w:tcPr>
            <w:tcW w:w="2126" w:type="dxa"/>
          </w:tcPr>
          <w:p w14:paraId="3C85627D" w14:textId="77777777" w:rsidR="0023032E" w:rsidRPr="00540D92" w:rsidRDefault="0023032E" w:rsidP="00540D92">
            <w:pPr>
              <w:keepNext/>
              <w:spacing w:before="40" w:after="40"/>
              <w:rPr>
                <w:rFonts w:ascii="Arial Narrow" w:hAnsi="Arial Narrow"/>
                <w:b/>
                <w:sz w:val="20"/>
              </w:rPr>
            </w:pPr>
            <w:r w:rsidRPr="00540D92">
              <w:rPr>
                <w:rFonts w:ascii="Arial Narrow" w:hAnsi="Arial Narrow"/>
                <w:b/>
                <w:sz w:val="20"/>
              </w:rPr>
              <w:t>N classification</w:t>
            </w:r>
          </w:p>
        </w:tc>
        <w:tc>
          <w:tcPr>
            <w:tcW w:w="2126" w:type="dxa"/>
          </w:tcPr>
          <w:p w14:paraId="642027D4" w14:textId="77777777" w:rsidR="0023032E" w:rsidRPr="00540D92" w:rsidRDefault="0023032E" w:rsidP="00540D92">
            <w:pPr>
              <w:keepNext/>
              <w:spacing w:before="40" w:after="40"/>
              <w:rPr>
                <w:rFonts w:ascii="Arial Narrow" w:hAnsi="Arial Narrow"/>
                <w:b/>
                <w:sz w:val="20"/>
              </w:rPr>
            </w:pPr>
            <w:r w:rsidRPr="00540D92">
              <w:rPr>
                <w:rFonts w:ascii="Arial Narrow" w:hAnsi="Arial Narrow"/>
                <w:b/>
                <w:sz w:val="20"/>
              </w:rPr>
              <w:t>M classification</w:t>
            </w:r>
          </w:p>
        </w:tc>
      </w:tr>
      <w:tr w:rsidR="0023032E" w:rsidRPr="00454702" w14:paraId="0C955635" w14:textId="77777777" w:rsidTr="00E3338D">
        <w:tc>
          <w:tcPr>
            <w:tcW w:w="1809" w:type="dxa"/>
            <w:shd w:val="clear" w:color="auto" w:fill="auto"/>
          </w:tcPr>
          <w:p w14:paraId="1180F2F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0</w:t>
            </w:r>
          </w:p>
        </w:tc>
        <w:tc>
          <w:tcPr>
            <w:tcW w:w="1985" w:type="dxa"/>
            <w:shd w:val="clear" w:color="auto" w:fill="auto"/>
          </w:tcPr>
          <w:p w14:paraId="1AF523C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Tis</w:t>
            </w:r>
          </w:p>
        </w:tc>
        <w:tc>
          <w:tcPr>
            <w:tcW w:w="2126" w:type="dxa"/>
            <w:shd w:val="clear" w:color="auto" w:fill="auto"/>
          </w:tcPr>
          <w:p w14:paraId="496A586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N0</w:t>
            </w:r>
          </w:p>
        </w:tc>
        <w:tc>
          <w:tcPr>
            <w:tcW w:w="2126" w:type="dxa"/>
            <w:shd w:val="clear" w:color="auto" w:fill="auto"/>
          </w:tcPr>
          <w:p w14:paraId="0FCED385"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49803531" w14:textId="77777777" w:rsidTr="005C3DA3">
        <w:tc>
          <w:tcPr>
            <w:tcW w:w="1809" w:type="dxa"/>
            <w:shd w:val="clear" w:color="auto" w:fill="FBD4B4" w:themeFill="accent6" w:themeFillTint="66"/>
          </w:tcPr>
          <w:p w14:paraId="5818EE4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IA</w:t>
            </w:r>
          </w:p>
        </w:tc>
        <w:tc>
          <w:tcPr>
            <w:tcW w:w="1985" w:type="dxa"/>
            <w:shd w:val="clear" w:color="auto" w:fill="FBD4B4" w:themeFill="accent6" w:themeFillTint="66"/>
          </w:tcPr>
          <w:p w14:paraId="4F799DB0"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T1*</w:t>
            </w:r>
          </w:p>
        </w:tc>
        <w:tc>
          <w:tcPr>
            <w:tcW w:w="2126" w:type="dxa"/>
            <w:shd w:val="clear" w:color="auto" w:fill="FBD4B4" w:themeFill="accent6" w:themeFillTint="66"/>
          </w:tcPr>
          <w:p w14:paraId="07A353D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N0</w:t>
            </w:r>
          </w:p>
        </w:tc>
        <w:tc>
          <w:tcPr>
            <w:tcW w:w="2126" w:type="dxa"/>
            <w:shd w:val="clear" w:color="auto" w:fill="FBD4B4" w:themeFill="accent6" w:themeFillTint="66"/>
          </w:tcPr>
          <w:p w14:paraId="1FD5007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78661332" w14:textId="77777777" w:rsidTr="00E3338D">
        <w:tc>
          <w:tcPr>
            <w:tcW w:w="1809" w:type="dxa"/>
            <w:shd w:val="clear" w:color="auto" w:fill="auto"/>
          </w:tcPr>
          <w:p w14:paraId="56856FB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IB</w:t>
            </w:r>
          </w:p>
        </w:tc>
        <w:tc>
          <w:tcPr>
            <w:tcW w:w="1985" w:type="dxa"/>
            <w:shd w:val="clear" w:color="auto" w:fill="auto"/>
          </w:tcPr>
          <w:p w14:paraId="581BB44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T0</w:t>
            </w:r>
          </w:p>
        </w:tc>
        <w:tc>
          <w:tcPr>
            <w:tcW w:w="2126" w:type="dxa"/>
            <w:shd w:val="clear" w:color="auto" w:fill="auto"/>
          </w:tcPr>
          <w:p w14:paraId="39E081E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N1mi</w:t>
            </w:r>
          </w:p>
        </w:tc>
        <w:tc>
          <w:tcPr>
            <w:tcW w:w="2126" w:type="dxa"/>
            <w:shd w:val="clear" w:color="auto" w:fill="auto"/>
          </w:tcPr>
          <w:p w14:paraId="74E460E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107B424F" w14:textId="77777777" w:rsidTr="005C3DA3">
        <w:tc>
          <w:tcPr>
            <w:tcW w:w="1809" w:type="dxa"/>
            <w:shd w:val="clear" w:color="auto" w:fill="FBD4B4" w:themeFill="accent6" w:themeFillTint="66"/>
          </w:tcPr>
          <w:p w14:paraId="7EFB557A" w14:textId="77777777" w:rsidR="0023032E" w:rsidRPr="00540D92" w:rsidRDefault="0023032E" w:rsidP="00540D92">
            <w:pPr>
              <w:keepNext/>
              <w:spacing w:before="40" w:after="40"/>
              <w:rPr>
                <w:rFonts w:ascii="Arial Narrow" w:hAnsi="Arial Narrow"/>
                <w:sz w:val="20"/>
              </w:rPr>
            </w:pPr>
          </w:p>
        </w:tc>
        <w:tc>
          <w:tcPr>
            <w:tcW w:w="1985" w:type="dxa"/>
            <w:shd w:val="clear" w:color="auto" w:fill="FBD4B4" w:themeFill="accent6" w:themeFillTint="66"/>
          </w:tcPr>
          <w:p w14:paraId="0B0B3451"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T1*</w:t>
            </w:r>
          </w:p>
        </w:tc>
        <w:tc>
          <w:tcPr>
            <w:tcW w:w="2126" w:type="dxa"/>
            <w:shd w:val="clear" w:color="auto" w:fill="FBD4B4" w:themeFill="accent6" w:themeFillTint="66"/>
          </w:tcPr>
          <w:p w14:paraId="47E2B8CE"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N1mi</w:t>
            </w:r>
          </w:p>
        </w:tc>
        <w:tc>
          <w:tcPr>
            <w:tcW w:w="2126" w:type="dxa"/>
            <w:shd w:val="clear" w:color="auto" w:fill="FBD4B4" w:themeFill="accent6" w:themeFillTint="66"/>
          </w:tcPr>
          <w:p w14:paraId="5FD88536"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73FFE181" w14:textId="77777777" w:rsidTr="00E3338D">
        <w:tc>
          <w:tcPr>
            <w:tcW w:w="1809" w:type="dxa"/>
            <w:shd w:val="clear" w:color="auto" w:fill="auto"/>
          </w:tcPr>
          <w:p w14:paraId="63AB946F"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IIA</w:t>
            </w:r>
          </w:p>
        </w:tc>
        <w:tc>
          <w:tcPr>
            <w:tcW w:w="1985" w:type="dxa"/>
            <w:shd w:val="clear" w:color="auto" w:fill="auto"/>
          </w:tcPr>
          <w:p w14:paraId="486A47F5"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T0</w:t>
            </w:r>
          </w:p>
        </w:tc>
        <w:tc>
          <w:tcPr>
            <w:tcW w:w="2126" w:type="dxa"/>
            <w:shd w:val="clear" w:color="auto" w:fill="auto"/>
          </w:tcPr>
          <w:p w14:paraId="30574F7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w:t>
            </w:r>
          </w:p>
        </w:tc>
        <w:tc>
          <w:tcPr>
            <w:tcW w:w="2126" w:type="dxa"/>
            <w:shd w:val="clear" w:color="auto" w:fill="auto"/>
          </w:tcPr>
          <w:p w14:paraId="2090F47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6CA43A03" w14:textId="77777777" w:rsidTr="005C3DA3">
        <w:tc>
          <w:tcPr>
            <w:tcW w:w="1809" w:type="dxa"/>
            <w:shd w:val="clear" w:color="auto" w:fill="FBD4B4" w:themeFill="accent6" w:themeFillTint="66"/>
          </w:tcPr>
          <w:p w14:paraId="3A7B155D" w14:textId="77777777" w:rsidR="0023032E" w:rsidRPr="00540D92" w:rsidRDefault="0023032E" w:rsidP="00540D92">
            <w:pPr>
              <w:keepNext/>
              <w:spacing w:before="40" w:after="40"/>
              <w:rPr>
                <w:rFonts w:ascii="Arial Narrow" w:hAnsi="Arial Narrow"/>
                <w:sz w:val="20"/>
              </w:rPr>
            </w:pPr>
          </w:p>
        </w:tc>
        <w:tc>
          <w:tcPr>
            <w:tcW w:w="1985" w:type="dxa"/>
            <w:shd w:val="clear" w:color="auto" w:fill="FBD4B4" w:themeFill="accent6" w:themeFillTint="66"/>
          </w:tcPr>
          <w:p w14:paraId="1EEF623C"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T1*</w:t>
            </w:r>
          </w:p>
        </w:tc>
        <w:tc>
          <w:tcPr>
            <w:tcW w:w="2126" w:type="dxa"/>
            <w:shd w:val="clear" w:color="auto" w:fill="FBD4B4" w:themeFill="accent6" w:themeFillTint="66"/>
          </w:tcPr>
          <w:p w14:paraId="60985C48"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w:t>
            </w:r>
          </w:p>
        </w:tc>
        <w:tc>
          <w:tcPr>
            <w:tcW w:w="2126" w:type="dxa"/>
            <w:shd w:val="clear" w:color="auto" w:fill="FBD4B4" w:themeFill="accent6" w:themeFillTint="66"/>
          </w:tcPr>
          <w:p w14:paraId="501910BE"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1F2203CA" w14:textId="77777777" w:rsidTr="005C3DA3">
        <w:tc>
          <w:tcPr>
            <w:tcW w:w="1809" w:type="dxa"/>
            <w:shd w:val="clear" w:color="auto" w:fill="FBD4B4" w:themeFill="accent6" w:themeFillTint="66"/>
          </w:tcPr>
          <w:p w14:paraId="735281FE" w14:textId="77777777" w:rsidR="0023032E" w:rsidRPr="00540D92" w:rsidRDefault="0023032E" w:rsidP="00540D92">
            <w:pPr>
              <w:keepNext/>
              <w:spacing w:before="40" w:after="40"/>
              <w:rPr>
                <w:rFonts w:ascii="Arial Narrow" w:hAnsi="Arial Narrow"/>
                <w:sz w:val="20"/>
              </w:rPr>
            </w:pPr>
          </w:p>
        </w:tc>
        <w:tc>
          <w:tcPr>
            <w:tcW w:w="1985" w:type="dxa"/>
            <w:shd w:val="clear" w:color="auto" w:fill="FBD4B4" w:themeFill="accent6" w:themeFillTint="66"/>
          </w:tcPr>
          <w:p w14:paraId="3F51E5AF"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T2</w:t>
            </w:r>
          </w:p>
        </w:tc>
        <w:tc>
          <w:tcPr>
            <w:tcW w:w="2126" w:type="dxa"/>
            <w:shd w:val="clear" w:color="auto" w:fill="FBD4B4" w:themeFill="accent6" w:themeFillTint="66"/>
          </w:tcPr>
          <w:p w14:paraId="43E5408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N0</w:t>
            </w:r>
          </w:p>
        </w:tc>
        <w:tc>
          <w:tcPr>
            <w:tcW w:w="2126" w:type="dxa"/>
            <w:shd w:val="clear" w:color="auto" w:fill="FBD4B4" w:themeFill="accent6" w:themeFillTint="66"/>
          </w:tcPr>
          <w:p w14:paraId="4CE8EEE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09F2C9FE" w14:textId="77777777" w:rsidTr="005C3DA3">
        <w:tc>
          <w:tcPr>
            <w:tcW w:w="1809" w:type="dxa"/>
            <w:shd w:val="clear" w:color="auto" w:fill="FBD4B4" w:themeFill="accent6" w:themeFillTint="66"/>
          </w:tcPr>
          <w:p w14:paraId="76F81720"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IIB</w:t>
            </w:r>
          </w:p>
        </w:tc>
        <w:tc>
          <w:tcPr>
            <w:tcW w:w="1985" w:type="dxa"/>
            <w:shd w:val="clear" w:color="auto" w:fill="FBD4B4" w:themeFill="accent6" w:themeFillTint="66"/>
          </w:tcPr>
          <w:p w14:paraId="269C100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T2</w:t>
            </w:r>
          </w:p>
        </w:tc>
        <w:tc>
          <w:tcPr>
            <w:tcW w:w="2126" w:type="dxa"/>
            <w:shd w:val="clear" w:color="auto" w:fill="FBD4B4" w:themeFill="accent6" w:themeFillTint="66"/>
          </w:tcPr>
          <w:p w14:paraId="4C208C1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w:t>
            </w:r>
          </w:p>
        </w:tc>
        <w:tc>
          <w:tcPr>
            <w:tcW w:w="2126" w:type="dxa"/>
            <w:shd w:val="clear" w:color="auto" w:fill="FBD4B4" w:themeFill="accent6" w:themeFillTint="66"/>
          </w:tcPr>
          <w:p w14:paraId="17AAAE70"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7F74DA22" w14:textId="77777777" w:rsidTr="00E3338D">
        <w:tc>
          <w:tcPr>
            <w:tcW w:w="1809" w:type="dxa"/>
            <w:shd w:val="clear" w:color="auto" w:fill="FBD4B4" w:themeFill="accent6" w:themeFillTint="66"/>
          </w:tcPr>
          <w:p w14:paraId="423BDDCE" w14:textId="77777777" w:rsidR="0023032E" w:rsidRPr="00540D92" w:rsidRDefault="0023032E" w:rsidP="00540D92">
            <w:pPr>
              <w:keepNext/>
              <w:spacing w:before="40" w:after="40"/>
              <w:rPr>
                <w:rFonts w:ascii="Arial Narrow" w:hAnsi="Arial Narrow"/>
                <w:sz w:val="20"/>
              </w:rPr>
            </w:pPr>
          </w:p>
        </w:tc>
        <w:tc>
          <w:tcPr>
            <w:tcW w:w="1985" w:type="dxa"/>
            <w:shd w:val="clear" w:color="auto" w:fill="FBD4B4" w:themeFill="accent6" w:themeFillTint="66"/>
          </w:tcPr>
          <w:p w14:paraId="0DB8FB16"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T3</w:t>
            </w:r>
          </w:p>
        </w:tc>
        <w:tc>
          <w:tcPr>
            <w:tcW w:w="2126" w:type="dxa"/>
            <w:shd w:val="clear" w:color="auto" w:fill="FBD4B4" w:themeFill="accent6" w:themeFillTint="66"/>
          </w:tcPr>
          <w:p w14:paraId="0C8526E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N0</w:t>
            </w:r>
          </w:p>
        </w:tc>
        <w:tc>
          <w:tcPr>
            <w:tcW w:w="2126" w:type="dxa"/>
            <w:shd w:val="clear" w:color="auto" w:fill="FBD4B4" w:themeFill="accent6" w:themeFillTint="66"/>
          </w:tcPr>
          <w:p w14:paraId="6B323053"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54511C38" w14:textId="77777777" w:rsidTr="005C3DA3">
        <w:tc>
          <w:tcPr>
            <w:tcW w:w="1809" w:type="dxa"/>
          </w:tcPr>
          <w:p w14:paraId="40E13F7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IIIA</w:t>
            </w:r>
          </w:p>
        </w:tc>
        <w:tc>
          <w:tcPr>
            <w:tcW w:w="1985" w:type="dxa"/>
          </w:tcPr>
          <w:p w14:paraId="1C4C8E7A"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T0</w:t>
            </w:r>
          </w:p>
        </w:tc>
        <w:tc>
          <w:tcPr>
            <w:tcW w:w="2126" w:type="dxa"/>
          </w:tcPr>
          <w:p w14:paraId="4002946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N2</w:t>
            </w:r>
          </w:p>
        </w:tc>
        <w:tc>
          <w:tcPr>
            <w:tcW w:w="2126" w:type="dxa"/>
          </w:tcPr>
          <w:p w14:paraId="3E04AC41"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3A48BB73" w14:textId="77777777" w:rsidTr="005C3DA3">
        <w:tc>
          <w:tcPr>
            <w:tcW w:w="1809" w:type="dxa"/>
          </w:tcPr>
          <w:p w14:paraId="46B46BAE" w14:textId="77777777" w:rsidR="0023032E" w:rsidRPr="00540D92" w:rsidRDefault="0023032E" w:rsidP="00540D92">
            <w:pPr>
              <w:keepNext/>
              <w:spacing w:before="40" w:after="40"/>
              <w:rPr>
                <w:rFonts w:ascii="Arial Narrow" w:hAnsi="Arial Narrow"/>
                <w:sz w:val="20"/>
              </w:rPr>
            </w:pPr>
          </w:p>
        </w:tc>
        <w:tc>
          <w:tcPr>
            <w:tcW w:w="1985" w:type="dxa"/>
          </w:tcPr>
          <w:p w14:paraId="1293DC2A"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T1*</w:t>
            </w:r>
          </w:p>
        </w:tc>
        <w:tc>
          <w:tcPr>
            <w:tcW w:w="2126" w:type="dxa"/>
          </w:tcPr>
          <w:p w14:paraId="4D71E497"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N2</w:t>
            </w:r>
          </w:p>
        </w:tc>
        <w:tc>
          <w:tcPr>
            <w:tcW w:w="2126" w:type="dxa"/>
          </w:tcPr>
          <w:p w14:paraId="255B4A93"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4AB30F22" w14:textId="77777777" w:rsidTr="005C3DA3">
        <w:tc>
          <w:tcPr>
            <w:tcW w:w="1809" w:type="dxa"/>
          </w:tcPr>
          <w:p w14:paraId="134C00A6" w14:textId="77777777" w:rsidR="0023032E" w:rsidRPr="00540D92" w:rsidRDefault="0023032E" w:rsidP="00540D92">
            <w:pPr>
              <w:keepNext/>
              <w:spacing w:before="40" w:after="40"/>
              <w:rPr>
                <w:rFonts w:ascii="Arial Narrow" w:hAnsi="Arial Narrow"/>
                <w:sz w:val="20"/>
              </w:rPr>
            </w:pPr>
          </w:p>
        </w:tc>
        <w:tc>
          <w:tcPr>
            <w:tcW w:w="1985" w:type="dxa"/>
          </w:tcPr>
          <w:p w14:paraId="65C199EC"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T2</w:t>
            </w:r>
          </w:p>
        </w:tc>
        <w:tc>
          <w:tcPr>
            <w:tcW w:w="2126" w:type="dxa"/>
          </w:tcPr>
          <w:p w14:paraId="4F3AE6B9"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N2</w:t>
            </w:r>
          </w:p>
        </w:tc>
        <w:tc>
          <w:tcPr>
            <w:tcW w:w="2126" w:type="dxa"/>
          </w:tcPr>
          <w:p w14:paraId="21B227F1"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27C310C7" w14:textId="77777777" w:rsidTr="00540D92">
        <w:tc>
          <w:tcPr>
            <w:tcW w:w="1809" w:type="dxa"/>
            <w:shd w:val="clear" w:color="auto" w:fill="auto"/>
          </w:tcPr>
          <w:p w14:paraId="5258693C" w14:textId="77777777" w:rsidR="0023032E" w:rsidRPr="00540D92" w:rsidRDefault="0023032E" w:rsidP="00540D92">
            <w:pPr>
              <w:keepNext/>
              <w:spacing w:before="40" w:after="40"/>
              <w:rPr>
                <w:rFonts w:ascii="Arial Narrow" w:hAnsi="Arial Narrow"/>
                <w:sz w:val="20"/>
              </w:rPr>
            </w:pPr>
          </w:p>
        </w:tc>
        <w:tc>
          <w:tcPr>
            <w:tcW w:w="1985" w:type="dxa"/>
            <w:shd w:val="clear" w:color="auto" w:fill="auto"/>
          </w:tcPr>
          <w:p w14:paraId="24CA137E"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T3</w:t>
            </w:r>
          </w:p>
        </w:tc>
        <w:tc>
          <w:tcPr>
            <w:tcW w:w="2126" w:type="dxa"/>
            <w:shd w:val="clear" w:color="auto" w:fill="auto"/>
          </w:tcPr>
          <w:p w14:paraId="775A8370"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w:t>
            </w:r>
          </w:p>
        </w:tc>
        <w:tc>
          <w:tcPr>
            <w:tcW w:w="2126" w:type="dxa"/>
            <w:shd w:val="clear" w:color="auto" w:fill="auto"/>
          </w:tcPr>
          <w:p w14:paraId="66716881"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291C292C" w14:textId="77777777" w:rsidTr="005C3DA3">
        <w:tc>
          <w:tcPr>
            <w:tcW w:w="1809" w:type="dxa"/>
          </w:tcPr>
          <w:p w14:paraId="01677C10" w14:textId="77777777" w:rsidR="0023032E" w:rsidRPr="00540D92" w:rsidRDefault="0023032E" w:rsidP="00540D92">
            <w:pPr>
              <w:keepNext/>
              <w:spacing w:before="40" w:after="40"/>
              <w:rPr>
                <w:rFonts w:ascii="Arial Narrow" w:hAnsi="Arial Narrow"/>
                <w:sz w:val="20"/>
              </w:rPr>
            </w:pPr>
          </w:p>
        </w:tc>
        <w:tc>
          <w:tcPr>
            <w:tcW w:w="1985" w:type="dxa"/>
          </w:tcPr>
          <w:p w14:paraId="7A0F1626"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T3</w:t>
            </w:r>
          </w:p>
        </w:tc>
        <w:tc>
          <w:tcPr>
            <w:tcW w:w="2126" w:type="dxa"/>
          </w:tcPr>
          <w:p w14:paraId="2FD1B3AE" w14:textId="334B9466" w:rsidR="0023032E" w:rsidRPr="00540D92" w:rsidRDefault="003473C5" w:rsidP="00540D92">
            <w:pPr>
              <w:keepNext/>
              <w:spacing w:before="40" w:after="40"/>
              <w:rPr>
                <w:rFonts w:ascii="Arial Narrow" w:hAnsi="Arial Narrow"/>
                <w:sz w:val="20"/>
              </w:rPr>
            </w:pPr>
            <w:r w:rsidRPr="00454702">
              <w:rPr>
                <w:rFonts w:ascii="Arial Narrow" w:hAnsi="Arial Narrow"/>
                <w:sz w:val="20"/>
                <w:szCs w:val="20"/>
              </w:rPr>
              <w:t>N2</w:t>
            </w:r>
          </w:p>
        </w:tc>
        <w:tc>
          <w:tcPr>
            <w:tcW w:w="2126" w:type="dxa"/>
          </w:tcPr>
          <w:p w14:paraId="1AE6F39A"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36F2CC76" w14:textId="77777777" w:rsidTr="00540D92">
        <w:tc>
          <w:tcPr>
            <w:tcW w:w="1809" w:type="dxa"/>
            <w:shd w:val="clear" w:color="auto" w:fill="auto"/>
          </w:tcPr>
          <w:p w14:paraId="386448B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IIIB</w:t>
            </w:r>
          </w:p>
        </w:tc>
        <w:tc>
          <w:tcPr>
            <w:tcW w:w="1985" w:type="dxa"/>
            <w:shd w:val="clear" w:color="auto" w:fill="auto"/>
          </w:tcPr>
          <w:p w14:paraId="7A4746A2"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T4</w:t>
            </w:r>
          </w:p>
        </w:tc>
        <w:tc>
          <w:tcPr>
            <w:tcW w:w="2126" w:type="dxa"/>
            <w:shd w:val="clear" w:color="auto" w:fill="auto"/>
          </w:tcPr>
          <w:p w14:paraId="1B6DBC1A"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N0</w:t>
            </w:r>
          </w:p>
        </w:tc>
        <w:tc>
          <w:tcPr>
            <w:tcW w:w="2126" w:type="dxa"/>
            <w:shd w:val="clear" w:color="auto" w:fill="auto"/>
          </w:tcPr>
          <w:p w14:paraId="5BD5DFA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44A5987B" w14:textId="77777777" w:rsidTr="00540D92">
        <w:tc>
          <w:tcPr>
            <w:tcW w:w="1809" w:type="dxa"/>
            <w:shd w:val="clear" w:color="auto" w:fill="auto"/>
          </w:tcPr>
          <w:p w14:paraId="1B9A91D4" w14:textId="77777777" w:rsidR="0023032E" w:rsidRPr="00540D92" w:rsidRDefault="0023032E" w:rsidP="00540D92">
            <w:pPr>
              <w:keepNext/>
              <w:spacing w:before="40" w:after="40"/>
              <w:rPr>
                <w:rFonts w:ascii="Arial Narrow" w:hAnsi="Arial Narrow"/>
                <w:sz w:val="20"/>
              </w:rPr>
            </w:pPr>
          </w:p>
        </w:tc>
        <w:tc>
          <w:tcPr>
            <w:tcW w:w="1985" w:type="dxa"/>
            <w:shd w:val="clear" w:color="auto" w:fill="auto"/>
          </w:tcPr>
          <w:p w14:paraId="13D92605"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T4</w:t>
            </w:r>
          </w:p>
        </w:tc>
        <w:tc>
          <w:tcPr>
            <w:tcW w:w="2126" w:type="dxa"/>
            <w:shd w:val="clear" w:color="auto" w:fill="auto"/>
          </w:tcPr>
          <w:p w14:paraId="0C94438B"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N1</w:t>
            </w:r>
          </w:p>
        </w:tc>
        <w:tc>
          <w:tcPr>
            <w:tcW w:w="2126" w:type="dxa"/>
            <w:shd w:val="clear" w:color="auto" w:fill="auto"/>
          </w:tcPr>
          <w:p w14:paraId="2EEFE80A"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1695F141" w14:textId="77777777" w:rsidTr="005C3DA3">
        <w:tc>
          <w:tcPr>
            <w:tcW w:w="1809" w:type="dxa"/>
          </w:tcPr>
          <w:p w14:paraId="1FD78026" w14:textId="77777777" w:rsidR="0023032E" w:rsidRPr="00540D92" w:rsidRDefault="0023032E" w:rsidP="00540D92">
            <w:pPr>
              <w:keepNext/>
              <w:spacing w:before="40" w:after="40"/>
              <w:rPr>
                <w:rFonts w:ascii="Arial Narrow" w:hAnsi="Arial Narrow"/>
                <w:sz w:val="20"/>
              </w:rPr>
            </w:pPr>
          </w:p>
        </w:tc>
        <w:tc>
          <w:tcPr>
            <w:tcW w:w="1985" w:type="dxa"/>
          </w:tcPr>
          <w:p w14:paraId="295C0700"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T4</w:t>
            </w:r>
          </w:p>
        </w:tc>
        <w:tc>
          <w:tcPr>
            <w:tcW w:w="2126" w:type="dxa"/>
          </w:tcPr>
          <w:p w14:paraId="4A8552A2"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N2</w:t>
            </w:r>
          </w:p>
        </w:tc>
        <w:tc>
          <w:tcPr>
            <w:tcW w:w="2126" w:type="dxa"/>
          </w:tcPr>
          <w:p w14:paraId="77BFDD33"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48E05677" w14:textId="77777777" w:rsidTr="005C3DA3">
        <w:tc>
          <w:tcPr>
            <w:tcW w:w="1809" w:type="dxa"/>
          </w:tcPr>
          <w:p w14:paraId="11550AAE"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IIIC</w:t>
            </w:r>
          </w:p>
        </w:tc>
        <w:tc>
          <w:tcPr>
            <w:tcW w:w="1985" w:type="dxa"/>
          </w:tcPr>
          <w:p w14:paraId="0687744E"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Any T</w:t>
            </w:r>
          </w:p>
        </w:tc>
        <w:tc>
          <w:tcPr>
            <w:tcW w:w="2126" w:type="dxa"/>
          </w:tcPr>
          <w:p w14:paraId="15858591"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N3</w:t>
            </w:r>
          </w:p>
        </w:tc>
        <w:tc>
          <w:tcPr>
            <w:tcW w:w="2126" w:type="dxa"/>
          </w:tcPr>
          <w:p w14:paraId="3E61CC1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M0</w:t>
            </w:r>
          </w:p>
        </w:tc>
      </w:tr>
      <w:tr w:rsidR="0023032E" w:rsidRPr="00454702" w14:paraId="3EF73DDA" w14:textId="77777777" w:rsidTr="005C3DA3">
        <w:tc>
          <w:tcPr>
            <w:tcW w:w="1809" w:type="dxa"/>
          </w:tcPr>
          <w:p w14:paraId="6161FC94"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Stage IV</w:t>
            </w:r>
          </w:p>
        </w:tc>
        <w:tc>
          <w:tcPr>
            <w:tcW w:w="1985" w:type="dxa"/>
          </w:tcPr>
          <w:p w14:paraId="0723A272"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Any T</w:t>
            </w:r>
          </w:p>
        </w:tc>
        <w:tc>
          <w:tcPr>
            <w:tcW w:w="2126" w:type="dxa"/>
          </w:tcPr>
          <w:p w14:paraId="7D1B995F"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Any N</w:t>
            </w:r>
          </w:p>
        </w:tc>
        <w:tc>
          <w:tcPr>
            <w:tcW w:w="2126" w:type="dxa"/>
          </w:tcPr>
          <w:p w14:paraId="26D7C6ED" w14:textId="77777777" w:rsidR="0023032E" w:rsidRPr="00540D92" w:rsidRDefault="0023032E" w:rsidP="00540D92">
            <w:pPr>
              <w:keepNext/>
              <w:spacing w:before="40" w:after="40"/>
              <w:rPr>
                <w:rFonts w:ascii="Arial Narrow" w:hAnsi="Arial Narrow"/>
                <w:sz w:val="20"/>
              </w:rPr>
            </w:pPr>
            <w:r w:rsidRPr="00540D92">
              <w:rPr>
                <w:rFonts w:ascii="Arial Narrow" w:hAnsi="Arial Narrow"/>
                <w:sz w:val="20"/>
              </w:rPr>
              <w:t>M1</w:t>
            </w:r>
          </w:p>
        </w:tc>
      </w:tr>
    </w:tbl>
    <w:p w14:paraId="2E0CA02D" w14:textId="77777777" w:rsidR="005C3DA3" w:rsidRDefault="005C3DA3" w:rsidP="0023032E">
      <w:pPr>
        <w:keepNext/>
        <w:spacing w:after="0"/>
        <w:rPr>
          <w:rFonts w:ascii="Arial Narrow" w:hAnsi="Arial Narrow"/>
          <w:sz w:val="16"/>
          <w:szCs w:val="16"/>
        </w:rPr>
      </w:pPr>
      <w:r>
        <w:rPr>
          <w:rFonts w:ascii="Arial Narrow" w:hAnsi="Arial Narrow"/>
          <w:sz w:val="16"/>
          <w:szCs w:val="16"/>
        </w:rPr>
        <w:t>is = in</w:t>
      </w:r>
      <w:r w:rsidR="00CC11EB">
        <w:rPr>
          <w:rFonts w:ascii="Arial Narrow" w:hAnsi="Arial Narrow"/>
          <w:sz w:val="16"/>
          <w:szCs w:val="16"/>
        </w:rPr>
        <w:t xml:space="preserve"> </w:t>
      </w:r>
      <w:r>
        <w:rPr>
          <w:rFonts w:ascii="Arial Narrow" w:hAnsi="Arial Narrow"/>
          <w:sz w:val="16"/>
          <w:szCs w:val="16"/>
        </w:rPr>
        <w:t>situ; mi – micrometastases; T = tumour; N = node; M = metastases</w:t>
      </w:r>
    </w:p>
    <w:p w14:paraId="356998DE" w14:textId="77777777" w:rsidR="00B34234" w:rsidRPr="0023032E" w:rsidRDefault="0023032E" w:rsidP="0023032E">
      <w:pPr>
        <w:keepNext/>
        <w:spacing w:after="0"/>
        <w:rPr>
          <w:rFonts w:ascii="Arial Narrow" w:hAnsi="Arial Narrow"/>
          <w:sz w:val="16"/>
          <w:szCs w:val="16"/>
        </w:rPr>
      </w:pPr>
      <w:r w:rsidRPr="0023032E">
        <w:rPr>
          <w:rFonts w:ascii="Arial Narrow" w:hAnsi="Arial Narrow"/>
          <w:sz w:val="16"/>
          <w:szCs w:val="16"/>
        </w:rPr>
        <w:t>* T1 includes T1mi</w:t>
      </w:r>
    </w:p>
    <w:p w14:paraId="2F1A512B" w14:textId="77777777" w:rsidR="0023032E" w:rsidRPr="0023032E" w:rsidRDefault="0023032E" w:rsidP="00F24304">
      <w:pPr>
        <w:keepNext/>
        <w:rPr>
          <w:rFonts w:ascii="Arial Narrow" w:hAnsi="Arial Narrow"/>
          <w:sz w:val="16"/>
          <w:szCs w:val="16"/>
        </w:rPr>
      </w:pPr>
      <w:r w:rsidRPr="0023032E">
        <w:rPr>
          <w:rFonts w:ascii="Arial Narrow" w:hAnsi="Arial Narrow"/>
          <w:sz w:val="16"/>
          <w:szCs w:val="16"/>
        </w:rPr>
        <w:t>** T0 and T1 tumours with nodal micrometastases only are excluded from Stage IIA and are classified Stage IIB</w:t>
      </w:r>
    </w:p>
    <w:p w14:paraId="1FA8B444" w14:textId="77777777" w:rsidR="009A73F9" w:rsidRDefault="009A73F9" w:rsidP="00F24304">
      <w:pPr>
        <w:keepNext/>
      </w:pPr>
      <w:r>
        <w:t xml:space="preserve">The </w:t>
      </w:r>
      <w:r w:rsidR="005269F4" w:rsidRPr="00061AB9">
        <w:rPr>
          <w:i/>
        </w:rPr>
        <w:t>intermediate risk</w:t>
      </w:r>
      <w:r w:rsidR="005269F4">
        <w:t xml:space="preserve"> </w:t>
      </w:r>
      <w:r w:rsidR="00843FAC">
        <w:t xml:space="preserve">patient population </w:t>
      </w:r>
      <w:r>
        <w:t xml:space="preserve">eligible for this </w:t>
      </w:r>
      <w:r w:rsidR="00843FAC">
        <w:t>a</w:t>
      </w:r>
      <w:r>
        <w:t>pplication</w:t>
      </w:r>
      <w:r w:rsidR="00AE4B9D">
        <w:t xml:space="preserve"> (to receive an </w:t>
      </w:r>
      <w:proofErr w:type="spellStart"/>
      <w:r w:rsidR="00AE4B9D">
        <w:t>EPclin</w:t>
      </w:r>
      <w:proofErr w:type="spellEnd"/>
      <w:r w:rsidR="00AE4B9D">
        <w:t xml:space="preserve"> score from </w:t>
      </w:r>
      <w:proofErr w:type="spellStart"/>
      <w:r w:rsidR="0029187D">
        <w:t>EndoPredict</w:t>
      </w:r>
      <w:proofErr w:type="spellEnd"/>
      <w:r w:rsidR="0029187D">
        <w:t>®</w:t>
      </w:r>
      <w:r w:rsidR="00AE4B9D">
        <w:t>)</w:t>
      </w:r>
      <w:r>
        <w:t xml:space="preserve"> </w:t>
      </w:r>
      <w:r w:rsidR="00BE7107">
        <w:t>is</w:t>
      </w:r>
      <w:r w:rsidR="00843FAC">
        <w:t xml:space="preserve"> described as:</w:t>
      </w:r>
    </w:p>
    <w:p w14:paraId="5F191CD8" w14:textId="77777777" w:rsidR="008448AF" w:rsidRPr="008448AF" w:rsidRDefault="009A73F9" w:rsidP="008448AF">
      <w:pPr>
        <w:keepNext/>
        <w:ind w:left="720"/>
      </w:pPr>
      <w:r w:rsidRPr="008C1F47">
        <w:t>Patients with primary tumours who have undergone surg</w:t>
      </w:r>
      <w:r w:rsidR="0012453B" w:rsidRPr="008C1F47">
        <w:t>ical tumour</w:t>
      </w:r>
      <w:r w:rsidR="00FE6E81" w:rsidRPr="008C1F47">
        <w:t xml:space="preserve"> removal</w:t>
      </w:r>
      <w:r w:rsidR="003473C5" w:rsidRPr="008C1F47">
        <w:t>, are determined to be ER+ve, HER2-ve (by IHC/ISH on surgically removed tumour tissue)</w:t>
      </w:r>
      <w:r w:rsidR="00F52DD4" w:rsidRPr="008C1F47">
        <w:t>, and are assessed as having</w:t>
      </w:r>
      <w:r w:rsidR="00FB4104" w:rsidRPr="008C1F47">
        <w:t xml:space="preserve"> a pre-</w:t>
      </w:r>
      <w:r w:rsidR="00A1374A" w:rsidRPr="008C1F47">
        <w:t>test intermediate</w:t>
      </w:r>
      <w:r w:rsidR="00F52DD4" w:rsidRPr="008C1F47">
        <w:t xml:space="preserve"> risk of distant </w:t>
      </w:r>
      <w:r w:rsidR="003473C5" w:rsidRPr="008C1F47">
        <w:t>metastases</w:t>
      </w:r>
      <w:r w:rsidR="00FB4104" w:rsidRPr="008C1F47">
        <w:t xml:space="preserve"> by pathological post-surgical examination of the tumour tissue </w:t>
      </w:r>
      <w:r w:rsidR="008C1F47">
        <w:t>defined</w:t>
      </w:r>
      <w:r w:rsidR="00A1374A" w:rsidRPr="008C1F47">
        <w:t xml:space="preserve"> </w:t>
      </w:r>
      <w:r w:rsidR="008C1F47">
        <w:t>as</w:t>
      </w:r>
      <w:r w:rsidRPr="008C1F47">
        <w:t xml:space="preserve"> </w:t>
      </w:r>
      <w:r w:rsidR="00FB4104" w:rsidRPr="008C1F47">
        <w:t xml:space="preserve">tumours </w:t>
      </w:r>
      <w:r w:rsidR="00597658">
        <w:t>with at least one of the following characteristics</w:t>
      </w:r>
      <w:r w:rsidR="008C1F47">
        <w:t>:</w:t>
      </w:r>
      <w:r w:rsidR="00FB4104" w:rsidRPr="008C1F47">
        <w:t xml:space="preserve"> </w:t>
      </w:r>
      <w:r w:rsidR="00597658" w:rsidRPr="00597658">
        <w:t xml:space="preserve">tumour size </w:t>
      </w:r>
      <w:r w:rsidR="00597658">
        <w:t>&gt;</w:t>
      </w:r>
      <w:r w:rsidR="00597658" w:rsidRPr="00597658">
        <w:t xml:space="preserve"> 2cm</w:t>
      </w:r>
      <w:r w:rsidR="00381D43">
        <w:t>;</w:t>
      </w:r>
      <w:r w:rsidR="00597658" w:rsidRPr="00597658">
        <w:t xml:space="preserve"> or Grade 2; or one to three lymph nodes involved in metastatic disease (nodes include micrometastases but not isolated tumour cells)</w:t>
      </w:r>
      <w:r w:rsidR="008448AF">
        <w:t xml:space="preserve">. </w:t>
      </w:r>
      <w:r w:rsidR="008448AF" w:rsidRPr="008448AF">
        <w:t xml:space="preserve">Patients may be pre or post-menopausal, and tumours may be of any type, and may be </w:t>
      </w:r>
      <w:proofErr w:type="spellStart"/>
      <w:r w:rsidR="008448AF" w:rsidRPr="008448AF">
        <w:t>multicentric</w:t>
      </w:r>
      <w:proofErr w:type="spellEnd"/>
      <w:r w:rsidR="008448AF" w:rsidRPr="008448AF">
        <w:t xml:space="preserve"> or multifocal.</w:t>
      </w:r>
    </w:p>
    <w:p w14:paraId="61748221" w14:textId="3B9FA535" w:rsidR="008448AF" w:rsidRPr="008448AF" w:rsidRDefault="008448AF" w:rsidP="008448AF">
      <w:pPr>
        <w:keepNext/>
        <w:ind w:left="720"/>
      </w:pPr>
      <w:r w:rsidRPr="008448AF">
        <w:t xml:space="preserve">To determine if there is a maximum tumour size for which patients of intermediate risk would benefit from </w:t>
      </w:r>
      <w:proofErr w:type="spellStart"/>
      <w:r w:rsidRPr="008448AF">
        <w:t>EndoPredict</w:t>
      </w:r>
      <w:proofErr w:type="spellEnd"/>
      <w:r w:rsidRPr="008448AF">
        <w:t xml:space="preserve">®, a subgroup analysis of patients with tumours </w:t>
      </w:r>
      <w:r w:rsidR="004C6BA5">
        <w:t>&gt;</w:t>
      </w:r>
      <w:r w:rsidRPr="008448AF">
        <w:t xml:space="preserve"> 5cm in size should be included.</w:t>
      </w:r>
    </w:p>
    <w:p w14:paraId="101F55A6" w14:textId="77777777" w:rsidR="00EA5DC0" w:rsidRDefault="00EA5DC0" w:rsidP="008C1F47">
      <w:pPr>
        <w:keepNext/>
      </w:pPr>
      <w:r>
        <w:t>Note that the pre</w:t>
      </w:r>
      <w:r w:rsidR="00CD1B4F">
        <w:t>-</w:t>
      </w:r>
      <w:r>
        <w:t xml:space="preserve">test definitions for the </w:t>
      </w:r>
      <w:r w:rsidRPr="00061AB9">
        <w:rPr>
          <w:i/>
        </w:rPr>
        <w:t>high risk</w:t>
      </w:r>
      <w:r>
        <w:t xml:space="preserve"> and </w:t>
      </w:r>
      <w:r w:rsidRPr="00061AB9">
        <w:rPr>
          <w:i/>
        </w:rPr>
        <w:t>low risk</w:t>
      </w:r>
      <w:r w:rsidR="00B53D15">
        <w:t xml:space="preserve"> groups (excluded from eligibility) are </w:t>
      </w:r>
      <w:r>
        <w:t>the following</w:t>
      </w:r>
      <w:r w:rsidR="00090E4E">
        <w:t>:</w:t>
      </w:r>
    </w:p>
    <w:p w14:paraId="1D257A8D" w14:textId="77777777" w:rsidR="00EA5DC0" w:rsidRDefault="00EA5DC0" w:rsidP="00E61A55">
      <w:pPr>
        <w:keepNext/>
        <w:ind w:left="720"/>
      </w:pPr>
      <w:r>
        <w:t>High risk: tumou</w:t>
      </w:r>
      <w:r w:rsidR="00FB4104">
        <w:t>r</w:t>
      </w:r>
      <w:r>
        <w:t xml:space="preserve">s </w:t>
      </w:r>
      <w:r w:rsidR="00E61A55">
        <w:t>classifi</w:t>
      </w:r>
      <w:r>
        <w:t>ed as Stage</w:t>
      </w:r>
      <w:r w:rsidR="00B53D15">
        <w:t xml:space="preserve"> II </w:t>
      </w:r>
      <w:r w:rsidR="00ED36A6">
        <w:t xml:space="preserve">and </w:t>
      </w:r>
      <w:r w:rsidR="00CD1B4F">
        <w:t>greater than 5 cm in size</w:t>
      </w:r>
      <w:r>
        <w:t>,</w:t>
      </w:r>
      <w:r w:rsidR="00B53D15">
        <w:t xml:space="preserve"> </w:t>
      </w:r>
      <w:r w:rsidR="00B53D15" w:rsidRPr="00E61A55">
        <w:rPr>
          <w:i/>
        </w:rPr>
        <w:t>or</w:t>
      </w:r>
      <w:r w:rsidR="00B53D15">
        <w:t xml:space="preserve"> Stage III,</w:t>
      </w:r>
      <w:r>
        <w:t xml:space="preserve"> </w:t>
      </w:r>
      <w:r w:rsidRPr="00E61A55">
        <w:rPr>
          <w:i/>
        </w:rPr>
        <w:t>or</w:t>
      </w:r>
      <w:r>
        <w:t xml:space="preserve"> have more than 3 lymph nodes involved</w:t>
      </w:r>
      <w:r w:rsidR="0021069A">
        <w:t xml:space="preserve"> (including micrometastases, but excluding isolated tumour cells).</w:t>
      </w:r>
    </w:p>
    <w:p w14:paraId="41DB445F" w14:textId="0F7F4484" w:rsidR="00FB4104" w:rsidRDefault="00FB4104" w:rsidP="00540D92">
      <w:pPr>
        <w:keepNext/>
        <w:ind w:left="720"/>
      </w:pPr>
      <w:r>
        <w:lastRenderedPageBreak/>
        <w:t xml:space="preserve">Low risk: tumours </w:t>
      </w:r>
      <w:r w:rsidR="00E61A55">
        <w:t>classified</w:t>
      </w:r>
      <w:r w:rsidR="005449AB">
        <w:t xml:space="preserve"> as Stage I (</w:t>
      </w:r>
      <w:r>
        <w:t>less than 2cm in size</w:t>
      </w:r>
      <w:r w:rsidR="005449AB">
        <w:t>)</w:t>
      </w:r>
      <w:r>
        <w:t xml:space="preserve"> </w:t>
      </w:r>
      <w:r w:rsidR="00836661" w:rsidRPr="00192F8F">
        <w:rPr>
          <w:i/>
        </w:rPr>
        <w:t>and</w:t>
      </w:r>
      <w:r w:rsidR="00836661">
        <w:t xml:space="preserve"> Grade 1 </w:t>
      </w:r>
      <w:r w:rsidRPr="00061AB9">
        <w:rPr>
          <w:i/>
        </w:rPr>
        <w:t>and</w:t>
      </w:r>
      <w:r>
        <w:t xml:space="preserve"> zero nodes involved</w:t>
      </w:r>
      <w:r w:rsidR="0021069A">
        <w:t>.</w:t>
      </w:r>
      <w:r>
        <w:t xml:space="preserve"> </w:t>
      </w:r>
    </w:p>
    <w:p w14:paraId="13DABF7D" w14:textId="1BE5D1DF" w:rsidR="00B83438" w:rsidRDefault="008E7E83" w:rsidP="00F24304">
      <w:pPr>
        <w:keepNext/>
      </w:pPr>
      <w:r>
        <w:t>Optimal treatment f</w:t>
      </w:r>
      <w:r w:rsidRPr="008E7E83">
        <w:t xml:space="preserve">or </w:t>
      </w:r>
      <w:r w:rsidR="009A73F9" w:rsidRPr="008E7E83">
        <w:t>th</w:t>
      </w:r>
      <w:r w:rsidR="009A73F9">
        <w:t>ese patients</w:t>
      </w:r>
      <w:r w:rsidRPr="008E7E83">
        <w:t xml:space="preserve"> can be difficult to determine and can vary between therapists and patients (Coates et al. 2015)</w:t>
      </w:r>
      <w:r w:rsidR="00CB1DD9">
        <w:t>.</w:t>
      </w:r>
      <w:r w:rsidRPr="008E7E83">
        <w:t xml:space="preserve"> </w:t>
      </w:r>
      <w:r w:rsidR="00F43E5A">
        <w:t>The</w:t>
      </w:r>
      <w:r w:rsidR="0012453B">
        <w:t xml:space="preserve"> proposed</w:t>
      </w:r>
      <w:r w:rsidR="00F43E5A">
        <w:t xml:space="preserve"> test can be used for pre and post-menopausal women with breast cancer, and women with and without lymph node involvement. </w:t>
      </w:r>
      <w:r w:rsidR="00C155FE" w:rsidRPr="00AB42E9">
        <w:t xml:space="preserve">Only patients who have been assessed </w:t>
      </w:r>
      <w:r w:rsidR="00880B29" w:rsidRPr="00AB42E9">
        <w:t xml:space="preserve">by </w:t>
      </w:r>
      <w:r w:rsidR="00C155FE" w:rsidRPr="00AB42E9">
        <w:t xml:space="preserve">an oncologist as </w:t>
      </w:r>
      <w:r w:rsidR="003473C5">
        <w:t xml:space="preserve">not requiring neoadjuvant chemotherapy and are </w:t>
      </w:r>
      <w:r w:rsidR="00C155FE" w:rsidRPr="00AB42E9">
        <w:t>suitable for adjuvant chemotherapy need</w:t>
      </w:r>
      <w:r w:rsidR="00880B29" w:rsidRPr="00AB42E9">
        <w:t xml:space="preserve"> undergo </w:t>
      </w:r>
      <w:proofErr w:type="spellStart"/>
      <w:r w:rsidR="00B923E9" w:rsidRPr="00AB42E9">
        <w:t>EndoPredict</w:t>
      </w:r>
      <w:proofErr w:type="spellEnd"/>
      <w:r w:rsidR="00B923E9">
        <w:t xml:space="preserve">® </w:t>
      </w:r>
      <w:r w:rsidR="00880B29">
        <w:t xml:space="preserve">as </w:t>
      </w:r>
      <w:r w:rsidR="00880B29" w:rsidRPr="00880B29">
        <w:t>factors such as older age, comorbidity or advanced stage of cancer</w:t>
      </w:r>
      <w:r w:rsidR="00880B29">
        <w:t xml:space="preserve"> may rule patients out for chemotherapy.</w:t>
      </w:r>
      <w:r w:rsidR="00F43E5A">
        <w:t xml:space="preserve"> </w:t>
      </w:r>
      <w:r w:rsidR="00496FEC">
        <w:t>Some women may choose not to undergo chemotherapy</w:t>
      </w:r>
      <w:r w:rsidR="00DB120D">
        <w:t xml:space="preserve"> even</w:t>
      </w:r>
      <w:r w:rsidR="00496FEC">
        <w:t xml:space="preserve"> if they</w:t>
      </w:r>
      <w:r w:rsidR="003B0985">
        <w:t xml:space="preserve"> are</w:t>
      </w:r>
      <w:r w:rsidR="00496FEC">
        <w:t xml:space="preserve"> eligible due to its toxicity and side effects. </w:t>
      </w:r>
      <w:r w:rsidR="00E3338D">
        <w:t>For patients who are not suitable or choose not to undergo chemotherapy it w</w:t>
      </w:r>
      <w:r w:rsidR="00AB42E9">
        <w:t>ould</w:t>
      </w:r>
      <w:r w:rsidR="00E3338D">
        <w:t xml:space="preserve"> be unnecessary to be classified as high or low risk using </w:t>
      </w:r>
      <w:proofErr w:type="spellStart"/>
      <w:r w:rsidR="00E3338D">
        <w:t>EndoPredict</w:t>
      </w:r>
      <w:proofErr w:type="spellEnd"/>
      <w:r w:rsidR="00E3338D">
        <w:t xml:space="preserve">® as their treatment </w:t>
      </w:r>
      <w:r w:rsidR="00FE6E81">
        <w:t xml:space="preserve">would be </w:t>
      </w:r>
      <w:r w:rsidR="00C71FD8">
        <w:t xml:space="preserve">the same as </w:t>
      </w:r>
      <w:r w:rsidR="00FE6E81">
        <w:t>that given to those classified as low risk</w:t>
      </w:r>
      <w:r w:rsidR="00E3338D">
        <w:t>.</w:t>
      </w:r>
    </w:p>
    <w:p w14:paraId="49F0E31E" w14:textId="77777777" w:rsidR="008F095F" w:rsidRDefault="00B83438" w:rsidP="00AB42E9">
      <w:pPr>
        <w:keepNext/>
      </w:pPr>
      <w:r>
        <w:t xml:space="preserve">The </w:t>
      </w:r>
      <w:proofErr w:type="spellStart"/>
      <w:r>
        <w:t>EndoPredict</w:t>
      </w:r>
      <w:proofErr w:type="spellEnd"/>
      <w:r>
        <w:t xml:space="preserve">® tool is used in conjunction with </w:t>
      </w:r>
      <w:r w:rsidR="003B0985">
        <w:t xml:space="preserve">markers </w:t>
      </w:r>
      <w:r>
        <w:t>current</w:t>
      </w:r>
      <w:r w:rsidR="003B0985">
        <w:t>ly</w:t>
      </w:r>
      <w:r>
        <w:t xml:space="preserve"> used to decide on treatment and provides additional information to assist that decision. </w:t>
      </w:r>
      <w:r w:rsidR="00F43E5A" w:rsidRPr="00F43E5A">
        <w:t xml:space="preserve">To calculate an EPclin score using the </w:t>
      </w:r>
      <w:proofErr w:type="spellStart"/>
      <w:r w:rsidR="00F43E5A" w:rsidRPr="00F43E5A">
        <w:t>EndoPredict</w:t>
      </w:r>
      <w:proofErr w:type="spellEnd"/>
      <w:r w:rsidR="00F43E5A" w:rsidRPr="00F43E5A">
        <w:t xml:space="preserve">® tool, tumour size and nodal status must be determined </w:t>
      </w:r>
      <w:r w:rsidR="00496FEC">
        <w:t xml:space="preserve">by a pathologist </w:t>
      </w:r>
      <w:r w:rsidR="00F43E5A" w:rsidRPr="00F43E5A">
        <w:t>and can only be performed on surgically removed tumours.</w:t>
      </w:r>
    </w:p>
    <w:p w14:paraId="3945E564" w14:textId="77777777" w:rsidR="008E7E83" w:rsidRDefault="007C5458" w:rsidP="00C155FE">
      <w:pPr>
        <w:spacing w:after="0"/>
      </w:pPr>
      <w:r>
        <w:t xml:space="preserve">The eligibility criteria for </w:t>
      </w:r>
      <w:r w:rsidR="00843FAC">
        <w:t xml:space="preserve">calculation of </w:t>
      </w:r>
      <w:r>
        <w:t xml:space="preserve">an </w:t>
      </w:r>
      <w:r w:rsidR="00CA6997" w:rsidRPr="00AB42E9">
        <w:t>EPclin score</w:t>
      </w:r>
      <w:r w:rsidR="00CA6997" w:rsidRPr="00880B29">
        <w:rPr>
          <w:b/>
        </w:rPr>
        <w:t xml:space="preserve"> </w:t>
      </w:r>
      <w:r w:rsidR="00CA6997">
        <w:t>are:</w:t>
      </w:r>
    </w:p>
    <w:p w14:paraId="497E11F5" w14:textId="77777777" w:rsidR="00CA6997" w:rsidRDefault="007E526F" w:rsidP="00C155FE">
      <w:pPr>
        <w:pStyle w:val="ListParagraph"/>
        <w:numPr>
          <w:ilvl w:val="0"/>
          <w:numId w:val="33"/>
        </w:numPr>
        <w:spacing w:after="0"/>
      </w:pPr>
      <w:r>
        <w:t xml:space="preserve">new </w:t>
      </w:r>
      <w:r w:rsidR="00CA6997">
        <w:t>primary breast cancer</w:t>
      </w:r>
      <w:r w:rsidR="007C5458">
        <w:t xml:space="preserve">; </w:t>
      </w:r>
    </w:p>
    <w:p w14:paraId="0483BBAD" w14:textId="77777777" w:rsidR="00CA6997" w:rsidRDefault="00AB42E9" w:rsidP="00C155FE">
      <w:pPr>
        <w:pStyle w:val="ListParagraph"/>
        <w:numPr>
          <w:ilvl w:val="0"/>
          <w:numId w:val="33"/>
        </w:numPr>
        <w:spacing w:after="0"/>
      </w:pPr>
      <w:r>
        <w:t>n</w:t>
      </w:r>
      <w:r w:rsidR="00CA6997">
        <w:t>o prior adjuvant treatment</w:t>
      </w:r>
      <w:r w:rsidR="007C5458">
        <w:t>;</w:t>
      </w:r>
    </w:p>
    <w:p w14:paraId="029B14A4" w14:textId="552C6AEB" w:rsidR="00C71FD8" w:rsidRDefault="00C71FD8" w:rsidP="00C155FE">
      <w:pPr>
        <w:pStyle w:val="ListParagraph"/>
        <w:numPr>
          <w:ilvl w:val="0"/>
          <w:numId w:val="33"/>
        </w:numPr>
        <w:spacing w:after="0"/>
      </w:pPr>
      <w:r>
        <w:t>suitable for adjuvant treatment and not requiring neoadjuvant chemotherapy</w:t>
      </w:r>
      <w:r w:rsidR="007E526F">
        <w:t>;</w:t>
      </w:r>
    </w:p>
    <w:p w14:paraId="12739AF1" w14:textId="77777777" w:rsidR="00CA6997" w:rsidRDefault="007E526F" w:rsidP="00C155FE">
      <w:pPr>
        <w:pStyle w:val="ListParagraph"/>
        <w:numPr>
          <w:ilvl w:val="0"/>
          <w:numId w:val="33"/>
        </w:numPr>
        <w:spacing w:after="0"/>
      </w:pPr>
      <w:r>
        <w:t>u</w:t>
      </w:r>
      <w:r w:rsidR="00CA6997">
        <w:t>ndergone surgical tumour removal or mastectomy</w:t>
      </w:r>
      <w:r w:rsidR="007C5458">
        <w:t>;</w:t>
      </w:r>
    </w:p>
    <w:p w14:paraId="780BCE57" w14:textId="240E9409" w:rsidR="00C71FD8" w:rsidRDefault="00C71FD8" w:rsidP="00C155FE">
      <w:pPr>
        <w:pStyle w:val="ListParagraph"/>
        <w:numPr>
          <w:ilvl w:val="0"/>
          <w:numId w:val="33"/>
        </w:numPr>
        <w:spacing w:after="0"/>
      </w:pPr>
      <w:r>
        <w:t xml:space="preserve">ER+ve, HER2-ve </w:t>
      </w:r>
      <w:r w:rsidR="007E526F">
        <w:t xml:space="preserve">diagnosed </w:t>
      </w:r>
      <w:r>
        <w:t>by ISH</w:t>
      </w:r>
      <w:r w:rsidR="007E526F">
        <w:t xml:space="preserve"> and </w:t>
      </w:r>
      <w:r>
        <w:t>IHC</w:t>
      </w:r>
      <w:r w:rsidR="007E526F">
        <w:t xml:space="preserve"> respectively</w:t>
      </w:r>
      <w:r>
        <w:t>;</w:t>
      </w:r>
    </w:p>
    <w:p w14:paraId="77F7D8B0" w14:textId="5E51EEDD" w:rsidR="00510BAA" w:rsidRDefault="007E526F" w:rsidP="00C155FE">
      <w:pPr>
        <w:pStyle w:val="ListParagraph"/>
        <w:numPr>
          <w:ilvl w:val="0"/>
          <w:numId w:val="33"/>
        </w:numPr>
        <w:spacing w:after="0"/>
      </w:pPr>
      <w:r>
        <w:t>t</w:t>
      </w:r>
      <w:r w:rsidR="00CA6997">
        <w:t xml:space="preserve">umour size </w:t>
      </w:r>
      <w:r>
        <w:t xml:space="preserve">(operable, no metastases) </w:t>
      </w:r>
      <w:r w:rsidR="00CA6997">
        <w:t xml:space="preserve">and nodal involvement </w:t>
      </w:r>
      <w:r>
        <w:t xml:space="preserve">(up to 3 nodes) </w:t>
      </w:r>
      <w:r w:rsidR="00CA6997">
        <w:t>determined</w:t>
      </w:r>
      <w:r>
        <w:t xml:space="preserve"> post surgically; and</w:t>
      </w:r>
    </w:p>
    <w:p w14:paraId="0EB7AD67" w14:textId="77777777" w:rsidR="00CA6997" w:rsidRDefault="007E526F" w:rsidP="00C155FE">
      <w:pPr>
        <w:pStyle w:val="ListParagraph"/>
        <w:numPr>
          <w:ilvl w:val="0"/>
          <w:numId w:val="33"/>
        </w:numPr>
        <w:spacing w:after="0"/>
      </w:pPr>
      <w:r>
        <w:t>h</w:t>
      </w:r>
      <w:r w:rsidR="00510BAA">
        <w:t xml:space="preserve">ave a pre-test </w:t>
      </w:r>
      <w:r w:rsidR="00EF5C3A">
        <w:t xml:space="preserve">‘intermediate’ </w:t>
      </w:r>
      <w:r>
        <w:t xml:space="preserve">risk of </w:t>
      </w:r>
      <w:r w:rsidR="00510BAA">
        <w:t>distant recurrence or metastases</w:t>
      </w:r>
      <w:r>
        <w:t>.</w:t>
      </w:r>
    </w:p>
    <w:p w14:paraId="378411A0" w14:textId="77777777" w:rsidR="007F6058" w:rsidRDefault="007F6058" w:rsidP="00CC61F2">
      <w:pPr>
        <w:keepNext/>
        <w:rPr>
          <w:i/>
        </w:rPr>
      </w:pPr>
    </w:p>
    <w:p w14:paraId="60A4EC5B" w14:textId="77777777" w:rsidR="008F385C" w:rsidRPr="00BE2386" w:rsidRDefault="008F385C" w:rsidP="00BE2386">
      <w:pPr>
        <w:pStyle w:val="Heading2"/>
        <w:rPr>
          <w:i/>
          <w:sz w:val="24"/>
          <w:szCs w:val="24"/>
        </w:rPr>
      </w:pPr>
      <w:r w:rsidRPr="00BE2386">
        <w:rPr>
          <w:i/>
          <w:sz w:val="24"/>
          <w:szCs w:val="24"/>
        </w:rPr>
        <w:t xml:space="preserve">Summary of </w:t>
      </w:r>
      <w:r w:rsidR="00991191" w:rsidRPr="00BE2386">
        <w:rPr>
          <w:i/>
          <w:sz w:val="24"/>
          <w:szCs w:val="24"/>
        </w:rPr>
        <w:t>population included in the</w:t>
      </w:r>
      <w:r w:rsidRPr="00BE2386">
        <w:rPr>
          <w:i/>
          <w:sz w:val="24"/>
          <w:szCs w:val="24"/>
        </w:rPr>
        <w:t xml:space="preserve"> evidence</w:t>
      </w:r>
    </w:p>
    <w:p w14:paraId="320C58F8" w14:textId="77777777" w:rsidR="00F773C7" w:rsidRPr="00AB42E9" w:rsidRDefault="00F773C7" w:rsidP="00CC61F2">
      <w:pPr>
        <w:keepNext/>
      </w:pPr>
      <w:r w:rsidRPr="00AB42E9">
        <w:fldChar w:fldCharType="begin"/>
      </w:r>
      <w:r w:rsidRPr="00AB42E9">
        <w:instrText xml:space="preserve"> REF _Ref424552868 \h </w:instrText>
      </w:r>
      <w:r w:rsidRPr="00AB42E9">
        <w:fldChar w:fldCharType="separate"/>
      </w:r>
      <w:r w:rsidR="00126DA6">
        <w:t xml:space="preserve">Table </w:t>
      </w:r>
      <w:r w:rsidR="00126DA6">
        <w:rPr>
          <w:noProof/>
        </w:rPr>
        <w:t>3</w:t>
      </w:r>
      <w:r w:rsidRPr="00AB42E9">
        <w:fldChar w:fldCharType="end"/>
      </w:r>
      <w:r w:rsidRPr="00AB42E9">
        <w:t xml:space="preserve"> provide</w:t>
      </w:r>
      <w:r w:rsidR="006F2A84" w:rsidRPr="00AB42E9">
        <w:t xml:space="preserve">s a </w:t>
      </w:r>
      <w:r w:rsidRPr="00AB42E9">
        <w:t>summar</w:t>
      </w:r>
      <w:r w:rsidR="006F2A84" w:rsidRPr="00AB42E9">
        <w:t>y</w:t>
      </w:r>
      <w:r w:rsidRPr="00AB42E9">
        <w:t xml:space="preserve"> of the populations in which </w:t>
      </w:r>
      <w:proofErr w:type="spellStart"/>
      <w:r w:rsidRPr="00AB42E9">
        <w:t>EndoPredict</w:t>
      </w:r>
      <w:proofErr w:type="spellEnd"/>
      <w:r w:rsidRPr="00AB42E9">
        <w:t>® has been tested</w:t>
      </w:r>
      <w:r w:rsidR="00221EEC" w:rsidRPr="00AB42E9">
        <w:t xml:space="preserve"> for test accuracy and change in management</w:t>
      </w:r>
      <w:r w:rsidRPr="00AB42E9">
        <w:t>.</w:t>
      </w:r>
      <w:r w:rsidR="00B9248B">
        <w:t xml:space="preserve"> </w:t>
      </w:r>
      <w:r w:rsidR="00B9248B" w:rsidRPr="00895F2E">
        <w:rPr>
          <w:i/>
        </w:rPr>
        <w:t xml:space="preserve">Please note, this table is not intended to provide a comprehensive summary of what evidence may be available, but to </w:t>
      </w:r>
      <w:r w:rsidR="00991191" w:rsidRPr="00895F2E">
        <w:rPr>
          <w:i/>
        </w:rPr>
        <w:t>give an early indication to PASC that there is evidence in the population of interest.</w:t>
      </w:r>
      <w:r w:rsidR="00991191">
        <w:t xml:space="preserve"> </w:t>
      </w:r>
    </w:p>
    <w:p w14:paraId="1EBDE9E1" w14:textId="77777777" w:rsidR="00F773C7" w:rsidRDefault="00F773C7" w:rsidP="00115FEB">
      <w:pPr>
        <w:pStyle w:val="Caption"/>
        <w:spacing w:after="120"/>
        <w:rPr>
          <w:u w:val="single"/>
        </w:rPr>
      </w:pPr>
      <w:bookmarkStart w:id="3" w:name="_Ref424552868"/>
      <w:r>
        <w:t xml:space="preserve">Table </w:t>
      </w:r>
      <w:r>
        <w:fldChar w:fldCharType="begin"/>
      </w:r>
      <w:r>
        <w:instrText xml:space="preserve"> SEQ Table \* ARABIC </w:instrText>
      </w:r>
      <w:r>
        <w:fldChar w:fldCharType="separate"/>
      </w:r>
      <w:r w:rsidR="00126DA6">
        <w:rPr>
          <w:noProof/>
        </w:rPr>
        <w:t>3</w:t>
      </w:r>
      <w:r>
        <w:fldChar w:fldCharType="end"/>
      </w:r>
      <w:bookmarkEnd w:id="3"/>
      <w:r>
        <w:tab/>
      </w:r>
      <w:r w:rsidR="00221EEC">
        <w:t xml:space="preserve">Summary of the populations tested with </w:t>
      </w:r>
      <w:proofErr w:type="spellStart"/>
      <w:r w:rsidR="00221EEC">
        <w:t>EndoPredict</w:t>
      </w:r>
      <w:proofErr w:type="spellEnd"/>
      <w:r w:rsidR="00221EEC">
        <w:t xml:space="preserve">® for test accuracy </w:t>
      </w:r>
      <w:r w:rsidR="006F2A84">
        <w:t>and change in man</w:t>
      </w:r>
      <w:r w:rsidR="00FE6E81">
        <w:t>a</w:t>
      </w:r>
      <w:r w:rsidR="006F2A84">
        <w:t>gement</w:t>
      </w:r>
    </w:p>
    <w:tbl>
      <w:tblPr>
        <w:tblStyle w:val="TableGrid"/>
        <w:tblW w:w="0" w:type="auto"/>
        <w:tblLook w:val="04A0" w:firstRow="1" w:lastRow="0" w:firstColumn="1" w:lastColumn="0" w:noHBand="0" w:noVBand="1"/>
        <w:tblDescription w:val="Table 3: A summary of some of the published information, describing which populations have been included in studies testing EndoPredict. "/>
      </w:tblPr>
      <w:tblGrid>
        <w:gridCol w:w="1526"/>
        <w:gridCol w:w="4394"/>
        <w:gridCol w:w="1701"/>
        <w:gridCol w:w="1643"/>
      </w:tblGrid>
      <w:tr w:rsidR="003C357A" w:rsidRPr="00B9248B" w14:paraId="1502CE8C" w14:textId="77777777" w:rsidTr="00A20F81">
        <w:trPr>
          <w:tblHeader/>
        </w:trPr>
        <w:tc>
          <w:tcPr>
            <w:tcW w:w="1526" w:type="dxa"/>
          </w:tcPr>
          <w:p w14:paraId="76C210A9" w14:textId="77777777" w:rsidR="00F773C7" w:rsidRPr="00540D92" w:rsidRDefault="00F773C7" w:rsidP="00CC61F2">
            <w:pPr>
              <w:keepNext/>
              <w:rPr>
                <w:rFonts w:ascii="Arial Narrow" w:hAnsi="Arial Narrow"/>
                <w:b/>
                <w:sz w:val="20"/>
              </w:rPr>
            </w:pPr>
            <w:r w:rsidRPr="00540D92">
              <w:rPr>
                <w:rFonts w:ascii="Arial Narrow" w:hAnsi="Arial Narrow"/>
                <w:b/>
                <w:sz w:val="20"/>
              </w:rPr>
              <w:t>Country</w:t>
            </w:r>
          </w:p>
          <w:p w14:paraId="0E061EE1" w14:textId="77777777" w:rsidR="009743C3" w:rsidRPr="00540D92" w:rsidRDefault="006F2A84" w:rsidP="00CC61F2">
            <w:pPr>
              <w:keepNext/>
              <w:rPr>
                <w:rFonts w:ascii="Arial Narrow" w:hAnsi="Arial Narrow"/>
                <w:b/>
                <w:sz w:val="20"/>
              </w:rPr>
            </w:pPr>
            <w:r w:rsidRPr="00540D92">
              <w:rPr>
                <w:rFonts w:ascii="Arial Narrow" w:hAnsi="Arial Narrow"/>
                <w:b/>
                <w:sz w:val="20"/>
              </w:rPr>
              <w:t>Investigation</w:t>
            </w:r>
          </w:p>
        </w:tc>
        <w:tc>
          <w:tcPr>
            <w:tcW w:w="4394" w:type="dxa"/>
          </w:tcPr>
          <w:p w14:paraId="1BDB5E67" w14:textId="77777777" w:rsidR="00F773C7" w:rsidRPr="00540D92" w:rsidRDefault="00F773C7" w:rsidP="00CC61F2">
            <w:pPr>
              <w:keepNext/>
              <w:rPr>
                <w:rFonts w:ascii="Arial Narrow" w:hAnsi="Arial Narrow"/>
                <w:b/>
                <w:sz w:val="20"/>
              </w:rPr>
            </w:pPr>
            <w:r w:rsidRPr="00540D92">
              <w:rPr>
                <w:rFonts w:ascii="Arial Narrow" w:hAnsi="Arial Narrow"/>
                <w:b/>
                <w:sz w:val="20"/>
              </w:rPr>
              <w:t>Population</w:t>
            </w:r>
          </w:p>
        </w:tc>
        <w:tc>
          <w:tcPr>
            <w:tcW w:w="1701" w:type="dxa"/>
          </w:tcPr>
          <w:p w14:paraId="49C165E4" w14:textId="77777777" w:rsidR="00F773C7" w:rsidRPr="00540D92" w:rsidRDefault="00F773C7" w:rsidP="00CC61F2">
            <w:pPr>
              <w:keepNext/>
              <w:rPr>
                <w:rFonts w:ascii="Arial Narrow" w:hAnsi="Arial Narrow"/>
                <w:b/>
                <w:sz w:val="20"/>
              </w:rPr>
            </w:pPr>
            <w:r w:rsidRPr="00540D92">
              <w:rPr>
                <w:rFonts w:ascii="Arial Narrow" w:hAnsi="Arial Narrow"/>
                <w:b/>
                <w:sz w:val="20"/>
              </w:rPr>
              <w:t>Test</w:t>
            </w:r>
          </w:p>
        </w:tc>
        <w:tc>
          <w:tcPr>
            <w:tcW w:w="1643" w:type="dxa"/>
          </w:tcPr>
          <w:p w14:paraId="1B6EB8D1" w14:textId="77777777" w:rsidR="00F773C7" w:rsidRPr="00540D92" w:rsidRDefault="00F773C7" w:rsidP="00CC61F2">
            <w:pPr>
              <w:keepNext/>
              <w:rPr>
                <w:rFonts w:ascii="Arial Narrow" w:hAnsi="Arial Narrow"/>
                <w:b/>
                <w:sz w:val="20"/>
              </w:rPr>
            </w:pPr>
            <w:r w:rsidRPr="00540D92">
              <w:rPr>
                <w:rFonts w:ascii="Arial Narrow" w:hAnsi="Arial Narrow"/>
                <w:b/>
                <w:sz w:val="20"/>
              </w:rPr>
              <w:t>Source</w:t>
            </w:r>
          </w:p>
          <w:p w14:paraId="01B4ED5E" w14:textId="77777777" w:rsidR="00115FEB" w:rsidRPr="00540D92" w:rsidRDefault="00115FEB" w:rsidP="00CC61F2">
            <w:pPr>
              <w:keepNext/>
              <w:rPr>
                <w:rFonts w:ascii="Arial Narrow" w:hAnsi="Arial Narrow"/>
                <w:b/>
                <w:sz w:val="20"/>
              </w:rPr>
            </w:pPr>
          </w:p>
        </w:tc>
      </w:tr>
      <w:tr w:rsidR="003C357A" w:rsidRPr="00B9248B" w14:paraId="1CD4C3FF" w14:textId="77777777" w:rsidTr="003C357A">
        <w:tc>
          <w:tcPr>
            <w:tcW w:w="1526" w:type="dxa"/>
          </w:tcPr>
          <w:p w14:paraId="27BA8876" w14:textId="77777777" w:rsidR="006F2A84" w:rsidRPr="00540D92" w:rsidRDefault="0038299D" w:rsidP="006F2A84">
            <w:pPr>
              <w:keepNext/>
              <w:spacing w:after="120"/>
              <w:rPr>
                <w:rFonts w:ascii="Arial Narrow" w:hAnsi="Arial Narrow"/>
                <w:sz w:val="20"/>
              </w:rPr>
            </w:pPr>
            <w:r w:rsidRPr="00540D92">
              <w:rPr>
                <w:rFonts w:ascii="Arial Narrow" w:hAnsi="Arial Narrow"/>
                <w:sz w:val="20"/>
              </w:rPr>
              <w:t xml:space="preserve">Austria and </w:t>
            </w:r>
            <w:r w:rsidR="006F2A84" w:rsidRPr="00540D92">
              <w:rPr>
                <w:rFonts w:ascii="Arial Narrow" w:hAnsi="Arial Narrow"/>
                <w:sz w:val="20"/>
              </w:rPr>
              <w:t>Germany</w:t>
            </w:r>
          </w:p>
          <w:p w14:paraId="3A11D8CE" w14:textId="77777777" w:rsidR="009743C3" w:rsidRPr="00540D92" w:rsidRDefault="00115FEB" w:rsidP="00115FEB">
            <w:pPr>
              <w:keepNext/>
              <w:spacing w:after="120"/>
              <w:rPr>
                <w:rFonts w:ascii="Arial Narrow" w:hAnsi="Arial Narrow"/>
                <w:sz w:val="20"/>
              </w:rPr>
            </w:pPr>
            <w:r w:rsidRPr="00540D92">
              <w:rPr>
                <w:rFonts w:ascii="Arial Narrow" w:hAnsi="Arial Narrow"/>
                <w:sz w:val="20"/>
              </w:rPr>
              <w:t>Prognostic t</w:t>
            </w:r>
            <w:r w:rsidR="006F2A84" w:rsidRPr="00540D92">
              <w:rPr>
                <w:rFonts w:ascii="Arial Narrow" w:hAnsi="Arial Narrow"/>
                <w:sz w:val="20"/>
              </w:rPr>
              <w:t xml:space="preserve">est accuracy </w:t>
            </w:r>
          </w:p>
        </w:tc>
        <w:tc>
          <w:tcPr>
            <w:tcW w:w="4394" w:type="dxa"/>
          </w:tcPr>
          <w:p w14:paraId="59B72AAE" w14:textId="77777777" w:rsidR="0038299D" w:rsidRPr="00540D92" w:rsidRDefault="0038299D" w:rsidP="006F2A84">
            <w:pPr>
              <w:keepNext/>
              <w:spacing w:after="120"/>
              <w:rPr>
                <w:rFonts w:ascii="Arial Narrow" w:hAnsi="Arial Narrow"/>
                <w:sz w:val="20"/>
              </w:rPr>
            </w:pPr>
            <w:r w:rsidRPr="00540D92">
              <w:rPr>
                <w:rFonts w:ascii="Arial Narrow" w:hAnsi="Arial Narrow"/>
                <w:sz w:val="20"/>
              </w:rPr>
              <w:t>Participants of the ABCSG-6 and ABCSG-8 trials who received endocrine therapy only.</w:t>
            </w:r>
          </w:p>
          <w:p w14:paraId="62ED38DD" w14:textId="77777777" w:rsidR="001D2474" w:rsidRPr="00540D92" w:rsidRDefault="0038299D" w:rsidP="00CC61F2">
            <w:pPr>
              <w:keepNext/>
              <w:rPr>
                <w:rFonts w:ascii="Arial Narrow" w:hAnsi="Arial Narrow"/>
                <w:sz w:val="20"/>
                <w:u w:val="single"/>
              </w:rPr>
            </w:pPr>
            <w:r w:rsidRPr="00540D92">
              <w:rPr>
                <w:rFonts w:ascii="Arial Narrow" w:hAnsi="Arial Narrow"/>
                <w:sz w:val="20"/>
                <w:u w:val="single"/>
              </w:rPr>
              <w:t xml:space="preserve">ABCSG-6 </w:t>
            </w:r>
            <w:r w:rsidR="001D2474" w:rsidRPr="00540D92">
              <w:rPr>
                <w:rFonts w:ascii="Arial Narrow" w:hAnsi="Arial Narrow"/>
                <w:sz w:val="20"/>
                <w:u w:val="single"/>
              </w:rPr>
              <w:t>inclusion criteria</w:t>
            </w:r>
          </w:p>
          <w:p w14:paraId="41AB6674" w14:textId="77777777" w:rsidR="001D2474" w:rsidRPr="00540D92" w:rsidRDefault="001D2474" w:rsidP="00CC61F2">
            <w:pPr>
              <w:keepNext/>
              <w:rPr>
                <w:rFonts w:ascii="Arial Narrow" w:hAnsi="Arial Narrow"/>
                <w:sz w:val="20"/>
              </w:rPr>
            </w:pPr>
            <w:r w:rsidRPr="00540D92">
              <w:rPr>
                <w:rFonts w:ascii="Arial Narrow" w:hAnsi="Arial Narrow"/>
                <w:sz w:val="20"/>
              </w:rPr>
              <w:t>P</w:t>
            </w:r>
            <w:r w:rsidR="00F00DBC" w:rsidRPr="00540D92">
              <w:rPr>
                <w:rFonts w:ascii="Arial Narrow" w:hAnsi="Arial Narrow"/>
                <w:sz w:val="20"/>
              </w:rPr>
              <w:t xml:space="preserve">ost-menopausal </w:t>
            </w:r>
            <w:r w:rsidR="0038299D" w:rsidRPr="00540D92">
              <w:rPr>
                <w:rFonts w:ascii="Arial Narrow" w:hAnsi="Arial Narrow"/>
                <w:sz w:val="20"/>
              </w:rPr>
              <w:t>women</w:t>
            </w:r>
            <w:r w:rsidRPr="00540D92">
              <w:rPr>
                <w:rFonts w:ascii="Arial Narrow" w:hAnsi="Arial Narrow"/>
                <w:sz w:val="20"/>
              </w:rPr>
              <w:t xml:space="preserve"> with surgical tumour removal</w:t>
            </w:r>
          </w:p>
          <w:p w14:paraId="678646C1" w14:textId="77777777" w:rsidR="001D2474" w:rsidRPr="00540D92" w:rsidRDefault="001D2474" w:rsidP="00CC61F2">
            <w:pPr>
              <w:keepNext/>
              <w:rPr>
                <w:rFonts w:ascii="Arial Narrow" w:hAnsi="Arial Narrow"/>
                <w:sz w:val="20"/>
              </w:rPr>
            </w:pPr>
            <w:r w:rsidRPr="00540D92">
              <w:rPr>
                <w:rFonts w:ascii="Arial Narrow" w:hAnsi="Arial Narrow"/>
                <w:sz w:val="20"/>
              </w:rPr>
              <w:t>H</w:t>
            </w:r>
            <w:r w:rsidR="00664B35" w:rsidRPr="00540D92">
              <w:rPr>
                <w:rFonts w:ascii="Arial Narrow" w:hAnsi="Arial Narrow"/>
                <w:sz w:val="20"/>
              </w:rPr>
              <w:t xml:space="preserve">istologically confirmed </w:t>
            </w:r>
            <w:r w:rsidR="002F2035" w:rsidRPr="00540D92">
              <w:rPr>
                <w:rFonts w:ascii="Arial Narrow" w:hAnsi="Arial Narrow"/>
                <w:sz w:val="20"/>
              </w:rPr>
              <w:t>ER or PR positive</w:t>
            </w:r>
            <w:r w:rsidRPr="00540D92">
              <w:rPr>
                <w:rFonts w:ascii="Arial Narrow" w:hAnsi="Arial Narrow"/>
                <w:sz w:val="20"/>
              </w:rPr>
              <w:t xml:space="preserve"> tumour</w:t>
            </w:r>
          </w:p>
          <w:p w14:paraId="2555596B" w14:textId="77777777" w:rsidR="001D2474" w:rsidRPr="00540D92" w:rsidRDefault="001D2474" w:rsidP="00CC61F2">
            <w:pPr>
              <w:keepNext/>
              <w:rPr>
                <w:rFonts w:ascii="Arial Narrow" w:hAnsi="Arial Narrow"/>
                <w:sz w:val="20"/>
              </w:rPr>
            </w:pPr>
            <w:r w:rsidRPr="00540D92">
              <w:rPr>
                <w:rFonts w:ascii="Arial Narrow" w:hAnsi="Arial Narrow"/>
                <w:sz w:val="20"/>
              </w:rPr>
              <w:t>S</w:t>
            </w:r>
            <w:r w:rsidR="003C357A" w:rsidRPr="00540D92">
              <w:rPr>
                <w:rFonts w:ascii="Arial Narrow" w:hAnsi="Arial Narrow"/>
                <w:sz w:val="20"/>
              </w:rPr>
              <w:t xml:space="preserve">tage I or II </w:t>
            </w:r>
            <w:r w:rsidR="00664B35" w:rsidRPr="00540D92">
              <w:rPr>
                <w:rFonts w:ascii="Arial Narrow" w:hAnsi="Arial Narrow"/>
                <w:sz w:val="20"/>
              </w:rPr>
              <w:t xml:space="preserve">unilateral </w:t>
            </w:r>
            <w:r w:rsidR="00F00DBC" w:rsidRPr="00540D92">
              <w:rPr>
                <w:rFonts w:ascii="Arial Narrow" w:hAnsi="Arial Narrow"/>
                <w:sz w:val="20"/>
              </w:rPr>
              <w:t xml:space="preserve">breast cancer </w:t>
            </w:r>
          </w:p>
          <w:p w14:paraId="565428A6" w14:textId="77777777" w:rsidR="0038299D" w:rsidRPr="00540D92" w:rsidRDefault="001D2474" w:rsidP="006F2A84">
            <w:pPr>
              <w:keepNext/>
              <w:spacing w:after="120"/>
              <w:rPr>
                <w:rFonts w:ascii="Arial Narrow" w:hAnsi="Arial Narrow"/>
                <w:sz w:val="20"/>
              </w:rPr>
            </w:pPr>
            <w:r w:rsidRPr="00540D92">
              <w:rPr>
                <w:rFonts w:ascii="Arial Narrow" w:hAnsi="Arial Narrow"/>
                <w:sz w:val="20"/>
              </w:rPr>
              <w:t>N</w:t>
            </w:r>
            <w:r w:rsidR="00664B35" w:rsidRPr="00540D92">
              <w:rPr>
                <w:rFonts w:ascii="Arial Narrow" w:hAnsi="Arial Narrow"/>
                <w:sz w:val="20"/>
              </w:rPr>
              <w:t>egative or positive axillary nodes</w:t>
            </w:r>
          </w:p>
          <w:p w14:paraId="75A84CC8" w14:textId="77777777" w:rsidR="001D2474" w:rsidRPr="00540D92" w:rsidRDefault="0038299D" w:rsidP="0038299D">
            <w:pPr>
              <w:keepNext/>
              <w:rPr>
                <w:rFonts w:ascii="Arial Narrow" w:hAnsi="Arial Narrow"/>
                <w:sz w:val="20"/>
                <w:u w:val="single"/>
              </w:rPr>
            </w:pPr>
            <w:r w:rsidRPr="00540D92">
              <w:rPr>
                <w:rFonts w:ascii="Arial Narrow" w:hAnsi="Arial Narrow"/>
                <w:sz w:val="20"/>
                <w:u w:val="single"/>
              </w:rPr>
              <w:t>ABCSG-8</w:t>
            </w:r>
            <w:r w:rsidR="001D2474" w:rsidRPr="00540D92">
              <w:rPr>
                <w:rFonts w:ascii="Arial Narrow" w:hAnsi="Arial Narrow"/>
                <w:sz w:val="20"/>
                <w:u w:val="single"/>
              </w:rPr>
              <w:t xml:space="preserve"> inclusion criteria</w:t>
            </w:r>
          </w:p>
          <w:p w14:paraId="549684BF" w14:textId="77777777" w:rsidR="001D2474" w:rsidRPr="00540D92" w:rsidRDefault="001D2474" w:rsidP="0038299D">
            <w:pPr>
              <w:keepNext/>
              <w:rPr>
                <w:rFonts w:ascii="Arial Narrow" w:hAnsi="Arial Narrow"/>
                <w:sz w:val="20"/>
              </w:rPr>
            </w:pPr>
            <w:r w:rsidRPr="00540D92">
              <w:rPr>
                <w:rFonts w:ascii="Arial Narrow" w:hAnsi="Arial Narrow"/>
                <w:sz w:val="20"/>
              </w:rPr>
              <w:t>P</w:t>
            </w:r>
            <w:r w:rsidR="0038299D" w:rsidRPr="00540D92">
              <w:rPr>
                <w:rFonts w:ascii="Arial Narrow" w:hAnsi="Arial Narrow"/>
                <w:sz w:val="20"/>
              </w:rPr>
              <w:t xml:space="preserve">ost-menopausal women aged 80 years or younger </w:t>
            </w:r>
          </w:p>
          <w:p w14:paraId="2D6F8966" w14:textId="77777777" w:rsidR="009743C3" w:rsidRPr="00540D92" w:rsidRDefault="001D2474" w:rsidP="0038299D">
            <w:pPr>
              <w:keepNext/>
              <w:rPr>
                <w:rFonts w:ascii="Arial Narrow" w:hAnsi="Arial Narrow"/>
                <w:sz w:val="20"/>
              </w:rPr>
            </w:pPr>
            <w:r w:rsidRPr="00540D92">
              <w:rPr>
                <w:rFonts w:ascii="Arial Narrow" w:hAnsi="Arial Narrow"/>
                <w:sz w:val="20"/>
              </w:rPr>
              <w:t>H</w:t>
            </w:r>
            <w:r w:rsidR="0038299D" w:rsidRPr="00540D92">
              <w:rPr>
                <w:rFonts w:ascii="Arial Narrow" w:hAnsi="Arial Narrow"/>
                <w:sz w:val="20"/>
              </w:rPr>
              <w:t>istologically verified, invasive or minimally invasive</w:t>
            </w:r>
            <w:r w:rsidR="002F2035" w:rsidRPr="00540D92">
              <w:rPr>
                <w:rFonts w:ascii="Arial Narrow" w:hAnsi="Arial Narrow"/>
                <w:sz w:val="20"/>
              </w:rPr>
              <w:t xml:space="preserve">, </w:t>
            </w:r>
            <w:r w:rsidR="009743C3" w:rsidRPr="00540D92">
              <w:rPr>
                <w:rFonts w:ascii="Arial Narrow" w:hAnsi="Arial Narrow"/>
                <w:sz w:val="20"/>
              </w:rPr>
              <w:t>breast tumour, surgically removed</w:t>
            </w:r>
          </w:p>
          <w:p w14:paraId="2AF6EB1E" w14:textId="77777777" w:rsidR="00221EEC" w:rsidRPr="00540D92" w:rsidRDefault="002F2035" w:rsidP="006F2A84">
            <w:pPr>
              <w:keepNext/>
              <w:spacing w:after="120"/>
              <w:rPr>
                <w:rFonts w:ascii="Arial Narrow" w:hAnsi="Arial Narrow"/>
                <w:sz w:val="20"/>
              </w:rPr>
            </w:pPr>
            <w:r w:rsidRPr="00540D92">
              <w:rPr>
                <w:rFonts w:ascii="Arial Narrow" w:hAnsi="Arial Narrow"/>
                <w:sz w:val="20"/>
              </w:rPr>
              <w:t>ER or PR positive</w:t>
            </w:r>
            <w:r w:rsidR="009743C3" w:rsidRPr="00540D92">
              <w:rPr>
                <w:rFonts w:ascii="Arial Narrow" w:hAnsi="Arial Narrow"/>
                <w:sz w:val="20"/>
              </w:rPr>
              <w:t xml:space="preserve"> tumour</w:t>
            </w:r>
          </w:p>
        </w:tc>
        <w:tc>
          <w:tcPr>
            <w:tcW w:w="1701" w:type="dxa"/>
          </w:tcPr>
          <w:p w14:paraId="5DA6A84D" w14:textId="77777777" w:rsidR="00221EEC" w:rsidRPr="00540D92" w:rsidRDefault="00221EEC" w:rsidP="00CC61F2">
            <w:pPr>
              <w:keepNext/>
              <w:rPr>
                <w:rFonts w:ascii="Arial Narrow" w:hAnsi="Arial Narrow"/>
                <w:sz w:val="20"/>
              </w:rPr>
            </w:pPr>
            <w:r w:rsidRPr="00540D92">
              <w:rPr>
                <w:rFonts w:ascii="Arial Narrow" w:hAnsi="Arial Narrow"/>
                <w:sz w:val="20"/>
              </w:rPr>
              <w:t>EP score and EPclin Score, conducted on FFPE samples</w:t>
            </w:r>
          </w:p>
          <w:p w14:paraId="5D9379F9" w14:textId="77777777" w:rsidR="00221EEC" w:rsidRPr="00540D92" w:rsidRDefault="00221EEC" w:rsidP="00CC61F2">
            <w:pPr>
              <w:keepNext/>
              <w:rPr>
                <w:rFonts w:ascii="Arial Narrow" w:hAnsi="Arial Narrow"/>
                <w:sz w:val="20"/>
              </w:rPr>
            </w:pPr>
          </w:p>
        </w:tc>
        <w:tc>
          <w:tcPr>
            <w:tcW w:w="1643" w:type="dxa"/>
          </w:tcPr>
          <w:p w14:paraId="7DBB23CA" w14:textId="288C14F1" w:rsidR="00F773C7" w:rsidRPr="00540D92" w:rsidRDefault="00F00DBC" w:rsidP="00F00DBC">
            <w:pPr>
              <w:keepNext/>
              <w:rPr>
                <w:rFonts w:ascii="Arial Narrow" w:hAnsi="Arial Narrow"/>
                <w:sz w:val="20"/>
              </w:rPr>
            </w:pPr>
            <w:r w:rsidRPr="00540D92">
              <w:rPr>
                <w:rFonts w:ascii="Arial Narrow" w:hAnsi="Arial Narrow"/>
                <w:sz w:val="20"/>
              </w:rPr>
              <w:fldChar w:fldCharType="begin"/>
            </w:r>
            <w:r w:rsidR="00540D92">
              <w:rPr>
                <w:rFonts w:ascii="Arial Narrow" w:hAnsi="Arial Narrow"/>
                <w:sz w:val="20"/>
              </w:rPr>
              <w:instrText xml:space="preserve"> ADDIN EN.CITE &lt;EndNote&gt;&lt;Cite&gt;&lt;Author&gt;Filipits&lt;/Author&gt;&lt;Year&gt;2011&lt;/Year&gt;&lt;RecNum&gt;52&lt;/RecNum&gt;&lt;IDText&gt;6012-6020&lt;/IDText&gt;&lt;DisplayText&gt;(Filipits et al. 2011)&lt;/DisplayText&gt;&lt;record&gt;&lt;rec-number&gt;52&lt;/rec-number&gt;&lt;foreign-keys&gt;&lt;key app="EN" db-id="ttvewf9xnepwp2edxe5xxzfw9et0wp9vf9wd" timestamp="1433989548"&gt;52&lt;/key&gt;&lt;/foreign-keys&gt;&lt;ref-type name="Journal Article"&gt;17&lt;/ref-type&gt;&lt;contributors&gt;&lt;authors&gt;&lt;author&gt;Filipits, Martin&lt;/author&gt;&lt;author&gt;Rudas, Margaretha&lt;/author&gt;&lt;author&gt;Jakesz, Raimund&lt;/author&gt;&lt;author&gt;Dubsky, Peter&lt;/author&gt;&lt;author&gt;Fitzal, Florian&lt;/author&gt;&lt;author&gt;Singer, Christian F.&lt;/author&gt;&lt;author&gt;Dietze, Otto&lt;/author&gt;&lt;author&gt;Greil, Richard&lt;/author&gt;&lt;author&gt;Jelen, Andrea&lt;/author&gt;&lt;author&gt;Sevelda, Paul&lt;/author&gt;&lt;author&gt;Freibauer, Christa&lt;/author&gt;&lt;author&gt;Müller, Volkmar&lt;/author&gt;&lt;author&gt;Jänicke, Fritz&lt;/author&gt;&lt;author&gt;Schmidt, Marcus&lt;/author&gt;&lt;author&gt;Kölbl, Heinz&lt;/author&gt;&lt;author&gt;Rody, Achim&lt;/author&gt;&lt;author&gt;Kaufmann, Manfred&lt;/author&gt;&lt;author&gt;Schroth, Werner&lt;/author&gt;&lt;author&gt;Brauch, Hiltrud&lt;/author&gt;&lt;author&gt;Schwab, Matthias&lt;/author&gt;&lt;author&gt;Fritz, Peter&lt;/author&gt;&lt;author&gt;Weber, Karsten E.&lt;/author&gt;&lt;author&gt;Feder, Inke S.&lt;/author&gt;&lt;author&gt;Hennig, Guido&lt;/author&gt;&lt;author&gt;Kronenwett, Ralf&lt;/author&gt;&lt;author&gt;Gehrmann, Mathias&lt;/author&gt;&lt;author&gt;Gnant, Michael&lt;/author&gt;&lt;/authors&gt;&lt;/contributors&gt;&lt;titles&gt;&lt;title&gt;A New Molecular Predictor of Distant Recurrence in ER-Positive, HER2-Negative Breast Cancer Adds Independent Information to Conventional Clinical Risk Factors&lt;/title&gt;&lt;secondary-title&gt;Clinical Cancer Research&lt;/secondary-title&gt;&lt;/titles&gt;&lt;periodical&gt;&lt;full-title&gt;Clinical Cancer Research&lt;/full-title&gt;&lt;/periodical&gt;&lt;pages&gt;6012-6020&lt;/pages&gt;&lt;volume&gt;17&lt;/volume&gt;&lt;number&gt;18&lt;/number&gt;&lt;dates&gt;&lt;year&gt;2011&lt;/year&gt;&lt;pub-dates&gt;&lt;date&gt;September 15, 2011&lt;/date&gt;&lt;/pub-dates&gt;&lt;/dates&gt;&lt;urls&gt;&lt;related-urls&gt;&lt;url&gt;http://clincancerres.aacrjournals.org/content/17/18/6012.abstract&lt;/url&gt;&lt;url&gt;http://clincancerres.aacrjournals.org/content/17/18/6012.full.pdf&lt;/url&gt;&lt;/related-urls&gt;&lt;/urls&gt;&lt;electronic-resource-num&gt;10.1158/1078-0432.ccr-11-0926&lt;/electronic-resource-num&gt;&lt;/record&gt;&lt;/Cite&gt;&lt;/EndNote&gt;</w:instrText>
            </w:r>
            <w:r w:rsidRPr="00540D92">
              <w:rPr>
                <w:rFonts w:ascii="Arial Narrow" w:hAnsi="Arial Narrow"/>
                <w:sz w:val="20"/>
              </w:rPr>
              <w:fldChar w:fldCharType="separate"/>
            </w:r>
            <w:r w:rsidR="00540D92" w:rsidRPr="00540D92">
              <w:rPr>
                <w:rFonts w:ascii="Arial Narrow" w:hAnsi="Arial Narrow"/>
                <w:noProof/>
                <w:sz w:val="20"/>
                <w:szCs w:val="20"/>
              </w:rPr>
              <w:t>(</w:t>
            </w:r>
            <w:hyperlink w:anchor="_ENREF_10" w:tooltip="Filipits, 2011 #52" w:history="1">
              <w:r w:rsidR="009558F1" w:rsidRPr="00540D92">
                <w:rPr>
                  <w:rFonts w:ascii="Arial Narrow" w:hAnsi="Arial Narrow"/>
                  <w:noProof/>
                  <w:sz w:val="20"/>
                  <w:szCs w:val="20"/>
                </w:rPr>
                <w:t>Filipits et al. 2011</w:t>
              </w:r>
            </w:hyperlink>
            <w:r w:rsidR="00540D92" w:rsidRPr="00540D92">
              <w:rPr>
                <w:rFonts w:ascii="Arial Narrow" w:hAnsi="Arial Narrow"/>
                <w:noProof/>
                <w:sz w:val="20"/>
                <w:szCs w:val="20"/>
              </w:rPr>
              <w:t>)</w:t>
            </w:r>
            <w:r w:rsidRPr="00540D92">
              <w:rPr>
                <w:rFonts w:ascii="Arial Narrow" w:hAnsi="Arial Narrow"/>
                <w:sz w:val="20"/>
              </w:rPr>
              <w:fldChar w:fldCharType="end"/>
            </w:r>
          </w:p>
          <w:p w14:paraId="0F58F086" w14:textId="774CD3AC" w:rsidR="00664B35" w:rsidRPr="00540D92" w:rsidRDefault="00664B35" w:rsidP="00115FEB">
            <w:pPr>
              <w:keepNext/>
              <w:spacing w:after="120"/>
              <w:rPr>
                <w:rFonts w:ascii="Arial Narrow" w:hAnsi="Arial Narrow"/>
                <w:sz w:val="20"/>
              </w:rPr>
            </w:pPr>
            <w:r w:rsidRPr="00540D92">
              <w:rPr>
                <w:rFonts w:ascii="Arial Narrow" w:hAnsi="Arial Narrow"/>
                <w:sz w:val="20"/>
              </w:rPr>
              <w:fldChar w:fldCharType="begin">
                <w:fldData xml:space="preserve">PEVuZE5vdGU+PENpdGU+PEF1dGhvcj5EdWJza3k8L0F1dGhvcj48WWVhcj4yMDEzPC9ZZWFyPjxS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</w:fldData>
              </w:fldChar>
            </w:r>
            <w:r w:rsidR="006F2A84" w:rsidRPr="00540D92">
              <w:rPr>
                <w:rFonts w:ascii="Arial Narrow" w:hAnsi="Arial Narrow"/>
                <w:sz w:val="20"/>
              </w:rPr>
              <w:instrText xml:space="preserve"> ADDIN EN.CITE </w:instrText>
            </w:r>
            <w:r w:rsidR="006F2A84" w:rsidRPr="00540D92">
              <w:rPr>
                <w:rFonts w:ascii="Arial Narrow" w:hAnsi="Arial Narrow"/>
                <w:sz w:val="20"/>
              </w:rPr>
              <w:fldChar w:fldCharType="begin">
                <w:fldData xml:space="preserve">PEVuZE5vdGU+PENpdGU+PEF1dGhvcj5EdWJza3k8L0F1dGhvcj48WWVhcj4yMDEzPC9ZZWFyPjxS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</w:fldData>
              </w:fldChar>
            </w:r>
            <w:r w:rsidR="006F2A84" w:rsidRPr="00540D92">
              <w:rPr>
                <w:rFonts w:ascii="Arial Narrow" w:hAnsi="Arial Narrow"/>
                <w:sz w:val="20"/>
              </w:rPr>
              <w:instrText xml:space="preserve"> ADDIN EN.CITE.DATA </w:instrText>
            </w:r>
            <w:r w:rsidR="006F2A84" w:rsidRPr="00540D92">
              <w:rPr>
                <w:rFonts w:ascii="Arial Narrow" w:hAnsi="Arial Narrow"/>
                <w:sz w:val="20"/>
              </w:rPr>
            </w:r>
            <w:r w:rsidR="006F2A84" w:rsidRPr="00540D92">
              <w:rPr>
                <w:rFonts w:ascii="Arial Narrow" w:hAnsi="Arial Narrow"/>
                <w:sz w:val="20"/>
              </w:rPr>
              <w:fldChar w:fldCharType="end"/>
            </w:r>
            <w:r w:rsidRPr="00540D92">
              <w:rPr>
                <w:rFonts w:ascii="Arial Narrow" w:hAnsi="Arial Narrow"/>
                <w:sz w:val="20"/>
              </w:rPr>
            </w:r>
            <w:r w:rsidRPr="00540D92">
              <w:rPr>
                <w:rFonts w:ascii="Arial Narrow" w:hAnsi="Arial Narrow"/>
                <w:sz w:val="20"/>
              </w:rPr>
              <w:fldChar w:fldCharType="separate"/>
            </w:r>
            <w:r w:rsidR="006F2A84" w:rsidRPr="00540D92">
              <w:rPr>
                <w:rFonts w:ascii="Arial Narrow" w:hAnsi="Arial Narrow"/>
                <w:sz w:val="20"/>
              </w:rPr>
              <w:t>(</w:t>
            </w:r>
            <w:hyperlink w:anchor="_ENREF_8" w:tooltip="Dubsky, 2013 #35" w:history="1">
              <w:r w:rsidR="009558F1" w:rsidRPr="00540D92">
                <w:rPr>
                  <w:rFonts w:ascii="Arial Narrow" w:hAnsi="Arial Narrow"/>
                  <w:sz w:val="20"/>
                </w:rPr>
                <w:t>Dubsky et al. 2013</w:t>
              </w:r>
            </w:hyperlink>
            <w:r w:rsidR="006F2A84" w:rsidRPr="00540D92">
              <w:rPr>
                <w:rFonts w:ascii="Arial Narrow" w:hAnsi="Arial Narrow"/>
                <w:sz w:val="20"/>
              </w:rPr>
              <w:t>)</w:t>
            </w:r>
            <w:r w:rsidRPr="00540D92">
              <w:rPr>
                <w:rFonts w:ascii="Arial Narrow" w:hAnsi="Arial Narrow"/>
                <w:sz w:val="20"/>
              </w:rPr>
              <w:fldChar w:fldCharType="end"/>
            </w:r>
          </w:p>
          <w:p w14:paraId="62100D22" w14:textId="77777777" w:rsidR="006F2A84" w:rsidRPr="00540D92" w:rsidRDefault="006F2A84" w:rsidP="00115FEB">
            <w:pPr>
              <w:keepNext/>
              <w:rPr>
                <w:rFonts w:ascii="Arial Narrow" w:hAnsi="Arial Narrow"/>
                <w:sz w:val="20"/>
              </w:rPr>
            </w:pPr>
          </w:p>
        </w:tc>
      </w:tr>
      <w:tr w:rsidR="006F2A84" w:rsidRPr="00B9248B" w14:paraId="7361E552" w14:textId="77777777" w:rsidTr="006F2A84">
        <w:tc>
          <w:tcPr>
            <w:tcW w:w="1526" w:type="dxa"/>
          </w:tcPr>
          <w:p w14:paraId="296FBDAB" w14:textId="77777777" w:rsidR="006F2A84" w:rsidRPr="00540D92" w:rsidRDefault="006F2A84" w:rsidP="006F2A84">
            <w:pPr>
              <w:keepNext/>
              <w:spacing w:after="120"/>
              <w:rPr>
                <w:rFonts w:ascii="Arial Narrow" w:hAnsi="Arial Narrow"/>
                <w:sz w:val="20"/>
              </w:rPr>
            </w:pPr>
            <w:r w:rsidRPr="00540D92">
              <w:rPr>
                <w:rFonts w:ascii="Arial Narrow" w:hAnsi="Arial Narrow"/>
                <w:sz w:val="20"/>
              </w:rPr>
              <w:t>Germany</w:t>
            </w:r>
          </w:p>
          <w:p w14:paraId="3ECC0D28" w14:textId="77777777" w:rsidR="006F2A84" w:rsidRPr="00540D92" w:rsidRDefault="006F2A84" w:rsidP="00115FEB">
            <w:pPr>
              <w:keepNext/>
              <w:rPr>
                <w:rFonts w:ascii="Arial Narrow" w:hAnsi="Arial Narrow"/>
                <w:sz w:val="20"/>
              </w:rPr>
            </w:pPr>
            <w:r w:rsidRPr="00540D92">
              <w:rPr>
                <w:rFonts w:ascii="Arial Narrow" w:hAnsi="Arial Narrow"/>
                <w:sz w:val="20"/>
              </w:rPr>
              <w:t>Patient management</w:t>
            </w:r>
          </w:p>
        </w:tc>
        <w:tc>
          <w:tcPr>
            <w:tcW w:w="4394" w:type="dxa"/>
          </w:tcPr>
          <w:p w14:paraId="35218EAD" w14:textId="77777777" w:rsidR="006F2A84" w:rsidRPr="00540D92" w:rsidRDefault="006F2A84" w:rsidP="003C5B20">
            <w:pPr>
              <w:keepNext/>
              <w:rPr>
                <w:rFonts w:ascii="Arial Narrow" w:hAnsi="Arial Narrow"/>
                <w:sz w:val="20"/>
              </w:rPr>
            </w:pPr>
            <w:r w:rsidRPr="00540D92">
              <w:rPr>
                <w:rFonts w:ascii="Arial Narrow" w:hAnsi="Arial Narrow"/>
                <w:sz w:val="20"/>
              </w:rPr>
              <w:t xml:space="preserve">Patients with primary </w:t>
            </w:r>
            <w:r w:rsidR="00940FCB" w:rsidRPr="00540D92">
              <w:rPr>
                <w:rFonts w:ascii="Arial Narrow" w:hAnsi="Arial Narrow"/>
                <w:sz w:val="20"/>
              </w:rPr>
              <w:t>invasive</w:t>
            </w:r>
            <w:r w:rsidRPr="00540D92">
              <w:rPr>
                <w:rFonts w:ascii="Arial Narrow" w:hAnsi="Arial Narrow"/>
                <w:sz w:val="20"/>
              </w:rPr>
              <w:t xml:space="preserve"> </w:t>
            </w:r>
            <w:proofErr w:type="spellStart"/>
            <w:r w:rsidRPr="00540D92">
              <w:rPr>
                <w:rFonts w:ascii="Arial Narrow" w:hAnsi="Arial Narrow"/>
                <w:sz w:val="20"/>
              </w:rPr>
              <w:t>ER+ve</w:t>
            </w:r>
            <w:proofErr w:type="spellEnd"/>
            <w:r w:rsidRPr="00540D92">
              <w:rPr>
                <w:rFonts w:ascii="Arial Narrow" w:hAnsi="Arial Narrow"/>
                <w:sz w:val="20"/>
              </w:rPr>
              <w:t xml:space="preserve"> or </w:t>
            </w:r>
            <w:proofErr w:type="spellStart"/>
            <w:r w:rsidRPr="00540D92">
              <w:rPr>
                <w:rFonts w:ascii="Arial Narrow" w:hAnsi="Arial Narrow"/>
                <w:sz w:val="20"/>
              </w:rPr>
              <w:t>PR+ve</w:t>
            </w:r>
            <w:proofErr w:type="spellEnd"/>
            <w:r w:rsidRPr="00540D92">
              <w:rPr>
                <w:rFonts w:ascii="Arial Narrow" w:hAnsi="Arial Narrow"/>
                <w:sz w:val="20"/>
              </w:rPr>
              <w:t>, HER2-ve breast cancer.</w:t>
            </w:r>
          </w:p>
          <w:p w14:paraId="636B3FD6" w14:textId="77777777" w:rsidR="006F2A84" w:rsidRPr="00540D92" w:rsidRDefault="006F2A84" w:rsidP="003C5B20">
            <w:pPr>
              <w:keepNext/>
              <w:rPr>
                <w:rFonts w:ascii="Arial Narrow" w:hAnsi="Arial Narrow"/>
                <w:sz w:val="20"/>
              </w:rPr>
            </w:pPr>
            <w:r w:rsidRPr="00540D92">
              <w:rPr>
                <w:rFonts w:ascii="Arial Narrow" w:hAnsi="Arial Narrow"/>
                <w:sz w:val="20"/>
              </w:rPr>
              <w:t>Median age 55 years (range: 30-76 years)</w:t>
            </w:r>
          </w:p>
        </w:tc>
        <w:tc>
          <w:tcPr>
            <w:tcW w:w="1701" w:type="dxa"/>
          </w:tcPr>
          <w:p w14:paraId="247CEF67" w14:textId="77777777" w:rsidR="006F2A84" w:rsidRPr="00540D92" w:rsidRDefault="006F2A84" w:rsidP="0085045C">
            <w:pPr>
              <w:keepNext/>
              <w:rPr>
                <w:rFonts w:ascii="Arial Narrow" w:hAnsi="Arial Narrow"/>
                <w:sz w:val="20"/>
              </w:rPr>
            </w:pPr>
            <w:r w:rsidRPr="00540D92">
              <w:rPr>
                <w:rFonts w:ascii="Arial Narrow" w:hAnsi="Arial Narrow"/>
                <w:sz w:val="20"/>
              </w:rPr>
              <w:t>EP Score and EPclin Score, conducted on FFPE samples</w:t>
            </w:r>
          </w:p>
        </w:tc>
        <w:tc>
          <w:tcPr>
            <w:tcW w:w="1643" w:type="dxa"/>
          </w:tcPr>
          <w:p w14:paraId="67F90327" w14:textId="676E0950" w:rsidR="006F2A84" w:rsidRPr="00540D92" w:rsidRDefault="006F2A84" w:rsidP="00115FEB">
            <w:pPr>
              <w:keepNext/>
              <w:spacing w:after="120"/>
              <w:rPr>
                <w:rFonts w:ascii="Arial Narrow" w:hAnsi="Arial Narrow"/>
                <w:sz w:val="20"/>
              </w:rPr>
            </w:pPr>
            <w:r w:rsidRPr="00540D92">
              <w:rPr>
                <w:rFonts w:ascii="Arial Narrow" w:hAnsi="Arial Narrow"/>
                <w:sz w:val="20"/>
              </w:rPr>
              <w:fldChar w:fldCharType="begin"/>
            </w:r>
            <w:r w:rsidR="00540D92">
              <w:rPr>
                <w:rFonts w:ascii="Arial Narrow" w:hAnsi="Arial Narrow"/>
                <w:sz w:val="20"/>
              </w:rPr>
              <w:instrText xml:space="preserve"> ADDIN EN.CITE &lt;EndNote&gt;&lt;Cite&gt;&lt;Author&gt;Muller&lt;/Author&gt;&lt;Year&gt;2013&lt;/Year&gt;&lt;RecNum&gt;32&lt;/RecNum&gt;&lt;IDText&gt;e68252&lt;/IDText&gt;&lt;DisplayText&gt;(Muller et al. 2013)&lt;/DisplayText&gt;&lt;record&gt;&lt;rec-number&gt;32&lt;/rec-number&gt;&lt;foreign-keys&gt;&lt;key app="EN" db-id="ttvewf9xnepwp2edxe5xxzfw9et0wp9vf9wd" timestamp="1430968161"&gt;32&lt;/key&gt;&lt;/foreign-keys&gt;&lt;ref-type name="Journal Article"&gt;17&lt;/ref-type&gt;&lt;contributors&gt;&lt;authors&gt;&lt;author&gt;Muller, B. M.&lt;/author&gt;&lt;author&gt;Keil, E.&lt;/author&gt;&lt;author&gt;Lehmann, A.&lt;/author&gt;&lt;author&gt;Winzer, K. J.&lt;/author&gt;&lt;author&gt;Richter-Ehrenstein, C.&lt;/author&gt;&lt;author&gt;Prinzler, J.&lt;/author&gt;&lt;author&gt;Bangemann, N.&lt;/author&gt;&lt;author&gt;Reles, A.&lt;/author&gt;&lt;author&gt;Stadie, S.&lt;/author&gt;&lt;author&gt;Schoenegg, W.&lt;/author&gt;&lt;author&gt;Eucker, J.&lt;/author&gt;&lt;author&gt;Schmidt, M.&lt;/author&gt;&lt;author&gt;Lippek, F.&lt;/author&gt;&lt;author&gt;Johrens, K.&lt;/author&gt;&lt;author&gt;Pahl, S.&lt;/author&gt;&lt;author&gt;Sinn, B. V.&lt;/author&gt;&lt;author&gt;Budczies, J.&lt;/author&gt;&lt;author&gt;Dietel, M.&lt;/author&gt;&lt;author&gt;Denkert, C.&lt;/author&gt;&lt;/authors&gt;&lt;/contributors&gt;&lt;auth-address&gt;Institute of Pathology, Charite University Hospital, Campus Mitte, Berlin, Germany.&lt;/auth-address&gt;&lt;titles&gt;&lt;title&gt;The EndoPredict Gene-Expression Assay in Clinical Practice - Performance and Impact on Clinical Decisions&lt;/title&gt;&lt;secondary-title&gt;PLoS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68252&lt;/pages&gt;&lt;volume&gt;8&lt;/volume&gt;&lt;number&gt;6&lt;/number&gt;&lt;edition&gt;2013/07/05&lt;/edition&gt;&lt;dates&gt;&lt;year&gt;2013&lt;/year&gt;&lt;/dates&gt;&lt;isbn&gt;1932-6203&lt;/isbn&gt;&lt;accession-num&gt;23826382&lt;/accession-num&gt;&lt;urls&gt;&lt;related-urls&gt;&lt;url&gt;http://www.ncbi.nlm.nih.gov/pmc/articles/PMC3694878/pdf/pone.0068252.pdf&lt;/url&gt;&lt;/related-urls&gt;&lt;/urls&gt;&lt;custom2&gt;Pmc3694878&lt;/custom2&gt;&lt;electronic-resource-num&gt;10.1371/journal.pone.0068252&lt;/electronic-resource-num&gt;&lt;remote-database-provider&gt;NLM&lt;/remote-database-provider&gt;&lt;language&gt;Eng&lt;/language&gt;&lt;/record&gt;&lt;/Cite&gt;&lt;/EndNote&gt;</w:instrText>
            </w:r>
            <w:r w:rsidRPr="00540D92">
              <w:rPr>
                <w:rFonts w:ascii="Arial Narrow" w:hAnsi="Arial Narrow"/>
                <w:sz w:val="20"/>
              </w:rPr>
              <w:fldChar w:fldCharType="separate"/>
            </w:r>
            <w:r w:rsidR="00540D92" w:rsidRPr="00540D92">
              <w:rPr>
                <w:rFonts w:ascii="Arial Narrow" w:hAnsi="Arial Narrow"/>
                <w:noProof/>
                <w:sz w:val="20"/>
                <w:szCs w:val="20"/>
              </w:rPr>
              <w:t>(</w:t>
            </w:r>
            <w:hyperlink w:anchor="_ENREF_13" w:tooltip="Muller, 2013 #32" w:history="1">
              <w:r w:rsidR="009558F1" w:rsidRPr="00540D92">
                <w:rPr>
                  <w:rFonts w:ascii="Arial Narrow" w:hAnsi="Arial Narrow"/>
                  <w:noProof/>
                  <w:sz w:val="20"/>
                  <w:szCs w:val="20"/>
                </w:rPr>
                <w:t>Muller et al. 2013</w:t>
              </w:r>
            </w:hyperlink>
            <w:r w:rsidR="00540D92" w:rsidRPr="00540D92">
              <w:rPr>
                <w:rFonts w:ascii="Arial Narrow" w:hAnsi="Arial Narrow"/>
                <w:noProof/>
                <w:sz w:val="20"/>
                <w:szCs w:val="20"/>
              </w:rPr>
              <w:t>)</w:t>
            </w:r>
            <w:r w:rsidRPr="00540D92">
              <w:rPr>
                <w:rFonts w:ascii="Arial Narrow" w:hAnsi="Arial Narrow"/>
                <w:sz w:val="20"/>
              </w:rPr>
              <w:fldChar w:fldCharType="end"/>
            </w:r>
          </w:p>
          <w:p w14:paraId="56FAECF9" w14:textId="77777777" w:rsidR="006F2A84" w:rsidRPr="00540D92" w:rsidRDefault="006F2A84" w:rsidP="006F2A84">
            <w:pPr>
              <w:keepNext/>
              <w:rPr>
                <w:rFonts w:ascii="Arial Narrow" w:hAnsi="Arial Narrow"/>
                <w:sz w:val="20"/>
              </w:rPr>
            </w:pPr>
          </w:p>
        </w:tc>
      </w:tr>
    </w:tbl>
    <w:p w14:paraId="0DA764F7" w14:textId="77777777" w:rsidR="00221EEC" w:rsidRDefault="00B914EF" w:rsidP="00CC61F2">
      <w:pPr>
        <w:keepNext/>
        <w:rPr>
          <w:rFonts w:ascii="Calibri" w:hAnsi="Calibri"/>
          <w:sz w:val="16"/>
          <w:szCs w:val="16"/>
        </w:rPr>
      </w:pPr>
      <w:r w:rsidRPr="009743C3">
        <w:rPr>
          <w:rFonts w:ascii="Calibri" w:hAnsi="Calibri"/>
          <w:sz w:val="16"/>
          <w:szCs w:val="16"/>
        </w:rPr>
        <w:t xml:space="preserve">ABCSG = </w:t>
      </w:r>
      <w:r w:rsidR="00664B35" w:rsidRPr="009743C3">
        <w:rPr>
          <w:rFonts w:ascii="Calibri" w:hAnsi="Calibri"/>
          <w:sz w:val="16"/>
          <w:szCs w:val="16"/>
        </w:rPr>
        <w:t>Austrian Breast and Colorectal Cancer Study Group</w:t>
      </w:r>
      <w:r w:rsidRPr="009743C3">
        <w:rPr>
          <w:rFonts w:ascii="Calibri" w:hAnsi="Calibri"/>
          <w:sz w:val="16"/>
          <w:szCs w:val="16"/>
        </w:rPr>
        <w:t xml:space="preserve">; EP = </w:t>
      </w:r>
      <w:proofErr w:type="spellStart"/>
      <w:r w:rsidR="00664B35" w:rsidRPr="009743C3">
        <w:rPr>
          <w:rFonts w:ascii="Calibri" w:hAnsi="Calibri"/>
          <w:sz w:val="16"/>
          <w:szCs w:val="16"/>
        </w:rPr>
        <w:t>EndoPre</w:t>
      </w:r>
      <w:r w:rsidR="00FE6E81">
        <w:rPr>
          <w:rFonts w:ascii="Calibri" w:hAnsi="Calibri"/>
          <w:sz w:val="16"/>
          <w:szCs w:val="16"/>
        </w:rPr>
        <w:t>d</w:t>
      </w:r>
      <w:r w:rsidR="00664B35" w:rsidRPr="009743C3">
        <w:rPr>
          <w:rFonts w:ascii="Calibri" w:hAnsi="Calibri"/>
          <w:sz w:val="16"/>
          <w:szCs w:val="16"/>
        </w:rPr>
        <w:t>ict</w:t>
      </w:r>
      <w:proofErr w:type="spellEnd"/>
      <w:r w:rsidR="00664B35" w:rsidRPr="009743C3">
        <w:rPr>
          <w:rFonts w:ascii="Calibri" w:hAnsi="Calibri"/>
          <w:sz w:val="16"/>
          <w:szCs w:val="16"/>
        </w:rPr>
        <w:t>®</w:t>
      </w:r>
      <w:r w:rsidRPr="009743C3">
        <w:rPr>
          <w:rFonts w:ascii="Calibri" w:hAnsi="Calibri"/>
          <w:sz w:val="16"/>
          <w:szCs w:val="16"/>
        </w:rPr>
        <w:t xml:space="preserve">; </w:t>
      </w:r>
      <w:r w:rsidR="002F2035" w:rsidRPr="009743C3">
        <w:rPr>
          <w:rFonts w:ascii="Calibri" w:hAnsi="Calibri"/>
          <w:sz w:val="16"/>
          <w:szCs w:val="16"/>
        </w:rPr>
        <w:t xml:space="preserve">ER = oestrogen receptor; </w:t>
      </w:r>
      <w:r w:rsidRPr="009743C3">
        <w:rPr>
          <w:rFonts w:ascii="Calibri" w:hAnsi="Calibri"/>
          <w:sz w:val="16"/>
          <w:szCs w:val="16"/>
        </w:rPr>
        <w:t xml:space="preserve">FFPE = </w:t>
      </w:r>
      <w:r w:rsidR="00664B35" w:rsidRPr="009743C3">
        <w:rPr>
          <w:rFonts w:ascii="Calibri" w:hAnsi="Calibri"/>
          <w:sz w:val="16"/>
          <w:szCs w:val="16"/>
        </w:rPr>
        <w:t>formalin fixed paraffin</w:t>
      </w:r>
      <w:r w:rsidR="003C357A" w:rsidRPr="009743C3">
        <w:rPr>
          <w:rFonts w:ascii="Calibri" w:hAnsi="Calibri"/>
          <w:sz w:val="16"/>
          <w:szCs w:val="16"/>
        </w:rPr>
        <w:t>-</w:t>
      </w:r>
      <w:r w:rsidR="00664B35" w:rsidRPr="009743C3">
        <w:rPr>
          <w:rFonts w:ascii="Calibri" w:hAnsi="Calibri"/>
          <w:sz w:val="16"/>
          <w:szCs w:val="16"/>
        </w:rPr>
        <w:t>embedded</w:t>
      </w:r>
      <w:r w:rsidR="002F2035" w:rsidRPr="009743C3">
        <w:rPr>
          <w:rFonts w:ascii="Calibri" w:hAnsi="Calibri"/>
          <w:sz w:val="16"/>
          <w:szCs w:val="16"/>
        </w:rPr>
        <w:t xml:space="preserve">; </w:t>
      </w:r>
      <w:r w:rsidR="006F2A84">
        <w:rPr>
          <w:rFonts w:ascii="Calibri" w:hAnsi="Calibri"/>
          <w:sz w:val="16"/>
          <w:szCs w:val="16"/>
        </w:rPr>
        <w:t xml:space="preserve">HER2 = human epidermal growth factor receptor; </w:t>
      </w:r>
      <w:r w:rsidR="002F2035" w:rsidRPr="009743C3">
        <w:rPr>
          <w:rFonts w:ascii="Calibri" w:hAnsi="Calibri"/>
          <w:sz w:val="16"/>
          <w:szCs w:val="16"/>
        </w:rPr>
        <w:t>PR progesterone receptor</w:t>
      </w:r>
    </w:p>
    <w:p w14:paraId="69D91A0A" w14:textId="77777777" w:rsidR="002864FD" w:rsidRPr="00540D92" w:rsidRDefault="002864FD" w:rsidP="00540D92">
      <w:pPr>
        <w:spacing w:after="0"/>
      </w:pPr>
    </w:p>
    <w:p w14:paraId="48C8E852" w14:textId="7631B9A4" w:rsidR="007F6058" w:rsidRPr="00BE2386" w:rsidRDefault="007F6058" w:rsidP="00BE2386">
      <w:pPr>
        <w:pStyle w:val="Heading2"/>
        <w:rPr>
          <w:i/>
          <w:sz w:val="24"/>
          <w:szCs w:val="24"/>
        </w:rPr>
      </w:pPr>
      <w:r w:rsidRPr="00BE2386">
        <w:rPr>
          <w:i/>
          <w:sz w:val="24"/>
          <w:szCs w:val="24"/>
        </w:rPr>
        <w:t>Expected utilisation if the new service is publicly funded</w:t>
      </w:r>
    </w:p>
    <w:p w14:paraId="5E8560D6" w14:textId="049A2195" w:rsidR="00FA4159" w:rsidRDefault="00E20CF8" w:rsidP="00540D92">
      <w:pPr>
        <w:keepNext/>
      </w:pPr>
      <w:r>
        <w:t xml:space="preserve">The </w:t>
      </w:r>
      <w:r w:rsidR="00B96472">
        <w:t xml:space="preserve">number of new breast cancer cases detected in 2011 and 2014 in Australia are reported in </w:t>
      </w:r>
      <w:r w:rsidR="00B96472">
        <w:fldChar w:fldCharType="begin"/>
      </w:r>
      <w:r w:rsidR="00B96472">
        <w:instrText xml:space="preserve"> REF _Ref419985982 \h </w:instrText>
      </w:r>
      <w:r w:rsidR="00B96472">
        <w:fldChar w:fldCharType="separate"/>
      </w:r>
      <w:r w:rsidR="00126DA6">
        <w:t xml:space="preserve">Table </w:t>
      </w:r>
      <w:r w:rsidR="00126DA6">
        <w:rPr>
          <w:noProof/>
        </w:rPr>
        <w:t>4</w:t>
      </w:r>
      <w:r w:rsidR="00B96472">
        <w:fldChar w:fldCharType="end"/>
      </w:r>
      <w:r w:rsidR="00B96472">
        <w:t>, as well as</w:t>
      </w:r>
      <w:r w:rsidR="00745B2D">
        <w:t xml:space="preserve"> Cancer Australia’s prediction of what the incidence is likely to be in 2020</w:t>
      </w:r>
      <w:r w:rsidR="00015893">
        <w:t xml:space="preserve"> </w:t>
      </w:r>
      <w:r w:rsidR="0020041D">
        <w:fldChar w:fldCharType="begin"/>
      </w:r>
      <w:r w:rsidR="0020041D">
        <w:instrText xml:space="preserve"> ADDIN EN.CITE &lt;EndNote&gt;&lt;Cite ExcludeYear="1"&gt;&lt;Author&gt;Cancer Australia&lt;/Author&gt;&lt;Year&gt;2015&lt;/Year&gt;&lt;RecNum&gt;40&lt;/RecNum&gt;&lt;DisplayText&gt;(Cancer Australia)&lt;/DisplayText&gt;&lt;record&gt;&lt;rec-number&gt;40&lt;/rec-number&gt;&lt;foreign-keys&gt;&lt;key app="EN" db-id="ttvewf9xnepwp2edxe5xxzfw9et0wp9vf9wd" timestamp="1431494869"&gt;40&lt;/key&gt;&lt;/foreign-keys&gt;&lt;ref-type name="Online Database"&gt;45&lt;/ref-type&gt;&lt;contributors&gt;&lt;authors&gt;&lt;author&gt;Cancer Australia, &lt;/author&gt;&lt;/authors&gt;&lt;/contributors&gt;&lt;titles&gt;&lt;title&gt;Breast cancer statistics&lt;/title&gt;&lt;/titles&gt;&lt;dates&gt;&lt;year&gt;2015&lt;/year&gt;&lt;pub-dates&gt;&lt;date&gt;13/05/2015&lt;/date&gt;&lt;/pub-dates&gt;&lt;/dates&gt;&lt;publisher&gt;Australian Government&lt;/publisher&gt;&lt;urls&gt;&lt;related-urls&gt;&lt;url&gt;http://canceraustralia.gov.au/affected-cancer/cancer-types/breast-cancer/breast-cancer-statistics&lt;/url&gt;&lt;/related-urls&gt;&lt;/urls&gt;&lt;remote-database-provider&gt;Australian Government&lt;/remote-database-provider&gt;&lt;/record&gt;&lt;/Cite&gt;&lt;/EndNote&gt;</w:instrText>
      </w:r>
      <w:r w:rsidR="0020041D">
        <w:fldChar w:fldCharType="separate"/>
      </w:r>
      <w:r w:rsidR="0020041D">
        <w:rPr>
          <w:noProof/>
        </w:rPr>
        <w:t>(</w:t>
      </w:r>
      <w:hyperlink w:anchor="_ENREF_5" w:tooltip="Cancer Australia, 2015 #40" w:history="1">
        <w:r w:rsidR="009558F1">
          <w:rPr>
            <w:noProof/>
          </w:rPr>
          <w:t>Cancer Australia</w:t>
        </w:r>
      </w:hyperlink>
      <w:r w:rsidR="0020041D">
        <w:rPr>
          <w:noProof/>
        </w:rPr>
        <w:t>)</w:t>
      </w:r>
      <w:r w:rsidR="0020041D">
        <w:fldChar w:fldCharType="end"/>
      </w:r>
      <w:r>
        <w:t xml:space="preserve">. </w:t>
      </w:r>
      <w:r w:rsidR="00AE59C1">
        <w:t xml:space="preserve">Of these, it is assumed that 65% of new cases would be classified as </w:t>
      </w:r>
      <w:r w:rsidR="009F7FC8">
        <w:t>being ER</w:t>
      </w:r>
      <w:r w:rsidR="008D259C">
        <w:t>+</w:t>
      </w:r>
      <w:r w:rsidR="009F7FC8">
        <w:t>ve, HER2-ve</w:t>
      </w:r>
      <w:r w:rsidR="00A20940">
        <w:t xml:space="preserve"> </w:t>
      </w:r>
      <w:r w:rsidR="0020041D">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instrText xml:space="preserve"> ADDIN EN.CITE </w:instrText>
      </w:r>
      <w:r w:rsidR="00540D92">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instrText xml:space="preserve"> ADDIN EN.CITE.DATA </w:instrText>
      </w:r>
      <w:r w:rsidR="00540D92">
        <w:fldChar w:fldCharType="end"/>
      </w:r>
      <w:r w:rsidR="0020041D">
        <w:fldChar w:fldCharType="separate"/>
      </w:r>
      <w:r w:rsidR="00540D92">
        <w:rPr>
          <w:noProof/>
        </w:rPr>
        <w:t>(</w:t>
      </w:r>
      <w:hyperlink w:anchor="_ENREF_19" w:tooltip="Voduc, 2010 #42" w:history="1">
        <w:r w:rsidR="009558F1">
          <w:rPr>
            <w:noProof/>
          </w:rPr>
          <w:t>Voduc et al. 2010</w:t>
        </w:r>
      </w:hyperlink>
      <w:r w:rsidR="00540D92">
        <w:rPr>
          <w:noProof/>
        </w:rPr>
        <w:t xml:space="preserve">; </w:t>
      </w:r>
      <w:hyperlink w:anchor="_ENREF_20" w:tooltip="Wang-Lopez, 2015 #14" w:history="1">
        <w:r w:rsidR="009558F1">
          <w:rPr>
            <w:noProof/>
          </w:rPr>
          <w:t>Wang-Lopez et al. 2015</w:t>
        </w:r>
      </w:hyperlink>
      <w:r w:rsidR="00540D92">
        <w:rPr>
          <w:noProof/>
        </w:rPr>
        <w:t>)</w:t>
      </w:r>
      <w:r w:rsidR="0020041D">
        <w:fldChar w:fldCharType="end"/>
      </w:r>
      <w:r w:rsidR="008D259C">
        <w:t xml:space="preserve">. </w:t>
      </w:r>
      <w:r w:rsidR="002828C4">
        <w:t xml:space="preserve">The applicant </w:t>
      </w:r>
      <w:r w:rsidR="006206F6">
        <w:t xml:space="preserve">estimates that 80% of new primary breast cancer patients have localised cancer suitable for adjuvant therapy. </w:t>
      </w:r>
      <w:r w:rsidR="009C3816">
        <w:t>Approximately</w:t>
      </w:r>
      <w:r w:rsidR="006206F6">
        <w:t xml:space="preserve"> </w:t>
      </w:r>
      <w:r w:rsidR="000A6203">
        <w:t>75</w:t>
      </w:r>
      <w:r w:rsidR="006206F6">
        <w:t xml:space="preserve">% of these have no comorbidity and are of a suitable age for therapy. </w:t>
      </w:r>
      <w:r w:rsidR="00015893">
        <w:t>It is</w:t>
      </w:r>
      <w:r w:rsidR="002828C4">
        <w:t xml:space="preserve"> </w:t>
      </w:r>
      <w:r w:rsidR="00190B99">
        <w:t xml:space="preserve">estimated that 50% of patients are at intermediate risk and </w:t>
      </w:r>
      <w:r w:rsidR="006206F6">
        <w:t xml:space="preserve">therefore </w:t>
      </w:r>
      <w:proofErr w:type="spellStart"/>
      <w:r w:rsidR="002828C4">
        <w:t>EndoPredict</w:t>
      </w:r>
      <w:proofErr w:type="spellEnd"/>
      <w:r w:rsidR="002828C4">
        <w:t xml:space="preserve">® may be undertaken in </w:t>
      </w:r>
      <w:r w:rsidR="00190B99">
        <w:t xml:space="preserve">approximately </w:t>
      </w:r>
      <w:r w:rsidR="002828C4">
        <w:t>20% of primary breast cancer patients.</w:t>
      </w:r>
      <w:r w:rsidR="006206F6">
        <w:t xml:space="preserve"> It </w:t>
      </w:r>
      <w:r w:rsidR="006206F6" w:rsidRPr="006206F6">
        <w:t>would be expected that some women may cho</w:t>
      </w:r>
      <w:r w:rsidR="006206F6">
        <w:t>o</w:t>
      </w:r>
      <w:r w:rsidR="006206F6" w:rsidRPr="006206F6">
        <w:t>se not to receive chemotherapy due its toxicity and side effects.</w:t>
      </w:r>
    </w:p>
    <w:p w14:paraId="3DE0E3C9" w14:textId="77777777" w:rsidR="00E20CF8" w:rsidRDefault="00E20CF8" w:rsidP="0081471D">
      <w:pPr>
        <w:pStyle w:val="Tableheading"/>
      </w:pPr>
      <w:bookmarkStart w:id="4" w:name="_Ref419985982"/>
      <w:r>
        <w:t xml:space="preserve">Table </w:t>
      </w:r>
      <w:r>
        <w:fldChar w:fldCharType="begin"/>
      </w:r>
      <w:r>
        <w:instrText xml:space="preserve"> SEQ Table \* ARABIC </w:instrText>
      </w:r>
      <w:r>
        <w:fldChar w:fldCharType="separate"/>
      </w:r>
      <w:r w:rsidR="00126DA6">
        <w:rPr>
          <w:noProof/>
        </w:rPr>
        <w:t>4</w:t>
      </w:r>
      <w:r>
        <w:fldChar w:fldCharType="end"/>
      </w:r>
      <w:bookmarkEnd w:id="4"/>
      <w:r>
        <w:tab/>
        <w:t xml:space="preserve">Estimated breast cancer </w:t>
      </w:r>
      <w:r w:rsidR="007B2383">
        <w:t xml:space="preserve">incidence </w:t>
      </w:r>
      <w:r>
        <w:t xml:space="preserve">for Australia </w:t>
      </w:r>
    </w:p>
    <w:tbl>
      <w:tblPr>
        <w:tblStyle w:val="TableGrid"/>
        <w:tblW w:w="0" w:type="auto"/>
        <w:tblLook w:val="04A0" w:firstRow="1" w:lastRow="0" w:firstColumn="1" w:lastColumn="0" w:noHBand="0" w:noVBand="1"/>
        <w:tblDescription w:val="Table 4:  Estimated breast cancer statistics incidence for Australia "/>
      </w:tblPr>
      <w:tblGrid>
        <w:gridCol w:w="3227"/>
        <w:gridCol w:w="1405"/>
        <w:gridCol w:w="1430"/>
        <w:gridCol w:w="1417"/>
      </w:tblGrid>
      <w:tr w:rsidR="00E20CF8" w:rsidRPr="004E037B" w14:paraId="494644BA" w14:textId="77777777" w:rsidTr="00CE6281">
        <w:trPr>
          <w:tblHeader/>
        </w:trPr>
        <w:tc>
          <w:tcPr>
            <w:tcW w:w="3227" w:type="dxa"/>
          </w:tcPr>
          <w:p w14:paraId="778F5B07" w14:textId="77777777" w:rsidR="00E20CF8" w:rsidRPr="00540D92" w:rsidRDefault="00006C67" w:rsidP="00BA1498">
            <w:pPr>
              <w:spacing w:before="20" w:after="100" w:afterAutospacing="1"/>
              <w:rPr>
                <w:rFonts w:ascii="Arial Narrow" w:hAnsi="Arial Narrow"/>
                <w:b/>
                <w:sz w:val="20"/>
              </w:rPr>
            </w:pPr>
            <w:r w:rsidRPr="00540D92">
              <w:rPr>
                <w:rFonts w:ascii="Arial Narrow" w:hAnsi="Arial Narrow"/>
                <w:b/>
                <w:sz w:val="20"/>
              </w:rPr>
              <w:t>Statistic</w:t>
            </w:r>
          </w:p>
        </w:tc>
        <w:tc>
          <w:tcPr>
            <w:tcW w:w="1405" w:type="dxa"/>
          </w:tcPr>
          <w:p w14:paraId="51A4008C" w14:textId="77777777" w:rsidR="00E20CF8" w:rsidRPr="00540D92" w:rsidRDefault="00004898" w:rsidP="00BA1498">
            <w:pPr>
              <w:spacing w:before="20" w:after="100" w:afterAutospacing="1"/>
              <w:rPr>
                <w:rFonts w:ascii="Arial Narrow" w:hAnsi="Arial Narrow"/>
                <w:b/>
                <w:sz w:val="20"/>
              </w:rPr>
            </w:pPr>
            <w:r w:rsidRPr="00540D92">
              <w:rPr>
                <w:rFonts w:ascii="Arial Narrow" w:hAnsi="Arial Narrow"/>
                <w:b/>
                <w:sz w:val="20"/>
              </w:rPr>
              <w:t>2011</w:t>
            </w:r>
          </w:p>
        </w:tc>
        <w:tc>
          <w:tcPr>
            <w:tcW w:w="1430" w:type="dxa"/>
          </w:tcPr>
          <w:p w14:paraId="1BB5CF02" w14:textId="77777777" w:rsidR="00E20CF8" w:rsidRPr="00540D92" w:rsidRDefault="00E20CF8" w:rsidP="00BA1498">
            <w:pPr>
              <w:spacing w:before="20" w:after="100" w:afterAutospacing="1"/>
              <w:rPr>
                <w:rFonts w:ascii="Arial Narrow" w:hAnsi="Arial Narrow"/>
                <w:b/>
                <w:sz w:val="20"/>
              </w:rPr>
            </w:pPr>
            <w:r w:rsidRPr="00540D92">
              <w:rPr>
                <w:rFonts w:ascii="Arial Narrow" w:hAnsi="Arial Narrow"/>
                <w:b/>
                <w:sz w:val="20"/>
              </w:rPr>
              <w:t>2014</w:t>
            </w:r>
          </w:p>
        </w:tc>
        <w:tc>
          <w:tcPr>
            <w:tcW w:w="1417" w:type="dxa"/>
          </w:tcPr>
          <w:p w14:paraId="28D33288" w14:textId="77777777" w:rsidR="00E20CF8" w:rsidRPr="00540D92" w:rsidRDefault="00E20CF8" w:rsidP="00BA1498">
            <w:pPr>
              <w:spacing w:before="20" w:after="100" w:afterAutospacing="1"/>
              <w:rPr>
                <w:rFonts w:ascii="Arial Narrow" w:hAnsi="Arial Narrow"/>
                <w:b/>
                <w:sz w:val="20"/>
              </w:rPr>
            </w:pPr>
            <w:r w:rsidRPr="00540D92">
              <w:rPr>
                <w:rFonts w:ascii="Arial Narrow" w:hAnsi="Arial Narrow"/>
                <w:b/>
                <w:sz w:val="20"/>
              </w:rPr>
              <w:t>2020</w:t>
            </w:r>
          </w:p>
        </w:tc>
      </w:tr>
      <w:tr w:rsidR="00E20CF8" w:rsidRPr="004E037B" w14:paraId="785686EE" w14:textId="77777777" w:rsidTr="00CE6281">
        <w:tc>
          <w:tcPr>
            <w:tcW w:w="3227" w:type="dxa"/>
          </w:tcPr>
          <w:p w14:paraId="27C76BB0" w14:textId="77777777" w:rsidR="00E20CF8" w:rsidRPr="00540D92" w:rsidRDefault="00BA1498" w:rsidP="00BA1498">
            <w:pPr>
              <w:spacing w:before="20" w:after="100" w:afterAutospacing="1"/>
              <w:rPr>
                <w:rFonts w:ascii="Arial Narrow" w:hAnsi="Arial Narrow"/>
                <w:sz w:val="20"/>
              </w:rPr>
            </w:pPr>
            <w:r w:rsidRPr="00540D92">
              <w:rPr>
                <w:rFonts w:ascii="Arial Narrow" w:hAnsi="Arial Narrow"/>
                <w:sz w:val="20"/>
              </w:rPr>
              <w:t>N</w:t>
            </w:r>
            <w:r w:rsidR="00E20CF8" w:rsidRPr="00540D92">
              <w:rPr>
                <w:rFonts w:ascii="Arial Narrow" w:hAnsi="Arial Narrow"/>
                <w:sz w:val="20"/>
              </w:rPr>
              <w:t>ew cases</w:t>
            </w:r>
          </w:p>
        </w:tc>
        <w:tc>
          <w:tcPr>
            <w:tcW w:w="1405" w:type="dxa"/>
          </w:tcPr>
          <w:p w14:paraId="287B09CB" w14:textId="77777777" w:rsidR="00E20CF8" w:rsidRPr="00540D92" w:rsidRDefault="00004898" w:rsidP="00F224B2">
            <w:pPr>
              <w:tabs>
                <w:tab w:val="right" w:pos="853"/>
              </w:tabs>
              <w:spacing w:before="20" w:after="100" w:afterAutospacing="1"/>
              <w:rPr>
                <w:rFonts w:ascii="Arial Narrow" w:hAnsi="Arial Narrow"/>
                <w:sz w:val="20"/>
              </w:rPr>
            </w:pPr>
            <w:r w:rsidRPr="00540D92">
              <w:rPr>
                <w:rFonts w:ascii="Arial Narrow" w:hAnsi="Arial Narrow"/>
                <w:sz w:val="20"/>
              </w:rPr>
              <w:t>14 568</w:t>
            </w:r>
            <w:r w:rsidR="003D3EE2" w:rsidRPr="00540D92">
              <w:rPr>
                <w:rFonts w:ascii="Arial Narrow" w:hAnsi="Arial Narrow"/>
                <w:sz w:val="20"/>
              </w:rPr>
              <w:t>*</w:t>
            </w:r>
          </w:p>
        </w:tc>
        <w:tc>
          <w:tcPr>
            <w:tcW w:w="1430" w:type="dxa"/>
          </w:tcPr>
          <w:p w14:paraId="133375D5" w14:textId="77777777" w:rsidR="00E20CF8" w:rsidRPr="00540D92" w:rsidRDefault="00BA1498" w:rsidP="00F224B2">
            <w:pPr>
              <w:tabs>
                <w:tab w:val="right" w:pos="897"/>
              </w:tabs>
              <w:spacing w:before="20" w:after="100" w:afterAutospacing="1"/>
              <w:rPr>
                <w:rFonts w:ascii="Arial Narrow" w:hAnsi="Arial Narrow"/>
                <w:sz w:val="20"/>
              </w:rPr>
            </w:pPr>
            <w:r w:rsidRPr="00540D92">
              <w:rPr>
                <w:rFonts w:ascii="Arial Narrow" w:hAnsi="Arial Narrow"/>
                <w:sz w:val="20"/>
              </w:rPr>
              <w:t>15 270</w:t>
            </w:r>
            <w:r w:rsidR="007B2383" w:rsidRPr="00540D92">
              <w:rPr>
                <w:rFonts w:ascii="Arial Narrow" w:hAnsi="Arial Narrow"/>
                <w:sz w:val="20"/>
              </w:rPr>
              <w:t>**</w:t>
            </w:r>
          </w:p>
        </w:tc>
        <w:tc>
          <w:tcPr>
            <w:tcW w:w="1417" w:type="dxa"/>
          </w:tcPr>
          <w:p w14:paraId="383C31FD" w14:textId="77777777" w:rsidR="00E20CF8" w:rsidRPr="00540D92" w:rsidRDefault="00BA1498" w:rsidP="00F224B2">
            <w:pPr>
              <w:tabs>
                <w:tab w:val="right" w:pos="898"/>
              </w:tabs>
              <w:spacing w:before="20" w:after="100" w:afterAutospacing="1"/>
              <w:rPr>
                <w:rFonts w:ascii="Arial Narrow" w:hAnsi="Arial Narrow"/>
                <w:sz w:val="20"/>
              </w:rPr>
            </w:pPr>
            <w:r w:rsidRPr="00540D92">
              <w:rPr>
                <w:rFonts w:ascii="Arial Narrow" w:hAnsi="Arial Narrow"/>
                <w:sz w:val="20"/>
              </w:rPr>
              <w:t>17 210</w:t>
            </w:r>
            <w:r w:rsidR="007B2383" w:rsidRPr="00540D92">
              <w:rPr>
                <w:rFonts w:ascii="Arial Narrow" w:hAnsi="Arial Narrow"/>
                <w:sz w:val="20"/>
              </w:rPr>
              <w:t>**</w:t>
            </w:r>
          </w:p>
        </w:tc>
      </w:tr>
      <w:tr w:rsidR="00E20CF8" w:rsidRPr="004E037B" w14:paraId="71450A49" w14:textId="77777777" w:rsidTr="00CE6281">
        <w:tc>
          <w:tcPr>
            <w:tcW w:w="3227" w:type="dxa"/>
          </w:tcPr>
          <w:p w14:paraId="2A83585D" w14:textId="77777777" w:rsidR="00E20CF8" w:rsidRPr="00540D92" w:rsidRDefault="00BA1498" w:rsidP="00BA1498">
            <w:pPr>
              <w:spacing w:before="20" w:after="100" w:afterAutospacing="1"/>
              <w:rPr>
                <w:rFonts w:ascii="Arial Narrow" w:hAnsi="Arial Narrow"/>
                <w:sz w:val="20"/>
                <w:vertAlign w:val="superscript"/>
              </w:rPr>
            </w:pPr>
            <w:r w:rsidRPr="00540D92">
              <w:rPr>
                <w:rFonts w:ascii="Arial Narrow" w:hAnsi="Arial Narrow"/>
                <w:sz w:val="20"/>
              </w:rPr>
              <w:t>N</w:t>
            </w:r>
            <w:r w:rsidR="00E20CF8" w:rsidRPr="00540D92">
              <w:rPr>
                <w:rFonts w:ascii="Arial Narrow" w:hAnsi="Arial Narrow"/>
                <w:sz w:val="20"/>
              </w:rPr>
              <w:t xml:space="preserve">ew </w:t>
            </w:r>
            <w:r w:rsidRPr="00540D92">
              <w:rPr>
                <w:rFonts w:ascii="Arial Narrow" w:hAnsi="Arial Narrow"/>
                <w:sz w:val="20"/>
              </w:rPr>
              <w:t>ER+ve, HER2-ve cases (assuming 65% of total)</w:t>
            </w:r>
            <w:r w:rsidR="00FE6E81" w:rsidRPr="00540D92">
              <w:rPr>
                <w:rFonts w:ascii="Arial Narrow" w:hAnsi="Arial Narrow"/>
                <w:sz w:val="20"/>
                <w:vertAlign w:val="superscript"/>
              </w:rPr>
              <w:t>^</w:t>
            </w:r>
          </w:p>
        </w:tc>
        <w:tc>
          <w:tcPr>
            <w:tcW w:w="1405" w:type="dxa"/>
          </w:tcPr>
          <w:p w14:paraId="0BE1C406" w14:textId="77777777" w:rsidR="00E20CF8" w:rsidRPr="00540D92" w:rsidRDefault="00BA1498" w:rsidP="00F224B2">
            <w:pPr>
              <w:tabs>
                <w:tab w:val="right" w:pos="853"/>
              </w:tabs>
              <w:spacing w:before="20" w:after="100" w:afterAutospacing="1"/>
              <w:rPr>
                <w:rFonts w:ascii="Arial Narrow" w:hAnsi="Arial Narrow"/>
                <w:sz w:val="20"/>
              </w:rPr>
            </w:pPr>
            <w:r w:rsidRPr="00540D92">
              <w:rPr>
                <w:rFonts w:ascii="Arial Narrow" w:hAnsi="Arial Narrow"/>
                <w:sz w:val="20"/>
              </w:rPr>
              <w:t>9</w:t>
            </w:r>
            <w:r w:rsidR="00004898" w:rsidRPr="00540D92">
              <w:rPr>
                <w:rFonts w:ascii="Arial Narrow" w:hAnsi="Arial Narrow"/>
                <w:sz w:val="20"/>
              </w:rPr>
              <w:t>469</w:t>
            </w:r>
          </w:p>
        </w:tc>
        <w:tc>
          <w:tcPr>
            <w:tcW w:w="1430" w:type="dxa"/>
          </w:tcPr>
          <w:p w14:paraId="6F29E4A8" w14:textId="77777777" w:rsidR="00E20CF8" w:rsidRPr="00540D92" w:rsidRDefault="00BA1498" w:rsidP="00F224B2">
            <w:pPr>
              <w:tabs>
                <w:tab w:val="right" w:pos="897"/>
              </w:tabs>
              <w:spacing w:before="20" w:after="100" w:afterAutospacing="1"/>
              <w:rPr>
                <w:rFonts w:ascii="Arial Narrow" w:hAnsi="Arial Narrow"/>
                <w:sz w:val="20"/>
              </w:rPr>
            </w:pPr>
            <w:r w:rsidRPr="00540D92">
              <w:rPr>
                <w:rFonts w:ascii="Arial Narrow" w:hAnsi="Arial Narrow"/>
                <w:sz w:val="20"/>
              </w:rPr>
              <w:t>9925</w:t>
            </w:r>
          </w:p>
        </w:tc>
        <w:tc>
          <w:tcPr>
            <w:tcW w:w="1417" w:type="dxa"/>
          </w:tcPr>
          <w:p w14:paraId="3535F000" w14:textId="77777777" w:rsidR="00E20CF8" w:rsidRPr="00540D92" w:rsidRDefault="00BA1498" w:rsidP="00F224B2">
            <w:pPr>
              <w:tabs>
                <w:tab w:val="right" w:pos="898"/>
              </w:tabs>
              <w:spacing w:before="20" w:after="100" w:afterAutospacing="1"/>
              <w:rPr>
                <w:rFonts w:ascii="Arial Narrow" w:hAnsi="Arial Narrow"/>
                <w:sz w:val="20"/>
              </w:rPr>
            </w:pPr>
            <w:r w:rsidRPr="00540D92">
              <w:rPr>
                <w:rFonts w:ascii="Arial Narrow" w:hAnsi="Arial Narrow"/>
                <w:sz w:val="20"/>
              </w:rPr>
              <w:t>11 187</w:t>
            </w:r>
          </w:p>
        </w:tc>
      </w:tr>
      <w:tr w:rsidR="00E20CF8" w:rsidRPr="004E037B" w14:paraId="68BF52B2" w14:textId="77777777" w:rsidTr="00CE6281">
        <w:tc>
          <w:tcPr>
            <w:tcW w:w="3227" w:type="dxa"/>
          </w:tcPr>
          <w:p w14:paraId="00A88E01" w14:textId="77777777" w:rsidR="00E20CF8" w:rsidRPr="00540D92" w:rsidRDefault="00BA1498" w:rsidP="00B032BD">
            <w:pPr>
              <w:spacing w:before="20" w:after="100" w:afterAutospacing="1"/>
              <w:rPr>
                <w:rFonts w:ascii="Arial Narrow" w:hAnsi="Arial Narrow"/>
                <w:sz w:val="20"/>
              </w:rPr>
            </w:pPr>
            <w:r w:rsidRPr="00540D92">
              <w:rPr>
                <w:rFonts w:ascii="Arial Narrow" w:hAnsi="Arial Narrow"/>
                <w:sz w:val="20"/>
              </w:rPr>
              <w:t>New</w:t>
            </w:r>
            <w:r w:rsidR="00D77746" w:rsidRPr="00540D92">
              <w:rPr>
                <w:rFonts w:ascii="Arial Narrow" w:hAnsi="Arial Narrow"/>
                <w:sz w:val="20"/>
              </w:rPr>
              <w:t xml:space="preserve"> ER+ve, HER2-ve</w:t>
            </w:r>
            <w:r w:rsidRPr="00540D92">
              <w:rPr>
                <w:rFonts w:ascii="Arial Narrow" w:hAnsi="Arial Narrow"/>
                <w:sz w:val="20"/>
              </w:rPr>
              <w:t xml:space="preserve"> cases eligible for </w:t>
            </w:r>
            <w:proofErr w:type="spellStart"/>
            <w:r w:rsidR="00B923E9" w:rsidRPr="00540D92">
              <w:rPr>
                <w:rFonts w:ascii="Arial Narrow" w:hAnsi="Arial Narrow"/>
                <w:sz w:val="20"/>
              </w:rPr>
              <w:t>EndoPredict</w:t>
            </w:r>
            <w:proofErr w:type="spellEnd"/>
            <w:r w:rsidR="00B923E9" w:rsidRPr="00540D92">
              <w:rPr>
                <w:rFonts w:ascii="Arial Narrow" w:hAnsi="Arial Narrow"/>
                <w:sz w:val="20"/>
              </w:rPr>
              <w:t xml:space="preserve">® </w:t>
            </w:r>
            <w:r w:rsidR="002828C4" w:rsidRPr="00540D92">
              <w:rPr>
                <w:rFonts w:ascii="Arial Narrow" w:hAnsi="Arial Narrow"/>
                <w:sz w:val="20"/>
              </w:rPr>
              <w:t xml:space="preserve">(assuming </w:t>
            </w:r>
            <w:r w:rsidR="00B032BD" w:rsidRPr="00540D92">
              <w:rPr>
                <w:rFonts w:ascii="Arial Narrow" w:hAnsi="Arial Narrow"/>
                <w:sz w:val="20"/>
              </w:rPr>
              <w:t>3</w:t>
            </w:r>
            <w:r w:rsidR="00D4586F" w:rsidRPr="00540D92">
              <w:rPr>
                <w:rFonts w:ascii="Arial Narrow" w:hAnsi="Arial Narrow"/>
                <w:sz w:val="20"/>
              </w:rPr>
              <w:t>0</w:t>
            </w:r>
            <w:r w:rsidR="002828C4" w:rsidRPr="00540D92">
              <w:rPr>
                <w:rFonts w:ascii="Arial Narrow" w:hAnsi="Arial Narrow"/>
                <w:sz w:val="20"/>
              </w:rPr>
              <w:t>%)</w:t>
            </w:r>
            <w:r w:rsidR="002828C4" w:rsidRPr="00540D92">
              <w:rPr>
                <w:rFonts w:ascii="Arial Narrow" w:hAnsi="Arial Narrow"/>
                <w:sz w:val="20"/>
                <w:vertAlign w:val="superscript"/>
              </w:rPr>
              <w:t>#</w:t>
            </w:r>
          </w:p>
        </w:tc>
        <w:tc>
          <w:tcPr>
            <w:tcW w:w="1405" w:type="dxa"/>
          </w:tcPr>
          <w:p w14:paraId="5D5C7D06" w14:textId="77777777" w:rsidR="00E20CF8" w:rsidRPr="00540D92" w:rsidRDefault="000A6203" w:rsidP="00F224B2">
            <w:pPr>
              <w:tabs>
                <w:tab w:val="right" w:pos="853"/>
              </w:tabs>
              <w:spacing w:before="20" w:after="100" w:afterAutospacing="1"/>
              <w:rPr>
                <w:rFonts w:ascii="Arial Narrow" w:hAnsi="Arial Narrow"/>
                <w:sz w:val="20"/>
              </w:rPr>
            </w:pPr>
            <w:r w:rsidRPr="00540D92">
              <w:rPr>
                <w:rFonts w:ascii="Arial Narrow" w:hAnsi="Arial Narrow"/>
                <w:sz w:val="20"/>
              </w:rPr>
              <w:t>2840</w:t>
            </w:r>
          </w:p>
        </w:tc>
        <w:tc>
          <w:tcPr>
            <w:tcW w:w="1430" w:type="dxa"/>
          </w:tcPr>
          <w:p w14:paraId="40354604" w14:textId="77777777" w:rsidR="00E20CF8" w:rsidRPr="00540D92" w:rsidRDefault="000A6203" w:rsidP="00F224B2">
            <w:pPr>
              <w:tabs>
                <w:tab w:val="right" w:pos="897"/>
              </w:tabs>
              <w:spacing w:before="20" w:after="100" w:afterAutospacing="1"/>
              <w:rPr>
                <w:rFonts w:ascii="Arial Narrow" w:hAnsi="Arial Narrow"/>
                <w:sz w:val="20"/>
              </w:rPr>
            </w:pPr>
            <w:r w:rsidRPr="00540D92">
              <w:rPr>
                <w:rFonts w:ascii="Arial Narrow" w:hAnsi="Arial Narrow"/>
                <w:sz w:val="20"/>
              </w:rPr>
              <w:t>2978</w:t>
            </w:r>
          </w:p>
        </w:tc>
        <w:tc>
          <w:tcPr>
            <w:tcW w:w="1417" w:type="dxa"/>
          </w:tcPr>
          <w:p w14:paraId="56CBEFE7" w14:textId="77777777" w:rsidR="00E20CF8" w:rsidRPr="00540D92" w:rsidRDefault="000A6203" w:rsidP="00F224B2">
            <w:pPr>
              <w:tabs>
                <w:tab w:val="right" w:pos="898"/>
              </w:tabs>
              <w:spacing w:before="20" w:after="100" w:afterAutospacing="1"/>
              <w:rPr>
                <w:rFonts w:ascii="Arial Narrow" w:hAnsi="Arial Narrow"/>
                <w:sz w:val="20"/>
              </w:rPr>
            </w:pPr>
            <w:r w:rsidRPr="00540D92">
              <w:rPr>
                <w:rFonts w:ascii="Arial Narrow" w:hAnsi="Arial Narrow"/>
                <w:sz w:val="20"/>
              </w:rPr>
              <w:t>3356</w:t>
            </w:r>
          </w:p>
        </w:tc>
      </w:tr>
    </w:tbl>
    <w:p w14:paraId="0ED47871" w14:textId="086481FD" w:rsidR="00E20CF8" w:rsidRDefault="00BA1498" w:rsidP="002828C4">
      <w:pPr>
        <w:spacing w:after="0"/>
        <w:rPr>
          <w:rFonts w:ascii="Arial Narrow" w:hAnsi="Arial Narrow"/>
          <w:sz w:val="16"/>
          <w:szCs w:val="16"/>
        </w:rPr>
      </w:pPr>
      <w:r w:rsidRPr="00BA1498">
        <w:rPr>
          <w:rFonts w:ascii="Arial Narrow" w:hAnsi="Arial Narrow"/>
          <w:sz w:val="16"/>
          <w:szCs w:val="16"/>
        </w:rPr>
        <w:t xml:space="preserve">* </w:t>
      </w:r>
      <w:r w:rsidR="00867956">
        <w:rPr>
          <w:rFonts w:ascii="Arial Narrow" w:hAnsi="Arial Narrow"/>
          <w:sz w:val="16"/>
          <w:szCs w:val="16"/>
        </w:rPr>
        <w:t xml:space="preserve">Australian Institute of Health and Welfare in 2015 </w:t>
      </w:r>
      <w:r w:rsidR="0020041D">
        <w:rPr>
          <w:rFonts w:ascii="Arial Narrow" w:hAnsi="Arial Narrow"/>
          <w:sz w:val="16"/>
          <w:szCs w:val="16"/>
        </w:rPr>
        <w:fldChar w:fldCharType="begin"/>
      </w:r>
      <w:r w:rsidR="0020041D">
        <w:rPr>
          <w:rFonts w:ascii="Arial Narrow" w:hAnsi="Arial Narrow"/>
          <w:sz w:val="16"/>
          <w:szCs w:val="16"/>
        </w:rPr>
        <w:instrText xml:space="preserve"> ADDIN EN.CITE &lt;EndNote&gt;&lt;Cite&gt;&lt;Author&gt;AIHW&lt;/Author&gt;&lt;Year&gt;2015&lt;/Year&gt;&lt;RecNum&gt;46&lt;/RecNum&gt;&lt;DisplayText&gt;(AIHW 2015)&lt;/DisplayText&gt;&lt;record&gt;&lt;rec-number&gt;46&lt;/rec-number&gt;&lt;foreign-keys&gt;&lt;key app="EN" db-id="ttvewf9xnepwp2edxe5xxzfw9et0wp9vf9wd" timestamp="1432189264"&gt;46&lt;/key&gt;&lt;/foreign-keys&gt;&lt;ref-type name="Report"&gt;27&lt;/ref-type&gt;&lt;contributors&gt;&lt;authors&gt;&lt;author&gt;AIHW&lt;/author&gt;&lt;/authors&gt;&lt;/contributors&gt;&lt;titles&gt;&lt;title&gt;Australian Cancer Incidence and Mortality (ACIM) Books - Breast cancer for Australia (ICD10 C50)&lt;/title&gt;&lt;/titles&gt;&lt;dates&gt;&lt;year&gt;2015&lt;/year&gt;&lt;/dates&gt;&lt;urls&gt;&lt;related-urls&gt;&lt;url&gt;http://www.aihw.gov.au/acim-books/&lt;/url&gt;&lt;/related-urls&gt;&lt;/urls&gt;&lt;/record&gt;&lt;/Cite&gt;&lt;/EndNote&gt;</w:instrText>
      </w:r>
      <w:r w:rsidR="0020041D">
        <w:rPr>
          <w:rFonts w:ascii="Arial Narrow" w:hAnsi="Arial Narrow"/>
          <w:sz w:val="16"/>
          <w:szCs w:val="16"/>
        </w:rPr>
        <w:fldChar w:fldCharType="separate"/>
      </w:r>
      <w:r w:rsidR="0020041D">
        <w:rPr>
          <w:rFonts w:ascii="Arial Narrow" w:hAnsi="Arial Narrow"/>
          <w:noProof/>
          <w:sz w:val="16"/>
          <w:szCs w:val="16"/>
        </w:rPr>
        <w:t>(</w:t>
      </w:r>
      <w:hyperlink w:anchor="_ENREF_2" w:tooltip="AIHW, 2015 #46" w:history="1">
        <w:r w:rsidR="009558F1">
          <w:rPr>
            <w:rFonts w:ascii="Arial Narrow" w:hAnsi="Arial Narrow"/>
            <w:noProof/>
            <w:sz w:val="16"/>
            <w:szCs w:val="16"/>
          </w:rPr>
          <w:t>AIHW 2015</w:t>
        </w:r>
      </w:hyperlink>
      <w:r w:rsidR="0020041D">
        <w:rPr>
          <w:rFonts w:ascii="Arial Narrow" w:hAnsi="Arial Narrow"/>
          <w:noProof/>
          <w:sz w:val="16"/>
          <w:szCs w:val="16"/>
        </w:rPr>
        <w:t>)</w:t>
      </w:r>
      <w:r w:rsidR="0020041D">
        <w:rPr>
          <w:rFonts w:ascii="Arial Narrow" w:hAnsi="Arial Narrow"/>
          <w:sz w:val="16"/>
          <w:szCs w:val="16"/>
        </w:rPr>
        <w:fldChar w:fldCharType="end"/>
      </w:r>
    </w:p>
    <w:p w14:paraId="081D519C" w14:textId="75FE1C3F" w:rsidR="00FE6E81" w:rsidRPr="00FE6E81" w:rsidRDefault="007B2383" w:rsidP="009258D2">
      <w:pPr>
        <w:spacing w:after="0"/>
        <w:rPr>
          <w:rFonts w:ascii="Arial Narrow" w:hAnsi="Arial Narrow"/>
          <w:sz w:val="16"/>
          <w:szCs w:val="16"/>
        </w:rPr>
      </w:pPr>
      <w:r>
        <w:rPr>
          <w:rFonts w:ascii="Arial Narrow" w:hAnsi="Arial Narrow"/>
          <w:sz w:val="16"/>
          <w:szCs w:val="16"/>
        </w:rPr>
        <w:t>**</w:t>
      </w:r>
      <w:r w:rsidR="0020041D">
        <w:rPr>
          <w:rFonts w:ascii="Arial Narrow" w:hAnsi="Arial Narrow"/>
          <w:sz w:val="16"/>
          <w:szCs w:val="16"/>
        </w:rPr>
        <w:fldChar w:fldCharType="begin"/>
      </w:r>
      <w:r w:rsidR="0020041D">
        <w:rPr>
          <w:rFonts w:ascii="Arial Narrow" w:hAnsi="Arial Narrow"/>
          <w:sz w:val="16"/>
          <w:szCs w:val="16"/>
        </w:rPr>
        <w:instrText xml:space="preserve"> ADDIN EN.CITE &lt;EndNote&gt;&lt;Cite&gt;&lt;Author&gt;Cancer Australia&lt;/Author&gt;&lt;Year&gt;2015&lt;/Year&gt;&lt;RecNum&gt;40&lt;/RecNum&gt;&lt;DisplayText&gt;(Cancer Australia 2015)&lt;/DisplayText&gt;&lt;record&gt;&lt;rec-number&gt;40&lt;/rec-number&gt;&lt;foreign-keys&gt;&lt;key app="EN" db-id="ttvewf9xnepwp2edxe5xxzfw9et0wp9vf9wd" timestamp="1431494869"&gt;40&lt;/key&gt;&lt;/foreign-keys&gt;&lt;ref-type name="Online Database"&gt;45&lt;/ref-type&gt;&lt;contributors&gt;&lt;authors&gt;&lt;author&gt;Cancer Australia, &lt;/author&gt;&lt;/authors&gt;&lt;/contributors&gt;&lt;titles&gt;&lt;title&gt;Breast cancer statistics&lt;/title&gt;&lt;/titles&gt;&lt;dates&gt;&lt;year&gt;2015&lt;/year&gt;&lt;pub-dates&gt;&lt;date&gt;13/05/2015&lt;/date&gt;&lt;/pub-dates&gt;&lt;/dates&gt;&lt;publisher&gt;Australian Government&lt;/publisher&gt;&lt;urls&gt;&lt;related-urls&gt;&lt;url&gt;http://canceraustralia.gov.au/affected-cancer/cancer-types/breast-cancer/breast-cancer-statistics&lt;/url&gt;&lt;/related-urls&gt;&lt;/urls&gt;&lt;remote-database-provider&gt;Australian Government&lt;/remote-database-provider&gt;&lt;/record&gt;&lt;/Cite&gt;&lt;/EndNote&gt;</w:instrText>
      </w:r>
      <w:r w:rsidR="0020041D">
        <w:rPr>
          <w:rFonts w:ascii="Arial Narrow" w:hAnsi="Arial Narrow"/>
          <w:sz w:val="16"/>
          <w:szCs w:val="16"/>
        </w:rPr>
        <w:fldChar w:fldCharType="separate"/>
      </w:r>
      <w:r w:rsidR="0020041D">
        <w:rPr>
          <w:rFonts w:ascii="Arial Narrow" w:hAnsi="Arial Narrow"/>
          <w:noProof/>
          <w:sz w:val="16"/>
          <w:szCs w:val="16"/>
        </w:rPr>
        <w:t>(</w:t>
      </w:r>
      <w:hyperlink w:anchor="_ENREF_5" w:tooltip="Cancer Australia, 2015 #40" w:history="1">
        <w:r w:rsidR="009558F1">
          <w:rPr>
            <w:rFonts w:ascii="Arial Narrow" w:hAnsi="Arial Narrow"/>
            <w:noProof/>
            <w:sz w:val="16"/>
            <w:szCs w:val="16"/>
          </w:rPr>
          <w:t>Cancer Australia 2015</w:t>
        </w:r>
      </w:hyperlink>
      <w:r w:rsidR="0020041D">
        <w:rPr>
          <w:rFonts w:ascii="Arial Narrow" w:hAnsi="Arial Narrow"/>
          <w:noProof/>
          <w:sz w:val="16"/>
          <w:szCs w:val="16"/>
        </w:rPr>
        <w:t>)</w:t>
      </w:r>
      <w:r w:rsidR="0020041D">
        <w:rPr>
          <w:rFonts w:ascii="Arial Narrow" w:hAnsi="Arial Narrow"/>
          <w:sz w:val="16"/>
          <w:szCs w:val="16"/>
        </w:rPr>
        <w:fldChar w:fldCharType="end"/>
      </w:r>
    </w:p>
    <w:p w14:paraId="67D076E1" w14:textId="74D6D9B7" w:rsidR="00FE6E81" w:rsidRPr="00FE6E81" w:rsidRDefault="00FE6E81" w:rsidP="009258D2">
      <w:pPr>
        <w:spacing w:after="0"/>
        <w:rPr>
          <w:rFonts w:ascii="Arial Narrow" w:hAnsi="Arial Narrow"/>
          <w:sz w:val="16"/>
          <w:szCs w:val="16"/>
        </w:rPr>
      </w:pPr>
      <w:r w:rsidRPr="00FE6E81">
        <w:rPr>
          <w:rFonts w:ascii="Arial Narrow" w:hAnsi="Arial Narrow"/>
          <w:sz w:val="16"/>
          <w:szCs w:val="16"/>
        </w:rPr>
        <w:lastRenderedPageBreak/>
        <w:t>^</w:t>
      </w:r>
      <w:r w:rsidR="00A2511B">
        <w:rPr>
          <w:rFonts w:ascii="Arial Narrow" w:hAnsi="Arial Narrow"/>
          <w:sz w:val="16"/>
          <w:szCs w:val="16"/>
        </w:rPr>
        <w:t xml:space="preserve">Estimated from recent publications </w:t>
      </w:r>
      <w:r w:rsidRPr="00FE6E81">
        <w:rPr>
          <w:rFonts w:ascii="Arial Narrow" w:hAnsi="Arial Narrow"/>
          <w:sz w:val="16"/>
          <w:szCs w:val="16"/>
        </w:rPr>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rPr>
          <w:rFonts w:ascii="Arial Narrow" w:hAnsi="Arial Narrow"/>
          <w:sz w:val="16"/>
          <w:szCs w:val="16"/>
        </w:rPr>
        <w:instrText xml:space="preserve"> ADDIN EN.CITE </w:instrText>
      </w:r>
      <w:r w:rsidR="00540D92">
        <w:rPr>
          <w:rFonts w:ascii="Arial Narrow" w:hAnsi="Arial Narrow"/>
          <w:sz w:val="16"/>
          <w:szCs w:val="16"/>
        </w:rPr>
        <w:fldChar w:fldCharType="begin">
          <w:fldData xml:space="preserve">PEVuZE5vdGU+PENpdGU+PEF1dGhvcj5Wb2R1YzwvQXV0aG9yPjxZZWFyPjIwMTA8L1llYXI+PFJl
Y051bT40MjwvUmVjTnVtPjxJRFRleHQ+MTY4NC0xNjkxPC9JRFRleHQ+PERpc3BsYXlUZXh0PihW
b2R1YyBldCBhbC4gMjAxMDsgV2FuZy1Mb3BleiBldCBhbC4gMjAxNSk8L0Rpc3BsYXlUZXh0Pjxy
ZWNvcmQ+PHJlYy1udW1iZXI+NDI8L3JlYy1udW1iZXI+PGZvcmVpZ24ta2V5cz48a2V5IGFwcD0i
RU4iIGRiLWlkPSJ0dHZld2Y5eG5lcHdwMmVkeGU1eHh6Znc5ZXQwd3A5dmY5d2QiIHRpbWVzdGFt
cD0iMTQzMTQ5OTA4NyI+NDI8L2tleT48L2ZvcmVpZ24ta2V5cz48cmVmLXR5cGUgbmFtZT0iSm91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PjE0PC9SZWNOdW0+PHJlY29yZD48cmVjLW51bWJlcj4xNDwvcmVjLW51bWJlcj48Zm9yZWlnbi1r
ZXlzPjxrZXkgYXBwPSJFTiIgZGItaWQ9InR0dmV3Zjl4bmVwd3AyZWR4ZTV4eHpmdzlldDB3cDl2
Zjl3ZCIgdGltZXN0YW1wPSIxNDMwOTY2Nzg2Ij4xNDwva2V5PjwvZm9yZWlnbi1rZXlzPjxyZWYt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540D92">
        <w:rPr>
          <w:rFonts w:ascii="Arial Narrow" w:hAnsi="Arial Narrow"/>
          <w:sz w:val="16"/>
          <w:szCs w:val="16"/>
        </w:rPr>
        <w:instrText xml:space="preserve"> ADDIN EN.CITE.DATA </w:instrText>
      </w:r>
      <w:r w:rsidR="00540D92">
        <w:rPr>
          <w:rFonts w:ascii="Arial Narrow" w:hAnsi="Arial Narrow"/>
          <w:sz w:val="16"/>
          <w:szCs w:val="16"/>
        </w:rPr>
      </w:r>
      <w:r w:rsidR="00540D92">
        <w:rPr>
          <w:rFonts w:ascii="Arial Narrow" w:hAnsi="Arial Narrow"/>
          <w:sz w:val="16"/>
          <w:szCs w:val="16"/>
        </w:rPr>
        <w:fldChar w:fldCharType="end"/>
      </w:r>
      <w:r w:rsidRPr="00FE6E81">
        <w:rPr>
          <w:rFonts w:ascii="Arial Narrow" w:hAnsi="Arial Narrow"/>
          <w:sz w:val="16"/>
          <w:szCs w:val="16"/>
        </w:rPr>
      </w:r>
      <w:r w:rsidRPr="00FE6E81">
        <w:rPr>
          <w:rFonts w:ascii="Arial Narrow" w:hAnsi="Arial Narrow"/>
          <w:sz w:val="16"/>
          <w:szCs w:val="16"/>
        </w:rPr>
        <w:fldChar w:fldCharType="separate"/>
      </w:r>
      <w:r w:rsidR="00540D92">
        <w:rPr>
          <w:rFonts w:ascii="Arial Narrow" w:hAnsi="Arial Narrow"/>
          <w:noProof/>
          <w:sz w:val="16"/>
          <w:szCs w:val="16"/>
        </w:rPr>
        <w:t>(</w:t>
      </w:r>
      <w:hyperlink w:anchor="_ENREF_19" w:tooltip="Voduc, 2010 #42" w:history="1">
        <w:r w:rsidR="009558F1">
          <w:rPr>
            <w:rFonts w:ascii="Arial Narrow" w:hAnsi="Arial Narrow"/>
            <w:noProof/>
            <w:sz w:val="16"/>
            <w:szCs w:val="16"/>
          </w:rPr>
          <w:t>Voduc et al. 2010</w:t>
        </w:r>
      </w:hyperlink>
      <w:r w:rsidR="00540D92">
        <w:rPr>
          <w:rFonts w:ascii="Arial Narrow" w:hAnsi="Arial Narrow"/>
          <w:noProof/>
          <w:sz w:val="16"/>
          <w:szCs w:val="16"/>
        </w:rPr>
        <w:t xml:space="preserve">; </w:t>
      </w:r>
      <w:hyperlink w:anchor="_ENREF_20" w:tooltip="Wang-Lopez, 2015 #14" w:history="1">
        <w:r w:rsidR="009558F1">
          <w:rPr>
            <w:rFonts w:ascii="Arial Narrow" w:hAnsi="Arial Narrow"/>
            <w:noProof/>
            <w:sz w:val="16"/>
            <w:szCs w:val="16"/>
          </w:rPr>
          <w:t>Wang-Lopez et al. 2015</w:t>
        </w:r>
      </w:hyperlink>
      <w:r w:rsidR="00540D92">
        <w:rPr>
          <w:rFonts w:ascii="Arial Narrow" w:hAnsi="Arial Narrow"/>
          <w:noProof/>
          <w:sz w:val="16"/>
          <w:szCs w:val="16"/>
        </w:rPr>
        <w:t>)</w:t>
      </w:r>
      <w:r w:rsidRPr="00FE6E81">
        <w:rPr>
          <w:rFonts w:ascii="Arial Narrow" w:hAnsi="Arial Narrow"/>
          <w:sz w:val="16"/>
          <w:szCs w:val="16"/>
        </w:rPr>
        <w:fldChar w:fldCharType="end"/>
      </w:r>
    </w:p>
    <w:p w14:paraId="436D9232" w14:textId="4711B228" w:rsidR="009258D2" w:rsidRDefault="002828C4" w:rsidP="009258D2">
      <w:pPr>
        <w:spacing w:after="0"/>
        <w:rPr>
          <w:rFonts w:ascii="Arial Narrow" w:hAnsi="Arial Narrow"/>
          <w:sz w:val="16"/>
          <w:szCs w:val="16"/>
        </w:rPr>
      </w:pPr>
      <w:r w:rsidRPr="00E529B6">
        <w:rPr>
          <w:rFonts w:ascii="Arial Narrow" w:hAnsi="Arial Narrow"/>
          <w:sz w:val="16"/>
          <w:szCs w:val="16"/>
          <w:vertAlign w:val="superscript"/>
        </w:rPr>
        <w:t>#</w:t>
      </w:r>
      <w:r>
        <w:rPr>
          <w:rFonts w:ascii="Arial Narrow" w:hAnsi="Arial Narrow"/>
          <w:sz w:val="16"/>
          <w:szCs w:val="16"/>
        </w:rPr>
        <w:t xml:space="preserve">Applicant provided estimate that </w:t>
      </w:r>
      <w:r w:rsidR="007806CE">
        <w:rPr>
          <w:rFonts w:ascii="Arial Narrow" w:hAnsi="Arial Narrow"/>
          <w:sz w:val="16"/>
          <w:szCs w:val="16"/>
        </w:rPr>
        <w:t>30</w:t>
      </w:r>
      <w:r>
        <w:rPr>
          <w:rFonts w:ascii="Arial Narrow" w:hAnsi="Arial Narrow"/>
          <w:sz w:val="16"/>
          <w:szCs w:val="16"/>
        </w:rPr>
        <w:t xml:space="preserve">% of </w:t>
      </w:r>
      <w:r w:rsidR="007806CE">
        <w:rPr>
          <w:rFonts w:ascii="Arial Narrow" w:hAnsi="Arial Narrow"/>
          <w:sz w:val="16"/>
          <w:szCs w:val="16"/>
        </w:rPr>
        <w:t xml:space="preserve"> ER+ve, HER2-ve </w:t>
      </w:r>
      <w:r>
        <w:rPr>
          <w:rFonts w:ascii="Arial Narrow" w:hAnsi="Arial Narrow"/>
          <w:sz w:val="16"/>
          <w:szCs w:val="16"/>
        </w:rPr>
        <w:t xml:space="preserve">primary breast cancer patients would be offered </w:t>
      </w:r>
      <w:proofErr w:type="spellStart"/>
      <w:r>
        <w:rPr>
          <w:rFonts w:ascii="Arial Narrow" w:hAnsi="Arial Narrow"/>
          <w:sz w:val="16"/>
          <w:szCs w:val="16"/>
        </w:rPr>
        <w:t>EndoPredict</w:t>
      </w:r>
      <w:proofErr w:type="spellEnd"/>
      <w:r>
        <w:rPr>
          <w:rFonts w:ascii="Arial Narrow" w:hAnsi="Arial Narrow"/>
          <w:sz w:val="16"/>
          <w:szCs w:val="16"/>
        </w:rPr>
        <w:t>®</w:t>
      </w:r>
      <w:r w:rsidR="00C5600F">
        <w:rPr>
          <w:rFonts w:ascii="Arial Narrow" w:hAnsi="Arial Narrow"/>
          <w:sz w:val="16"/>
          <w:szCs w:val="16"/>
        </w:rPr>
        <w:t xml:space="preserve"> (localised cancer – 80%; no comorbidity and suitable age – </w:t>
      </w:r>
      <w:r w:rsidR="00D4586F">
        <w:rPr>
          <w:rFonts w:ascii="Arial Narrow" w:hAnsi="Arial Narrow"/>
          <w:sz w:val="16"/>
          <w:szCs w:val="16"/>
        </w:rPr>
        <w:t>75</w:t>
      </w:r>
      <w:r w:rsidR="00C5600F">
        <w:rPr>
          <w:rFonts w:ascii="Arial Narrow" w:hAnsi="Arial Narrow"/>
          <w:sz w:val="16"/>
          <w:szCs w:val="16"/>
        </w:rPr>
        <w:t>%</w:t>
      </w:r>
      <w:r w:rsidR="00D4586F">
        <w:rPr>
          <w:rFonts w:ascii="Arial Narrow" w:hAnsi="Arial Narrow"/>
          <w:sz w:val="16"/>
          <w:szCs w:val="16"/>
        </w:rPr>
        <w:t>; intermediate risk according to conventional prognostic factor</w:t>
      </w:r>
      <w:r w:rsidR="000A6203">
        <w:rPr>
          <w:rFonts w:ascii="Arial Narrow" w:hAnsi="Arial Narrow"/>
          <w:sz w:val="16"/>
          <w:szCs w:val="16"/>
        </w:rPr>
        <w:t xml:space="preserve"> – 50%</w:t>
      </w:r>
      <w:r w:rsidR="00BE4B09">
        <w:rPr>
          <w:rFonts w:ascii="Arial Narrow" w:hAnsi="Arial Narrow"/>
          <w:sz w:val="16"/>
          <w:szCs w:val="16"/>
        </w:rPr>
        <w:t xml:space="preserve">; Note: this equates to </w:t>
      </w:r>
      <w:r w:rsidR="003F6DA2">
        <w:rPr>
          <w:rFonts w:ascii="Arial Narrow" w:hAnsi="Arial Narrow"/>
          <w:sz w:val="16"/>
          <w:szCs w:val="16"/>
        </w:rPr>
        <w:t>19.5</w:t>
      </w:r>
      <w:r w:rsidR="00BE4B09">
        <w:rPr>
          <w:rFonts w:ascii="Arial Narrow" w:hAnsi="Arial Narrow"/>
          <w:sz w:val="16"/>
          <w:szCs w:val="16"/>
        </w:rPr>
        <w:t>% of all new cases</w:t>
      </w:r>
      <w:r w:rsidR="00C5600F">
        <w:rPr>
          <w:rFonts w:ascii="Arial Narrow" w:hAnsi="Arial Narrow"/>
          <w:sz w:val="16"/>
          <w:szCs w:val="16"/>
        </w:rPr>
        <w:t>)</w:t>
      </w:r>
      <w:r w:rsidR="0020041D">
        <w:rPr>
          <w:rFonts w:ascii="Arial Narrow" w:hAnsi="Arial Narrow"/>
          <w:sz w:val="16"/>
          <w:szCs w:val="16"/>
        </w:rPr>
        <w:fldChar w:fldCharType="begin"/>
      </w:r>
      <w:r w:rsidR="0020041D">
        <w:rPr>
          <w:rFonts w:ascii="Arial Narrow" w:hAnsi="Arial Narrow"/>
          <w:sz w:val="16"/>
          <w:szCs w:val="16"/>
        </w:rPr>
        <w:instrText xml:space="preserve"> ADDIN EN.CITE &lt;EndNote&gt;&lt;Cite&gt;&lt;Author&gt;Kronenwett R&lt;/Author&gt;&lt;Year&gt;2014&lt;/Year&gt;&lt;RecNum&gt;54&lt;/RecNum&gt;&lt;DisplayText&gt;(Kronenwett R 2014)&lt;/DisplayText&gt;&lt;record&gt;&lt;rec-number&gt;54&lt;/rec-number&gt;&lt;foreign-keys&gt;&lt;key app="EN" db-id="ttvewf9xnepwp2edxe5xxzfw9et0wp9vf9wd" timestamp="1434519237"&gt;54&lt;/key&gt;&lt;/foreign-keys&gt;&lt;ref-type name="Report"&gt;27&lt;/ref-type&gt;&lt;contributors&gt;&lt;authors&gt;&lt;author&gt;Kronenwett R, &lt;/author&gt;&lt;/authors&gt;&lt;/contributors&gt;&lt;titles&gt;&lt;title&gt;Health Tecnology Assessment (HTA) forEndoPredict&lt;/title&gt;&lt;/titles&gt;&lt;dates&gt;&lt;year&gt;2014&lt;/year&gt;&lt;/dates&gt;&lt;publisher&gt;Sividon Diagnostics&lt;/publisher&gt;&lt;urls&gt;&lt;/urls&gt;&lt;/record&gt;&lt;/Cite&gt;&lt;/EndNote&gt;</w:instrText>
      </w:r>
      <w:r w:rsidR="0020041D">
        <w:rPr>
          <w:rFonts w:ascii="Arial Narrow" w:hAnsi="Arial Narrow"/>
          <w:sz w:val="16"/>
          <w:szCs w:val="16"/>
        </w:rPr>
        <w:fldChar w:fldCharType="separate"/>
      </w:r>
      <w:r w:rsidR="0020041D">
        <w:rPr>
          <w:rFonts w:ascii="Arial Narrow" w:hAnsi="Arial Narrow"/>
          <w:noProof/>
          <w:sz w:val="16"/>
          <w:szCs w:val="16"/>
        </w:rPr>
        <w:t>(</w:t>
      </w:r>
      <w:hyperlink w:anchor="_ENREF_11" w:tooltip="Kronenwett R, 2014 #54" w:history="1">
        <w:r w:rsidR="009558F1">
          <w:rPr>
            <w:rFonts w:ascii="Arial Narrow" w:hAnsi="Arial Narrow"/>
            <w:noProof/>
            <w:sz w:val="16"/>
            <w:szCs w:val="16"/>
          </w:rPr>
          <w:t>Kronenwett R 2014</w:t>
        </w:r>
      </w:hyperlink>
      <w:r w:rsidR="0020041D">
        <w:rPr>
          <w:rFonts w:ascii="Arial Narrow" w:hAnsi="Arial Narrow"/>
          <w:noProof/>
          <w:sz w:val="16"/>
          <w:szCs w:val="16"/>
        </w:rPr>
        <w:t>)</w:t>
      </w:r>
      <w:r w:rsidR="0020041D">
        <w:rPr>
          <w:rFonts w:ascii="Arial Narrow" w:hAnsi="Arial Narrow"/>
          <w:sz w:val="16"/>
          <w:szCs w:val="16"/>
        </w:rPr>
        <w:fldChar w:fldCharType="end"/>
      </w:r>
      <w:r w:rsidR="009258D2" w:rsidRPr="00E529B6" w:rsidDel="000A6203">
        <w:rPr>
          <w:rFonts w:ascii="Arial Narrow" w:hAnsi="Arial Narrow"/>
          <w:sz w:val="16"/>
          <w:szCs w:val="16"/>
        </w:rPr>
        <w:t xml:space="preserve"> </w:t>
      </w:r>
    </w:p>
    <w:p w14:paraId="38A08590" w14:textId="77777777" w:rsidR="00BC4EFE" w:rsidRPr="00BC4EFE" w:rsidRDefault="00BC4EFE" w:rsidP="009258D2">
      <w:pPr>
        <w:pStyle w:val="Heading1"/>
      </w:pPr>
      <w:r w:rsidRPr="00BC4EFE">
        <w:t xml:space="preserve">Intervention – proposed medical service </w:t>
      </w:r>
      <w:r w:rsidR="00D4586F">
        <w:t xml:space="preserve"> </w:t>
      </w:r>
    </w:p>
    <w:p w14:paraId="0130C72C" w14:textId="00361274" w:rsidR="008F385C" w:rsidRPr="00BE2386" w:rsidRDefault="008F385C" w:rsidP="00BE2386">
      <w:pPr>
        <w:pStyle w:val="Heading2"/>
        <w:rPr>
          <w:i/>
          <w:sz w:val="24"/>
          <w:szCs w:val="24"/>
        </w:rPr>
      </w:pPr>
      <w:r w:rsidRPr="00BE2386">
        <w:rPr>
          <w:i/>
          <w:sz w:val="24"/>
          <w:szCs w:val="24"/>
        </w:rPr>
        <w:t>Description of the proposed medical service</w:t>
      </w:r>
    </w:p>
    <w:p w14:paraId="47559F00" w14:textId="01667482" w:rsidR="00680C98" w:rsidRDefault="00B923E9" w:rsidP="00BC4EFE">
      <w:proofErr w:type="spellStart"/>
      <w:r>
        <w:t>EndoPredict</w:t>
      </w:r>
      <w:proofErr w:type="spellEnd"/>
      <w:r>
        <w:t xml:space="preserve">® </w:t>
      </w:r>
      <w:r w:rsidR="00511E4B">
        <w:t xml:space="preserve">is an </w:t>
      </w:r>
      <w:r w:rsidR="00511E4B" w:rsidRPr="00B032BD">
        <w:rPr>
          <w:i/>
        </w:rPr>
        <w:t>in vitro</w:t>
      </w:r>
      <w:r w:rsidR="00511E4B">
        <w:t xml:space="preserve"> </w:t>
      </w:r>
      <w:r w:rsidR="002A4DAD">
        <w:t>prognostic</w:t>
      </w:r>
      <w:r w:rsidR="00511E4B">
        <w:t xml:space="preserve"> product which uses </w:t>
      </w:r>
      <w:r w:rsidR="00C05FE9">
        <w:t>RT</w:t>
      </w:r>
      <w:r w:rsidR="00A2511B">
        <w:t>-</w:t>
      </w:r>
      <w:r w:rsidR="00C05FE9">
        <w:t>q</w:t>
      </w:r>
      <w:r w:rsidR="00511E4B">
        <w:t xml:space="preserve">PCR technology </w:t>
      </w:r>
      <w:r w:rsidR="00816869">
        <w:t xml:space="preserve">in combination </w:t>
      </w:r>
      <w:r w:rsidR="002739A6">
        <w:t>with</w:t>
      </w:r>
      <w:r w:rsidR="00511E4B">
        <w:t xml:space="preserve"> clinical </w:t>
      </w:r>
      <w:r w:rsidR="00EC7668">
        <w:t>markers</w:t>
      </w:r>
      <w:r w:rsidR="00511E4B">
        <w:t xml:space="preserve"> </w:t>
      </w:r>
      <w:r w:rsidR="00CA311E">
        <w:t>(</w:t>
      </w:r>
      <w:r w:rsidR="0093381D">
        <w:t xml:space="preserve">assessed by </w:t>
      </w:r>
      <w:r w:rsidR="00EC7668">
        <w:t>the pathologist</w:t>
      </w:r>
      <w:r w:rsidR="00CA311E">
        <w:t>)</w:t>
      </w:r>
      <w:r w:rsidR="0093381D">
        <w:t xml:space="preserve"> to score individual</w:t>
      </w:r>
      <w:r w:rsidR="00511E4B">
        <w:t xml:space="preserve"> breast cancer patients </w:t>
      </w:r>
      <w:r w:rsidR="005B3B5A">
        <w:t>for</w:t>
      </w:r>
      <w:r w:rsidR="00511E4B">
        <w:t xml:space="preserve"> risk of </w:t>
      </w:r>
      <w:r w:rsidR="009258D2">
        <w:t xml:space="preserve">distant recurrence </w:t>
      </w:r>
      <w:r w:rsidR="00511E4B">
        <w:t>or</w:t>
      </w:r>
      <w:r w:rsidR="009258D2">
        <w:t xml:space="preserve"> </w:t>
      </w:r>
      <w:r w:rsidR="00511E4B">
        <w:t xml:space="preserve">metastases. </w:t>
      </w:r>
      <w:r w:rsidR="0093381D">
        <w:t>R</w:t>
      </w:r>
      <w:r w:rsidR="00A404DA">
        <w:t>T</w:t>
      </w:r>
      <w:r w:rsidR="00A2511B">
        <w:t>-</w:t>
      </w:r>
      <w:r w:rsidR="00A404DA">
        <w:t>q</w:t>
      </w:r>
      <w:r w:rsidR="0093381D">
        <w:t xml:space="preserve">PCR is conducted in a laboratory setting </w:t>
      </w:r>
      <w:r w:rsidR="00C05FE9">
        <w:t xml:space="preserve">using </w:t>
      </w:r>
      <w:r w:rsidR="005B3B5A">
        <w:t xml:space="preserve">the </w:t>
      </w:r>
      <w:r w:rsidR="00F14527">
        <w:t xml:space="preserve">test </w:t>
      </w:r>
      <w:proofErr w:type="spellStart"/>
      <w:r>
        <w:t>EndoPredict</w:t>
      </w:r>
      <w:proofErr w:type="spellEnd"/>
      <w:r>
        <w:t xml:space="preserve">® </w:t>
      </w:r>
      <w:r w:rsidR="00F14527" w:rsidRPr="00F14527">
        <w:t>Kit</w:t>
      </w:r>
      <w:r w:rsidR="00F47219">
        <w:t xml:space="preserve"> manufactured by </w:t>
      </w:r>
      <w:proofErr w:type="spellStart"/>
      <w:r w:rsidR="00F47219">
        <w:t>Sividon</w:t>
      </w:r>
      <w:proofErr w:type="spellEnd"/>
      <w:r w:rsidR="00F47219">
        <w:t xml:space="preserve"> Diagnostics and</w:t>
      </w:r>
      <w:r w:rsidR="00F14527" w:rsidRPr="00F14527">
        <w:t xml:space="preserve"> </w:t>
      </w:r>
      <w:r w:rsidR="00F14527">
        <w:t xml:space="preserve">distributed by Myriad Genetics, </w:t>
      </w:r>
      <w:r w:rsidR="005B3B5A">
        <w:t xml:space="preserve">and </w:t>
      </w:r>
      <w:r w:rsidR="0093381D">
        <w:t xml:space="preserve">the device </w:t>
      </w:r>
      <w:r w:rsidR="00205CEB">
        <w:t>m</w:t>
      </w:r>
      <w:r w:rsidR="00FA5589">
        <w:t xml:space="preserve">anufactured </w:t>
      </w:r>
      <w:r w:rsidR="00F14527">
        <w:t xml:space="preserve">by </w:t>
      </w:r>
      <w:r w:rsidR="00FA5589">
        <w:t xml:space="preserve">Siemens </w:t>
      </w:r>
      <w:r w:rsidR="00F14527">
        <w:t xml:space="preserve">and </w:t>
      </w:r>
      <w:r w:rsidR="0093381D">
        <w:t xml:space="preserve">listed with </w:t>
      </w:r>
      <w:r w:rsidR="003F62FB">
        <w:t xml:space="preserve">the </w:t>
      </w:r>
      <w:r w:rsidR="0093381D">
        <w:t xml:space="preserve">ARTG </w:t>
      </w:r>
      <w:r w:rsidR="00205CEB">
        <w:t xml:space="preserve">(number </w:t>
      </w:r>
      <w:r w:rsidR="0093381D">
        <w:t>10282939</w:t>
      </w:r>
      <w:r w:rsidR="00BF0BE5">
        <w:t>)</w:t>
      </w:r>
      <w:r w:rsidR="00334F4A">
        <w:rPr>
          <w:rStyle w:val="FootnoteReference"/>
        </w:rPr>
        <w:footnoteReference w:id="3"/>
      </w:r>
      <w:r w:rsidR="00334F4A">
        <w:t xml:space="preserve">. </w:t>
      </w:r>
      <w:r w:rsidR="00F14527">
        <w:t>To perform the RT</w:t>
      </w:r>
      <w:r w:rsidR="00A2511B">
        <w:t>-</w:t>
      </w:r>
      <w:r w:rsidR="00F14527">
        <w:t xml:space="preserve">qPCR an RNA sample </w:t>
      </w:r>
      <w:r w:rsidR="009F371A">
        <w:t>required</w:t>
      </w:r>
      <w:r w:rsidR="00F14527">
        <w:t xml:space="preserve">. This is prepared from a sample of the </w:t>
      </w:r>
      <w:r w:rsidR="007B6813">
        <w:t>formalin-fixed, paraffin-embedded (</w:t>
      </w:r>
      <w:r w:rsidR="00F14527">
        <w:t>FFPE</w:t>
      </w:r>
      <w:r w:rsidR="007B6813">
        <w:t>)</w:t>
      </w:r>
      <w:r w:rsidR="00F14527">
        <w:t xml:space="preserve"> </w:t>
      </w:r>
      <w:r w:rsidR="009F371A">
        <w:t>block</w:t>
      </w:r>
      <w:r w:rsidR="009F371A" w:rsidRPr="009F371A">
        <w:t xml:space="preserve"> using the kit reagents</w:t>
      </w:r>
      <w:r w:rsidR="009F371A">
        <w:t xml:space="preserve">. </w:t>
      </w:r>
      <w:r w:rsidR="006F2E4D">
        <w:t xml:space="preserve">Alternatively a tissue sample from the core biopsy </w:t>
      </w:r>
      <w:r w:rsidR="00033C5E">
        <w:t xml:space="preserve">or excised tumour </w:t>
      </w:r>
      <w:r w:rsidR="006F2E4D">
        <w:t xml:space="preserve">can be used to prepare the RNA. </w:t>
      </w:r>
      <w:r w:rsidR="009F371A">
        <w:t xml:space="preserve">The FFPE block may need to be retrieved from pathology store </w:t>
      </w:r>
      <w:r w:rsidR="00B03935">
        <w:t xml:space="preserve">as </w:t>
      </w:r>
      <w:r w:rsidR="009F371A">
        <w:t xml:space="preserve">the test is not performed in conjunction with histopathology </w:t>
      </w:r>
      <w:r w:rsidR="00B03935">
        <w:t xml:space="preserve">but following the determination of </w:t>
      </w:r>
      <w:r w:rsidR="001D01D2">
        <w:t>ER and HER2 status</w:t>
      </w:r>
      <w:r w:rsidR="00BF4C77">
        <w:t xml:space="preserve"> and clinical assessment</w:t>
      </w:r>
      <w:r w:rsidR="001D01D2">
        <w:t>.</w:t>
      </w:r>
    </w:p>
    <w:p w14:paraId="3AC1AFCC" w14:textId="4DB108E6" w:rsidR="00D90D8F" w:rsidRDefault="00C05FE9" w:rsidP="00CF40D1">
      <w:r>
        <w:t xml:space="preserve">Online software </w:t>
      </w:r>
      <w:r w:rsidR="000045BE">
        <w:t xml:space="preserve">is </w:t>
      </w:r>
      <w:r>
        <w:t xml:space="preserve">used in conjunction with the </w:t>
      </w:r>
      <w:r w:rsidR="00F9069A">
        <w:t xml:space="preserve">qPCR </w:t>
      </w:r>
      <w:r>
        <w:t>module</w:t>
      </w:r>
      <w:r w:rsidR="00F47219">
        <w:t>,</w:t>
      </w:r>
      <w:r>
        <w:t xml:space="preserve"> analyses expression data and calculates a score (EP score) for this element of the test. When clinical information (node status and tumour size) is entered into the </w:t>
      </w:r>
      <w:r w:rsidR="009E3068">
        <w:t xml:space="preserve">software </w:t>
      </w:r>
      <w:r>
        <w:t>a second score is produced (EPclin score)</w:t>
      </w:r>
      <w:r w:rsidR="002606F0">
        <w:t xml:space="preserve">. </w:t>
      </w:r>
      <w:r w:rsidR="00943C60">
        <w:t xml:space="preserve">Information on nodal status and tumour size would be provided by the pathologist assessing </w:t>
      </w:r>
      <w:r w:rsidR="009E3068">
        <w:t xml:space="preserve">the </w:t>
      </w:r>
      <w:r w:rsidR="00943C60">
        <w:t xml:space="preserve">surgically removed tumour. </w:t>
      </w:r>
      <w:r w:rsidR="002606F0">
        <w:t xml:space="preserve">A patient’s EPclin score </w:t>
      </w:r>
      <w:r w:rsidR="008712F4">
        <w:t>is</w:t>
      </w:r>
      <w:r w:rsidR="009E3068">
        <w:t xml:space="preserve"> then</w:t>
      </w:r>
      <w:r>
        <w:t xml:space="preserve"> used to </w:t>
      </w:r>
      <w:r w:rsidR="001043A8">
        <w:t>provide an estimate of the risk of recurrence or metastases (on a continuous scale)</w:t>
      </w:r>
      <w:r w:rsidR="00510A2A">
        <w:t xml:space="preserve">, as well categorising </w:t>
      </w:r>
      <w:r>
        <w:t xml:space="preserve">the patient as low or high risk for </w:t>
      </w:r>
      <w:r w:rsidR="009258D2">
        <w:t>distant</w:t>
      </w:r>
      <w:r w:rsidR="00D365EB">
        <w:t xml:space="preserve"> </w:t>
      </w:r>
      <w:r>
        <w:t>recurrence</w:t>
      </w:r>
      <w:r w:rsidR="009258D2">
        <w:t xml:space="preserve"> or </w:t>
      </w:r>
      <w:r w:rsidR="00A2511B">
        <w:t>metastases</w:t>
      </w:r>
      <w:r>
        <w:t>.</w:t>
      </w:r>
      <w:r w:rsidR="00943C60" w:rsidRPr="00943C60">
        <w:t xml:space="preserve"> </w:t>
      </w:r>
      <w:r w:rsidR="00680C98">
        <w:t xml:space="preserve">According to the </w:t>
      </w:r>
      <w:proofErr w:type="spellStart"/>
      <w:r w:rsidR="00680C98">
        <w:t>Sividon</w:t>
      </w:r>
      <w:proofErr w:type="spellEnd"/>
      <w:r w:rsidR="00680C98">
        <w:t xml:space="preserve"> online tool</w:t>
      </w:r>
      <w:r w:rsidR="00680C98">
        <w:rPr>
          <w:rStyle w:val="FootnoteReference"/>
        </w:rPr>
        <w:footnoteReference w:id="4"/>
      </w:r>
      <w:r w:rsidR="00680C98">
        <w:t xml:space="preserve"> </w:t>
      </w:r>
      <w:r w:rsidR="006F2E4D">
        <w:t>t</w:t>
      </w:r>
      <w:r w:rsidR="00680C98">
        <w:t xml:space="preserve">he EPclin </w:t>
      </w:r>
      <w:r w:rsidR="000045BE">
        <w:t>s</w:t>
      </w:r>
      <w:r w:rsidR="00680C98">
        <w:t xml:space="preserve">core uses a scale of </w:t>
      </w:r>
      <w:r w:rsidR="004254B9">
        <w:t>1</w:t>
      </w:r>
      <w:r w:rsidR="00680C98">
        <w:t>-</w:t>
      </w:r>
      <w:r w:rsidR="004254B9">
        <w:t>8</w:t>
      </w:r>
      <w:r w:rsidR="00680C98">
        <w:t>, and a score of 3.3</w:t>
      </w:r>
      <w:r w:rsidR="00340F13">
        <w:t xml:space="preserve"> </w:t>
      </w:r>
      <w:r w:rsidR="00680C98">
        <w:t xml:space="preserve">determines the threshold between low and high risk. </w:t>
      </w:r>
      <w:r w:rsidR="00CA2BE4">
        <w:t xml:space="preserve">The cut-off is based </w:t>
      </w:r>
      <w:r w:rsidR="00607A42">
        <w:t xml:space="preserve">on </w:t>
      </w:r>
      <w:r w:rsidR="00CF40D1">
        <w:t xml:space="preserve">a 10 per cent risk of distant recurrence or metastases within 10 years, which is considered to be </w:t>
      </w:r>
      <w:r w:rsidR="00CA2BE4">
        <w:t xml:space="preserve">the point at which the </w:t>
      </w:r>
      <w:r w:rsidR="00145590">
        <w:t xml:space="preserve">absolute benefit from adjuvant chemotherapy </w:t>
      </w:r>
      <w:r w:rsidR="00081148">
        <w:t xml:space="preserve">is </w:t>
      </w:r>
      <w:r w:rsidR="00145590">
        <w:t>outweigh</w:t>
      </w:r>
      <w:r w:rsidR="00986D9C">
        <w:t>ed by</w:t>
      </w:r>
      <w:r w:rsidR="00145590">
        <w:t xml:space="preserve"> the risks and adverse events affecting quality of life </w:t>
      </w:r>
      <w:r w:rsidR="001C79D6">
        <w:t>(</w:t>
      </w:r>
      <w:proofErr w:type="spellStart"/>
      <w:r w:rsidR="001C79D6">
        <w:t>Brase</w:t>
      </w:r>
      <w:proofErr w:type="spellEnd"/>
      <w:r w:rsidR="001C79D6">
        <w:t xml:space="preserve"> et al 2013</w:t>
      </w:r>
      <w:r w:rsidR="004254B9">
        <w:t xml:space="preserve">; Cardoso et al 2008; </w:t>
      </w:r>
      <w:proofErr w:type="spellStart"/>
      <w:r w:rsidR="004254B9">
        <w:t>Harbeck</w:t>
      </w:r>
      <w:proofErr w:type="spellEnd"/>
      <w:r w:rsidR="004254B9">
        <w:t xml:space="preserve"> et al 2013</w:t>
      </w:r>
      <w:r w:rsidR="001C79D6">
        <w:t xml:space="preserve">). </w:t>
      </w:r>
      <w:r w:rsidR="00943C60" w:rsidRPr="00943C60">
        <w:t>The oncologist will decide on treatment of endocrine therapy alone, extended endocrine therapy or endocrine and chemotherapy, based on the calculated risk.</w:t>
      </w:r>
    </w:p>
    <w:p w14:paraId="1D5ADF3C" w14:textId="77777777" w:rsidR="008F385C" w:rsidRPr="00BE2386" w:rsidRDefault="00E30108" w:rsidP="00BE2386">
      <w:pPr>
        <w:pStyle w:val="Heading2"/>
        <w:rPr>
          <w:i/>
          <w:sz w:val="24"/>
          <w:szCs w:val="24"/>
        </w:rPr>
      </w:pPr>
      <w:r w:rsidRPr="00BE2386">
        <w:rPr>
          <w:i/>
          <w:sz w:val="24"/>
          <w:szCs w:val="24"/>
        </w:rPr>
        <w:t>E</w:t>
      </w:r>
      <w:r w:rsidR="008F385C" w:rsidRPr="00BE2386">
        <w:rPr>
          <w:i/>
          <w:sz w:val="24"/>
          <w:szCs w:val="24"/>
        </w:rPr>
        <w:t>videntiary standard</w:t>
      </w:r>
    </w:p>
    <w:p w14:paraId="4232D05F" w14:textId="77777777" w:rsidR="008C6FE8" w:rsidRDefault="009E3068" w:rsidP="00BC4EFE">
      <w:r>
        <w:t>The proposed new service</w:t>
      </w:r>
      <w:r w:rsidR="008C6FE8">
        <w:t xml:space="preserve"> is a </w:t>
      </w:r>
      <w:r w:rsidR="008C6FE8" w:rsidRPr="00F224B2">
        <w:rPr>
          <w:i/>
        </w:rPr>
        <w:t>prognostic</w:t>
      </w:r>
      <w:r w:rsidR="008C6FE8">
        <w:t xml:space="preserve"> test, </w:t>
      </w:r>
      <w:r>
        <w:t xml:space="preserve">therefore </w:t>
      </w:r>
      <w:r w:rsidR="008C6FE8">
        <w:t xml:space="preserve">the reference standard for </w:t>
      </w:r>
      <w:proofErr w:type="spellStart"/>
      <w:r w:rsidR="008C6FE8">
        <w:t>EndoPredict</w:t>
      </w:r>
      <w:proofErr w:type="spellEnd"/>
      <w:r w:rsidR="008C6FE8">
        <w:t>® is the rate of development of long term disease recurrence (</w:t>
      </w:r>
      <w:r w:rsidR="00340267">
        <w:t>10</w:t>
      </w:r>
      <w:r w:rsidR="008C6FE8">
        <w:t xml:space="preserve"> years).</w:t>
      </w:r>
    </w:p>
    <w:p w14:paraId="3270A29B" w14:textId="27B225B6" w:rsidR="00D365EB" w:rsidRDefault="00D365EB" w:rsidP="00A2511B">
      <w:pPr>
        <w:spacing w:after="0"/>
      </w:pPr>
      <w:r>
        <w:t xml:space="preserve">In the assessment of prognostic tests </w:t>
      </w:r>
      <w:r w:rsidR="008C6FE8">
        <w:t>the only</w:t>
      </w:r>
      <w:r>
        <w:t xml:space="preserve"> reference standard </w:t>
      </w:r>
      <w:r w:rsidR="008C6FE8">
        <w:t xml:space="preserve">is </w:t>
      </w:r>
      <w:r>
        <w:t>t</w:t>
      </w:r>
      <w:r w:rsidR="00340267">
        <w:t xml:space="preserve">he development of the outcome of interest. </w:t>
      </w:r>
      <w:r>
        <w:t xml:space="preserve">This characteristic of prognostic tests is supported by </w:t>
      </w:r>
      <w:r w:rsidR="008C6FE8">
        <w:t xml:space="preserve">comments made in </w:t>
      </w:r>
      <w:r>
        <w:t xml:space="preserve">a recent systematic review conducted by the </w:t>
      </w:r>
      <w:r w:rsidR="00340267">
        <w:t>United Kingdom National Health Service</w:t>
      </w:r>
      <w:r>
        <w:t>, in which gene expression tests for breast cancer were compared</w:t>
      </w:r>
      <w:r w:rsidR="008C6FE8">
        <w:t xml:space="preserve"> </w:t>
      </w:r>
      <w:r w:rsidR="0020041D">
        <w:fldChar w:fldCharType="begin"/>
      </w:r>
      <w:r w:rsidR="009558F1">
        <w:instrText xml:space="preserve"> ADDIN EN.CITE &lt;EndNote&gt;&lt;Cite&gt;&lt;Author&gt;Ward&lt;/Author&gt;&lt;Year&gt;2013&lt;/Year&gt;&lt;RecNum&gt;1507&lt;/RecNum&gt;&lt;IDText&gt;1-302&lt;/IDText&gt;&lt;DisplayText&gt;(Ward et al. 2013)&lt;/DisplayText&gt;&lt;record&gt;&lt;rec-number&gt;1507&lt;/rec-number&gt;&lt;foreign-keys&gt;&lt;key app="EN" db-id="05tx9dwxpspefue5z9u50zawssazp090290s" timestamp="1447302655"&gt;1507&lt;/key&gt;&lt;/foreign-keys&gt;&lt;ref-type name="Journal Article"&gt;17&lt;/ref-type&gt;&lt;contributors&gt;&lt;authors&gt;&lt;author&gt;Ward, S.&lt;/author&gt;&lt;author&gt;Scope, A.&lt;/author&gt;&lt;author&gt;Rafia, R.&lt;/author&gt;&lt;author&gt;Pandor, A.&lt;/author&gt;&lt;author&gt;Harnan, S.&lt;/author&gt;&lt;author&gt;Evans, P.&lt;/author&gt;&lt;author&gt;Wyld, L.&lt;/author&gt;&lt;/authors&gt;&lt;/contributors&gt;&lt;auth-address&gt;School of Health and Related Research (ScHARR), University of Sheffield, Sheffield, UK.&lt;/auth-address&gt;&lt;titles&gt;&lt;title&gt;Gene expression profiling and expanded immunohistochemistry tests to guide the use of adjuvant chemotherapy in breast cancer management: a systematic review and cost-effectiveness analysis&lt;/title&gt;&lt;secondary-title&gt;Health Technol Assess&lt;/secondary-title&gt;&lt;/titles&gt;&lt;periodical&gt;&lt;full-title&gt;Health Technol Assess&lt;/full-title&gt;&lt;/periodical&gt;&lt;pages&gt;1-302&lt;/pages&gt;&lt;volume&gt;17&lt;/volume&gt;&lt;number&gt;44&lt;/number&gt;&lt;edition&gt;2013/10/04&lt;/edition&gt;&lt;keywords&gt;&lt;keyword&gt;Antineoplastic Agents/economics/ therapeutic use&lt;/keyword&gt;&lt;keyword&gt;Breast Neoplasms/diagnosis/ drug therapy/economics/genetics&lt;/keyword&gt;&lt;keyword&gt;Chemotherapy, Adjuvant/economics/methods&lt;/keyword&gt;&lt;keyword&gt;Cost-Benefit Analysis&lt;/keyword&gt;&lt;keyword&gt;Female&lt;/keyword&gt;&lt;keyword&gt;Gene Expression Profiling/economics/methods&lt;/keyword&gt;&lt;keyword&gt;Humans&lt;/keyword&gt;&lt;keyword&gt;Immunohistochemistry&lt;/keyword&gt;&lt;keyword&gt;Prognosis&lt;/keyword&gt;&lt;keyword&gt;Treatment Outcome&lt;/keyword&gt;&lt;/keywords&gt;&lt;dates&gt;&lt;year&gt;2013&lt;/year&gt;&lt;pub-dates&gt;&lt;date&gt;Oct&lt;/date&gt;&lt;/pub-dates&gt;&lt;/dates&gt;&lt;isbn&gt;2046-4924 (Electronic)&amp;#xD;1366-5278 (Linking)&lt;/isbn&gt;&lt;accession-num&gt;24088296&lt;/accession-num&gt;&lt;urls&gt;&lt;/urls&gt;&lt;electronic-resource-num&gt;10.3310/hta17440&lt;/electronic-resource-num&gt;&lt;remote-database-provider&gt;NLM&lt;/remote-database-provider&gt;&lt;language&gt;eng&lt;/language&gt;&lt;/record&gt;&lt;/Cite&gt;&lt;/EndNote&gt;</w:instrText>
      </w:r>
      <w:r w:rsidR="0020041D">
        <w:fldChar w:fldCharType="separate"/>
      </w:r>
      <w:r w:rsidR="00540D92">
        <w:rPr>
          <w:noProof/>
        </w:rPr>
        <w:t>(</w:t>
      </w:r>
      <w:hyperlink w:anchor="_ENREF_21" w:tooltip="Ward, 2013 #1507" w:history="1">
        <w:r w:rsidR="009558F1">
          <w:rPr>
            <w:noProof/>
          </w:rPr>
          <w:t>Ward et al. 2013</w:t>
        </w:r>
      </w:hyperlink>
      <w:r w:rsidR="00540D92">
        <w:rPr>
          <w:noProof/>
        </w:rPr>
        <w:t>)</w:t>
      </w:r>
      <w:r w:rsidR="0020041D">
        <w:fldChar w:fldCharType="end"/>
      </w:r>
      <w:r>
        <w:t xml:space="preserve">. In addition, an evaluation </w:t>
      </w:r>
      <w:r w:rsidR="008C6FE8">
        <w:t xml:space="preserve">of </w:t>
      </w:r>
      <w:r w:rsidR="008C6FE8">
        <w:lastRenderedPageBreak/>
        <w:t xml:space="preserve">genetic testing by Lin et al agreed that a prognostic test should be measured through strength of association between the test results and the development of the outcome </w:t>
      </w:r>
      <w:r w:rsidR="0020041D">
        <w:fldChar w:fldCharType="begin"/>
      </w:r>
      <w:r w:rsidR="0020041D">
        <w:instrText xml:space="preserve"> ADDIN EN.CITE &lt;EndNote&gt;&lt;Cite&gt;&lt;Author&gt;Lin&lt;/Author&gt;&lt;Year&gt;2012&lt;/Year&gt;&lt;RecNum&gt;53&lt;/RecNum&gt;&lt;IDText&gt;117&lt;/IDText&gt;&lt;DisplayText&gt;(Lin et al. 2012)&lt;/DisplayText&gt;&lt;record&gt;&lt;rec-number&gt;53&lt;/rec-number&gt;&lt;foreign-keys&gt;&lt;key app="EN" db-id="ttvewf9xnepwp2edxe5xxzfw9et0wp9vf9wd" timestamp="1434440953"&gt;53&lt;/key&gt;&lt;/foreign-keys&gt;&lt;ref-type name="Journal Article"&gt;17&lt;/ref-type&gt;&lt;contributors&gt;&lt;authors&gt;&lt;author&gt;Lin, J. S.&lt;/author&gt;&lt;author&gt;Thompson, M.&lt;/author&gt;&lt;author&gt;Goddard, K. A.&lt;/author&gt;&lt;author&gt;Piper, M. A.&lt;/author&gt;&lt;author&gt;Heneghan, C.&lt;/author&gt;&lt;author&gt;Whitlock, E. P.&lt;/author&gt;&lt;/authors&gt;&lt;/contributors&gt;&lt;auth-address&gt;Center for Health Research, Kaiser Permanente Northwest, 3800 N, Interstate Ave, Portland , OR 97227, USA. Jennifer.S.Lin@kpchr.org&lt;/auth-address&gt;&lt;titles&gt;&lt;title&gt;Evaluating genomic tests from bench to bedside: a practical framework&lt;/title&gt;&lt;secondary-title&gt;BMC Med Inform Decis Mak&lt;/secondary-title&gt;&lt;alt-title&gt;BMC medical informatics and decision making&lt;/alt-title&gt;&lt;/titles&gt;&lt;periodical&gt;&lt;full-title&gt;BMC Med Inform Decis Mak&lt;/full-title&gt;&lt;abbr-1&gt;BMC medical informatics and decision making&lt;/abbr-1&gt;&lt;/periodical&gt;&lt;alt-periodical&gt;&lt;full-title&gt;BMC Med Inform Decis Mak&lt;/full-title&gt;&lt;abbr-1&gt;BMC medical informatics and decision making&lt;/abbr-1&gt;&lt;/alt-periodical&gt;&lt;pages&gt;117&lt;/pages&gt;&lt;volume&gt;12&lt;/volume&gt;&lt;edition&gt;2012/10/20&lt;/edition&gt;&lt;keywords&gt;&lt;keyword&gt;*Decision Making&lt;/keyword&gt;&lt;keyword&gt;Evidence-Based Medicine&lt;/keyword&gt;&lt;keyword&gt;Genetic Testing/*standards&lt;/keyword&gt;&lt;keyword&gt;Genomics&lt;/keyword&gt;&lt;keyword&gt;Humans&lt;/keyword&gt;&lt;keyword&gt;Reproducibility of Results&lt;/keyword&gt;&lt;/keywords&gt;&lt;dates&gt;&lt;year&gt;2012&lt;/year&gt;&lt;/dates&gt;&lt;isbn&gt;1472-6947&lt;/isbn&gt;&lt;accession-num&gt;23078403&lt;/accession-num&gt;&lt;urls&gt;&lt;related-urls&gt;&lt;url&gt;http://www.ncbi.nlm.nih.gov/pmc/articles/PMC3538070/pdf/1472-6947-12-117.pdf&lt;/url&gt;&lt;/related-urls&gt;&lt;/urls&gt;&lt;custom2&gt;Pmc3538070&lt;/custom2&gt;&lt;electronic-resource-num&gt;10.1186/1472-6947-12-117&lt;/electronic-resource-num&gt;&lt;remote-database-provider&gt;NLM&lt;/remote-database-provider&gt;&lt;language&gt;eng&lt;/language&gt;&lt;/record&gt;&lt;/Cite&gt;&lt;/EndNote&gt;</w:instrText>
      </w:r>
      <w:r w:rsidR="0020041D">
        <w:fldChar w:fldCharType="separate"/>
      </w:r>
      <w:r w:rsidR="0020041D">
        <w:rPr>
          <w:noProof/>
        </w:rPr>
        <w:t>(</w:t>
      </w:r>
      <w:hyperlink w:anchor="_ENREF_12" w:tooltip="Lin, 2012 #53" w:history="1">
        <w:r w:rsidR="009558F1">
          <w:rPr>
            <w:noProof/>
          </w:rPr>
          <w:t>Lin et al. 2012</w:t>
        </w:r>
      </w:hyperlink>
      <w:r w:rsidR="0020041D">
        <w:rPr>
          <w:noProof/>
        </w:rPr>
        <w:t>)</w:t>
      </w:r>
      <w:r w:rsidR="0020041D">
        <w:fldChar w:fldCharType="end"/>
      </w:r>
      <w:r w:rsidR="008C6FE8">
        <w:t>.</w:t>
      </w:r>
    </w:p>
    <w:p w14:paraId="039D2139" w14:textId="088BF429" w:rsidR="008F385C" w:rsidRPr="00BE2386" w:rsidRDefault="008F385C" w:rsidP="00BE2386">
      <w:pPr>
        <w:pStyle w:val="Heading2"/>
        <w:rPr>
          <w:i/>
          <w:sz w:val="24"/>
          <w:szCs w:val="24"/>
        </w:rPr>
      </w:pPr>
      <w:r w:rsidRPr="00BE2386">
        <w:rPr>
          <w:i/>
          <w:sz w:val="24"/>
          <w:szCs w:val="24"/>
        </w:rPr>
        <w:t>Registration details for the proposed service</w:t>
      </w:r>
    </w:p>
    <w:p w14:paraId="3E1043E0" w14:textId="77777777" w:rsidR="0033291C" w:rsidRDefault="00B923E9" w:rsidP="00857E1A">
      <w:pPr>
        <w:spacing w:after="0"/>
      </w:pPr>
      <w:proofErr w:type="spellStart"/>
      <w:r>
        <w:t>EndoPredict</w:t>
      </w:r>
      <w:proofErr w:type="spellEnd"/>
      <w:r>
        <w:t xml:space="preserve">® </w:t>
      </w:r>
      <w:r w:rsidR="0033291C">
        <w:t xml:space="preserve">has a registered trademark. The test is registered by </w:t>
      </w:r>
      <w:proofErr w:type="spellStart"/>
      <w:r w:rsidR="0033291C">
        <w:t>Sividon</w:t>
      </w:r>
      <w:proofErr w:type="spellEnd"/>
      <w:r w:rsidR="0033291C">
        <w:t xml:space="preserve"> Diagnostics GmbH with the Registered/Protected trademarks -</w:t>
      </w:r>
    </w:p>
    <w:p w14:paraId="1108BCBF" w14:textId="51AA8F65" w:rsidR="00A236C3" w:rsidRDefault="00A236C3" w:rsidP="00857E1A">
      <w:pPr>
        <w:spacing w:after="0"/>
        <w:ind w:left="720"/>
      </w:pPr>
      <w:r>
        <w:t>AUS: 1672186 filed</w:t>
      </w:r>
      <w:r w:rsidRPr="00AE13CD">
        <w:t xml:space="preserve"> </w:t>
      </w:r>
      <w:r w:rsidR="00FD19C6" w:rsidRPr="00B014CB">
        <w:rPr>
          <w:iCs/>
          <w:lang w:val="en-GB"/>
        </w:rPr>
        <w:t>February 3, 2015, registered February 5, 2016</w:t>
      </w:r>
    </w:p>
    <w:p w14:paraId="173DB319" w14:textId="174BEF29" w:rsidR="0033291C" w:rsidRPr="00AE13CD" w:rsidRDefault="0033291C" w:rsidP="00857E1A">
      <w:pPr>
        <w:spacing w:after="0"/>
        <w:ind w:left="720"/>
      </w:pPr>
      <w:r>
        <w:t>EU: 0096124</w:t>
      </w:r>
      <w:r w:rsidRPr="00AE13CD">
        <w:t xml:space="preserve">09 </w:t>
      </w:r>
      <w:r w:rsidR="00FD19C6" w:rsidRPr="00B014CB">
        <w:rPr>
          <w:iCs/>
          <w:lang w:val="en-GB"/>
        </w:rPr>
        <w:t>filed December 20, 2010; registered April 29, 2011</w:t>
      </w:r>
    </w:p>
    <w:p w14:paraId="350C730A" w14:textId="5722A6B9" w:rsidR="0033291C" w:rsidRPr="00AE13CD" w:rsidRDefault="0033291C" w:rsidP="00857E1A">
      <w:pPr>
        <w:ind w:left="720"/>
      </w:pPr>
      <w:r w:rsidRPr="00AE13CD">
        <w:t xml:space="preserve">US: 85520009 </w:t>
      </w:r>
      <w:r w:rsidR="00FD19C6" w:rsidRPr="00B014CB">
        <w:rPr>
          <w:iCs/>
          <w:lang w:val="en-GB"/>
        </w:rPr>
        <w:t>filed 1/2012; registered January 5, 2016</w:t>
      </w:r>
    </w:p>
    <w:p w14:paraId="352194AA" w14:textId="77777777" w:rsidR="008F385C" w:rsidRPr="00BE2386" w:rsidRDefault="008F385C" w:rsidP="00BE2386">
      <w:pPr>
        <w:pStyle w:val="Heading2"/>
        <w:rPr>
          <w:i/>
          <w:sz w:val="24"/>
          <w:szCs w:val="24"/>
        </w:rPr>
      </w:pPr>
      <w:r w:rsidRPr="00BE2386">
        <w:rPr>
          <w:i/>
          <w:sz w:val="24"/>
          <w:szCs w:val="24"/>
        </w:rPr>
        <w:t>Delivery setting for the proposed service</w:t>
      </w:r>
    </w:p>
    <w:p w14:paraId="645111C0" w14:textId="7284AB23" w:rsidR="00995323" w:rsidRDefault="00B923E9" w:rsidP="00BC4EFE">
      <w:proofErr w:type="spellStart"/>
      <w:r>
        <w:t>EndoPredict</w:t>
      </w:r>
      <w:proofErr w:type="spellEnd"/>
      <w:r>
        <w:t xml:space="preserve">® </w:t>
      </w:r>
      <w:r w:rsidR="000C1F21">
        <w:t xml:space="preserve">requires </w:t>
      </w:r>
      <w:r w:rsidR="006455A9">
        <w:t xml:space="preserve">reagents, </w:t>
      </w:r>
      <w:r w:rsidR="009761BF">
        <w:t>RT</w:t>
      </w:r>
      <w:r w:rsidR="00A2511B">
        <w:t>-</w:t>
      </w:r>
      <w:proofErr w:type="spellStart"/>
      <w:r w:rsidR="009761BF">
        <w:t>q</w:t>
      </w:r>
      <w:r w:rsidR="006455A9">
        <w:t>PCR</w:t>
      </w:r>
      <w:proofErr w:type="spellEnd"/>
      <w:r w:rsidR="006455A9">
        <w:t xml:space="preserve"> instrumentation and </w:t>
      </w:r>
      <w:r w:rsidR="003A412D">
        <w:t>access to</w:t>
      </w:r>
      <w:r w:rsidR="007B6813">
        <w:t xml:space="preserve"> </w:t>
      </w:r>
      <w:r w:rsidR="006455A9">
        <w:t>online evaluation software</w:t>
      </w:r>
      <w:r w:rsidR="008C14C5">
        <w:t xml:space="preserve"> </w:t>
      </w:r>
      <w:r w:rsidR="008C14C5" w:rsidRPr="008C14C5">
        <w:t>(</w:t>
      </w:r>
      <w:proofErr w:type="spellStart"/>
      <w:r w:rsidR="008C14C5" w:rsidRPr="008C14C5">
        <w:t>EndoPredict</w:t>
      </w:r>
      <w:proofErr w:type="spellEnd"/>
      <w:r w:rsidR="008C14C5" w:rsidRPr="008C14C5">
        <w:t>® Report Generator)</w:t>
      </w:r>
      <w:r w:rsidR="006455A9">
        <w:t xml:space="preserve">. </w:t>
      </w:r>
      <w:r w:rsidR="00160FFD">
        <w:t xml:space="preserve">The </w:t>
      </w:r>
      <w:r w:rsidR="00F9069A">
        <w:t>RT</w:t>
      </w:r>
      <w:r w:rsidR="00A2511B">
        <w:t>-</w:t>
      </w:r>
      <w:r w:rsidR="00F9069A">
        <w:t>q</w:t>
      </w:r>
      <w:r w:rsidR="00160FFD">
        <w:t xml:space="preserve">PCR test would be conducted within a laboratory setting. The service will be </w:t>
      </w:r>
      <w:r w:rsidR="006455A9">
        <w:t>available</w:t>
      </w:r>
      <w:r w:rsidR="00160FFD">
        <w:t xml:space="preserve"> to</w:t>
      </w:r>
      <w:r w:rsidR="00F9069A">
        <w:t xml:space="preserve"> primary</w:t>
      </w:r>
      <w:r w:rsidR="00160FFD">
        <w:t xml:space="preserve"> breast cancer patients who meet the eligibility criteria i.e. who have ER+ve, HER2-ve tumours </w:t>
      </w:r>
      <w:r w:rsidR="007C666C">
        <w:t>determined by IHC</w:t>
      </w:r>
      <w:r w:rsidR="00A236C3">
        <w:t>/ISH</w:t>
      </w:r>
      <w:r w:rsidR="007C666C">
        <w:t xml:space="preserve"> analysis</w:t>
      </w:r>
      <w:r w:rsidR="003972F2">
        <w:t xml:space="preserve">, </w:t>
      </w:r>
      <w:r w:rsidR="00160FFD">
        <w:t xml:space="preserve">are assessed as being suitable for </w:t>
      </w:r>
      <w:r w:rsidR="00820E77">
        <w:t xml:space="preserve">adjuvant </w:t>
      </w:r>
      <w:r w:rsidR="00160FFD">
        <w:t>treatment</w:t>
      </w:r>
      <w:r w:rsidR="00820E77">
        <w:t xml:space="preserve"> after tumour removal</w:t>
      </w:r>
      <w:r w:rsidR="00BF4C77">
        <w:t>, and at intermediate risk by clinical assessment</w:t>
      </w:r>
      <w:r w:rsidR="00995323">
        <w:t>.</w:t>
      </w:r>
      <w:r w:rsidR="006455A9">
        <w:t xml:space="preserve"> </w:t>
      </w:r>
      <w:r w:rsidR="002002B0">
        <w:t>A separate t</w:t>
      </w:r>
      <w:r w:rsidR="00160FFD">
        <w:t>issue sample for the test would not need to be collected from the patient, rather a sample of the routine FFPE</w:t>
      </w:r>
      <w:r w:rsidR="00033C5E">
        <w:t>,</w:t>
      </w:r>
      <w:r w:rsidR="00160FFD">
        <w:t xml:space="preserve"> biopsy or excised tumour would be requested </w:t>
      </w:r>
      <w:r w:rsidR="00995323">
        <w:t xml:space="preserve">from </w:t>
      </w:r>
      <w:r w:rsidR="00E67A9E">
        <w:t xml:space="preserve">pathology </w:t>
      </w:r>
      <w:r w:rsidR="000C1F21">
        <w:t>for conducting the</w:t>
      </w:r>
      <w:r w:rsidR="00160FFD">
        <w:t xml:space="preserve"> </w:t>
      </w:r>
      <w:r w:rsidR="00F2601E">
        <w:t>RT</w:t>
      </w:r>
      <w:r w:rsidR="009247C6">
        <w:t>-</w:t>
      </w:r>
      <w:r w:rsidR="00F2601E">
        <w:t>q</w:t>
      </w:r>
      <w:r w:rsidR="00160FFD">
        <w:t xml:space="preserve">PCR testing. </w:t>
      </w:r>
      <w:r w:rsidR="00995323">
        <w:t xml:space="preserve">The service could therefore be offered to patients in </w:t>
      </w:r>
      <w:r w:rsidR="0068430B">
        <w:t xml:space="preserve">a public or private </w:t>
      </w:r>
      <w:r w:rsidR="00995323">
        <w:t>hospital following surgery</w:t>
      </w:r>
      <w:r w:rsidR="00E67A9E">
        <w:t xml:space="preserve"> or biopsy</w:t>
      </w:r>
      <w:r w:rsidR="00995323">
        <w:t>, or when they attend a hospital outpatient service or consulting room</w:t>
      </w:r>
      <w:r w:rsidR="00E67A9E">
        <w:t>.</w:t>
      </w:r>
    </w:p>
    <w:p w14:paraId="1522E458" w14:textId="1403F970" w:rsidR="00D90D8F" w:rsidRDefault="00E67A9E" w:rsidP="00BC4EFE">
      <w:r>
        <w:t xml:space="preserve">The proposed service can be conducted in local public or private pathology laboratories if they have the appropriate equipment and training. </w:t>
      </w:r>
      <w:r w:rsidR="00160FFD">
        <w:t xml:space="preserve">A 10 µm section of the FFPE is used to prepare </w:t>
      </w:r>
      <w:r w:rsidR="00CA73E1">
        <w:t>ribonucleic acid (</w:t>
      </w:r>
      <w:r w:rsidR="00160FFD">
        <w:t>RNA</w:t>
      </w:r>
      <w:r w:rsidR="00CA73E1">
        <w:t>)</w:t>
      </w:r>
      <w:r w:rsidR="00160FFD">
        <w:t xml:space="preserve"> for </w:t>
      </w:r>
      <w:r w:rsidR="002B0852">
        <w:t>RT-</w:t>
      </w:r>
      <w:proofErr w:type="spellStart"/>
      <w:r w:rsidR="002B0852">
        <w:t>qPCR</w:t>
      </w:r>
      <w:proofErr w:type="spellEnd"/>
      <w:r w:rsidR="00F65790">
        <w:t xml:space="preserve"> using the </w:t>
      </w:r>
      <w:proofErr w:type="spellStart"/>
      <w:r w:rsidR="00B923E9">
        <w:t>EndoPredict</w:t>
      </w:r>
      <w:proofErr w:type="spellEnd"/>
      <w:r w:rsidR="00B923E9">
        <w:t xml:space="preserve">® </w:t>
      </w:r>
      <w:r w:rsidR="00F65790">
        <w:t xml:space="preserve">Kit </w:t>
      </w:r>
      <w:r w:rsidR="008C14C5">
        <w:t>reagents</w:t>
      </w:r>
      <w:r w:rsidR="006455A9">
        <w:t xml:space="preserve">. </w:t>
      </w:r>
      <w:r w:rsidR="000C1F21">
        <w:t>The prepared tissue sample along with</w:t>
      </w:r>
      <w:r w:rsidR="006455A9">
        <w:t xml:space="preserve"> quality control</w:t>
      </w:r>
      <w:r w:rsidR="00931BA3">
        <w:t xml:space="preserve"> samples</w:t>
      </w:r>
      <w:r w:rsidR="00A236C3">
        <w:t xml:space="preserve"> are run on the </w:t>
      </w:r>
      <w:r w:rsidR="002B0852">
        <w:t>RT-qPCR</w:t>
      </w:r>
      <w:r w:rsidR="00A236C3">
        <w:t xml:space="preserve"> instrumentation</w:t>
      </w:r>
      <w:r w:rsidR="006455A9">
        <w:t xml:space="preserve"> and</w:t>
      </w:r>
      <w:r w:rsidR="000C1F21">
        <w:t xml:space="preserve"> produce</w:t>
      </w:r>
      <w:r w:rsidR="006455A9">
        <w:t xml:space="preserve"> data </w:t>
      </w:r>
      <w:r w:rsidR="000C1F21">
        <w:t xml:space="preserve">which </w:t>
      </w:r>
      <w:r w:rsidR="00CA73E1">
        <w:t>are</w:t>
      </w:r>
      <w:r w:rsidR="006455A9">
        <w:t xml:space="preserve"> exported </w:t>
      </w:r>
      <w:r w:rsidR="00A236C3">
        <w:t>into reporter</w:t>
      </w:r>
      <w:r w:rsidR="006455A9">
        <w:t xml:space="preserve"> software. </w:t>
      </w:r>
      <w:r w:rsidR="00A236C3">
        <w:t>The reporte</w:t>
      </w:r>
      <w:r w:rsidR="0068430B">
        <w:t>r</w:t>
      </w:r>
      <w:r w:rsidR="00A236C3">
        <w:t xml:space="preserve"> software generates the</w:t>
      </w:r>
      <w:r w:rsidR="00033C5E">
        <w:t xml:space="preserve"> </w:t>
      </w:r>
      <w:r w:rsidR="00A236C3">
        <w:t xml:space="preserve">EPclin risk assessment score. </w:t>
      </w:r>
      <w:r w:rsidR="006455A9">
        <w:t>Results may be produced within 8 hours in an ideal setting.</w:t>
      </w:r>
    </w:p>
    <w:p w14:paraId="440CC9C6" w14:textId="2047BF3F" w:rsidR="008F385C" w:rsidRPr="00BE2386" w:rsidRDefault="008F385C" w:rsidP="00BE2386">
      <w:pPr>
        <w:pStyle w:val="Heading2"/>
        <w:rPr>
          <w:i/>
          <w:sz w:val="24"/>
          <w:szCs w:val="24"/>
        </w:rPr>
      </w:pPr>
      <w:r w:rsidRPr="00BE2386">
        <w:rPr>
          <w:i/>
          <w:sz w:val="24"/>
          <w:szCs w:val="24"/>
        </w:rPr>
        <w:t>Clinical delivery of the proposed service</w:t>
      </w:r>
    </w:p>
    <w:p w14:paraId="39A582FA" w14:textId="7BDFFCC9" w:rsidR="00F0330E" w:rsidRDefault="003B5AE6" w:rsidP="00BC4EFE">
      <w:r>
        <w:t>A c</w:t>
      </w:r>
      <w:r w:rsidR="00CF4E00">
        <w:t xml:space="preserve">ore biopsy </w:t>
      </w:r>
      <w:r w:rsidR="00D531F0">
        <w:t xml:space="preserve">is </w:t>
      </w:r>
      <w:r w:rsidR="00CF4E00">
        <w:t xml:space="preserve">performed </w:t>
      </w:r>
      <w:r w:rsidR="007C666C">
        <w:t>by an oncology surgeon</w:t>
      </w:r>
      <w:r w:rsidR="00D531F0">
        <w:t>, and then</w:t>
      </w:r>
      <w:r w:rsidR="007C666C">
        <w:t xml:space="preserve"> sent to the laboratory for testing</w:t>
      </w:r>
      <w:r w:rsidR="0078677E" w:rsidRPr="0078677E">
        <w:t xml:space="preserve"> </w:t>
      </w:r>
      <w:r w:rsidR="0078677E">
        <w:t xml:space="preserve">and </w:t>
      </w:r>
      <w:r w:rsidR="0078677E" w:rsidRPr="0078677E">
        <w:t>routine FFPE embedding</w:t>
      </w:r>
      <w:r w:rsidR="007C666C">
        <w:t>.</w:t>
      </w:r>
      <w:r w:rsidR="00CF4E00">
        <w:t xml:space="preserve"> </w:t>
      </w:r>
      <w:r w:rsidR="009247C6">
        <w:t xml:space="preserve">Patients with new primary breast cancer will be assessed for </w:t>
      </w:r>
      <w:r w:rsidR="00FC02A4">
        <w:t xml:space="preserve">suitability for </w:t>
      </w:r>
      <w:r w:rsidR="009247C6">
        <w:t xml:space="preserve">surgery. </w:t>
      </w:r>
      <w:r w:rsidR="00CF4E00">
        <w:t>Following surgical removal of the tumour</w:t>
      </w:r>
      <w:r w:rsidR="001B4125">
        <w:t>,</w:t>
      </w:r>
      <w:r w:rsidR="00CF4E00">
        <w:t xml:space="preserve"> a </w:t>
      </w:r>
      <w:r w:rsidR="007C666C">
        <w:t>pathologist assess</w:t>
      </w:r>
      <w:r w:rsidR="00D531F0">
        <w:t>es</w:t>
      </w:r>
      <w:r w:rsidR="007C666C">
        <w:t xml:space="preserve"> the </w:t>
      </w:r>
      <w:r w:rsidR="00033C5E">
        <w:t>surgically removed tissue</w:t>
      </w:r>
      <w:r w:rsidR="00F0330E">
        <w:t xml:space="preserve"> for </w:t>
      </w:r>
      <w:r w:rsidR="00CF4E00">
        <w:t xml:space="preserve">ER/HER status (by IHC/ISH staining), </w:t>
      </w:r>
      <w:r w:rsidR="00F0330E">
        <w:t xml:space="preserve">tumour size and nodal status. The pathologist </w:t>
      </w:r>
      <w:r w:rsidR="00D531F0">
        <w:t xml:space="preserve">then </w:t>
      </w:r>
      <w:r w:rsidR="0078677E">
        <w:t>report</w:t>
      </w:r>
      <w:r w:rsidR="00D531F0">
        <w:t>s</w:t>
      </w:r>
      <w:r w:rsidR="0078677E">
        <w:t xml:space="preserve"> </w:t>
      </w:r>
      <w:r w:rsidR="00321894">
        <w:t xml:space="preserve">the </w:t>
      </w:r>
      <w:r w:rsidR="0078677E">
        <w:t>results to the oncologist</w:t>
      </w:r>
      <w:r w:rsidR="002D085B">
        <w:t xml:space="preserve"> or surgeon</w:t>
      </w:r>
      <w:r w:rsidR="007C666C">
        <w:t>.</w:t>
      </w:r>
    </w:p>
    <w:p w14:paraId="1D9E86B1" w14:textId="43FE56F5" w:rsidR="009C3F66" w:rsidRDefault="009B40D8" w:rsidP="00BC4EFE">
      <w:r>
        <w:t>Patients with t</w:t>
      </w:r>
      <w:r w:rsidR="007C666C">
        <w:t xml:space="preserve">umours that are classified ER+ve, HER2-ve </w:t>
      </w:r>
      <w:r w:rsidR="00F35581">
        <w:t>are</w:t>
      </w:r>
      <w:r w:rsidR="007C666C">
        <w:t xml:space="preserve"> </w:t>
      </w:r>
      <w:r w:rsidR="0068392E">
        <w:t xml:space="preserve">assessed </w:t>
      </w:r>
      <w:r w:rsidR="007C666C">
        <w:t xml:space="preserve">by the patient’s oncologist </w:t>
      </w:r>
      <w:r w:rsidR="002D085B">
        <w:t xml:space="preserve">or surgeon </w:t>
      </w:r>
      <w:r w:rsidR="0068392E">
        <w:t>regarding their risk of recurrence or metastases,</w:t>
      </w:r>
      <w:r w:rsidR="00BF4C77">
        <w:t xml:space="preserve"> and </w:t>
      </w:r>
      <w:r w:rsidR="0068392E">
        <w:t>regarding</w:t>
      </w:r>
      <w:r w:rsidR="007C666C">
        <w:t xml:space="preserve"> their suitability for treatment </w:t>
      </w:r>
      <w:r>
        <w:t>with</w:t>
      </w:r>
      <w:r w:rsidR="007C666C">
        <w:t xml:space="preserve"> </w:t>
      </w:r>
      <w:r>
        <w:t xml:space="preserve">endocrine </w:t>
      </w:r>
      <w:r w:rsidR="007C666C">
        <w:t>therapy alone</w:t>
      </w:r>
      <w:r w:rsidR="005B4B85">
        <w:t xml:space="preserve"> (low risk patients)</w:t>
      </w:r>
      <w:r w:rsidR="007C666C">
        <w:t>, or endocrine combined with chemotherapy</w:t>
      </w:r>
      <w:r w:rsidR="005B4B85">
        <w:t xml:space="preserve"> (high risk patients)</w:t>
      </w:r>
      <w:r w:rsidR="007C666C">
        <w:t>. To make this decision</w:t>
      </w:r>
      <w:r w:rsidR="00BF4C77">
        <w:t xml:space="preserve"> in </w:t>
      </w:r>
      <w:r w:rsidR="005B4B85">
        <w:t>patients</w:t>
      </w:r>
      <w:r w:rsidR="00BF4C77">
        <w:t xml:space="preserve"> </w:t>
      </w:r>
      <w:r w:rsidR="005B4B85">
        <w:t>with</w:t>
      </w:r>
      <w:r w:rsidR="00BF4C77">
        <w:t xml:space="preserve"> </w:t>
      </w:r>
      <w:r w:rsidR="0068392E">
        <w:t xml:space="preserve">an </w:t>
      </w:r>
      <w:r w:rsidR="00BF4C77">
        <w:t>intermediate risk</w:t>
      </w:r>
      <w:r w:rsidR="007C666C">
        <w:t xml:space="preserve">, the </w:t>
      </w:r>
      <w:proofErr w:type="spellStart"/>
      <w:r w:rsidR="00B923E9">
        <w:t>EndoPredict</w:t>
      </w:r>
      <w:proofErr w:type="spellEnd"/>
      <w:r w:rsidR="00B923E9">
        <w:t xml:space="preserve">® </w:t>
      </w:r>
      <w:r w:rsidR="007C666C">
        <w:t xml:space="preserve">tool </w:t>
      </w:r>
      <w:r w:rsidR="002D085B">
        <w:t>can be used</w:t>
      </w:r>
      <w:r w:rsidR="0068430B">
        <w:t xml:space="preserve"> to calculate an EPclin </w:t>
      </w:r>
      <w:r w:rsidR="00A2511B">
        <w:t>S</w:t>
      </w:r>
      <w:r w:rsidR="0068430B">
        <w:t>core</w:t>
      </w:r>
      <w:r w:rsidR="002D085B">
        <w:t xml:space="preserve"> </w:t>
      </w:r>
      <w:r w:rsidR="007C666C">
        <w:t xml:space="preserve">to </w:t>
      </w:r>
      <w:r w:rsidR="00C2063C">
        <w:t xml:space="preserve">provide an estimate of the risk of recurrence or metastases (on a continuous scale) and to </w:t>
      </w:r>
      <w:r w:rsidR="007C666C">
        <w:t xml:space="preserve">categorise the patient as low risk or high risk for developing </w:t>
      </w:r>
      <w:r w:rsidR="00240E62">
        <w:t>distant recurrence</w:t>
      </w:r>
      <w:r w:rsidR="00F0330E">
        <w:t xml:space="preserve"> or </w:t>
      </w:r>
      <w:r w:rsidR="007C666C">
        <w:t>metastases</w:t>
      </w:r>
      <w:r w:rsidR="00BA720C">
        <w:t xml:space="preserve"> within 10 years</w:t>
      </w:r>
      <w:r w:rsidR="00152A39">
        <w:t xml:space="preserve">. </w:t>
      </w:r>
      <w:r>
        <w:t xml:space="preserve">To use the tool the oncologist </w:t>
      </w:r>
      <w:r w:rsidR="002D085B">
        <w:t xml:space="preserve">or surgeon </w:t>
      </w:r>
      <w:r>
        <w:t xml:space="preserve">would request </w:t>
      </w:r>
      <w:r w:rsidR="00F9069A">
        <w:t xml:space="preserve">the </w:t>
      </w:r>
      <w:proofErr w:type="spellStart"/>
      <w:r w:rsidR="00B923E9">
        <w:t>EndoPredict</w:t>
      </w:r>
      <w:proofErr w:type="spellEnd"/>
      <w:r w:rsidR="00B923E9">
        <w:t xml:space="preserve">® </w:t>
      </w:r>
      <w:r w:rsidR="00F9069A">
        <w:t xml:space="preserve">test be </w:t>
      </w:r>
      <w:r w:rsidR="004355AC">
        <w:t xml:space="preserve">performed. </w:t>
      </w:r>
      <w:r>
        <w:t xml:space="preserve">RNA </w:t>
      </w:r>
      <w:r w:rsidR="009C3F66">
        <w:t xml:space="preserve">would be prepared from the sample </w:t>
      </w:r>
      <w:r>
        <w:t xml:space="preserve">for the </w:t>
      </w:r>
      <w:r w:rsidR="00931BA3">
        <w:t>RT</w:t>
      </w:r>
      <w:r w:rsidR="009247C6">
        <w:t>-</w:t>
      </w:r>
      <w:r w:rsidR="00931BA3">
        <w:t xml:space="preserve"> q</w:t>
      </w:r>
      <w:r>
        <w:t>PCR gene profiling test</w:t>
      </w:r>
      <w:r w:rsidR="0078677E">
        <w:t xml:space="preserve"> by a molecular pathologist</w:t>
      </w:r>
      <w:r>
        <w:t xml:space="preserve">. </w:t>
      </w:r>
      <w:r w:rsidR="009B2CF1">
        <w:t xml:space="preserve">Data </w:t>
      </w:r>
      <w:r w:rsidR="00F9069A">
        <w:t xml:space="preserve">on tumour size and nodal status may be </w:t>
      </w:r>
      <w:r w:rsidR="002D085B">
        <w:t xml:space="preserve">determined </w:t>
      </w:r>
      <w:r w:rsidR="00F9069A">
        <w:t xml:space="preserve">from laboratory reports and entered into the </w:t>
      </w:r>
      <w:proofErr w:type="spellStart"/>
      <w:r w:rsidR="00B923E9">
        <w:t>EndoPredict</w:t>
      </w:r>
      <w:proofErr w:type="spellEnd"/>
      <w:r w:rsidR="00B923E9">
        <w:t xml:space="preserve">® </w:t>
      </w:r>
      <w:r w:rsidR="00F9069A">
        <w:t>algorithm.</w:t>
      </w:r>
      <w:r w:rsidR="0078677E">
        <w:t xml:space="preserve"> The molecular pathologist would interpret and report on the results to the oncologist</w:t>
      </w:r>
      <w:r w:rsidR="002D085B">
        <w:t xml:space="preserve"> or surgeon</w:t>
      </w:r>
      <w:r w:rsidR="0078677E">
        <w:t>.</w:t>
      </w:r>
      <w:r w:rsidR="00F9069A">
        <w:t xml:space="preserve"> </w:t>
      </w:r>
      <w:r w:rsidR="002158B6">
        <w:t>T</w:t>
      </w:r>
      <w:r>
        <w:t xml:space="preserve">he pathologist </w:t>
      </w:r>
      <w:r w:rsidR="002D085B">
        <w:t xml:space="preserve">may </w:t>
      </w:r>
      <w:r w:rsidR="002D085B">
        <w:lastRenderedPageBreak/>
        <w:t xml:space="preserve">recommend </w:t>
      </w:r>
      <w:r>
        <w:t>the gene</w:t>
      </w:r>
      <w:r w:rsidR="00931BA3">
        <w:t xml:space="preserve"> </w:t>
      </w:r>
      <w:r>
        <w:t>profile analysis once ER+ve, HER2-ve status has been established</w:t>
      </w:r>
      <w:r w:rsidR="004D0B9B">
        <w:t xml:space="preserve"> through IHC</w:t>
      </w:r>
      <w:r w:rsidR="002D085B">
        <w:t>/ISH</w:t>
      </w:r>
      <w:r>
        <w:t xml:space="preserve">. </w:t>
      </w:r>
      <w:r w:rsidR="00C10038">
        <w:t xml:space="preserve">PASC suggested that, if possible, the definition of intermediate risk could be varied (i.e. using </w:t>
      </w:r>
      <w:r w:rsidR="00886F7A">
        <w:t>categories</w:t>
      </w:r>
      <w:r w:rsidR="00C10038">
        <w:t xml:space="preserve"> recommended by international guidelines</w:t>
      </w:r>
      <w:r w:rsidR="00886F7A">
        <w:t xml:space="preserve">), and the consequences of any variation in definition of the population could be examined in the assessment. </w:t>
      </w:r>
    </w:p>
    <w:p w14:paraId="65A1EDEB" w14:textId="77777777" w:rsidR="007C666C" w:rsidRDefault="00152A39" w:rsidP="00BC4EFE">
      <w:r>
        <w:t xml:space="preserve">Patients </w:t>
      </w:r>
      <w:r w:rsidR="002D085B">
        <w:t xml:space="preserve">who </w:t>
      </w:r>
      <w:r>
        <w:t xml:space="preserve">fall into the low risk category </w:t>
      </w:r>
      <w:r w:rsidR="005B4B85">
        <w:t xml:space="preserve">according to the </w:t>
      </w:r>
      <w:proofErr w:type="spellStart"/>
      <w:r w:rsidR="005B4B85">
        <w:t>EndoPredict</w:t>
      </w:r>
      <w:proofErr w:type="spellEnd"/>
      <w:r w:rsidR="005B4B85">
        <w:t xml:space="preserve">® tool </w:t>
      </w:r>
      <w:r>
        <w:t>would be offered endocrine therapy alone</w:t>
      </w:r>
      <w:r w:rsidR="0078677E">
        <w:t xml:space="preserve"> (short or extended term)</w:t>
      </w:r>
      <w:r>
        <w:t xml:space="preserve">, whereas those in the high risk category would be offered endocrine </w:t>
      </w:r>
      <w:r w:rsidR="00DF7C4A">
        <w:t xml:space="preserve">therapy </w:t>
      </w:r>
      <w:r>
        <w:t xml:space="preserve">combined with chemotherapy. </w:t>
      </w:r>
    </w:p>
    <w:p w14:paraId="1031445D" w14:textId="77777777" w:rsidR="002002B0" w:rsidRDefault="006455A9" w:rsidP="00BC4EFE">
      <w:r>
        <w:t>The test is being recommended for primary breast cancer patients, and would be expected to be delivered once</w:t>
      </w:r>
      <w:r w:rsidR="0078677E">
        <w:t xml:space="preserve"> per primary cancer diagnosis</w:t>
      </w:r>
      <w:r>
        <w:t xml:space="preserve"> per patient</w:t>
      </w:r>
      <w:r w:rsidR="008C14C5">
        <w:t xml:space="preserve"> </w:t>
      </w:r>
      <w:r w:rsidR="008C14C5" w:rsidRPr="008C14C5">
        <w:t>at the point of primary tumour analysis</w:t>
      </w:r>
      <w:r w:rsidR="008C14C5" w:rsidRPr="00410C7B">
        <w:t>. For the majority of patients the test would be requested once in their lifetime, but in the instance where primary breast cancer is detected a second or additional t</w:t>
      </w:r>
      <w:r w:rsidR="008C14C5" w:rsidRPr="001A0074">
        <w:t>i</w:t>
      </w:r>
      <w:r w:rsidR="00B17370">
        <w:t>me</w:t>
      </w:r>
      <w:r w:rsidR="008C14C5" w:rsidRPr="001A0074">
        <w:t xml:space="preserve"> (in either breast), the test may be requested more than once.</w:t>
      </w:r>
      <w:r w:rsidR="008C14C5">
        <w:t xml:space="preserve"> </w:t>
      </w:r>
      <w:r w:rsidR="001B143F">
        <w:t xml:space="preserve">The test is a prognostic tool to assist in treatment decision making </w:t>
      </w:r>
      <w:r w:rsidR="001E559E">
        <w:t>as a means of preventing</w:t>
      </w:r>
      <w:r w:rsidR="001B143F">
        <w:t xml:space="preserve"> </w:t>
      </w:r>
      <w:r w:rsidR="00240E62">
        <w:t xml:space="preserve">distant </w:t>
      </w:r>
      <w:r w:rsidR="001B143F">
        <w:t xml:space="preserve">recurrence or metastases </w:t>
      </w:r>
      <w:r w:rsidR="001D01D2">
        <w:t>up to 10</w:t>
      </w:r>
      <w:r w:rsidR="001B143F">
        <w:t xml:space="preserve"> years post diagnosis/surgery. Should there be recurrence or metastases, it </w:t>
      </w:r>
      <w:r w:rsidR="00F65790">
        <w:t>is expected that</w:t>
      </w:r>
      <w:r w:rsidR="001B143F">
        <w:t xml:space="preserve"> an alternate decision pathway would be used. </w:t>
      </w:r>
    </w:p>
    <w:p w14:paraId="3AE0EB1D" w14:textId="77777777" w:rsidR="00BC4EFE" w:rsidRPr="00BC4EFE" w:rsidRDefault="00BC4EFE" w:rsidP="00005108">
      <w:pPr>
        <w:pStyle w:val="Heading1"/>
      </w:pPr>
      <w:r w:rsidRPr="00BC4EFE">
        <w:t>Co-dependent information (if not a co-dependent application go to Section 6)</w:t>
      </w:r>
    </w:p>
    <w:p w14:paraId="1B791A91" w14:textId="77777777" w:rsidR="00D90D8F" w:rsidRPr="00BC4EFE" w:rsidRDefault="000C0052" w:rsidP="00BC4EFE">
      <w:r>
        <w:t>Not applicable</w:t>
      </w:r>
      <w:r w:rsidR="007D0FB5">
        <w:t>.</w:t>
      </w:r>
    </w:p>
    <w:p w14:paraId="0FFCE759" w14:textId="77777777" w:rsidR="00BC4EFE" w:rsidRPr="00BC4EFE" w:rsidRDefault="00BC4EFE" w:rsidP="00005108">
      <w:pPr>
        <w:pStyle w:val="Heading1"/>
      </w:pPr>
      <w:r w:rsidRPr="00BC4EFE">
        <w:t>Comparator – clinical claim for the proposed medical service</w:t>
      </w:r>
    </w:p>
    <w:p w14:paraId="6F5E0BFF" w14:textId="77777777" w:rsidR="008F385C" w:rsidRPr="00BE2386" w:rsidRDefault="00E0788F" w:rsidP="00BE2386">
      <w:pPr>
        <w:pStyle w:val="Heading2"/>
        <w:rPr>
          <w:i/>
          <w:sz w:val="24"/>
          <w:szCs w:val="24"/>
        </w:rPr>
      </w:pPr>
      <w:r w:rsidRPr="00BE2386">
        <w:rPr>
          <w:i/>
          <w:sz w:val="24"/>
          <w:szCs w:val="24"/>
        </w:rPr>
        <w:t>C</w:t>
      </w:r>
      <w:r w:rsidR="008F385C" w:rsidRPr="00BE2386">
        <w:rPr>
          <w:i/>
          <w:sz w:val="24"/>
          <w:szCs w:val="24"/>
        </w:rPr>
        <w:t>urrent clinical practice</w:t>
      </w:r>
    </w:p>
    <w:p w14:paraId="05FF27E8" w14:textId="77777777" w:rsidR="00A44931" w:rsidRDefault="0049145D" w:rsidP="00BC4EFE">
      <w:r>
        <w:t xml:space="preserve">The Australian National Breast and Ovarian Cancer Centre (NBOCC) published </w:t>
      </w:r>
      <w:r w:rsidRPr="0049145D">
        <w:rPr>
          <w:i/>
        </w:rPr>
        <w:t xml:space="preserve">Recommendations for use of Endocrine </w:t>
      </w:r>
      <w:r>
        <w:rPr>
          <w:i/>
        </w:rPr>
        <w:t>T</w:t>
      </w:r>
      <w:r w:rsidRPr="0049145D">
        <w:rPr>
          <w:i/>
        </w:rPr>
        <w:t>herapy</w:t>
      </w:r>
      <w:r>
        <w:t xml:space="preserve"> for the treatment of hormone receptor positive advanced breast cancer in June 2008, incorporating evidence to July 2007.</w:t>
      </w:r>
      <w:r w:rsidR="004402D9">
        <w:t xml:space="preserve"> </w:t>
      </w:r>
      <w:r w:rsidR="00CA4B8E">
        <w:t>While these guidelines are not specific to the population in this application, they indicate that c</w:t>
      </w:r>
      <w:r w:rsidR="004402D9">
        <w:t xml:space="preserve">urrent treatment of primary breast cancers </w:t>
      </w:r>
      <w:r w:rsidR="004355AC">
        <w:t xml:space="preserve">in Australia </w:t>
      </w:r>
      <w:r w:rsidR="004402D9">
        <w:t xml:space="preserve">is largely determined by the </w:t>
      </w:r>
      <w:r w:rsidR="007D0FB5">
        <w:t>IHC</w:t>
      </w:r>
      <w:r w:rsidR="002D085B">
        <w:t>/ISH</w:t>
      </w:r>
      <w:r w:rsidR="007D0FB5">
        <w:t xml:space="preserve"> </w:t>
      </w:r>
      <w:r w:rsidR="004402D9">
        <w:t>analysis of tumour type, i.e. hormone receptor (ER/PR) positive or negative, and HER2 positive or negative</w:t>
      </w:r>
      <w:r w:rsidR="00CA4B8E">
        <w:t>.</w:t>
      </w:r>
      <w:r w:rsidR="003A19A0">
        <w:t xml:space="preserve"> </w:t>
      </w:r>
      <w:r w:rsidR="00A44931" w:rsidRPr="00A44931">
        <w:t>In the case of ER/</w:t>
      </w:r>
      <w:proofErr w:type="spellStart"/>
      <w:r w:rsidR="00A44931" w:rsidRPr="00A44931">
        <w:t>PgR+ve</w:t>
      </w:r>
      <w:proofErr w:type="spellEnd"/>
      <w:r w:rsidR="00A44931" w:rsidRPr="00A44931">
        <w:t xml:space="preserve"> tumours the 2007 </w:t>
      </w:r>
      <w:r w:rsidR="00946D07">
        <w:t>G</w:t>
      </w:r>
      <w:r w:rsidR="00A44931" w:rsidRPr="00A44931">
        <w:t xml:space="preserve">uideline recommends endocrine therapy in preference to chemotherapy except in the presence of rapidly progressing visceral disease (for which HER2+ve is a marker). </w:t>
      </w:r>
    </w:p>
    <w:p w14:paraId="28AAA2E9" w14:textId="3380798C" w:rsidR="00352DB3" w:rsidRDefault="004355AC" w:rsidP="00BC4EFE">
      <w:r>
        <w:t xml:space="preserve">In Australia HER2 status is determined by ISH rather than IHC, as </w:t>
      </w:r>
      <w:r w:rsidR="00D44A51">
        <w:t xml:space="preserve">it is </w:t>
      </w:r>
      <w:r>
        <w:t xml:space="preserve">a </w:t>
      </w:r>
      <w:r w:rsidR="00C3421F">
        <w:t xml:space="preserve">requirement for access to </w:t>
      </w:r>
      <w:proofErr w:type="spellStart"/>
      <w:r w:rsidR="00C3421F">
        <w:t>trastu</w:t>
      </w:r>
      <w:r>
        <w:t>zumab</w:t>
      </w:r>
      <w:proofErr w:type="spellEnd"/>
      <w:r>
        <w:t xml:space="preserve"> under the </w:t>
      </w:r>
      <w:r w:rsidR="00C3421F">
        <w:t>Pharmaceutical Benefits Scheme (</w:t>
      </w:r>
      <w:r>
        <w:t>PBS</w:t>
      </w:r>
      <w:r w:rsidR="00C3421F">
        <w:t>)</w:t>
      </w:r>
      <w:r>
        <w:t xml:space="preserve"> (MBS item 73332), although the result may be confirmed by IHC</w:t>
      </w:r>
      <w:r w:rsidR="00D44A51">
        <w:t xml:space="preserve">. MBS items 72848 and 73061 provide for the IHC analysis of oestrogen, progesterone and HER2 receptor status. </w:t>
      </w:r>
      <w:r w:rsidR="00CA4B8E">
        <w:t>H</w:t>
      </w:r>
      <w:r w:rsidR="003A19A0" w:rsidRPr="003A19A0">
        <w:t>owever treatment benefit cannot be totally predicted by these subtypes.</w:t>
      </w:r>
      <w:r w:rsidR="00F94420" w:rsidRPr="00F94420">
        <w:t xml:space="preserve"> </w:t>
      </w:r>
      <w:r w:rsidR="00352DB3">
        <w:t xml:space="preserve">Other standard markers used in </w:t>
      </w:r>
      <w:r w:rsidR="005A144B">
        <w:t>the risk assessment process</w:t>
      </w:r>
      <w:r w:rsidR="00352DB3">
        <w:t xml:space="preserve"> are the molecular marker Ki67, and tumour grade.</w:t>
      </w:r>
    </w:p>
    <w:p w14:paraId="35387DE4" w14:textId="271FB5E0" w:rsidR="00FD4C9D" w:rsidRDefault="00352DB3" w:rsidP="00192F8F">
      <w:pPr>
        <w:spacing w:before="240"/>
      </w:pPr>
      <w:r>
        <w:t>The use of further markers varies amongst clinicians, and some may use a combination of guidelines markers and predictive tools. I</w:t>
      </w:r>
      <w:r w:rsidR="00CA4B8E">
        <w:t>n Australia the</w:t>
      </w:r>
      <w:r>
        <w:t xml:space="preserve"> recommendations of the</w:t>
      </w:r>
      <w:r w:rsidR="00CA4B8E">
        <w:t xml:space="preserve"> St. </w:t>
      </w:r>
      <w:proofErr w:type="spellStart"/>
      <w:r w:rsidR="00CA4B8E">
        <w:t>Gallen</w:t>
      </w:r>
      <w:proofErr w:type="spellEnd"/>
      <w:r w:rsidR="00CA4B8E">
        <w:t xml:space="preserve"> </w:t>
      </w:r>
      <w:r w:rsidR="00B1736A">
        <w:t>International Expert C</w:t>
      </w:r>
      <w:r w:rsidR="00CA4B8E">
        <w:t xml:space="preserve">onsensus </w:t>
      </w:r>
      <w:r w:rsidR="001A0074">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1A0074">
        <w:instrText xml:space="preserve"> ADDIN EN.CITE </w:instrText>
      </w:r>
      <w:r w:rsidR="001A0074">
        <w:fldChar w:fldCharType="begin">
          <w:fldData xml:space="preserve">PEVuZE5vdGU+PENpdGU+PEF1dGhvcj5Db2F0ZXM8L0F1dGhvcj48WWVhcj4yMDE1PC9ZZWFyPjxS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bmNvbDwvZnVsbC10aXRsZT48YWJici0xPkFubmFscyBvZiBvbmNvbG9neSA6IG9mZmljaWFsIGpv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</w:fldData>
        </w:fldChar>
      </w:r>
      <w:r w:rsidR="001A0074">
        <w:instrText xml:space="preserve"> ADDIN EN.CITE.DATA </w:instrText>
      </w:r>
      <w:r w:rsidR="001A0074">
        <w:fldChar w:fldCharType="end"/>
      </w:r>
      <w:r w:rsidR="001A0074">
        <w:fldChar w:fldCharType="separate"/>
      </w:r>
      <w:r w:rsidR="001A0074">
        <w:rPr>
          <w:noProof/>
        </w:rPr>
        <w:t>(</w:t>
      </w:r>
      <w:hyperlink w:anchor="_ENREF_6" w:tooltip="Coates, 2015 #11" w:history="1">
        <w:r w:rsidR="009558F1">
          <w:rPr>
            <w:noProof/>
          </w:rPr>
          <w:t>Coates et al. 2015</w:t>
        </w:r>
      </w:hyperlink>
      <w:r w:rsidR="001A0074">
        <w:rPr>
          <w:noProof/>
        </w:rPr>
        <w:t>)</w:t>
      </w:r>
      <w:r w:rsidR="001A0074">
        <w:fldChar w:fldCharType="end"/>
      </w:r>
      <w:r w:rsidR="001A0074">
        <w:t xml:space="preserve"> </w:t>
      </w:r>
      <w:r w:rsidR="00CA4B8E">
        <w:t>or N</w:t>
      </w:r>
      <w:r w:rsidR="00CB5E38">
        <w:t xml:space="preserve">ational </w:t>
      </w:r>
      <w:r w:rsidR="00CA4B8E">
        <w:t>C</w:t>
      </w:r>
      <w:r w:rsidR="00CB5E38">
        <w:t xml:space="preserve">omprehensive </w:t>
      </w:r>
      <w:r w:rsidR="00CA4B8E">
        <w:t>C</w:t>
      </w:r>
      <w:r w:rsidR="00CB5E38">
        <w:t xml:space="preserve">ancer </w:t>
      </w:r>
      <w:r w:rsidR="00CA4B8E">
        <w:t>N</w:t>
      </w:r>
      <w:r w:rsidR="00CB5E38">
        <w:t>etwork</w:t>
      </w:r>
      <w:r w:rsidR="00CA4B8E">
        <w:t xml:space="preserve"> guideline</w:t>
      </w:r>
      <w:r w:rsidR="00090B7A">
        <w:t xml:space="preserve"> </w:t>
      </w:r>
      <w:r w:rsidR="00090B7A">
        <w:fldChar w:fldCharType="begin"/>
      </w:r>
      <w:r w:rsidR="00090B7A">
        <w:instrText xml:space="preserve"> ADDIN EN.CITE &lt;EndNote&gt;&lt;Cite&gt;&lt;Author&gt;NCCN&lt;/Author&gt;&lt;Year&gt;2015&lt;/Year&gt;&lt;RecNum&gt;58&lt;/RecNum&gt;&lt;DisplayText&gt;(NCCN 2015)&lt;/DisplayText&gt;&lt;record&gt;&lt;rec-number&gt;58&lt;/rec-number&gt;&lt;foreign-keys&gt;&lt;key app="EN" db-id="ttvewf9xnepwp2edxe5xxzfw9et0wp9vf9wd" timestamp="1436928872"&gt;58&lt;/key&gt;&lt;/foreign-keys&gt;&lt;ref-type name="Report"&gt;27&lt;/ref-type&gt;&lt;contributors&gt;&lt;authors&gt;&lt;author&gt;NCCN&lt;/author&gt;&lt;/authors&gt;&lt;/contributors&gt;&lt;titles&gt;&lt;title&gt;Breast Cancer&lt;/title&gt;&lt;secondary-title&gt;NCCN Clinical Practice Guidelines in Oncology &lt;/secondary-title&gt;&lt;/titles&gt;&lt;volume&gt;NCCN Guidelines version 2.2015&lt;/volume&gt;&lt;dates&gt;&lt;year&gt;2015&lt;/year&gt;&lt;/dates&gt;&lt;publisher&gt;National Comprehensive Cancer Network&lt;/publisher&gt;&lt;urls&gt;&lt;related-urls&gt;&lt;url&gt;http://www.nccn.org/professionals/physician_gls/pdf/breast.pdf&lt;/url&gt;&lt;/related-urls&gt;&lt;/urls&gt;&lt;/record&gt;&lt;/Cite&gt;&lt;/EndNote&gt;</w:instrText>
      </w:r>
      <w:r w:rsidR="00090B7A">
        <w:fldChar w:fldCharType="separate"/>
      </w:r>
      <w:r w:rsidR="00090B7A">
        <w:rPr>
          <w:noProof/>
        </w:rPr>
        <w:t>(</w:t>
      </w:r>
      <w:hyperlink w:anchor="_ENREF_14" w:tooltip="NCCN, 2015 #58" w:history="1">
        <w:r w:rsidR="009558F1">
          <w:rPr>
            <w:noProof/>
          </w:rPr>
          <w:t>NCCN 2015</w:t>
        </w:r>
      </w:hyperlink>
      <w:r w:rsidR="00090B7A">
        <w:rPr>
          <w:noProof/>
        </w:rPr>
        <w:t>)</w:t>
      </w:r>
      <w:r w:rsidR="00090B7A">
        <w:fldChar w:fldCharType="end"/>
      </w:r>
      <w:r w:rsidR="008F7D34">
        <w:t>, European Society for Medical Oncology (ESMO 2015)</w:t>
      </w:r>
      <w:r w:rsidR="009715D6">
        <w:t>may be considered,  along with</w:t>
      </w:r>
      <w:r w:rsidR="00CA4B8E" w:rsidRPr="00D44A51">
        <w:t xml:space="preserve"> </w:t>
      </w:r>
      <w:r w:rsidR="009715D6">
        <w:t>c</w:t>
      </w:r>
      <w:r w:rsidR="00F94420" w:rsidRPr="00F224B2">
        <w:t xml:space="preserve">linical factors </w:t>
      </w:r>
      <w:r w:rsidR="00F94420" w:rsidRPr="00F224B2">
        <w:lastRenderedPageBreak/>
        <w:t xml:space="preserve">such as age, menopausal status, lymph node involvement, tumour size, and comorbidities. </w:t>
      </w:r>
      <w:r>
        <w:t xml:space="preserve">The </w:t>
      </w:r>
      <w:r w:rsidR="00CA4B8E" w:rsidRPr="00F224B2">
        <w:t>Adjuvant!</w:t>
      </w:r>
      <w:r w:rsidR="001616E7">
        <w:t xml:space="preserve"> </w:t>
      </w:r>
      <w:r w:rsidR="00CA4B8E" w:rsidRPr="00F224B2">
        <w:t>Online</w:t>
      </w:r>
      <w:r w:rsidR="00A44931">
        <w:t xml:space="preserve"> </w:t>
      </w:r>
      <w:r>
        <w:t xml:space="preserve">tool </w:t>
      </w:r>
      <w:r w:rsidR="00F94420" w:rsidRPr="00F224B2">
        <w:t>may be used by some clinicians</w:t>
      </w:r>
      <w:r w:rsidR="00F94420">
        <w:t>.</w:t>
      </w:r>
      <w:r w:rsidR="00A44931">
        <w:t xml:space="preserve"> </w:t>
      </w:r>
    </w:p>
    <w:p w14:paraId="534264FA" w14:textId="77777777" w:rsidR="00694864" w:rsidRDefault="00FD4C9D" w:rsidP="000765CB">
      <w:r>
        <w:t xml:space="preserve">As the </w:t>
      </w:r>
      <w:r w:rsidR="005A1502">
        <w:t xml:space="preserve">group who are defined as being at </w:t>
      </w:r>
      <w:r>
        <w:t xml:space="preserve">intermediate </w:t>
      </w:r>
      <w:r w:rsidR="005A1502">
        <w:t xml:space="preserve">risk of metastases </w:t>
      </w:r>
      <w:r>
        <w:t>is defined differently in different guidelines, the base case scenario for current practice should be b</w:t>
      </w:r>
      <w:r w:rsidR="00E4193E">
        <w:t xml:space="preserve">ased </w:t>
      </w:r>
      <w:r w:rsidR="00D46D99">
        <w:t xml:space="preserve">on </w:t>
      </w:r>
      <w:r w:rsidR="00D77816">
        <w:t>IHC</w:t>
      </w:r>
      <w:r w:rsidR="00C64049">
        <w:t>/ISH</w:t>
      </w:r>
      <w:r w:rsidR="00E4193E">
        <w:t xml:space="preserve"> analysis of tumour tissue</w:t>
      </w:r>
      <w:r w:rsidR="004B2A31">
        <w:t xml:space="preserve"> (</w:t>
      </w:r>
      <w:r w:rsidR="00A92379">
        <w:t xml:space="preserve">ER and HER2 status; </w:t>
      </w:r>
      <w:r w:rsidR="004B2A31">
        <w:t>MBS items 72847 and 72848)</w:t>
      </w:r>
      <w:r w:rsidR="00A92379">
        <w:t>,</w:t>
      </w:r>
      <w:r w:rsidR="00E4193E">
        <w:t xml:space="preserve"> </w:t>
      </w:r>
      <w:r w:rsidR="00A92379">
        <w:t>Ki67status, tumour grade</w:t>
      </w:r>
      <w:r>
        <w:t xml:space="preserve"> and </w:t>
      </w:r>
      <w:r w:rsidR="009715D6">
        <w:t>any</w:t>
      </w:r>
      <w:r>
        <w:t xml:space="preserve"> additional markers </w:t>
      </w:r>
      <w:r w:rsidR="009715D6">
        <w:t xml:space="preserve">most likely </w:t>
      </w:r>
      <w:r>
        <w:t>to be used</w:t>
      </w:r>
      <w:r w:rsidR="00A92379">
        <w:t>.</w:t>
      </w:r>
    </w:p>
    <w:p w14:paraId="352899CC" w14:textId="77777777" w:rsidR="000765CB" w:rsidRPr="00BE2386" w:rsidRDefault="00E0788F" w:rsidP="00BE2386">
      <w:pPr>
        <w:pStyle w:val="Heading2"/>
        <w:rPr>
          <w:i/>
          <w:sz w:val="24"/>
          <w:szCs w:val="24"/>
        </w:rPr>
      </w:pPr>
      <w:r w:rsidRPr="00BE2386">
        <w:rPr>
          <w:i/>
          <w:sz w:val="24"/>
          <w:szCs w:val="24"/>
        </w:rPr>
        <w:t>Additional comparators</w:t>
      </w:r>
    </w:p>
    <w:p w14:paraId="71A0EBD1" w14:textId="77777777" w:rsidR="00A92379" w:rsidRDefault="00FD4C9D" w:rsidP="00BC4EFE">
      <w:proofErr w:type="spellStart"/>
      <w:r>
        <w:t>Endopredict</w:t>
      </w:r>
      <w:proofErr w:type="spellEnd"/>
      <w:r>
        <w:t xml:space="preserve">® should be further compared with the </w:t>
      </w:r>
      <w:r w:rsidR="007A144D">
        <w:t xml:space="preserve">alternative </w:t>
      </w:r>
      <w:r>
        <w:t xml:space="preserve">prognostic tools </w:t>
      </w:r>
      <w:proofErr w:type="spellStart"/>
      <w:r>
        <w:t>OncotypeDX</w:t>
      </w:r>
      <w:proofErr w:type="spellEnd"/>
      <w:r w:rsidR="00B12047">
        <w:t>®</w:t>
      </w:r>
      <w:r>
        <w:t xml:space="preserve"> and </w:t>
      </w:r>
      <w:proofErr w:type="spellStart"/>
      <w:r>
        <w:t>MammaPrint</w:t>
      </w:r>
      <w:proofErr w:type="spellEnd"/>
      <w:r w:rsidR="00B12047">
        <w:t>®</w:t>
      </w:r>
      <w:r>
        <w:t xml:space="preserve"> as applications have been received by MSAC for these interventions.</w:t>
      </w:r>
    </w:p>
    <w:p w14:paraId="4583A06B" w14:textId="2C8C36F9" w:rsidR="00B828A4" w:rsidRDefault="00B828A4" w:rsidP="00B828A4">
      <w:proofErr w:type="spellStart"/>
      <w:r>
        <w:t>MammaPrint</w:t>
      </w:r>
      <w:proofErr w:type="spellEnd"/>
      <w:r>
        <w:t xml:space="preserve">® is a 70-gene microarray gene expression profile </w:t>
      </w:r>
      <w:r w:rsidR="00B1736A">
        <w:t>analysis which quantifies</w:t>
      </w:r>
      <w:r>
        <w:t xml:space="preserve"> the risk of</w:t>
      </w:r>
      <w:r w:rsidR="00B1736A">
        <w:t xml:space="preserve"> disease recurrence </w:t>
      </w:r>
      <w:r>
        <w:t xml:space="preserve"> for patients with stage I-II early breast cancer classed as oestrogen or progesterone positive. Patients may have tumours of any histological grade and may be either HER2 positive or negative.</w:t>
      </w:r>
    </w:p>
    <w:p w14:paraId="65AE0D7F" w14:textId="6776000C" w:rsidR="00B828A4" w:rsidRDefault="00B828A4" w:rsidP="00B828A4">
      <w:proofErr w:type="spellStart"/>
      <w:r>
        <w:t>OncotypeDX</w:t>
      </w:r>
      <w:proofErr w:type="spellEnd"/>
      <w:r>
        <w:t>® uses RT-</w:t>
      </w:r>
      <w:proofErr w:type="spellStart"/>
      <w:r>
        <w:t>qPCR</w:t>
      </w:r>
      <w:proofErr w:type="spellEnd"/>
      <w:r>
        <w:t xml:space="preserve"> to produce an expression panel of 21 genes and calculate a Recurrence Score® (10 year risk of distant recurrence</w:t>
      </w:r>
      <w:r w:rsidR="00B25739">
        <w:t xml:space="preserve"> for node negative patients, 5 year risk of recurrence or death for node positive patients</w:t>
      </w:r>
      <w:r>
        <w:t>) to determine the likelihood of benefiting from combined adjuvant chemotherapy and endocrine therapy. The eligible population are those with early stage breast tumours classified as oestrogen or progesterone positive, and HER2 negative.</w:t>
      </w:r>
    </w:p>
    <w:p w14:paraId="6148BF2A" w14:textId="77777777" w:rsidR="000765CB" w:rsidRDefault="000765CB" w:rsidP="00EC4B8E">
      <w:pPr>
        <w:spacing w:after="0"/>
      </w:pPr>
      <w:r>
        <w:t xml:space="preserve">PASC </w:t>
      </w:r>
      <w:r w:rsidR="00DF7181">
        <w:t xml:space="preserve">considered that the assessment could also include different international guidelines as comparators, as alternative means of decision which treatment patients are most likely to derive </w:t>
      </w:r>
      <w:r w:rsidR="00680F27">
        <w:t>the best outcomes</w:t>
      </w:r>
      <w:r w:rsidR="00DF7181">
        <w:t xml:space="preserve"> from. </w:t>
      </w:r>
      <w:r w:rsidR="00EC4B8E">
        <w:t>Examples of relevant international guidelines are:</w:t>
      </w:r>
    </w:p>
    <w:p w14:paraId="3EDA9C07" w14:textId="77777777" w:rsidR="00090B7A" w:rsidRPr="002F6A74" w:rsidRDefault="00EE4292" w:rsidP="00E0788F">
      <w:pPr>
        <w:pStyle w:val="ListParagraph"/>
        <w:keepNext/>
        <w:numPr>
          <w:ilvl w:val="0"/>
          <w:numId w:val="40"/>
        </w:numPr>
        <w:rPr>
          <w:i/>
        </w:rPr>
      </w:pPr>
      <w:hyperlink r:id="rId9" w:history="1">
        <w:r w:rsidR="00090B7A" w:rsidRPr="0007206F">
          <w:rPr>
            <w:rStyle w:val="Hyperlink"/>
            <w:i/>
          </w:rPr>
          <w:t>NCCN 2015, Br</w:t>
        </w:r>
        <w:r w:rsidR="00C337B9" w:rsidRPr="0007206F">
          <w:rPr>
            <w:rStyle w:val="Hyperlink"/>
            <w:i/>
          </w:rPr>
          <w:t xml:space="preserve">east Cancer, </w:t>
        </w:r>
        <w:r w:rsidR="00090B7A" w:rsidRPr="0007206F">
          <w:rPr>
            <w:rStyle w:val="Hyperlink"/>
            <w:i/>
          </w:rPr>
          <w:t>NCCN Clinical Practice Guidelines in Oncology National Comprehensive Cancer Network.</w:t>
        </w:r>
      </w:hyperlink>
      <w:r w:rsidR="00090B7A" w:rsidRPr="002F6A74">
        <w:rPr>
          <w:i/>
        </w:rPr>
        <w:t xml:space="preserve"> </w:t>
      </w:r>
    </w:p>
    <w:p w14:paraId="01F548C7" w14:textId="6C83F97F" w:rsidR="00B25739" w:rsidRDefault="00B25739" w:rsidP="00B25739">
      <w:pPr>
        <w:pStyle w:val="ListParagraph"/>
        <w:numPr>
          <w:ilvl w:val="0"/>
          <w:numId w:val="40"/>
        </w:numPr>
        <w:rPr>
          <w:i/>
        </w:rPr>
      </w:pPr>
      <w:proofErr w:type="spellStart"/>
      <w:r w:rsidRPr="00B25739">
        <w:rPr>
          <w:i/>
        </w:rPr>
        <w:t>Senkus</w:t>
      </w:r>
      <w:proofErr w:type="spellEnd"/>
      <w:r w:rsidRPr="00B25739">
        <w:rPr>
          <w:i/>
        </w:rPr>
        <w:t xml:space="preserve"> E, </w:t>
      </w:r>
      <w:proofErr w:type="spellStart"/>
      <w:r w:rsidRPr="00B25739">
        <w:rPr>
          <w:i/>
        </w:rPr>
        <w:t>Kyriakides</w:t>
      </w:r>
      <w:proofErr w:type="spellEnd"/>
      <w:r w:rsidRPr="00B25739">
        <w:rPr>
          <w:i/>
        </w:rPr>
        <w:t xml:space="preserve"> S, </w:t>
      </w:r>
      <w:proofErr w:type="spellStart"/>
      <w:r w:rsidRPr="00B25739">
        <w:rPr>
          <w:i/>
        </w:rPr>
        <w:t>Ohno</w:t>
      </w:r>
      <w:proofErr w:type="spellEnd"/>
      <w:r w:rsidRPr="00B25739">
        <w:rPr>
          <w:i/>
        </w:rPr>
        <w:t xml:space="preserve"> S, </w:t>
      </w:r>
      <w:proofErr w:type="spellStart"/>
      <w:r w:rsidRPr="00B25739">
        <w:rPr>
          <w:i/>
        </w:rPr>
        <w:t>Penault-Llorca</w:t>
      </w:r>
      <w:proofErr w:type="spellEnd"/>
      <w:r w:rsidRPr="00B25739">
        <w:rPr>
          <w:i/>
        </w:rPr>
        <w:t xml:space="preserve"> F, </w:t>
      </w:r>
      <w:proofErr w:type="spellStart"/>
      <w:r w:rsidRPr="00B25739">
        <w:rPr>
          <w:i/>
        </w:rPr>
        <w:t>Poortmans</w:t>
      </w:r>
      <w:proofErr w:type="spellEnd"/>
      <w:r w:rsidRPr="00B25739">
        <w:rPr>
          <w:i/>
        </w:rPr>
        <w:t xml:space="preserve"> P, Rutgers E, </w:t>
      </w:r>
      <w:proofErr w:type="spellStart"/>
      <w:r w:rsidRPr="00B25739">
        <w:rPr>
          <w:i/>
        </w:rPr>
        <w:t>Zackrisson</w:t>
      </w:r>
      <w:proofErr w:type="spellEnd"/>
      <w:r w:rsidRPr="00B25739">
        <w:rPr>
          <w:i/>
        </w:rPr>
        <w:t xml:space="preserve"> S, Cardoso F; ESMO Guidelines Committee. Primary breast cancer: ESMO Clinical Practice Guidelines for diagnosis, treatment and follow-up†. Ann </w:t>
      </w:r>
      <w:proofErr w:type="spellStart"/>
      <w:r w:rsidRPr="00B25739">
        <w:rPr>
          <w:i/>
        </w:rPr>
        <w:t>Oncol</w:t>
      </w:r>
      <w:proofErr w:type="spellEnd"/>
      <w:r w:rsidRPr="00B25739">
        <w:rPr>
          <w:i/>
        </w:rPr>
        <w:t xml:space="preserve">. 2015;26 </w:t>
      </w:r>
      <w:proofErr w:type="spellStart"/>
      <w:r w:rsidRPr="00B25739">
        <w:rPr>
          <w:i/>
        </w:rPr>
        <w:t>Suppl</w:t>
      </w:r>
      <w:proofErr w:type="spellEnd"/>
      <w:r w:rsidRPr="00B25739">
        <w:rPr>
          <w:i/>
        </w:rPr>
        <w:t xml:space="preserve"> 5:v8-v30.</w:t>
      </w:r>
      <w:r w:rsidRPr="00B25739">
        <w:rPr>
          <w:i/>
        </w:rPr>
        <w:br/>
      </w:r>
      <w:hyperlink r:id="rId10" w:history="1">
        <w:r w:rsidR="00BE2386">
          <w:rPr>
            <w:rStyle w:val="Hyperlink"/>
          </w:rPr>
          <w:t>ESMO Guidelines Committee. Primary breast cancer: ESMO Clinical Practice Guidelines for diagnosis, treatment and follow-up</w:t>
        </w:r>
      </w:hyperlink>
    </w:p>
    <w:p w14:paraId="64027BD7" w14:textId="4526BDB6" w:rsidR="00B25739" w:rsidRPr="00B25739" w:rsidRDefault="00B25739" w:rsidP="00B25739">
      <w:pPr>
        <w:pStyle w:val="ListParagraph"/>
        <w:numPr>
          <w:ilvl w:val="0"/>
          <w:numId w:val="40"/>
        </w:numPr>
        <w:rPr>
          <w:i/>
        </w:rPr>
      </w:pPr>
      <w:r w:rsidRPr="00B25739">
        <w:rPr>
          <w:i/>
        </w:rPr>
        <w:t xml:space="preserve">Coates AS, </w:t>
      </w:r>
      <w:proofErr w:type="spellStart"/>
      <w:r w:rsidRPr="00B25739">
        <w:rPr>
          <w:i/>
        </w:rPr>
        <w:t>Winer</w:t>
      </w:r>
      <w:proofErr w:type="spellEnd"/>
      <w:r w:rsidRPr="00B25739">
        <w:rPr>
          <w:i/>
        </w:rPr>
        <w:t xml:space="preserve"> EP, </w:t>
      </w:r>
      <w:proofErr w:type="spellStart"/>
      <w:r w:rsidRPr="00B25739">
        <w:rPr>
          <w:i/>
        </w:rPr>
        <w:t>Goldhirsch</w:t>
      </w:r>
      <w:proofErr w:type="spellEnd"/>
      <w:r w:rsidRPr="00B25739">
        <w:rPr>
          <w:i/>
        </w:rPr>
        <w:t xml:space="preserve"> A, </w:t>
      </w:r>
      <w:proofErr w:type="spellStart"/>
      <w:r w:rsidRPr="00B25739">
        <w:rPr>
          <w:i/>
        </w:rPr>
        <w:t>Gelber</w:t>
      </w:r>
      <w:proofErr w:type="spellEnd"/>
      <w:r w:rsidRPr="00B25739">
        <w:rPr>
          <w:i/>
        </w:rPr>
        <w:t xml:space="preserve"> RD, </w:t>
      </w:r>
      <w:proofErr w:type="spellStart"/>
      <w:r w:rsidRPr="00B25739">
        <w:rPr>
          <w:i/>
        </w:rPr>
        <w:t>Gnant</w:t>
      </w:r>
      <w:proofErr w:type="spellEnd"/>
      <w:r w:rsidRPr="00B25739">
        <w:rPr>
          <w:i/>
        </w:rPr>
        <w:t xml:space="preserve"> M, </w:t>
      </w:r>
      <w:proofErr w:type="spellStart"/>
      <w:r w:rsidRPr="00B25739">
        <w:rPr>
          <w:i/>
        </w:rPr>
        <w:t>Piccart-Gebhart</w:t>
      </w:r>
      <w:proofErr w:type="spellEnd"/>
      <w:r w:rsidRPr="00B25739">
        <w:rPr>
          <w:i/>
        </w:rPr>
        <w:t xml:space="preserve"> M, </w:t>
      </w:r>
      <w:proofErr w:type="spellStart"/>
      <w:r w:rsidRPr="00B25739">
        <w:rPr>
          <w:i/>
        </w:rPr>
        <w:t>Thürlimann</w:t>
      </w:r>
      <w:proofErr w:type="spellEnd"/>
      <w:r w:rsidRPr="00B25739">
        <w:rPr>
          <w:i/>
        </w:rPr>
        <w:t xml:space="preserve"> B, </w:t>
      </w:r>
      <w:proofErr w:type="spellStart"/>
      <w:r w:rsidRPr="00B25739">
        <w:rPr>
          <w:i/>
        </w:rPr>
        <w:t>Senn</w:t>
      </w:r>
      <w:proofErr w:type="spellEnd"/>
      <w:r w:rsidRPr="00B25739">
        <w:rPr>
          <w:i/>
        </w:rPr>
        <w:t xml:space="preserve"> HJ; Panel Members. -Tailoring therapies-improving the management of early breast cancer: St </w:t>
      </w:r>
      <w:proofErr w:type="spellStart"/>
      <w:r w:rsidRPr="00B25739">
        <w:rPr>
          <w:i/>
        </w:rPr>
        <w:t>Gallen</w:t>
      </w:r>
      <w:proofErr w:type="spellEnd"/>
      <w:r w:rsidRPr="00B25739">
        <w:rPr>
          <w:i/>
        </w:rPr>
        <w:t xml:space="preserve"> International Expert Consensus on the Primary Therapy of Early Breast Cancer 2015. Ann </w:t>
      </w:r>
      <w:proofErr w:type="spellStart"/>
      <w:r w:rsidRPr="00B25739">
        <w:rPr>
          <w:i/>
        </w:rPr>
        <w:t>Oncol</w:t>
      </w:r>
      <w:proofErr w:type="spellEnd"/>
      <w:r w:rsidRPr="00B25739">
        <w:rPr>
          <w:i/>
        </w:rPr>
        <w:t>. 2015;26:1533-46.</w:t>
      </w:r>
      <w:r>
        <w:rPr>
          <w:i/>
        </w:rPr>
        <w:br/>
      </w:r>
      <w:r w:rsidRPr="00B25739">
        <w:rPr>
          <w:i/>
        </w:rPr>
        <w:t>http://annonc.oxfordjournals.org/content/26/8/1533.long</w:t>
      </w:r>
    </w:p>
    <w:p w14:paraId="22B4E46C" w14:textId="4928B684" w:rsidR="00B014CB" w:rsidRDefault="00EE4292" w:rsidP="007548BA">
      <w:pPr>
        <w:pStyle w:val="ListParagraph"/>
        <w:numPr>
          <w:ilvl w:val="0"/>
          <w:numId w:val="40"/>
        </w:numPr>
      </w:pPr>
      <w:hyperlink r:id="rId11" w:history="1">
        <w:proofErr w:type="spellStart"/>
        <w:r w:rsidR="00A20FD5" w:rsidRPr="007548BA">
          <w:rPr>
            <w:rStyle w:val="Hyperlink"/>
            <w:i/>
          </w:rPr>
          <w:t>Wockel</w:t>
        </w:r>
        <w:proofErr w:type="spellEnd"/>
        <w:r w:rsidR="00A20FD5" w:rsidRPr="007548BA">
          <w:rPr>
            <w:rStyle w:val="Hyperlink"/>
            <w:i/>
          </w:rPr>
          <w:t xml:space="preserve">, A &amp; </w:t>
        </w:r>
        <w:proofErr w:type="spellStart"/>
        <w:r w:rsidR="00A20FD5" w:rsidRPr="007548BA">
          <w:rPr>
            <w:rStyle w:val="Hyperlink"/>
            <w:i/>
          </w:rPr>
          <w:t>Kreienberg</w:t>
        </w:r>
        <w:proofErr w:type="spellEnd"/>
        <w:r w:rsidR="00A20FD5" w:rsidRPr="007548BA">
          <w:rPr>
            <w:rStyle w:val="Hyperlink"/>
            <w:i/>
          </w:rPr>
          <w:t>, R 2008, 'First Revision of the German S3 Guideline 'Diagnosis, Therapy, and Follow-Up of Breast Cancer’, Breast Care (Basel), vol. 3, no. 2, pp. 82-86.</w:t>
        </w:r>
      </w:hyperlink>
      <w:r w:rsidR="00A20FD5" w:rsidRPr="00A20FD5">
        <w:t xml:space="preserve"> </w:t>
      </w:r>
    </w:p>
    <w:p w14:paraId="1FE9031A" w14:textId="77F3E0FF" w:rsidR="007548BA" w:rsidRPr="00B014CB" w:rsidRDefault="00B014CB" w:rsidP="00B014CB">
      <w:r>
        <w:br w:type="page"/>
      </w:r>
    </w:p>
    <w:p w14:paraId="288A3DB7" w14:textId="77777777" w:rsidR="00BC4EFE" w:rsidRPr="00BC4EFE" w:rsidRDefault="00BC4EFE" w:rsidP="00005108">
      <w:pPr>
        <w:pStyle w:val="Heading1"/>
      </w:pPr>
      <w:r w:rsidRPr="00BC4EFE">
        <w:lastRenderedPageBreak/>
        <w:t>Expected health outcomes relating to the medical service</w:t>
      </w:r>
    </w:p>
    <w:p w14:paraId="558F9E0D" w14:textId="77777777" w:rsidR="00741C4E" w:rsidRPr="00BE2386" w:rsidRDefault="00741C4E" w:rsidP="00BE2386">
      <w:pPr>
        <w:pStyle w:val="Heading2"/>
        <w:rPr>
          <w:i/>
          <w:sz w:val="24"/>
          <w:szCs w:val="24"/>
        </w:rPr>
      </w:pPr>
      <w:r w:rsidRPr="00BE2386">
        <w:rPr>
          <w:i/>
          <w:sz w:val="24"/>
          <w:szCs w:val="24"/>
        </w:rPr>
        <w:t>Impact of patient relevant outcomes</w:t>
      </w:r>
    </w:p>
    <w:p w14:paraId="01AF467F" w14:textId="77777777" w:rsidR="0083189E" w:rsidRDefault="00030328" w:rsidP="00BC4EFE">
      <w:r w:rsidRPr="00030328">
        <w:t>The proposed service is not expected to change current adjuvant treatment</w:t>
      </w:r>
      <w:r w:rsidR="003E486A">
        <w:t xml:space="preserve"> option</w:t>
      </w:r>
      <w:r w:rsidRPr="00030328">
        <w:t xml:space="preserve">s or treatment algorithms. </w:t>
      </w:r>
      <w:proofErr w:type="spellStart"/>
      <w:r w:rsidR="00B923E9">
        <w:t>EndoPredict</w:t>
      </w:r>
      <w:proofErr w:type="spellEnd"/>
      <w:r w:rsidR="00B923E9">
        <w:t xml:space="preserve">® </w:t>
      </w:r>
      <w:r w:rsidRPr="00030328">
        <w:t xml:space="preserve">is expected to change </w:t>
      </w:r>
      <w:r w:rsidR="00947565">
        <w:t xml:space="preserve">the </w:t>
      </w:r>
      <w:r w:rsidRPr="00030328">
        <w:t xml:space="preserve">decision patterns of treating clinicians and the recommendations for patient treatments. The proportions of </w:t>
      </w:r>
      <w:r w:rsidR="002A72F7">
        <w:t xml:space="preserve">patients </w:t>
      </w:r>
      <w:r w:rsidR="00AB3B8E">
        <w:t xml:space="preserve">receiving endocrine therapy alone and chemotherapy with endocrine therapy </w:t>
      </w:r>
      <w:r w:rsidRPr="00030328">
        <w:t>would be expected to change.</w:t>
      </w:r>
      <w:r w:rsidR="00BC7C35">
        <w:t xml:space="preserve"> The </w:t>
      </w:r>
      <w:proofErr w:type="spellStart"/>
      <w:r w:rsidR="00B923E9">
        <w:t>EndoPredict</w:t>
      </w:r>
      <w:proofErr w:type="spellEnd"/>
      <w:r w:rsidR="00B923E9">
        <w:t xml:space="preserve">® </w:t>
      </w:r>
      <w:r w:rsidR="00BC7C35">
        <w:t>test classifies women into low or high risk groups</w:t>
      </w:r>
      <w:r w:rsidR="00130792">
        <w:t>, with no intermediate risk classification</w:t>
      </w:r>
      <w:r w:rsidR="00BC7C35">
        <w:t>.</w:t>
      </w:r>
    </w:p>
    <w:p w14:paraId="3C302D96" w14:textId="4EE0E05A" w:rsidR="00426D2C" w:rsidRDefault="00AC7761" w:rsidP="00BC4EFE">
      <w:r>
        <w:t xml:space="preserve">Patients who receive the same </w:t>
      </w:r>
      <w:r w:rsidR="00C06327">
        <w:t xml:space="preserve">treatment following </w:t>
      </w:r>
      <w:r>
        <w:t xml:space="preserve">risk classification with </w:t>
      </w:r>
      <w:proofErr w:type="spellStart"/>
      <w:r w:rsidR="00B923E9">
        <w:t>EndoPredict</w:t>
      </w:r>
      <w:proofErr w:type="spellEnd"/>
      <w:r w:rsidR="00B923E9">
        <w:t xml:space="preserve">® </w:t>
      </w:r>
      <w:r>
        <w:t>as they did with current clinical practice alone will not be affected by the new service.</w:t>
      </w:r>
      <w:r w:rsidR="002B5186">
        <w:t xml:space="preserve"> </w:t>
      </w:r>
      <w:r w:rsidR="00426D2C">
        <w:t>The new service has a short turnaround time (ideally 8 hours</w:t>
      </w:r>
      <w:r w:rsidR="00AE1419">
        <w:t xml:space="preserve"> when the test is performed within Australia</w:t>
      </w:r>
      <w:r w:rsidR="00426D2C">
        <w:t xml:space="preserve">) and should not result in </w:t>
      </w:r>
      <w:r w:rsidR="00947565">
        <w:t xml:space="preserve">a </w:t>
      </w:r>
      <w:r w:rsidR="00426D2C">
        <w:t>delay to treatment</w:t>
      </w:r>
      <w:r w:rsidR="002158B6">
        <w:t>.</w:t>
      </w:r>
      <w:r w:rsidR="00426D2C">
        <w:t xml:space="preserve"> </w:t>
      </w:r>
      <w:r w:rsidR="00F857E3">
        <w:t>Even if the</w:t>
      </w:r>
      <w:r w:rsidR="00426D2C">
        <w:t xml:space="preserve"> test is not performed </w:t>
      </w:r>
      <w:r w:rsidR="00F857E3">
        <w:t>immediately following</w:t>
      </w:r>
      <w:r w:rsidR="00426D2C">
        <w:t xml:space="preserve"> IHC and a FFPE block needs to be requested</w:t>
      </w:r>
      <w:r w:rsidR="00F857E3">
        <w:t xml:space="preserve">, </w:t>
      </w:r>
      <w:r w:rsidR="00946D07">
        <w:t>this</w:t>
      </w:r>
      <w:r w:rsidR="00F857E3">
        <w:t xml:space="preserve"> is unlikely to cause a delay in treatment. There is a gap of approximately 6 weeks between surgery and adjuvant treatment for patients who have undergone surgical tumour removal.</w:t>
      </w:r>
    </w:p>
    <w:p w14:paraId="1F5196DB" w14:textId="301F094C" w:rsidR="000B65D8" w:rsidRDefault="00BC7C35" w:rsidP="00BC4EFE">
      <w:r>
        <w:t xml:space="preserve">Women who would previously </w:t>
      </w:r>
      <w:r w:rsidR="00AC7761">
        <w:t xml:space="preserve">have </w:t>
      </w:r>
      <w:r>
        <w:t xml:space="preserve">been classified </w:t>
      </w:r>
      <w:r w:rsidR="002A72F7">
        <w:t xml:space="preserve">as intermediate risk and treated as high risk </w:t>
      </w:r>
      <w:r>
        <w:t xml:space="preserve">and received chemotherapy may be classified as low risk under the new service and therefore receive only endocrine therapy. Should this therapy be successful, these patients </w:t>
      </w:r>
      <w:r w:rsidR="00AC7761">
        <w:t>will avoid</w:t>
      </w:r>
      <w:r>
        <w:t xml:space="preserve"> the risks and side-effects of chemotherapy. If the patients are wrongly classified as low risk, they may </w:t>
      </w:r>
      <w:r w:rsidRPr="00FE7EDC">
        <w:rPr>
          <w:i/>
        </w:rPr>
        <w:t>develop</w:t>
      </w:r>
      <w:r>
        <w:t xml:space="preserve"> recurrence of cancer when previously </w:t>
      </w:r>
      <w:r w:rsidR="00F84F4D">
        <w:t xml:space="preserve">they </w:t>
      </w:r>
      <w:r>
        <w:t>may not have done so</w:t>
      </w:r>
      <w:r w:rsidR="00F84F4D">
        <w:t>,</w:t>
      </w:r>
      <w:r>
        <w:t xml:space="preserve"> having been treated with chemotherapy.</w:t>
      </w:r>
    </w:p>
    <w:p w14:paraId="1815255B" w14:textId="2E72A867" w:rsidR="00BC7C35" w:rsidRDefault="00BC7C35" w:rsidP="00BC4EFE">
      <w:r>
        <w:t xml:space="preserve">Women who would previously </w:t>
      </w:r>
      <w:r w:rsidR="00F84F4D">
        <w:t xml:space="preserve">have </w:t>
      </w:r>
      <w:r>
        <w:t xml:space="preserve">been classified as </w:t>
      </w:r>
      <w:r w:rsidR="002A72F7">
        <w:t xml:space="preserve">intermediate risk and treated as low risk </w:t>
      </w:r>
      <w:r>
        <w:t xml:space="preserve">but </w:t>
      </w:r>
      <w:r w:rsidR="00F84F4D">
        <w:t xml:space="preserve">would </w:t>
      </w:r>
      <w:r>
        <w:t xml:space="preserve">now </w:t>
      </w:r>
      <w:r w:rsidR="00F84F4D">
        <w:t xml:space="preserve">be </w:t>
      </w:r>
      <w:r>
        <w:t>classified as high risk with the new service, may receive endocrine and chemotherapy treatments rather than endocrine therapy alone. Should the new classification be correct, these patient</w:t>
      </w:r>
      <w:r w:rsidR="00FE7EDC">
        <w:t>s</w:t>
      </w:r>
      <w:r>
        <w:t xml:space="preserve"> may </w:t>
      </w:r>
      <w:r w:rsidRPr="00FE7EDC">
        <w:rPr>
          <w:i/>
        </w:rPr>
        <w:t>avoid</w:t>
      </w:r>
      <w:r>
        <w:t xml:space="preserve"> metastases or cancer recurrence as a result of the treatments. If the new classification is incorrect, the patients will have undergone chemotherapy, </w:t>
      </w:r>
      <w:r w:rsidR="00FE7EDC">
        <w:t xml:space="preserve">and been at risk of side-effects unnecessarily. </w:t>
      </w:r>
    </w:p>
    <w:p w14:paraId="7E46C6B5" w14:textId="41B9572E" w:rsidR="00C337B9" w:rsidRDefault="000B12E4" w:rsidP="00BC4EFE">
      <w:r>
        <w:t>Ideally, direct evidence in the correct population assessing</w:t>
      </w:r>
      <w:r w:rsidR="00FE7EDC">
        <w:t xml:space="preserve"> </w:t>
      </w:r>
      <w:r w:rsidR="00246DB2">
        <w:t xml:space="preserve">long-term survival (10-15 years post diagnosis), </w:t>
      </w:r>
      <w:r w:rsidR="00FE7EDC">
        <w:t>disease free survival, and metastasis-free survival</w:t>
      </w:r>
      <w:r w:rsidR="00377C99">
        <w:t xml:space="preserve">, comparing </w:t>
      </w:r>
      <w:r>
        <w:t>the</w:t>
      </w:r>
      <w:r w:rsidR="00FE7EDC">
        <w:t xml:space="preserve"> </w:t>
      </w:r>
      <w:r>
        <w:t xml:space="preserve">current and proposed </w:t>
      </w:r>
      <w:r w:rsidR="00FE7EDC">
        <w:t>decision pathways</w:t>
      </w:r>
      <w:r w:rsidR="00377C99">
        <w:t>,</w:t>
      </w:r>
      <w:r w:rsidR="00FE7EDC">
        <w:t xml:space="preserve"> </w:t>
      </w:r>
      <w:r>
        <w:t xml:space="preserve">would provide the best evidence for the proposed service. In the absence of satisfactory direct evidence, linked evidence </w:t>
      </w:r>
      <w:r w:rsidR="00B67D7E">
        <w:t>should be</w:t>
      </w:r>
      <w:r w:rsidR="00C82B54">
        <w:t xml:space="preserve"> sought</w:t>
      </w:r>
      <w:r>
        <w:t xml:space="preserve">. Linked evidence </w:t>
      </w:r>
      <w:r w:rsidR="008859A8">
        <w:t>may</w:t>
      </w:r>
      <w:r w:rsidR="00AC7761">
        <w:t xml:space="preserve"> </w:t>
      </w:r>
      <w:r>
        <w:t>answer questions of</w:t>
      </w:r>
      <w:r w:rsidR="006023EB">
        <w:t xml:space="preserve"> the</w:t>
      </w:r>
      <w:r>
        <w:t xml:space="preserve"> </w:t>
      </w:r>
      <w:r w:rsidR="004C76BB">
        <w:t xml:space="preserve">additional </w:t>
      </w:r>
      <w:r>
        <w:t xml:space="preserve">prognostic </w:t>
      </w:r>
      <w:r w:rsidR="006023EB">
        <w:t xml:space="preserve">ability of </w:t>
      </w:r>
      <w:proofErr w:type="spellStart"/>
      <w:r w:rsidR="00B923E9">
        <w:t>EndoPredict</w:t>
      </w:r>
      <w:proofErr w:type="spellEnd"/>
      <w:r w:rsidR="00B923E9">
        <w:t>®</w:t>
      </w:r>
      <w:r w:rsidR="006023EB">
        <w:t xml:space="preserve"> compared to current </w:t>
      </w:r>
      <w:r w:rsidR="00AC7761">
        <w:t xml:space="preserve">clinical </w:t>
      </w:r>
      <w:r w:rsidR="006023EB">
        <w:t>practice, the impact of the new test on management of patients, and the impact of change in management on patient outcomes.</w:t>
      </w:r>
      <w:r w:rsidR="004C76BB">
        <w:t xml:space="preserve"> </w:t>
      </w:r>
    </w:p>
    <w:p w14:paraId="7C4205DC" w14:textId="77777777" w:rsidR="0083189E" w:rsidRDefault="00246DB2" w:rsidP="00BC4EFE">
      <w:r>
        <w:t>If more patients are classified as low-risk using the proposed service compared to the current treatment pathway, there will be fewer patients treated with chemotherapy.</w:t>
      </w:r>
      <w:r w:rsidR="009966B7">
        <w:t xml:space="preserve"> </w:t>
      </w:r>
      <w:r>
        <w:t>This would be expected to lead to a cost saving to Medicare</w:t>
      </w:r>
      <w:r w:rsidR="00E57B5C">
        <w:t xml:space="preserve">, provided that the cost of testing the number of patients required to prevent one person from undergoing chemotherapy, is less than the cost of chemotherapy. </w:t>
      </w:r>
      <w:r w:rsidR="009966B7">
        <w:t>If the new service leads to</w:t>
      </w:r>
      <w:r w:rsidR="00B74E7E">
        <w:t xml:space="preserve"> </w:t>
      </w:r>
      <w:r w:rsidR="009966B7">
        <w:t>improved safety</w:t>
      </w:r>
      <w:r w:rsidR="00495A88">
        <w:t xml:space="preserve"> and/or effectiveness</w:t>
      </w:r>
      <w:r w:rsidR="009966B7">
        <w:t xml:space="preserve">, the economic evaluation required would be a </w:t>
      </w:r>
      <w:r w:rsidR="009966B7" w:rsidRPr="00AC7761">
        <w:rPr>
          <w:i/>
        </w:rPr>
        <w:t>cost-effectiveness</w:t>
      </w:r>
      <w:r w:rsidR="009966B7">
        <w:t xml:space="preserve"> analysis.</w:t>
      </w:r>
    </w:p>
    <w:p w14:paraId="0BE7CFB9" w14:textId="77777777" w:rsidR="00BC4EFE" w:rsidRPr="00BC4EFE" w:rsidRDefault="00BC4EFE" w:rsidP="00005108">
      <w:pPr>
        <w:pStyle w:val="Heading1"/>
      </w:pPr>
      <w:r w:rsidRPr="00BC4EFE">
        <w:lastRenderedPageBreak/>
        <w:t xml:space="preserve">Fee for the proposed </w:t>
      </w:r>
      <w:r w:rsidR="0028660C" w:rsidRPr="00BC4EFE">
        <w:t>medical service</w:t>
      </w:r>
    </w:p>
    <w:p w14:paraId="65655D3F" w14:textId="38C681F2" w:rsidR="00AB3BD7" w:rsidRPr="009F2407" w:rsidRDefault="009F2407" w:rsidP="002F5050">
      <w:r>
        <w:t>The applicant is seeking Medicare subsidy for the new service. It is proposed that the new service would be listed as</w:t>
      </w:r>
      <w:r w:rsidR="00AB3BD7" w:rsidRPr="00AB3BD7">
        <w:t xml:space="preserve"> </w:t>
      </w:r>
      <w:r w:rsidR="00F857E3" w:rsidRPr="00F857E3">
        <w:rPr>
          <w:i/>
        </w:rPr>
        <w:t xml:space="preserve">RT-qPCR </w:t>
      </w:r>
      <w:r w:rsidR="00F857E3">
        <w:rPr>
          <w:i/>
        </w:rPr>
        <w:t xml:space="preserve">gene expression profiling </w:t>
      </w:r>
      <w:r w:rsidR="00F857E3" w:rsidRPr="00F857E3">
        <w:rPr>
          <w:i/>
        </w:rPr>
        <w:t xml:space="preserve">for ER+ve /HER2-ve breast cancer </w:t>
      </w:r>
      <w:r w:rsidR="00F857E3">
        <w:rPr>
          <w:i/>
        </w:rPr>
        <w:t xml:space="preserve">to </w:t>
      </w:r>
      <w:r w:rsidR="00F857E3" w:rsidRPr="00F857E3">
        <w:rPr>
          <w:i/>
        </w:rPr>
        <w:t>determine the risk of early and late metastasis in node negative and positive cancer under endocrine treatment</w:t>
      </w:r>
      <w:r w:rsidR="002158B6">
        <w:t xml:space="preserve"> </w:t>
      </w:r>
      <w:r w:rsidR="00AB3BD7">
        <w:t>under Pathology services (category 6) in Group P7 (Genetics)</w:t>
      </w:r>
      <w:r w:rsidR="00AB3BD7" w:rsidRPr="00AB3BD7">
        <w:t>.</w:t>
      </w:r>
      <w:r w:rsidR="00AB3BD7">
        <w:t xml:space="preserve"> The </w:t>
      </w:r>
      <w:r w:rsidR="00CF3EDB">
        <w:t>proposed item</w:t>
      </w:r>
      <w:r w:rsidR="00AB3BD7">
        <w:t xml:space="preserve"> descriptor</w:t>
      </w:r>
      <w:r w:rsidR="00B74E7E">
        <w:t xml:space="preserve"> is shown in</w:t>
      </w:r>
      <w:r w:rsidR="00AB3B8E">
        <w:t xml:space="preserve"> </w:t>
      </w:r>
      <w:r w:rsidR="005F032C">
        <w:fldChar w:fldCharType="begin"/>
      </w:r>
      <w:r w:rsidR="005F032C">
        <w:instrText xml:space="preserve"> REF _Ref420590209 \h </w:instrText>
      </w:r>
      <w:r w:rsidR="005F032C">
        <w:fldChar w:fldCharType="separate"/>
      </w:r>
      <w:r w:rsidR="00126DA6">
        <w:t xml:space="preserve">Table </w:t>
      </w:r>
      <w:r w:rsidR="00126DA6">
        <w:rPr>
          <w:noProof/>
        </w:rPr>
        <w:t>5</w:t>
      </w:r>
      <w:r w:rsidR="005F032C">
        <w:fldChar w:fldCharType="end"/>
      </w:r>
      <w:r w:rsidR="00CF3EDB">
        <w:t xml:space="preserve">. </w:t>
      </w:r>
    </w:p>
    <w:p w14:paraId="7CB724F5" w14:textId="77777777" w:rsidR="009F2407" w:rsidRDefault="00AB3BD7" w:rsidP="00AB3BD7">
      <w:pPr>
        <w:pStyle w:val="Caption"/>
      </w:pPr>
      <w:bookmarkStart w:id="5" w:name="_Ref420590209"/>
      <w:r>
        <w:t xml:space="preserve">Table </w:t>
      </w:r>
      <w:r>
        <w:fldChar w:fldCharType="begin"/>
      </w:r>
      <w:r>
        <w:instrText xml:space="preserve"> SEQ Table \* ARABIC </w:instrText>
      </w:r>
      <w:r>
        <w:fldChar w:fldCharType="separate"/>
      </w:r>
      <w:r w:rsidR="00126DA6">
        <w:rPr>
          <w:noProof/>
        </w:rPr>
        <w:t>5</w:t>
      </w:r>
      <w:r>
        <w:fldChar w:fldCharType="end"/>
      </w:r>
      <w:bookmarkEnd w:id="5"/>
      <w:r w:rsidR="00CF3EDB">
        <w:tab/>
        <w:t>Item descriptor for the proposed new pathology service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5:  Item descriptor for the proposed new pathology service"/>
      </w:tblPr>
      <w:tblGrid>
        <w:gridCol w:w="9134"/>
      </w:tblGrid>
      <w:tr w:rsidR="00E57B5C" w:rsidRPr="00E57B5C" w14:paraId="582C7EC4" w14:textId="77777777" w:rsidTr="00010981">
        <w:tc>
          <w:tcPr>
            <w:tcW w:w="9134" w:type="dxa"/>
          </w:tcPr>
          <w:p w14:paraId="1911BA80" w14:textId="77777777" w:rsidR="00E57B5C" w:rsidRPr="00E57B5C" w:rsidRDefault="00E57B5C" w:rsidP="00AB3BD7">
            <w:pPr>
              <w:keepNext/>
              <w:spacing w:after="120" w:line="240" w:lineRule="auto"/>
              <w:jc w:val="right"/>
              <w:rPr>
                <w:rFonts w:ascii="Arial Narrow" w:eastAsia="SimSun" w:hAnsi="Arial Narrow" w:cs="Tahoma"/>
                <w:lang w:eastAsia="ja-JP"/>
              </w:rPr>
            </w:pPr>
            <w:r w:rsidRPr="00E57B5C">
              <w:rPr>
                <w:rFonts w:ascii="Arial Narrow" w:eastAsia="SimSun" w:hAnsi="Arial Narrow" w:cs="Tahoma"/>
                <w:lang w:eastAsia="ja-JP"/>
              </w:rPr>
              <w:t xml:space="preserve">Category </w:t>
            </w:r>
            <w:r w:rsidR="00AB3BD7">
              <w:rPr>
                <w:rFonts w:ascii="Arial Narrow" w:eastAsia="SimSun" w:hAnsi="Arial Narrow" w:cs="Tahoma"/>
                <w:lang w:eastAsia="ja-JP"/>
              </w:rPr>
              <w:t>6</w:t>
            </w:r>
            <w:r w:rsidRPr="00E57B5C">
              <w:rPr>
                <w:rFonts w:ascii="Arial Narrow" w:eastAsia="SimSun" w:hAnsi="Arial Narrow" w:cs="Tahoma"/>
                <w:lang w:eastAsia="ja-JP"/>
              </w:rPr>
              <w:t xml:space="preserve"> – </w:t>
            </w:r>
            <w:r w:rsidR="00AB3BD7" w:rsidRPr="00AB3BD7">
              <w:rPr>
                <w:rFonts w:ascii="Arial Narrow" w:eastAsia="SimSun" w:hAnsi="Arial Narrow" w:cs="Tahoma"/>
                <w:lang w:eastAsia="ja-JP"/>
              </w:rPr>
              <w:t>PATHOLOGY SERVICES</w:t>
            </w:r>
          </w:p>
        </w:tc>
      </w:tr>
      <w:tr w:rsidR="00E57B5C" w:rsidRPr="00E57B5C" w14:paraId="527B1A5A" w14:textId="77777777" w:rsidTr="00010981">
        <w:tc>
          <w:tcPr>
            <w:tcW w:w="9134" w:type="dxa"/>
          </w:tcPr>
          <w:p w14:paraId="3E07FCDF" w14:textId="77777777" w:rsidR="00AB3BD7" w:rsidRPr="00332E4F" w:rsidRDefault="00AB3BD7" w:rsidP="00AB3BD7">
            <w:pPr>
              <w:keepNext/>
              <w:tabs>
                <w:tab w:val="left" w:pos="5923"/>
              </w:tabs>
              <w:spacing w:after="120" w:line="240" w:lineRule="auto"/>
              <w:jc w:val="both"/>
              <w:rPr>
                <w:rFonts w:ascii="Arial Narrow" w:eastAsia="SimSun" w:hAnsi="Arial Narrow" w:cs="Tahoma"/>
                <w:sz w:val="20"/>
                <w:szCs w:val="20"/>
                <w:lang w:val="en-US" w:eastAsia="ja-JP"/>
              </w:rPr>
            </w:pPr>
            <w:r w:rsidRPr="00332E4F">
              <w:rPr>
                <w:rFonts w:ascii="Arial Narrow" w:eastAsia="SimSun" w:hAnsi="Arial Narrow" w:cs="Tahoma"/>
                <w:b/>
                <w:sz w:val="18"/>
                <w:szCs w:val="18"/>
                <w:lang w:val="en-US" w:eastAsia="ja-JP"/>
              </w:rPr>
              <w:tab/>
            </w:r>
            <w:r w:rsidRPr="00332E4F">
              <w:rPr>
                <w:rFonts w:ascii="Arial Narrow" w:eastAsia="SimSun" w:hAnsi="Arial Narrow" w:cs="Tahoma"/>
                <w:sz w:val="20"/>
                <w:szCs w:val="20"/>
                <w:lang w:val="en-US" w:eastAsia="ja-JP"/>
              </w:rPr>
              <w:t>Group P7 - GENETICS</w:t>
            </w:r>
          </w:p>
          <w:p w14:paraId="537CBE6B" w14:textId="77777777" w:rsidR="00E57B5C" w:rsidRPr="00E57B5C" w:rsidRDefault="00E57B5C" w:rsidP="00E57B5C">
            <w:pPr>
              <w:keepNext/>
              <w:spacing w:after="120" w:line="240" w:lineRule="auto"/>
              <w:jc w:val="both"/>
              <w:rPr>
                <w:rFonts w:ascii="Arial Narrow" w:eastAsia="SimSun" w:hAnsi="Arial Narrow" w:cs="Tahoma"/>
                <w:sz w:val="20"/>
                <w:szCs w:val="20"/>
                <w:lang w:val="en-US" w:eastAsia="ja-JP"/>
              </w:rPr>
            </w:pPr>
            <w:r w:rsidRPr="00E57B5C">
              <w:rPr>
                <w:rFonts w:ascii="Arial Narrow" w:eastAsia="SimSun" w:hAnsi="Arial Narrow" w:cs="Tahoma"/>
                <w:sz w:val="20"/>
                <w:szCs w:val="20"/>
                <w:lang w:val="en-US" w:eastAsia="ja-JP"/>
              </w:rPr>
              <w:t xml:space="preserve">MBS </w:t>
            </w:r>
            <w:r w:rsidR="00AB3BD7" w:rsidRPr="00332E4F">
              <w:rPr>
                <w:rFonts w:ascii="Arial Narrow" w:eastAsia="SimSun" w:hAnsi="Arial Narrow" w:cs="Tahoma"/>
                <w:sz w:val="20"/>
                <w:szCs w:val="20"/>
                <w:lang w:val="en-US" w:eastAsia="ja-JP"/>
              </w:rPr>
              <w:t>XXXXX</w:t>
            </w:r>
          </w:p>
          <w:p w14:paraId="73A1ECAE" w14:textId="77777777" w:rsidR="00E57B5C" w:rsidRPr="00332E4F" w:rsidRDefault="005D16BE" w:rsidP="00E57B5C">
            <w:pPr>
              <w:keepNext/>
              <w:spacing w:after="120" w:line="240" w:lineRule="auto"/>
              <w:jc w:val="both"/>
              <w:rPr>
                <w:rFonts w:ascii="Arial Narrow" w:eastAsia="SimSun" w:hAnsi="Arial Narrow" w:cs="Tahoma"/>
                <w:sz w:val="20"/>
                <w:szCs w:val="20"/>
                <w:lang w:eastAsia="zh-CN"/>
              </w:rPr>
            </w:pPr>
            <w:r>
              <w:rPr>
                <w:rFonts w:ascii="Arial Narrow" w:eastAsia="SimSun" w:hAnsi="Arial Narrow" w:cs="Tahoma"/>
                <w:sz w:val="20"/>
                <w:szCs w:val="20"/>
                <w:lang w:eastAsia="zh-CN"/>
              </w:rPr>
              <w:t>RT</w:t>
            </w:r>
            <w:r w:rsidR="00A2511B">
              <w:rPr>
                <w:rFonts w:ascii="Arial Narrow" w:eastAsia="SimSun" w:hAnsi="Arial Narrow" w:cs="Tahoma"/>
                <w:sz w:val="20"/>
                <w:szCs w:val="20"/>
                <w:lang w:eastAsia="zh-CN"/>
              </w:rPr>
              <w:t>-</w:t>
            </w:r>
            <w:r>
              <w:rPr>
                <w:rFonts w:ascii="Arial Narrow" w:eastAsia="SimSun" w:hAnsi="Arial Narrow" w:cs="Tahoma"/>
                <w:sz w:val="20"/>
                <w:szCs w:val="20"/>
                <w:lang w:eastAsia="zh-CN"/>
              </w:rPr>
              <w:t>qPCR g</w:t>
            </w:r>
            <w:r w:rsidR="00AB3BD7" w:rsidRPr="00332E4F">
              <w:rPr>
                <w:rFonts w:ascii="Arial Narrow" w:eastAsia="SimSun" w:hAnsi="Arial Narrow" w:cs="Tahoma"/>
                <w:sz w:val="20"/>
                <w:szCs w:val="20"/>
                <w:lang w:eastAsia="zh-CN"/>
              </w:rPr>
              <w:t>ene expression profiling of FFPE</w:t>
            </w:r>
            <w:r w:rsidR="00957D4B">
              <w:rPr>
                <w:rFonts w:ascii="Arial Narrow" w:eastAsia="SimSun" w:hAnsi="Arial Narrow" w:cs="Tahoma"/>
                <w:sz w:val="20"/>
                <w:szCs w:val="20"/>
                <w:lang w:eastAsia="zh-CN"/>
              </w:rPr>
              <w:t>,</w:t>
            </w:r>
            <w:r w:rsidR="00AB3BD7" w:rsidRPr="00726654">
              <w:rPr>
                <w:rFonts w:ascii="Arial Narrow" w:eastAsia="SimSun" w:hAnsi="Arial Narrow" w:cs="Tahoma"/>
                <w:sz w:val="20"/>
                <w:szCs w:val="20"/>
                <w:lang w:eastAsia="zh-CN"/>
              </w:rPr>
              <w:t xml:space="preserve"> </w:t>
            </w:r>
            <w:r w:rsidR="005F032C">
              <w:rPr>
                <w:rFonts w:ascii="Arial Narrow" w:eastAsia="SimSun" w:hAnsi="Arial Narrow" w:cs="Tahoma"/>
                <w:sz w:val="20"/>
                <w:szCs w:val="20"/>
                <w:lang w:eastAsia="zh-CN"/>
              </w:rPr>
              <w:t>core needle biopsy</w:t>
            </w:r>
            <w:r w:rsidR="005F032C" w:rsidRPr="00332E4F">
              <w:rPr>
                <w:rFonts w:ascii="Arial Narrow" w:eastAsia="SimSun" w:hAnsi="Arial Narrow" w:cs="Tahoma"/>
                <w:sz w:val="20"/>
                <w:szCs w:val="20"/>
                <w:lang w:eastAsia="zh-CN"/>
              </w:rPr>
              <w:t xml:space="preserve"> </w:t>
            </w:r>
            <w:r w:rsidR="00622B7C">
              <w:rPr>
                <w:rFonts w:ascii="Arial Narrow" w:eastAsia="SimSun" w:hAnsi="Arial Narrow" w:cs="Tahoma"/>
                <w:sz w:val="20"/>
                <w:szCs w:val="20"/>
                <w:lang w:eastAsia="zh-CN"/>
              </w:rPr>
              <w:t xml:space="preserve">or surgical </w:t>
            </w:r>
            <w:r w:rsidR="00AB3BD7" w:rsidRPr="00332E4F">
              <w:rPr>
                <w:rFonts w:ascii="Arial Narrow" w:eastAsia="SimSun" w:hAnsi="Arial Narrow" w:cs="Tahoma"/>
                <w:sz w:val="20"/>
                <w:szCs w:val="20"/>
                <w:lang w:eastAsia="zh-CN"/>
              </w:rPr>
              <w:t>tumour sample in primary breast cancer tissue.</w:t>
            </w:r>
          </w:p>
          <w:p w14:paraId="2601B8F0" w14:textId="77777777" w:rsidR="00CF3EDB" w:rsidRPr="00332E4F" w:rsidRDefault="00CF3EDB" w:rsidP="00E57B5C">
            <w:pPr>
              <w:keepNext/>
              <w:spacing w:after="120" w:line="240" w:lineRule="auto"/>
              <w:jc w:val="both"/>
              <w:rPr>
                <w:rFonts w:ascii="Arial Narrow" w:eastAsia="SimSun" w:hAnsi="Arial Narrow" w:cs="Tahoma"/>
                <w:sz w:val="20"/>
                <w:szCs w:val="20"/>
                <w:lang w:eastAsia="zh-CN"/>
              </w:rPr>
            </w:pPr>
            <w:r w:rsidRPr="00332E4F">
              <w:rPr>
                <w:rFonts w:ascii="Arial Narrow" w:eastAsia="SimSun" w:hAnsi="Arial Narrow" w:cs="Tahoma"/>
                <w:sz w:val="20"/>
                <w:szCs w:val="20"/>
                <w:lang w:eastAsia="zh-CN"/>
              </w:rPr>
              <w:t xml:space="preserve">The test may be used when </w:t>
            </w:r>
            <w:r w:rsidR="00FA2086" w:rsidRPr="00332E4F">
              <w:rPr>
                <w:rFonts w:ascii="Arial Narrow" w:eastAsia="SimSun" w:hAnsi="Arial Narrow" w:cs="Tahoma"/>
                <w:sz w:val="20"/>
                <w:szCs w:val="20"/>
                <w:lang w:eastAsia="zh-CN"/>
              </w:rPr>
              <w:t xml:space="preserve">all of </w:t>
            </w:r>
            <w:r w:rsidRPr="00332E4F">
              <w:rPr>
                <w:rFonts w:ascii="Arial Narrow" w:eastAsia="SimSun" w:hAnsi="Arial Narrow" w:cs="Tahoma"/>
                <w:sz w:val="20"/>
                <w:szCs w:val="20"/>
                <w:lang w:eastAsia="zh-CN"/>
              </w:rPr>
              <w:t>the following criteria are met:</w:t>
            </w:r>
          </w:p>
          <w:p w14:paraId="2B208E0E" w14:textId="3273FC8D" w:rsidR="00CF3EDB" w:rsidRPr="00332E4F" w:rsidRDefault="00CF3EDB" w:rsidP="00CF3EDB">
            <w:pPr>
              <w:keepNext/>
              <w:spacing w:after="0" w:line="240" w:lineRule="auto"/>
              <w:ind w:left="176"/>
              <w:jc w:val="both"/>
              <w:rPr>
                <w:rFonts w:ascii="Arial Narrow" w:eastAsia="SimSun" w:hAnsi="Arial Narrow" w:cs="Tahoma"/>
                <w:sz w:val="20"/>
                <w:szCs w:val="20"/>
                <w:lang w:eastAsia="zh-CN"/>
              </w:rPr>
            </w:pPr>
            <w:r w:rsidRPr="00332E4F">
              <w:rPr>
                <w:rFonts w:ascii="Arial Narrow" w:eastAsia="SimSun" w:hAnsi="Arial Narrow" w:cs="Tahoma"/>
                <w:sz w:val="20"/>
                <w:szCs w:val="20"/>
                <w:lang w:eastAsia="zh-CN"/>
              </w:rPr>
              <w:t xml:space="preserve">- </w:t>
            </w:r>
            <w:r w:rsidR="00E753CD">
              <w:rPr>
                <w:rFonts w:ascii="Arial Narrow" w:eastAsia="SimSun" w:hAnsi="Arial Narrow" w:cs="Tahoma"/>
                <w:sz w:val="20"/>
                <w:szCs w:val="20"/>
                <w:lang w:eastAsia="zh-CN"/>
              </w:rPr>
              <w:t>New p</w:t>
            </w:r>
            <w:r w:rsidRPr="00332E4F">
              <w:rPr>
                <w:rFonts w:ascii="Arial Narrow" w:eastAsia="SimSun" w:hAnsi="Arial Narrow" w:cs="Tahoma"/>
                <w:sz w:val="20"/>
                <w:szCs w:val="20"/>
                <w:lang w:eastAsia="zh-CN"/>
              </w:rPr>
              <w:t xml:space="preserve">rimary </w:t>
            </w:r>
            <w:r w:rsidR="00B17DA4" w:rsidRPr="00332E4F">
              <w:rPr>
                <w:rFonts w:ascii="Arial Narrow" w:eastAsia="SimSun" w:hAnsi="Arial Narrow" w:cs="Tahoma"/>
                <w:sz w:val="20"/>
                <w:szCs w:val="20"/>
                <w:lang w:eastAsia="zh-CN"/>
              </w:rPr>
              <w:t>b</w:t>
            </w:r>
            <w:r w:rsidRPr="00332E4F">
              <w:rPr>
                <w:rFonts w:ascii="Arial Narrow" w:eastAsia="SimSun" w:hAnsi="Arial Narrow" w:cs="Tahoma"/>
                <w:sz w:val="20"/>
                <w:szCs w:val="20"/>
                <w:lang w:eastAsia="zh-CN"/>
              </w:rPr>
              <w:t>reast cancer</w:t>
            </w:r>
            <w:r w:rsidR="008C2FA9">
              <w:rPr>
                <w:rFonts w:ascii="Arial Narrow" w:eastAsia="SimSun" w:hAnsi="Arial Narrow" w:cs="Tahoma"/>
                <w:sz w:val="20"/>
                <w:szCs w:val="20"/>
                <w:lang w:eastAsia="zh-CN"/>
              </w:rPr>
              <w:t>,</w:t>
            </w:r>
            <w:r w:rsidRPr="00332E4F">
              <w:rPr>
                <w:rFonts w:ascii="Arial Narrow" w:eastAsia="SimSun" w:hAnsi="Arial Narrow" w:cs="Tahoma"/>
                <w:sz w:val="20"/>
                <w:szCs w:val="20"/>
                <w:lang w:eastAsia="zh-CN"/>
              </w:rPr>
              <w:t xml:space="preserve"> suitable for adjuvant </w:t>
            </w:r>
            <w:r w:rsidR="00A2511B">
              <w:rPr>
                <w:rFonts w:ascii="Arial Narrow" w:eastAsia="SimSun" w:hAnsi="Arial Narrow" w:cs="Tahoma"/>
                <w:sz w:val="20"/>
                <w:szCs w:val="20"/>
                <w:lang w:eastAsia="zh-CN"/>
              </w:rPr>
              <w:t>chemotherapy</w:t>
            </w:r>
            <w:r w:rsidR="008112AC">
              <w:rPr>
                <w:rFonts w:ascii="Arial Narrow" w:eastAsia="SimSun" w:hAnsi="Arial Narrow" w:cs="Tahoma"/>
                <w:sz w:val="20"/>
                <w:szCs w:val="20"/>
                <w:lang w:eastAsia="zh-CN"/>
              </w:rPr>
              <w:t>, and not requiring neoadjuvant chemotherapy</w:t>
            </w:r>
          </w:p>
          <w:p w14:paraId="1AF671C6" w14:textId="26AC8CAF" w:rsidR="00CF3EDB" w:rsidRPr="00332E4F" w:rsidRDefault="00CF3EDB" w:rsidP="00CF3EDB">
            <w:pPr>
              <w:keepNext/>
              <w:spacing w:after="0" w:line="240" w:lineRule="auto"/>
              <w:ind w:left="176"/>
              <w:jc w:val="both"/>
              <w:rPr>
                <w:rFonts w:ascii="Arial Narrow" w:eastAsia="SimSun" w:hAnsi="Arial Narrow" w:cs="Tahoma"/>
                <w:sz w:val="20"/>
                <w:szCs w:val="20"/>
                <w:lang w:eastAsia="zh-CN"/>
              </w:rPr>
            </w:pPr>
            <w:r w:rsidRPr="00332E4F">
              <w:rPr>
                <w:rFonts w:ascii="Arial Narrow" w:eastAsia="SimSun" w:hAnsi="Arial Narrow" w:cs="Tahoma"/>
                <w:sz w:val="20"/>
                <w:szCs w:val="20"/>
                <w:lang w:eastAsia="zh-CN"/>
              </w:rPr>
              <w:t>- Oestrogen positive and HER2 negative as determined by IHC</w:t>
            </w:r>
            <w:r w:rsidR="008112AC">
              <w:rPr>
                <w:rFonts w:ascii="Arial Narrow" w:eastAsia="SimSun" w:hAnsi="Arial Narrow" w:cs="Tahoma"/>
                <w:sz w:val="20"/>
                <w:szCs w:val="20"/>
                <w:lang w:eastAsia="zh-CN"/>
              </w:rPr>
              <w:t xml:space="preserve"> and </w:t>
            </w:r>
            <w:r w:rsidR="00772F21">
              <w:rPr>
                <w:rFonts w:ascii="Arial Narrow" w:eastAsia="SimSun" w:hAnsi="Arial Narrow" w:cs="Tahoma"/>
                <w:sz w:val="20"/>
                <w:szCs w:val="20"/>
                <w:lang w:eastAsia="zh-CN"/>
              </w:rPr>
              <w:t>ISH</w:t>
            </w:r>
            <w:r w:rsidR="008112AC">
              <w:rPr>
                <w:rFonts w:ascii="Arial Narrow" w:eastAsia="SimSun" w:hAnsi="Arial Narrow" w:cs="Tahoma"/>
                <w:sz w:val="20"/>
                <w:szCs w:val="20"/>
                <w:lang w:eastAsia="zh-CN"/>
              </w:rPr>
              <w:t xml:space="preserve"> respectively on surgically removed tumour</w:t>
            </w:r>
          </w:p>
          <w:p w14:paraId="7B7785BA" w14:textId="449DD8C9" w:rsidR="00CF3EDB" w:rsidRDefault="00CF3EDB" w:rsidP="00CF3EDB">
            <w:pPr>
              <w:keepNext/>
              <w:spacing w:after="0" w:line="240" w:lineRule="auto"/>
              <w:ind w:left="176"/>
              <w:jc w:val="both"/>
              <w:rPr>
                <w:rFonts w:ascii="Arial Narrow" w:eastAsia="SimSun" w:hAnsi="Arial Narrow" w:cs="Tahoma"/>
                <w:sz w:val="20"/>
                <w:szCs w:val="20"/>
                <w:lang w:eastAsia="zh-CN"/>
              </w:rPr>
            </w:pPr>
            <w:r w:rsidRPr="00332E4F">
              <w:rPr>
                <w:rFonts w:ascii="Arial Narrow" w:eastAsia="SimSun" w:hAnsi="Arial Narrow" w:cs="Tahoma"/>
                <w:sz w:val="20"/>
                <w:szCs w:val="20"/>
                <w:lang w:eastAsia="zh-CN"/>
              </w:rPr>
              <w:t xml:space="preserve">- </w:t>
            </w:r>
            <w:r w:rsidR="00622B7C" w:rsidRPr="00622B7C">
              <w:rPr>
                <w:rFonts w:ascii="Arial Narrow" w:eastAsia="SimSun" w:hAnsi="Arial Narrow" w:cs="Tahoma"/>
                <w:sz w:val="20"/>
                <w:szCs w:val="20"/>
                <w:lang w:eastAsia="zh-CN"/>
              </w:rPr>
              <w:t>Node negative or positive (up to 3 nodes) and tumour size determined by histopathology on surgically removed tumour</w:t>
            </w:r>
          </w:p>
          <w:p w14:paraId="74314192" w14:textId="69D3F1F1" w:rsidR="008C2FA9" w:rsidRDefault="001A352E" w:rsidP="00CF3EDB">
            <w:pPr>
              <w:keepNext/>
              <w:spacing w:after="0" w:line="240" w:lineRule="auto"/>
              <w:ind w:left="176"/>
              <w:jc w:val="both"/>
              <w:rPr>
                <w:rFonts w:ascii="Arial Narrow" w:eastAsia="SimSun" w:hAnsi="Arial Narrow" w:cs="Tahoma"/>
                <w:sz w:val="20"/>
                <w:szCs w:val="20"/>
                <w:lang w:eastAsia="zh-CN"/>
              </w:rPr>
            </w:pPr>
            <w:r>
              <w:rPr>
                <w:rFonts w:ascii="Arial Narrow" w:eastAsia="SimSun" w:hAnsi="Arial Narrow" w:cs="Tahoma"/>
                <w:sz w:val="20"/>
                <w:szCs w:val="20"/>
                <w:lang w:eastAsia="zh-CN"/>
              </w:rPr>
              <w:t xml:space="preserve">- </w:t>
            </w:r>
            <w:r w:rsidR="000B68ED">
              <w:rPr>
                <w:rFonts w:ascii="Arial Narrow" w:eastAsia="SimSun" w:hAnsi="Arial Narrow" w:cs="Tahoma"/>
                <w:sz w:val="20"/>
                <w:szCs w:val="20"/>
                <w:lang w:eastAsia="zh-CN"/>
              </w:rPr>
              <w:t xml:space="preserve">Pre-test </w:t>
            </w:r>
            <w:r w:rsidR="000B68ED" w:rsidRPr="00E30108">
              <w:rPr>
                <w:rFonts w:ascii="Arial Narrow" w:eastAsia="SimSun" w:hAnsi="Arial Narrow" w:cs="Tahoma"/>
                <w:i/>
                <w:sz w:val="20"/>
                <w:szCs w:val="20"/>
                <w:lang w:eastAsia="zh-CN"/>
              </w:rPr>
              <w:t>i</w:t>
            </w:r>
            <w:r w:rsidRPr="00E30108">
              <w:rPr>
                <w:rFonts w:ascii="Arial Narrow" w:eastAsia="SimSun" w:hAnsi="Arial Narrow" w:cs="Tahoma"/>
                <w:i/>
                <w:sz w:val="20"/>
                <w:szCs w:val="20"/>
                <w:lang w:eastAsia="zh-CN"/>
              </w:rPr>
              <w:t>ntermediate</w:t>
            </w:r>
            <w:r>
              <w:rPr>
                <w:rFonts w:ascii="Arial Narrow" w:eastAsia="SimSun" w:hAnsi="Arial Narrow" w:cs="Tahoma"/>
                <w:sz w:val="20"/>
                <w:szCs w:val="20"/>
                <w:lang w:eastAsia="zh-CN"/>
              </w:rPr>
              <w:t xml:space="preserve"> risk</w:t>
            </w:r>
            <w:r w:rsidR="008112AC">
              <w:rPr>
                <w:rFonts w:ascii="Arial Narrow" w:eastAsia="SimSun" w:hAnsi="Arial Narrow" w:cs="Tahoma"/>
                <w:sz w:val="20"/>
                <w:szCs w:val="20"/>
                <w:lang w:eastAsia="zh-CN"/>
              </w:rPr>
              <w:t xml:space="preserve"> of distant metastases</w:t>
            </w:r>
            <w:r w:rsidR="00597658">
              <w:rPr>
                <w:rFonts w:ascii="Arial Narrow" w:eastAsia="SimSun" w:hAnsi="Arial Narrow" w:cs="Tahoma"/>
                <w:sz w:val="20"/>
                <w:szCs w:val="20"/>
                <w:lang w:eastAsia="zh-CN"/>
              </w:rPr>
              <w:t xml:space="preserve"> defined by at least one of the following characteristics</w:t>
            </w:r>
            <w:r w:rsidR="008C2FA9">
              <w:rPr>
                <w:rFonts w:ascii="Arial Narrow" w:eastAsia="SimSun" w:hAnsi="Arial Narrow" w:cs="Tahoma"/>
                <w:sz w:val="20"/>
                <w:szCs w:val="20"/>
                <w:lang w:eastAsia="zh-CN"/>
              </w:rPr>
              <w:t>:</w:t>
            </w:r>
            <w:r w:rsidR="008112AC">
              <w:rPr>
                <w:rFonts w:ascii="Arial Narrow" w:eastAsia="SimSun" w:hAnsi="Arial Narrow" w:cs="Tahoma"/>
                <w:sz w:val="20"/>
                <w:szCs w:val="20"/>
                <w:lang w:eastAsia="zh-CN"/>
              </w:rPr>
              <w:t xml:space="preserve"> </w:t>
            </w:r>
            <w:r w:rsidR="008C2FA9">
              <w:rPr>
                <w:rFonts w:ascii="Arial Narrow" w:eastAsia="SimSun" w:hAnsi="Arial Narrow" w:cs="Tahoma"/>
                <w:sz w:val="20"/>
                <w:szCs w:val="20"/>
                <w:lang w:eastAsia="zh-CN"/>
              </w:rPr>
              <w:t xml:space="preserve"> tumour size ≥ 2cm</w:t>
            </w:r>
            <w:r w:rsidR="003E3232">
              <w:rPr>
                <w:rFonts w:ascii="Arial Narrow" w:eastAsia="SimSun" w:hAnsi="Arial Narrow" w:cs="Tahoma"/>
                <w:sz w:val="20"/>
                <w:szCs w:val="20"/>
                <w:lang w:eastAsia="zh-CN"/>
              </w:rPr>
              <w:t>*</w:t>
            </w:r>
            <w:r w:rsidR="008C2FA9">
              <w:rPr>
                <w:rFonts w:ascii="Arial Narrow" w:eastAsia="SimSun" w:hAnsi="Arial Narrow" w:cs="Tahoma"/>
                <w:sz w:val="20"/>
                <w:szCs w:val="20"/>
                <w:lang w:eastAsia="zh-CN"/>
              </w:rPr>
              <w:t xml:space="preserve">; or Grade 2; or one </w:t>
            </w:r>
            <w:r w:rsidR="00597658">
              <w:rPr>
                <w:rFonts w:ascii="Arial Narrow" w:eastAsia="SimSun" w:hAnsi="Arial Narrow" w:cs="Tahoma"/>
                <w:sz w:val="20"/>
                <w:szCs w:val="20"/>
                <w:lang w:eastAsia="zh-CN"/>
              </w:rPr>
              <w:t>to</w:t>
            </w:r>
            <w:r w:rsidR="008C2FA9">
              <w:rPr>
                <w:rFonts w:ascii="Arial Narrow" w:eastAsia="SimSun" w:hAnsi="Arial Narrow" w:cs="Tahoma"/>
                <w:sz w:val="20"/>
                <w:szCs w:val="20"/>
                <w:lang w:eastAsia="zh-CN"/>
              </w:rPr>
              <w:t xml:space="preserve"> three lymph nodes involved in metastatic disease (nodes include micrometastases but not isolated tumour cells)</w:t>
            </w:r>
          </w:p>
          <w:p w14:paraId="20AD7E2B" w14:textId="77777777" w:rsidR="00FA2086" w:rsidRPr="00332E4F" w:rsidRDefault="00FA2086" w:rsidP="00CF3EDB">
            <w:pPr>
              <w:keepNext/>
              <w:spacing w:after="0" w:line="240" w:lineRule="auto"/>
              <w:ind w:left="176"/>
              <w:jc w:val="both"/>
              <w:rPr>
                <w:rFonts w:ascii="Arial Narrow" w:eastAsia="SimSun" w:hAnsi="Arial Narrow" w:cs="Tahoma"/>
                <w:sz w:val="20"/>
                <w:szCs w:val="20"/>
                <w:lang w:eastAsia="zh-CN"/>
              </w:rPr>
            </w:pPr>
          </w:p>
          <w:p w14:paraId="3ACE027A" w14:textId="77777777" w:rsidR="00CF3EDB" w:rsidRPr="00332E4F" w:rsidRDefault="00FA2086" w:rsidP="00FA2086">
            <w:pPr>
              <w:keepNext/>
              <w:spacing w:after="0" w:line="240" w:lineRule="auto"/>
              <w:jc w:val="both"/>
              <w:rPr>
                <w:rFonts w:ascii="Arial Narrow" w:eastAsia="SimSun" w:hAnsi="Arial Narrow" w:cs="Tahoma"/>
                <w:sz w:val="20"/>
                <w:szCs w:val="20"/>
                <w:lang w:eastAsia="zh-CN"/>
              </w:rPr>
            </w:pPr>
            <w:r w:rsidRPr="00332E4F">
              <w:rPr>
                <w:rFonts w:ascii="Arial Narrow" w:eastAsia="SimSun" w:hAnsi="Arial Narrow" w:cs="Tahoma"/>
                <w:sz w:val="20"/>
                <w:szCs w:val="20"/>
                <w:lang w:eastAsia="zh-CN"/>
              </w:rPr>
              <w:t>The test may be u</w:t>
            </w:r>
            <w:r w:rsidR="00CF3EDB" w:rsidRPr="00332E4F">
              <w:rPr>
                <w:rFonts w:ascii="Arial Narrow" w:eastAsia="SimSun" w:hAnsi="Arial Narrow" w:cs="Tahoma"/>
                <w:sz w:val="20"/>
                <w:szCs w:val="20"/>
                <w:lang w:eastAsia="zh-CN"/>
              </w:rPr>
              <w:t>sed once per new primary breast cancer diagnosis</w:t>
            </w:r>
            <w:r w:rsidRPr="00332E4F">
              <w:rPr>
                <w:rFonts w:ascii="Arial Narrow" w:eastAsia="SimSun" w:hAnsi="Arial Narrow" w:cs="Tahoma"/>
                <w:sz w:val="20"/>
                <w:szCs w:val="20"/>
                <w:lang w:eastAsia="zh-CN"/>
              </w:rPr>
              <w:t>.</w:t>
            </w:r>
          </w:p>
          <w:p w14:paraId="0C41C768" w14:textId="77777777" w:rsidR="00AB3BD7" w:rsidRPr="00E57B5C" w:rsidRDefault="00AB3BD7" w:rsidP="00E57B5C">
            <w:pPr>
              <w:keepNext/>
              <w:spacing w:after="120" w:line="240" w:lineRule="auto"/>
              <w:jc w:val="both"/>
              <w:rPr>
                <w:rFonts w:ascii="Arial Narrow" w:eastAsia="SimSun" w:hAnsi="Arial Narrow" w:cs="Tahoma"/>
                <w:sz w:val="20"/>
                <w:szCs w:val="20"/>
                <w:lang w:val="en-US" w:eastAsia="ja-JP"/>
              </w:rPr>
            </w:pPr>
          </w:p>
          <w:p w14:paraId="528BA664" w14:textId="6F6D600F" w:rsidR="00332E4F" w:rsidRPr="00E57B5C" w:rsidRDefault="00E57B5C" w:rsidP="0027603B">
            <w:pPr>
              <w:keepNext/>
              <w:spacing w:after="120" w:line="240" w:lineRule="auto"/>
              <w:jc w:val="both"/>
              <w:rPr>
                <w:rFonts w:ascii="Arial Narrow" w:eastAsia="SimSun" w:hAnsi="Arial Narrow" w:cs="Tahoma"/>
                <w:sz w:val="18"/>
                <w:szCs w:val="18"/>
                <w:lang w:val="en-US" w:eastAsia="ja-JP"/>
              </w:rPr>
            </w:pPr>
            <w:r w:rsidRPr="00E57B5C">
              <w:rPr>
                <w:rFonts w:ascii="Arial Narrow" w:eastAsia="SimSun" w:hAnsi="Arial Narrow" w:cs="Tahoma"/>
                <w:bCs/>
                <w:sz w:val="20"/>
                <w:szCs w:val="20"/>
                <w:lang w:eastAsia="zh-CN"/>
              </w:rPr>
              <w:t>Fee:</w:t>
            </w:r>
            <w:r w:rsidR="004C19AC">
              <w:rPr>
                <w:rFonts w:ascii="Arial Narrow" w:eastAsia="SimSun" w:hAnsi="Arial Narrow" w:cs="Tahoma"/>
                <w:sz w:val="20"/>
                <w:szCs w:val="20"/>
                <w:lang w:eastAsia="zh-CN"/>
              </w:rPr>
              <w:t xml:space="preserve"> REDACTED</w:t>
            </w:r>
            <w:r w:rsidR="0027603B">
              <w:rPr>
                <w:rFonts w:ascii="Arial Narrow" w:eastAsia="SimSun" w:hAnsi="Arial Narrow" w:cs="Tahoma"/>
                <w:sz w:val="20"/>
                <w:szCs w:val="20"/>
                <w:lang w:eastAsia="zh-CN"/>
              </w:rPr>
              <w:t xml:space="preserve"> </w:t>
            </w:r>
            <w:r w:rsidRPr="00E57B5C">
              <w:rPr>
                <w:rFonts w:ascii="Arial Narrow" w:eastAsia="SimSun" w:hAnsi="Arial Narrow" w:cs="Tahoma"/>
                <w:bCs/>
                <w:sz w:val="20"/>
                <w:szCs w:val="20"/>
                <w:lang w:eastAsia="zh-CN"/>
              </w:rPr>
              <w:t>Benefit:</w:t>
            </w:r>
            <w:r w:rsidR="004C19AC">
              <w:rPr>
                <w:rFonts w:ascii="Arial Narrow" w:eastAsia="SimSun" w:hAnsi="Arial Narrow" w:cs="Tahoma"/>
                <w:sz w:val="20"/>
                <w:szCs w:val="20"/>
                <w:lang w:eastAsia="zh-CN"/>
              </w:rPr>
              <w:t xml:space="preserve"> 75% = REDACTED</w:t>
            </w:r>
            <w:r w:rsidR="00F17BD4">
              <w:rPr>
                <w:rFonts w:ascii="Arial Narrow" w:eastAsia="SimSun" w:hAnsi="Arial Narrow" w:cs="Tahoma"/>
                <w:sz w:val="20"/>
                <w:szCs w:val="20"/>
                <w:lang w:eastAsia="zh-CN"/>
              </w:rPr>
              <w:t xml:space="preserve">; </w:t>
            </w:r>
            <w:r w:rsidR="004C19AC">
              <w:rPr>
                <w:rFonts w:ascii="Arial Narrow" w:eastAsia="SimSun" w:hAnsi="Arial Narrow" w:cs="Tahoma"/>
                <w:sz w:val="20"/>
                <w:szCs w:val="20"/>
                <w:lang w:eastAsia="zh-CN"/>
              </w:rPr>
              <w:t xml:space="preserve"> 85% = REDACTED</w:t>
            </w:r>
          </w:p>
        </w:tc>
      </w:tr>
    </w:tbl>
    <w:p w14:paraId="4BBBC8DA" w14:textId="7E154276" w:rsidR="003E3232" w:rsidRPr="009D6948" w:rsidRDefault="003E3232" w:rsidP="003E3232">
      <w:pPr>
        <w:rPr>
          <w:rFonts w:ascii="Arial Narrow" w:hAnsi="Arial Narrow"/>
          <w:sz w:val="18"/>
          <w:szCs w:val="18"/>
        </w:rPr>
      </w:pPr>
      <w:r>
        <w:rPr>
          <w:i/>
        </w:rPr>
        <w:t>*</w:t>
      </w:r>
      <w:r w:rsidRPr="003E3232">
        <w:rPr>
          <w:rFonts w:ascii="Arial Narrow" w:hAnsi="Arial Narrow"/>
          <w:sz w:val="18"/>
          <w:szCs w:val="18"/>
        </w:rPr>
        <w:t xml:space="preserve"> </w:t>
      </w:r>
      <w:r>
        <w:rPr>
          <w:rFonts w:ascii="Arial Narrow" w:hAnsi="Arial Narrow"/>
          <w:sz w:val="18"/>
          <w:szCs w:val="18"/>
        </w:rPr>
        <w:t>Maximum tumour size for intermediate risk group to be determined by subgroup analysis.</w:t>
      </w:r>
    </w:p>
    <w:p w14:paraId="674481F5" w14:textId="681A159B" w:rsidR="00957D4B" w:rsidRDefault="00957D4B" w:rsidP="00BC4EFE">
      <w:pPr>
        <w:rPr>
          <w:i/>
        </w:rPr>
      </w:pPr>
    </w:p>
    <w:p w14:paraId="4A3A7DE1" w14:textId="77777777" w:rsidR="00F53E4A" w:rsidRDefault="009F2407" w:rsidP="00BC4EFE">
      <w:r w:rsidRPr="009F2407">
        <w:t>The applicant lists the resources required for carrying out the test as</w:t>
      </w:r>
      <w:r w:rsidR="00A50A09">
        <w:t>:</w:t>
      </w:r>
      <w:r w:rsidRPr="009F2407">
        <w:t xml:space="preserve"> </w:t>
      </w:r>
    </w:p>
    <w:p w14:paraId="40FBED77" w14:textId="77777777" w:rsidR="00F53E4A" w:rsidRDefault="009F2407" w:rsidP="00B17DA4">
      <w:pPr>
        <w:pStyle w:val="ListParagraph"/>
        <w:numPr>
          <w:ilvl w:val="0"/>
          <w:numId w:val="35"/>
        </w:numPr>
      </w:pPr>
      <w:r w:rsidRPr="009F2407">
        <w:t xml:space="preserve">Real Time </w:t>
      </w:r>
      <w:r w:rsidR="005D16BE">
        <w:t xml:space="preserve">PCR </w:t>
      </w:r>
      <w:r w:rsidRPr="009F2407">
        <w:t xml:space="preserve">Instrumentation, </w:t>
      </w:r>
    </w:p>
    <w:p w14:paraId="1BD1C812" w14:textId="77777777" w:rsidR="005D16BE" w:rsidRDefault="00957D4B" w:rsidP="00B17DA4">
      <w:pPr>
        <w:pStyle w:val="ListParagraph"/>
        <w:numPr>
          <w:ilvl w:val="0"/>
          <w:numId w:val="35"/>
        </w:numPr>
      </w:pPr>
      <w:r>
        <w:t>s</w:t>
      </w:r>
      <w:r w:rsidR="005D16BE">
        <w:t>tandard laboratory equipment for molecular diagnostics</w:t>
      </w:r>
      <w:r w:rsidR="006C7BA6">
        <w:t>,</w:t>
      </w:r>
    </w:p>
    <w:p w14:paraId="59F52C36" w14:textId="77777777" w:rsidR="00F53E4A" w:rsidRDefault="009F2407" w:rsidP="00B17DA4">
      <w:pPr>
        <w:pStyle w:val="ListParagraph"/>
        <w:numPr>
          <w:ilvl w:val="0"/>
          <w:numId w:val="35"/>
        </w:numPr>
      </w:pPr>
      <w:r w:rsidRPr="009F2407">
        <w:t xml:space="preserve">onsite training, </w:t>
      </w:r>
    </w:p>
    <w:p w14:paraId="2DADED02" w14:textId="77777777" w:rsidR="00F53E4A" w:rsidRDefault="009F2407" w:rsidP="00B17DA4">
      <w:pPr>
        <w:pStyle w:val="ListParagraph"/>
        <w:numPr>
          <w:ilvl w:val="0"/>
          <w:numId w:val="35"/>
        </w:numPr>
      </w:pPr>
      <w:r w:rsidRPr="009F2407">
        <w:t xml:space="preserve">staff and labour to conduct the test, </w:t>
      </w:r>
    </w:p>
    <w:p w14:paraId="046A33F5" w14:textId="77777777" w:rsidR="00F53E4A" w:rsidRDefault="009F2407" w:rsidP="00B17DA4">
      <w:pPr>
        <w:pStyle w:val="ListParagraph"/>
        <w:numPr>
          <w:ilvl w:val="0"/>
          <w:numId w:val="35"/>
        </w:numPr>
      </w:pPr>
      <w:r w:rsidRPr="009F2407">
        <w:t xml:space="preserve">the </w:t>
      </w:r>
      <w:proofErr w:type="spellStart"/>
      <w:r w:rsidR="00B923E9">
        <w:t>EndoPredict</w:t>
      </w:r>
      <w:proofErr w:type="spellEnd"/>
      <w:r w:rsidR="00B923E9">
        <w:t xml:space="preserve">® </w:t>
      </w:r>
      <w:r w:rsidRPr="009F2407">
        <w:t xml:space="preserve">Kit, </w:t>
      </w:r>
      <w:r w:rsidR="00AE1419">
        <w:t>and</w:t>
      </w:r>
    </w:p>
    <w:p w14:paraId="7957E364" w14:textId="77777777" w:rsidR="00F53E4A" w:rsidRDefault="009F2407" w:rsidP="00B17DA4">
      <w:pPr>
        <w:pStyle w:val="ListParagraph"/>
        <w:numPr>
          <w:ilvl w:val="0"/>
          <w:numId w:val="35"/>
        </w:numPr>
      </w:pPr>
      <w:r w:rsidRPr="009F2407">
        <w:t xml:space="preserve">preparation of </w:t>
      </w:r>
      <w:r w:rsidR="00F53E4A">
        <w:t xml:space="preserve">the </w:t>
      </w:r>
      <w:r w:rsidRPr="009F2407">
        <w:t xml:space="preserve">tissue sample. </w:t>
      </w:r>
    </w:p>
    <w:p w14:paraId="3BBB65AB" w14:textId="77777777" w:rsidR="009F2407" w:rsidRDefault="009F2407" w:rsidP="00BC4EFE">
      <w:r w:rsidRPr="009F2407">
        <w:t xml:space="preserve">There would </w:t>
      </w:r>
      <w:r w:rsidR="00A55ED6">
        <w:t xml:space="preserve">also </w:t>
      </w:r>
      <w:r w:rsidRPr="009F2407">
        <w:t xml:space="preserve">be </w:t>
      </w:r>
      <w:r w:rsidR="00A55ED6">
        <w:t>additional</w:t>
      </w:r>
      <w:r w:rsidR="00A55ED6" w:rsidRPr="009F2407">
        <w:t xml:space="preserve"> </w:t>
      </w:r>
      <w:r w:rsidRPr="009F2407">
        <w:t>future cost</w:t>
      </w:r>
      <w:r w:rsidR="00A55ED6">
        <w:t>s</w:t>
      </w:r>
      <w:r w:rsidRPr="009F2407">
        <w:t xml:space="preserve"> associated with equipment service agreements when the instrument warranty expires.</w:t>
      </w:r>
      <w:r w:rsidR="00AC7761">
        <w:t xml:space="preserve"> </w:t>
      </w:r>
    </w:p>
    <w:p w14:paraId="49E8E4A0" w14:textId="1B5FF176" w:rsidR="0083189E" w:rsidRDefault="00CF3EDB">
      <w:r>
        <w:t xml:space="preserve">The applicant has proposed a fee of </w:t>
      </w:r>
      <w:r w:rsidR="00C245E7">
        <w:tab/>
        <w:t>REDACTED</w:t>
      </w:r>
      <w:r w:rsidR="00AE1419">
        <w:t xml:space="preserve"> </w:t>
      </w:r>
      <w:r w:rsidR="00332E4F">
        <w:t xml:space="preserve">for the new service </w:t>
      </w:r>
      <w:r w:rsidR="00302F2C">
        <w:t xml:space="preserve">when </w:t>
      </w:r>
      <w:r w:rsidR="00332E4F">
        <w:t>performed within Australian laboratories</w:t>
      </w:r>
      <w:r w:rsidR="00302F2C">
        <w:t xml:space="preserve">. </w:t>
      </w:r>
      <w:r w:rsidR="00AE1419">
        <w:t>As the proposed test is provided as a packaged item</w:t>
      </w:r>
      <w:r w:rsidR="00B57ED5">
        <w:t>`</w:t>
      </w:r>
      <w:r w:rsidR="00AE1419">
        <w:t>, there are no breakdown costs for individual components of</w:t>
      </w:r>
      <w:r w:rsidR="0018393E">
        <w:t xml:space="preserve"> the service</w:t>
      </w:r>
      <w:r w:rsidR="00AE1419">
        <w:t xml:space="preserve">. </w:t>
      </w:r>
    </w:p>
    <w:p w14:paraId="06979B88" w14:textId="77777777" w:rsidR="00BC4EFE" w:rsidRPr="00BC4EFE" w:rsidRDefault="00BC4EFE" w:rsidP="00005108">
      <w:pPr>
        <w:pStyle w:val="Heading1"/>
      </w:pPr>
      <w:r w:rsidRPr="00BC4EFE">
        <w:lastRenderedPageBreak/>
        <w:t xml:space="preserve">Clinical Management Algorithm - clinical place for the proposed intervention </w:t>
      </w:r>
    </w:p>
    <w:p w14:paraId="1C891EF6" w14:textId="77777777" w:rsidR="00741C4E" w:rsidRPr="00BE2386" w:rsidRDefault="00741C4E" w:rsidP="00BE2386">
      <w:pPr>
        <w:pStyle w:val="Heading2"/>
        <w:rPr>
          <w:i/>
          <w:sz w:val="24"/>
          <w:szCs w:val="24"/>
        </w:rPr>
      </w:pPr>
      <w:r w:rsidRPr="00BE2386">
        <w:rPr>
          <w:i/>
          <w:sz w:val="24"/>
          <w:szCs w:val="24"/>
        </w:rPr>
        <w:t>Clinical management pathways for the comparators</w:t>
      </w:r>
    </w:p>
    <w:p w14:paraId="537579C4" w14:textId="3D16AEF6" w:rsidR="0083189E" w:rsidRDefault="00B76BA0" w:rsidP="00BC4EFE">
      <w:r>
        <w:t xml:space="preserve">Using the current clinical pathway, patients have </w:t>
      </w:r>
      <w:r w:rsidR="00FC7DA8">
        <w:t xml:space="preserve">a diagnosis of </w:t>
      </w:r>
      <w:r>
        <w:t xml:space="preserve">primary breast cancer </w:t>
      </w:r>
      <w:r w:rsidR="00FC7DA8">
        <w:t xml:space="preserve">confirmed </w:t>
      </w:r>
      <w:r w:rsidR="00645A19">
        <w:t xml:space="preserve">by </w:t>
      </w:r>
      <w:r w:rsidR="00CC063B">
        <w:t xml:space="preserve">core </w:t>
      </w:r>
      <w:r w:rsidR="00645A19">
        <w:t>needle biopsy</w:t>
      </w:r>
      <w:r w:rsidR="00D30702">
        <w:t xml:space="preserve">. </w:t>
      </w:r>
      <w:r w:rsidR="00457F7F">
        <w:t xml:space="preserve">The patient </w:t>
      </w:r>
      <w:r>
        <w:t>would be placed under the care of an oncologist</w:t>
      </w:r>
      <w:r w:rsidR="00457F7F">
        <w:t xml:space="preserve"> and </w:t>
      </w:r>
      <w:r w:rsidR="00645A19">
        <w:t>assessed for surgery suitability</w:t>
      </w:r>
      <w:r w:rsidR="00457F7F">
        <w:t xml:space="preserve">. </w:t>
      </w:r>
      <w:r w:rsidR="00645A19">
        <w:t>Following surgical tumour removal or mastectomy, a pathologist will conduct a histological examination</w:t>
      </w:r>
      <w:r w:rsidR="00712B20">
        <w:t>,</w:t>
      </w:r>
      <w:r w:rsidR="00645A19">
        <w:t xml:space="preserve"> </w:t>
      </w:r>
      <w:r w:rsidR="00712B20" w:rsidRPr="00712B20">
        <w:t xml:space="preserve">assess ER and HER2 status </w:t>
      </w:r>
      <w:r w:rsidR="00645A19">
        <w:t>and tumour size and nodal status</w:t>
      </w:r>
      <w:r w:rsidR="00712B20">
        <w:t>, and report results</w:t>
      </w:r>
      <w:r w:rsidR="00645A19">
        <w:t xml:space="preserve"> to the oncologist. T</w:t>
      </w:r>
      <w:r w:rsidR="00A95A04">
        <w:t xml:space="preserve">he </w:t>
      </w:r>
      <w:r w:rsidR="00645A19">
        <w:t>oncologist</w:t>
      </w:r>
      <w:r w:rsidR="003F2291">
        <w:t xml:space="preserve"> </w:t>
      </w:r>
      <w:r w:rsidR="00A95A04">
        <w:t xml:space="preserve">will </w:t>
      </w:r>
      <w:r w:rsidR="00645A19">
        <w:t xml:space="preserve">further </w:t>
      </w:r>
      <w:r w:rsidR="00A95A04">
        <w:t>assess</w:t>
      </w:r>
      <w:r w:rsidR="00137EDF">
        <w:t xml:space="preserve"> </w:t>
      </w:r>
      <w:r w:rsidR="00645A19">
        <w:t xml:space="preserve">other clinical factors </w:t>
      </w:r>
      <w:r w:rsidR="00A95A04">
        <w:t xml:space="preserve">and classify </w:t>
      </w:r>
      <w:r w:rsidR="00645A19">
        <w:t xml:space="preserve">the </w:t>
      </w:r>
      <w:r w:rsidR="00A95A04">
        <w:t xml:space="preserve">patient as low, intermediate or high risk of disease recurrence. </w:t>
      </w:r>
      <w:r w:rsidR="009D6355">
        <w:t xml:space="preserve">For the base case scenario, this decision should be based on (in addition to ER+ve, HER2-ve status, tumour size and nodal status) Ki67 status, tumour </w:t>
      </w:r>
      <w:r w:rsidR="00BA15AB">
        <w:t xml:space="preserve">size, tumour </w:t>
      </w:r>
      <w:r w:rsidR="009D6355">
        <w:t xml:space="preserve">grade and other </w:t>
      </w:r>
      <w:r w:rsidR="004960A8">
        <w:t>markers most</w:t>
      </w:r>
      <w:r w:rsidR="009D6355">
        <w:t xml:space="preserve"> likely to be used in the Australian population. </w:t>
      </w:r>
      <w:r w:rsidR="00A95A04">
        <w:t xml:space="preserve">Treatment </w:t>
      </w:r>
      <w:r w:rsidR="00C80F13">
        <w:t xml:space="preserve">with </w:t>
      </w:r>
      <w:r w:rsidR="00A95A04">
        <w:t xml:space="preserve">endocrine therapy </w:t>
      </w:r>
      <w:r w:rsidR="00C80F13">
        <w:t>is</w:t>
      </w:r>
      <w:r w:rsidR="00A95A04">
        <w:t xml:space="preserve"> given to all patients, and </w:t>
      </w:r>
      <w:r w:rsidR="006A0D59">
        <w:t xml:space="preserve">adjuvant </w:t>
      </w:r>
      <w:r w:rsidR="00A95A04">
        <w:t xml:space="preserve">chemotherapy </w:t>
      </w:r>
      <w:r w:rsidR="00C80F13">
        <w:t xml:space="preserve">is administered </w:t>
      </w:r>
      <w:r w:rsidR="00A95A04">
        <w:t>to high risk and some intermediate risk patients.</w:t>
      </w:r>
      <w:r w:rsidR="000630CB">
        <w:t xml:space="preserve"> The current clinical management algorithm for patients who have ER+ve, HER2-ve primary breast cancer is shown in</w:t>
      </w:r>
      <w:r w:rsidR="00480251">
        <w:t xml:space="preserve"> </w:t>
      </w:r>
      <w:r w:rsidR="00480251">
        <w:fldChar w:fldCharType="begin"/>
      </w:r>
      <w:r w:rsidR="00480251">
        <w:instrText xml:space="preserve"> REF _Ref420322408 \h </w:instrText>
      </w:r>
      <w:r w:rsidR="00480251">
        <w:fldChar w:fldCharType="separate"/>
      </w:r>
      <w:r w:rsidR="00126DA6">
        <w:t xml:space="preserve">Figure </w:t>
      </w:r>
      <w:r w:rsidR="00126DA6">
        <w:rPr>
          <w:noProof/>
        </w:rPr>
        <w:t>1</w:t>
      </w:r>
      <w:r w:rsidR="00480251">
        <w:fldChar w:fldCharType="end"/>
      </w:r>
      <w:r w:rsidR="00C3423D">
        <w:t xml:space="preserve">. </w:t>
      </w:r>
    </w:p>
    <w:p w14:paraId="4767B264" w14:textId="77777777" w:rsidR="00535A29" w:rsidRDefault="00535A29" w:rsidP="00B70B0A">
      <w:pPr>
        <w:spacing w:after="0"/>
      </w:pPr>
      <w:r>
        <w:t xml:space="preserve">Although the main comparator to be assessed is “current clinical practice” (as outlined above), PASC requested that </w:t>
      </w:r>
      <w:r w:rsidR="00E0397A">
        <w:t>the proposed prognostic pathway</w:t>
      </w:r>
      <w:r w:rsidR="000B68ED">
        <w:t xml:space="preserve"> also</w:t>
      </w:r>
      <w:r w:rsidR="00E0397A">
        <w:t xml:space="preserve"> be compared with recommendations of current international clinical guidelines. </w:t>
      </w:r>
      <w:r w:rsidR="00630EA8">
        <w:t xml:space="preserve"> In addition, PASC requested that </w:t>
      </w:r>
      <w:r w:rsidR="008A38B1">
        <w:t xml:space="preserve">management using the </w:t>
      </w:r>
      <w:proofErr w:type="spellStart"/>
      <w:r w:rsidR="008A38B1">
        <w:t>EndoPredict</w:t>
      </w:r>
      <w:proofErr w:type="spellEnd"/>
      <w:r w:rsidR="008A38B1">
        <w:t xml:space="preserve">® tool be compared with </w:t>
      </w:r>
      <w:r w:rsidR="00E0397A">
        <w:t xml:space="preserve">the alternative prognostic tools </w:t>
      </w:r>
      <w:proofErr w:type="spellStart"/>
      <w:r w:rsidR="00E0397A">
        <w:t>OncotypeDX</w:t>
      </w:r>
      <w:proofErr w:type="spellEnd"/>
      <w:r w:rsidR="000B68ED">
        <w:t>®</w:t>
      </w:r>
      <w:r w:rsidR="00E30108">
        <w:t xml:space="preserve"> and </w:t>
      </w:r>
      <w:proofErr w:type="spellStart"/>
      <w:r w:rsidR="00E30108">
        <w:t>MammaPrint</w:t>
      </w:r>
      <w:proofErr w:type="spellEnd"/>
      <w:r w:rsidR="000B68ED">
        <w:t>®</w:t>
      </w:r>
      <w:r w:rsidR="00E30108">
        <w:t xml:space="preserve"> as submissions on these tests may be considered in the near future</w:t>
      </w:r>
      <w:r w:rsidR="008A38B1">
        <w:t>.</w:t>
      </w:r>
      <w:r w:rsidR="00E30108">
        <w:t xml:space="preserve"> </w:t>
      </w:r>
      <w:r w:rsidR="008957A2">
        <w:t xml:space="preserve">These </w:t>
      </w:r>
      <w:r w:rsidR="008A38B1">
        <w:t xml:space="preserve">pathways </w:t>
      </w:r>
      <w:r w:rsidR="008957A2">
        <w:t xml:space="preserve">are shown in </w:t>
      </w:r>
      <w:r w:rsidR="00480251">
        <w:fldChar w:fldCharType="begin"/>
      </w:r>
      <w:r w:rsidR="00480251">
        <w:instrText xml:space="preserve"> REF _Ref428784925 \h </w:instrText>
      </w:r>
      <w:r w:rsidR="00480251">
        <w:fldChar w:fldCharType="separate"/>
      </w:r>
      <w:r w:rsidR="00126DA6">
        <w:t xml:space="preserve">Figure </w:t>
      </w:r>
      <w:r w:rsidR="00126DA6">
        <w:rPr>
          <w:noProof/>
        </w:rPr>
        <w:t>2</w:t>
      </w:r>
      <w:r w:rsidR="00480251">
        <w:fldChar w:fldCharType="end"/>
      </w:r>
      <w:r w:rsidR="008A38B1">
        <w:t>.</w:t>
      </w:r>
      <w:r w:rsidR="00480251">
        <w:t xml:space="preserve"> </w:t>
      </w:r>
    </w:p>
    <w:p w14:paraId="703373E0" w14:textId="77777777" w:rsidR="00B76BA0" w:rsidRDefault="00B76BA0" w:rsidP="00B70B0A">
      <w:pPr>
        <w:keepNext/>
        <w:spacing w:after="0"/>
      </w:pPr>
    </w:p>
    <w:p w14:paraId="00F15882" w14:textId="77777777" w:rsidR="00303AA1" w:rsidRDefault="00246FE0" w:rsidP="009D55C3">
      <w:pPr>
        <w:keepNext/>
      </w:pPr>
      <w:r>
        <w:rPr>
          <w:noProof/>
          <w:lang w:eastAsia="en-AU"/>
        </w:rPr>
        <w:drawing>
          <wp:inline distT="0" distB="0" distL="0" distR="0" wp14:anchorId="3DDFB256" wp14:editId="49C95420">
            <wp:extent cx="4905375" cy="5029200"/>
            <wp:effectExtent l="0" t="0" r="9525" b="0"/>
            <wp:docPr id="3" name="Picture 3" descr="Figure 1 Management algorithm using current clinical practice (base case scenario) or international clinical guidelines for patients with ER+ve, HER2-ve primary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05375" cy="5029200"/>
                    </a:xfrm>
                    <a:prstGeom prst="rect">
                      <a:avLst/>
                    </a:prstGeom>
                  </pic:spPr>
                </pic:pic>
              </a:graphicData>
            </a:graphic>
          </wp:inline>
        </w:drawing>
      </w:r>
    </w:p>
    <w:p w14:paraId="45DD17B7" w14:textId="26D4E087" w:rsidR="00A95A04" w:rsidRDefault="00A95A04" w:rsidP="00A95A04">
      <w:pPr>
        <w:pStyle w:val="Caption"/>
      </w:pPr>
      <w:bookmarkStart w:id="6" w:name="_Ref420322408"/>
      <w:r>
        <w:t xml:space="preserve">Figure </w:t>
      </w:r>
      <w:r>
        <w:fldChar w:fldCharType="begin"/>
      </w:r>
      <w:r>
        <w:instrText xml:space="preserve"> SEQ Figure \* ARABIC </w:instrText>
      </w:r>
      <w:r>
        <w:fldChar w:fldCharType="separate"/>
      </w:r>
      <w:r w:rsidR="00126DA6">
        <w:rPr>
          <w:noProof/>
        </w:rPr>
        <w:t>1</w:t>
      </w:r>
      <w:r>
        <w:fldChar w:fldCharType="end"/>
      </w:r>
      <w:bookmarkEnd w:id="6"/>
      <w:r>
        <w:tab/>
      </w:r>
      <w:r w:rsidR="00E40B27">
        <w:t xml:space="preserve">Management algorithm </w:t>
      </w:r>
      <w:r w:rsidR="002D18E5">
        <w:t xml:space="preserve">using current clinical practice (base case scenario) </w:t>
      </w:r>
      <w:r w:rsidR="00E40B27">
        <w:t>or</w:t>
      </w:r>
      <w:r w:rsidR="002D18E5">
        <w:t xml:space="preserve"> international clinical guidelines</w:t>
      </w:r>
      <w:r w:rsidR="00E40B27">
        <w:t xml:space="preserve"> </w:t>
      </w:r>
      <w:r w:rsidR="00E40B27" w:rsidRPr="00E40B27">
        <w:t>for patients with ER+ve, HER2-ve primary breast cancer</w:t>
      </w:r>
    </w:p>
    <w:p w14:paraId="4DE3B2EE" w14:textId="20EC0A9C" w:rsidR="00A95A04" w:rsidRDefault="00645A19" w:rsidP="00B90AFA">
      <w:pPr>
        <w:spacing w:after="0"/>
        <w:rPr>
          <w:sz w:val="18"/>
          <w:szCs w:val="18"/>
          <w:lang w:val="en-GB" w:eastAsia="ja-JP"/>
        </w:rPr>
      </w:pPr>
      <w:r w:rsidRPr="00645A19">
        <w:rPr>
          <w:sz w:val="18"/>
          <w:szCs w:val="18"/>
          <w:lang w:val="en-GB" w:eastAsia="ja-JP"/>
        </w:rPr>
        <w:t xml:space="preserve">ER+ve = oestrogen receptor positive; FFPE = formalin-fixed paraffin –embedded; HER2-ve human epidermal growth receptor negative; </w:t>
      </w:r>
    </w:p>
    <w:p w14:paraId="3E30C0C7" w14:textId="77777777" w:rsidR="00F96527" w:rsidRDefault="00E40B27" w:rsidP="00063C96">
      <w:pPr>
        <w:spacing w:after="0"/>
        <w:rPr>
          <w:sz w:val="18"/>
          <w:szCs w:val="18"/>
          <w:lang w:val="en-GB" w:eastAsia="ja-JP"/>
        </w:rPr>
      </w:pPr>
      <w:r>
        <w:rPr>
          <w:sz w:val="18"/>
          <w:szCs w:val="18"/>
          <w:lang w:val="en-GB" w:eastAsia="ja-JP"/>
        </w:rPr>
        <w:t>*Risk a</w:t>
      </w:r>
      <w:r w:rsidR="004960A8">
        <w:rPr>
          <w:sz w:val="18"/>
          <w:szCs w:val="18"/>
          <w:lang w:val="en-GB" w:eastAsia="ja-JP"/>
        </w:rPr>
        <w:t>ssessment based on</w:t>
      </w:r>
      <w:r w:rsidR="002D18E5">
        <w:rPr>
          <w:sz w:val="18"/>
          <w:szCs w:val="18"/>
          <w:lang w:val="en-GB" w:eastAsia="ja-JP"/>
        </w:rPr>
        <w:t xml:space="preserve"> ER/HER2 status, </w:t>
      </w:r>
      <w:r w:rsidR="004960A8">
        <w:rPr>
          <w:sz w:val="18"/>
          <w:szCs w:val="18"/>
          <w:lang w:val="en-GB" w:eastAsia="ja-JP"/>
        </w:rPr>
        <w:t>tumour size, nodal status, Ki67, tumour grade</w:t>
      </w:r>
      <w:r w:rsidR="002D18E5">
        <w:rPr>
          <w:sz w:val="18"/>
          <w:szCs w:val="18"/>
          <w:lang w:val="en-GB" w:eastAsia="ja-JP"/>
        </w:rPr>
        <w:t xml:space="preserve"> and</w:t>
      </w:r>
      <w:r w:rsidR="004960A8">
        <w:rPr>
          <w:sz w:val="18"/>
          <w:szCs w:val="18"/>
          <w:lang w:val="en-GB" w:eastAsia="ja-JP"/>
        </w:rPr>
        <w:t xml:space="preserve"> other markers most likely to be used in the Australian setting </w:t>
      </w:r>
      <w:r w:rsidR="00F96527">
        <w:rPr>
          <w:sz w:val="18"/>
          <w:szCs w:val="18"/>
          <w:lang w:val="en-GB" w:eastAsia="ja-JP"/>
        </w:rPr>
        <w:t>(base case scenario)</w:t>
      </w:r>
    </w:p>
    <w:p w14:paraId="6F605B1F" w14:textId="77777777" w:rsidR="002D18E5" w:rsidRDefault="002D18E5" w:rsidP="00063C96">
      <w:pPr>
        <w:spacing w:after="0"/>
        <w:rPr>
          <w:sz w:val="18"/>
          <w:szCs w:val="18"/>
          <w:lang w:val="en-GB" w:eastAsia="ja-JP"/>
        </w:rPr>
      </w:pPr>
      <w:r w:rsidRPr="00063C96">
        <w:rPr>
          <w:sz w:val="18"/>
          <w:szCs w:val="18"/>
          <w:vertAlign w:val="superscript"/>
          <w:lang w:val="en-GB" w:eastAsia="ja-JP"/>
        </w:rPr>
        <w:t>#</w:t>
      </w:r>
      <w:r w:rsidR="00E40B27" w:rsidRPr="00063C96">
        <w:rPr>
          <w:sz w:val="18"/>
          <w:szCs w:val="18"/>
          <w:lang w:val="en-GB" w:eastAsia="ja-JP"/>
        </w:rPr>
        <w:t>Risk a</w:t>
      </w:r>
      <w:r w:rsidRPr="00E40B27">
        <w:rPr>
          <w:sz w:val="18"/>
          <w:szCs w:val="18"/>
          <w:lang w:val="en-GB" w:eastAsia="ja-JP"/>
        </w:rPr>
        <w:t>ssessment</w:t>
      </w:r>
      <w:r>
        <w:rPr>
          <w:sz w:val="18"/>
          <w:szCs w:val="18"/>
          <w:lang w:val="en-GB" w:eastAsia="ja-JP"/>
        </w:rPr>
        <w:t xml:space="preserve"> based on </w:t>
      </w:r>
      <w:r w:rsidR="00E40B27">
        <w:rPr>
          <w:sz w:val="18"/>
          <w:szCs w:val="18"/>
          <w:lang w:val="en-GB" w:eastAsia="ja-JP"/>
        </w:rPr>
        <w:t xml:space="preserve">ER/HER2 status and </w:t>
      </w:r>
      <w:r>
        <w:rPr>
          <w:sz w:val="18"/>
          <w:szCs w:val="18"/>
          <w:lang w:val="en-GB" w:eastAsia="ja-JP"/>
        </w:rPr>
        <w:t>i</w:t>
      </w:r>
      <w:r w:rsidRPr="002D18E5">
        <w:rPr>
          <w:sz w:val="18"/>
          <w:szCs w:val="18"/>
          <w:lang w:val="en-GB" w:eastAsia="ja-JP"/>
        </w:rPr>
        <w:t xml:space="preserve">nternational clinical guidelines </w:t>
      </w:r>
      <w:r>
        <w:rPr>
          <w:sz w:val="18"/>
          <w:szCs w:val="18"/>
          <w:lang w:val="en-GB" w:eastAsia="ja-JP"/>
        </w:rPr>
        <w:t>such as</w:t>
      </w:r>
      <w:r w:rsidRPr="002D18E5">
        <w:rPr>
          <w:sz w:val="18"/>
          <w:szCs w:val="18"/>
          <w:lang w:val="en-GB" w:eastAsia="ja-JP"/>
        </w:rPr>
        <w:t xml:space="preserve"> St </w:t>
      </w:r>
      <w:proofErr w:type="spellStart"/>
      <w:r w:rsidRPr="002D18E5">
        <w:rPr>
          <w:sz w:val="18"/>
          <w:szCs w:val="18"/>
          <w:lang w:val="en-GB" w:eastAsia="ja-JP"/>
        </w:rPr>
        <w:t>Gallen</w:t>
      </w:r>
      <w:proofErr w:type="spellEnd"/>
      <w:r w:rsidRPr="002D18E5">
        <w:rPr>
          <w:sz w:val="18"/>
          <w:szCs w:val="18"/>
          <w:lang w:val="en-GB" w:eastAsia="ja-JP"/>
        </w:rPr>
        <w:t>, NCCN and German S3</w:t>
      </w:r>
    </w:p>
    <w:p w14:paraId="5E94A361" w14:textId="77777777" w:rsidR="00287519" w:rsidRDefault="00246FE0" w:rsidP="00BC4EFE">
      <w:r>
        <w:rPr>
          <w:noProof/>
          <w:lang w:eastAsia="en-AU"/>
        </w:rPr>
        <w:lastRenderedPageBreak/>
        <w:drawing>
          <wp:inline distT="0" distB="0" distL="0" distR="0" wp14:anchorId="4BAD2305" wp14:editId="4C255706">
            <wp:extent cx="4848225" cy="5619750"/>
            <wp:effectExtent l="0" t="0" r="9525" b="0"/>
            <wp:docPr id="1" name="Picture 1" descr="Figure 2  Management algorithm using current clinical practice or international clinical guidelines and alternative comparator prognostic tools for patients with ER+ve, HER2-ve primary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48225" cy="5619750"/>
                    </a:xfrm>
                    <a:prstGeom prst="rect">
                      <a:avLst/>
                    </a:prstGeom>
                  </pic:spPr>
                </pic:pic>
              </a:graphicData>
            </a:graphic>
          </wp:inline>
        </w:drawing>
      </w:r>
    </w:p>
    <w:p w14:paraId="074CA878" w14:textId="77777777" w:rsidR="00630EA8" w:rsidRPr="0078395B" w:rsidRDefault="00480251" w:rsidP="00480251">
      <w:pPr>
        <w:pStyle w:val="Caption"/>
      </w:pPr>
      <w:bookmarkStart w:id="7" w:name="_Ref428784925"/>
      <w:r>
        <w:t xml:space="preserve">Figure </w:t>
      </w:r>
      <w:r>
        <w:fldChar w:fldCharType="begin"/>
      </w:r>
      <w:r>
        <w:instrText xml:space="preserve"> SEQ Figure \* ARABIC </w:instrText>
      </w:r>
      <w:r>
        <w:fldChar w:fldCharType="separate"/>
      </w:r>
      <w:r w:rsidR="00126DA6">
        <w:rPr>
          <w:noProof/>
        </w:rPr>
        <w:t>2</w:t>
      </w:r>
      <w:r>
        <w:fldChar w:fldCharType="end"/>
      </w:r>
      <w:bookmarkEnd w:id="7"/>
      <w:r w:rsidR="00630EA8">
        <w:tab/>
      </w:r>
      <w:r w:rsidR="0078395B">
        <w:t xml:space="preserve"> </w:t>
      </w:r>
      <w:r w:rsidR="003E3C08">
        <w:t>M</w:t>
      </w:r>
      <w:r w:rsidR="0078395B">
        <w:t>anagement</w:t>
      </w:r>
      <w:r w:rsidR="00766226">
        <w:t xml:space="preserve"> </w:t>
      </w:r>
      <w:r w:rsidR="003E3C08">
        <w:t>algorithm using current clinical practice or international clinical guidelines and</w:t>
      </w:r>
      <w:r w:rsidR="0078395B">
        <w:t xml:space="preserve"> alternative comparator prognostic tools </w:t>
      </w:r>
      <w:r w:rsidR="003E3C08">
        <w:t>for</w:t>
      </w:r>
      <w:r w:rsidR="003E3C08" w:rsidRPr="003E3C08">
        <w:t xml:space="preserve"> patients with ER+ve, HER2-ve primary breast cancer</w:t>
      </w:r>
    </w:p>
    <w:p w14:paraId="22E7AA1C" w14:textId="77777777" w:rsidR="0078395B" w:rsidRDefault="0078395B" w:rsidP="00912D07">
      <w:pPr>
        <w:pStyle w:val="Tablefootnote"/>
        <w:rPr>
          <w:lang w:val="en-GB" w:eastAsia="ja-JP"/>
        </w:rPr>
      </w:pPr>
      <w:r w:rsidRPr="00645A19">
        <w:rPr>
          <w:lang w:val="en-GB" w:eastAsia="ja-JP"/>
        </w:rPr>
        <w:t>ER+ve = oestrogen receptor positive; FFPE = formalin-fixed paraffin –embedded; HER2-ve human epid</w:t>
      </w:r>
      <w:r>
        <w:rPr>
          <w:lang w:val="en-GB" w:eastAsia="ja-JP"/>
        </w:rPr>
        <w:t>ermal growth receptor negative</w:t>
      </w:r>
    </w:p>
    <w:p w14:paraId="2C75B596" w14:textId="77777777" w:rsidR="00287519" w:rsidRPr="00287519" w:rsidRDefault="00287519" w:rsidP="00287519">
      <w:pPr>
        <w:spacing w:after="0"/>
        <w:rPr>
          <w:rFonts w:ascii="Arial Narrow" w:hAnsi="Arial Narrow"/>
          <w:sz w:val="16"/>
          <w:szCs w:val="16"/>
          <w:lang w:val="en-GB" w:eastAsia="ja-JP"/>
        </w:rPr>
      </w:pPr>
      <w:r w:rsidRPr="00287519">
        <w:rPr>
          <w:rFonts w:ascii="Arial Narrow" w:hAnsi="Arial Narrow"/>
          <w:sz w:val="16"/>
          <w:szCs w:val="16"/>
          <w:lang w:val="en-GB" w:eastAsia="ja-JP"/>
        </w:rPr>
        <w:t>*Risk asses</w:t>
      </w:r>
      <w:r w:rsidR="005A2D11">
        <w:rPr>
          <w:rFonts w:ascii="Arial Narrow" w:hAnsi="Arial Narrow"/>
          <w:sz w:val="16"/>
          <w:szCs w:val="16"/>
          <w:lang w:val="en-GB" w:eastAsia="ja-JP"/>
        </w:rPr>
        <w:t xml:space="preserve">sment based on ER/HER2 status, </w:t>
      </w:r>
      <w:r w:rsidRPr="00287519">
        <w:rPr>
          <w:rFonts w:ascii="Arial Narrow" w:hAnsi="Arial Narrow"/>
          <w:sz w:val="16"/>
          <w:szCs w:val="16"/>
          <w:lang w:val="en-GB" w:eastAsia="ja-JP"/>
        </w:rPr>
        <w:t>tumour size, nodal status, Ki67, tumour grade and other markers most likely to be used in the Australian setting (base case scenario)</w:t>
      </w:r>
    </w:p>
    <w:p w14:paraId="3AC404EC" w14:textId="77777777" w:rsidR="00766226" w:rsidRDefault="00287519" w:rsidP="00287519">
      <w:pPr>
        <w:rPr>
          <w:i/>
        </w:rPr>
      </w:pPr>
      <w:r w:rsidRPr="005A2D11">
        <w:rPr>
          <w:rFonts w:ascii="Arial Narrow" w:hAnsi="Arial Narrow"/>
          <w:sz w:val="16"/>
          <w:szCs w:val="16"/>
          <w:vertAlign w:val="superscript"/>
          <w:lang w:val="en-GB" w:eastAsia="ja-JP"/>
        </w:rPr>
        <w:t>#</w:t>
      </w:r>
      <w:r w:rsidRPr="00287519">
        <w:rPr>
          <w:rFonts w:ascii="Arial Narrow" w:hAnsi="Arial Narrow"/>
          <w:sz w:val="16"/>
          <w:szCs w:val="16"/>
          <w:lang w:val="en-GB" w:eastAsia="ja-JP"/>
        </w:rPr>
        <w:t xml:space="preserve">Risk assessment based on ER/HER2 status and international clinical guidelines such as St </w:t>
      </w:r>
      <w:proofErr w:type="spellStart"/>
      <w:r w:rsidRPr="00287519">
        <w:rPr>
          <w:rFonts w:ascii="Arial Narrow" w:hAnsi="Arial Narrow"/>
          <w:sz w:val="16"/>
          <w:szCs w:val="16"/>
          <w:lang w:val="en-GB" w:eastAsia="ja-JP"/>
        </w:rPr>
        <w:t>Gallen</w:t>
      </w:r>
      <w:proofErr w:type="spellEnd"/>
      <w:r w:rsidRPr="00287519">
        <w:rPr>
          <w:rFonts w:ascii="Arial Narrow" w:hAnsi="Arial Narrow"/>
          <w:sz w:val="16"/>
          <w:szCs w:val="16"/>
          <w:lang w:val="en-GB" w:eastAsia="ja-JP"/>
        </w:rPr>
        <w:t>, NCCN and German S3</w:t>
      </w:r>
    </w:p>
    <w:p w14:paraId="0CFDABE0" w14:textId="77777777" w:rsidR="00063C96" w:rsidRDefault="00063C96" w:rsidP="00741C4E">
      <w:pPr>
        <w:pStyle w:val="Heading4"/>
      </w:pPr>
    </w:p>
    <w:p w14:paraId="7AB7778E" w14:textId="77777777" w:rsidR="00741C4E" w:rsidRPr="0083189E" w:rsidRDefault="00741C4E" w:rsidP="00741C4E">
      <w:pPr>
        <w:pStyle w:val="Heading4"/>
      </w:pPr>
      <w:r>
        <w:t>Proposed clinical management pathway</w:t>
      </w:r>
    </w:p>
    <w:p w14:paraId="6B7271DA" w14:textId="69FDD325" w:rsidR="002D5177" w:rsidRDefault="00A95A04" w:rsidP="006A7891">
      <w:r>
        <w:t>In the proposed management pathway</w:t>
      </w:r>
      <w:r w:rsidR="001577D8">
        <w:t xml:space="preserve"> </w:t>
      </w:r>
      <w:r w:rsidR="005A2D11">
        <w:t>(</w:t>
      </w:r>
      <w:r w:rsidR="005A2D11">
        <w:fldChar w:fldCharType="begin"/>
      </w:r>
      <w:r w:rsidR="005A2D11">
        <w:instrText xml:space="preserve"> REF _Ref428784955 \h </w:instrText>
      </w:r>
      <w:r w:rsidR="005A2D11">
        <w:fldChar w:fldCharType="separate"/>
      </w:r>
      <w:r w:rsidR="00126DA6">
        <w:t xml:space="preserve">Figure </w:t>
      </w:r>
      <w:r w:rsidR="00126DA6">
        <w:rPr>
          <w:noProof/>
        </w:rPr>
        <w:t>3</w:t>
      </w:r>
      <w:r w:rsidR="005A2D11">
        <w:fldChar w:fldCharType="end"/>
      </w:r>
      <w:r w:rsidR="005A2D11">
        <w:t xml:space="preserve">) </w:t>
      </w:r>
      <w:r>
        <w:t>patie</w:t>
      </w:r>
      <w:r w:rsidR="008D04FB">
        <w:t xml:space="preserve">nts with primary breast </w:t>
      </w:r>
      <w:r w:rsidR="007C5E86">
        <w:t xml:space="preserve">cancer diagnosed by core </w:t>
      </w:r>
      <w:r w:rsidR="00B458AB">
        <w:t xml:space="preserve">needle </w:t>
      </w:r>
      <w:r w:rsidR="007C5E86">
        <w:t>biopsy</w:t>
      </w:r>
      <w:r w:rsidR="000E469E">
        <w:t xml:space="preserve"> would </w:t>
      </w:r>
      <w:r w:rsidR="007C5E86">
        <w:t>have the sample</w:t>
      </w:r>
      <w:r w:rsidR="000E469E">
        <w:t xml:space="preserve"> sent to pathology for analysis</w:t>
      </w:r>
      <w:r w:rsidR="000C6F84">
        <w:t>, in the same manner as is performed</w:t>
      </w:r>
      <w:r w:rsidR="00F414AD">
        <w:t xml:space="preserve"> </w:t>
      </w:r>
      <w:r w:rsidR="00724FF5">
        <w:t>in current clinical practice</w:t>
      </w:r>
      <w:r w:rsidR="002D5177">
        <w:t xml:space="preserve"> </w:t>
      </w:r>
      <w:r w:rsidR="00F414AD">
        <w:t>(</w:t>
      </w:r>
      <w:r w:rsidR="005A2D11">
        <w:t xml:space="preserve">see </w:t>
      </w:r>
      <w:r w:rsidR="005A2D11">
        <w:fldChar w:fldCharType="begin"/>
      </w:r>
      <w:r w:rsidR="005A2D11">
        <w:instrText xml:space="preserve"> REF _Ref420322408 \h </w:instrText>
      </w:r>
      <w:r w:rsidR="005A2D11">
        <w:fldChar w:fldCharType="separate"/>
      </w:r>
      <w:r w:rsidR="00126DA6">
        <w:t xml:space="preserve">Figure </w:t>
      </w:r>
      <w:r w:rsidR="00126DA6">
        <w:rPr>
          <w:noProof/>
        </w:rPr>
        <w:t>1</w:t>
      </w:r>
      <w:r w:rsidR="005A2D11">
        <w:fldChar w:fldCharType="end"/>
      </w:r>
      <w:r w:rsidR="00F414AD">
        <w:t>)</w:t>
      </w:r>
      <w:r w:rsidR="000E469E">
        <w:t xml:space="preserve">. </w:t>
      </w:r>
      <w:r w:rsidR="00A91CF6">
        <w:t xml:space="preserve">Patients who </w:t>
      </w:r>
      <w:r w:rsidR="00B458AB">
        <w:t xml:space="preserve">are </w:t>
      </w:r>
      <w:r w:rsidR="00A91CF6">
        <w:t xml:space="preserve">assessed as suitable for surgery will undergo tumour removal. </w:t>
      </w:r>
      <w:r w:rsidR="007C5E86">
        <w:t xml:space="preserve">Following surgery, a pathologist will </w:t>
      </w:r>
      <w:r w:rsidR="00303AA1">
        <w:t xml:space="preserve">determine ER and HER2 </w:t>
      </w:r>
      <w:r w:rsidR="002D63A5">
        <w:t>status,</w:t>
      </w:r>
      <w:r w:rsidR="00303AA1">
        <w:t xml:space="preserve"> and </w:t>
      </w:r>
      <w:r w:rsidR="007C5E86">
        <w:t>assess tumour size and nodal s</w:t>
      </w:r>
      <w:r w:rsidR="00726654">
        <w:t>tatus</w:t>
      </w:r>
      <w:r w:rsidR="007C5E86">
        <w:t xml:space="preserve"> histologically and report results to the treating oncologist. The oncologist will further assess all clinical markers and for patients who are ER+ve, HER2-ve </w:t>
      </w:r>
      <w:r w:rsidR="001A352E">
        <w:t xml:space="preserve">and </w:t>
      </w:r>
      <w:r w:rsidR="009D0966">
        <w:t xml:space="preserve">determined to be </w:t>
      </w:r>
      <w:r w:rsidR="001A352E">
        <w:t>at intermediate risk</w:t>
      </w:r>
      <w:r w:rsidR="009D0966">
        <w:t>,</w:t>
      </w:r>
      <w:r w:rsidR="001A352E">
        <w:t xml:space="preserve"> </w:t>
      </w:r>
      <w:r w:rsidR="003103BF">
        <w:t xml:space="preserve">and </w:t>
      </w:r>
      <w:r w:rsidR="007C5E86">
        <w:t xml:space="preserve">the </w:t>
      </w:r>
      <w:proofErr w:type="spellStart"/>
      <w:r w:rsidR="007C5E86">
        <w:t>EndoPredict</w:t>
      </w:r>
      <w:proofErr w:type="spellEnd"/>
      <w:r w:rsidR="007C5E86">
        <w:t xml:space="preserve">® test </w:t>
      </w:r>
      <w:r w:rsidR="002D5177">
        <w:t xml:space="preserve">will be requested </w:t>
      </w:r>
      <w:r w:rsidR="00912D07">
        <w:t>(</w:t>
      </w:r>
      <w:r w:rsidR="003103BF">
        <w:t>or t</w:t>
      </w:r>
      <w:r w:rsidR="00912D07">
        <w:t xml:space="preserve">he alternative prognostic tools </w:t>
      </w:r>
      <w:proofErr w:type="spellStart"/>
      <w:r w:rsidR="003103BF">
        <w:t>MammaPrint</w:t>
      </w:r>
      <w:proofErr w:type="spellEnd"/>
      <w:r w:rsidR="00912D07">
        <w:t>®</w:t>
      </w:r>
      <w:r w:rsidR="003103BF">
        <w:t xml:space="preserve"> or </w:t>
      </w:r>
      <w:proofErr w:type="spellStart"/>
      <w:r w:rsidR="003103BF">
        <w:t>Oncotype</w:t>
      </w:r>
      <w:proofErr w:type="spellEnd"/>
      <w:r w:rsidR="003103BF">
        <w:t xml:space="preserve"> DX</w:t>
      </w:r>
      <w:r w:rsidR="00912D07">
        <w:t>®</w:t>
      </w:r>
      <w:r w:rsidR="003103BF">
        <w:t>)</w:t>
      </w:r>
      <w:r w:rsidR="007578A6">
        <w:t xml:space="preserve">, provided the patient is suitable for </w:t>
      </w:r>
      <w:r w:rsidR="007578A6">
        <w:lastRenderedPageBreak/>
        <w:t>adjuvant chemotherapy</w:t>
      </w:r>
      <w:r w:rsidR="007C5E86">
        <w:t xml:space="preserve">. </w:t>
      </w:r>
      <w:r w:rsidR="002D5177">
        <w:t xml:space="preserve">Alternatively patients may be assessed for risk using markers specified in an international guideline, and this assessment will be followed </w:t>
      </w:r>
      <w:r w:rsidR="005A2D11">
        <w:t xml:space="preserve">by </w:t>
      </w:r>
      <w:r w:rsidR="002D5177">
        <w:t xml:space="preserve">a request for the </w:t>
      </w:r>
      <w:proofErr w:type="spellStart"/>
      <w:r w:rsidR="002D5177">
        <w:t>EndoPredict</w:t>
      </w:r>
      <w:proofErr w:type="spellEnd"/>
      <w:r w:rsidR="002D5177">
        <w:t xml:space="preserve">® test for the appropriate </w:t>
      </w:r>
      <w:r w:rsidR="005A2D11">
        <w:t xml:space="preserve">(intermediate risk) </w:t>
      </w:r>
      <w:r w:rsidR="002D5177">
        <w:t xml:space="preserve">patients. </w:t>
      </w:r>
    </w:p>
    <w:p w14:paraId="69DBC421" w14:textId="77777777" w:rsidR="006A7891" w:rsidRDefault="000E469E" w:rsidP="00246FE0">
      <w:pPr>
        <w:spacing w:before="240" w:after="0"/>
      </w:pPr>
      <w:r>
        <w:t xml:space="preserve">Risk of disease recurrence is scored using </w:t>
      </w:r>
      <w:r w:rsidR="003103BF">
        <w:t xml:space="preserve">the </w:t>
      </w:r>
      <w:proofErr w:type="spellStart"/>
      <w:r w:rsidR="003103BF">
        <w:t>EndoPredict</w:t>
      </w:r>
      <w:proofErr w:type="spellEnd"/>
      <w:r w:rsidR="003103BF">
        <w:t xml:space="preserve">® </w:t>
      </w:r>
      <w:r>
        <w:t xml:space="preserve">tool </w:t>
      </w:r>
      <w:r w:rsidR="00F84A4C">
        <w:t xml:space="preserve">in an </w:t>
      </w:r>
      <w:r>
        <w:t xml:space="preserve">algorithm </w:t>
      </w:r>
      <w:r w:rsidR="00F84A4C">
        <w:t>which combined information on the</w:t>
      </w:r>
      <w:r w:rsidR="00315F82">
        <w:t xml:space="preserve"> gene expression profile</w:t>
      </w:r>
      <w:r>
        <w:t xml:space="preserve"> </w:t>
      </w:r>
      <w:r w:rsidR="00AD31D4">
        <w:t>with</w:t>
      </w:r>
      <w:r>
        <w:t xml:space="preserve"> tumour size and nodal status</w:t>
      </w:r>
      <w:r w:rsidR="00793C7D">
        <w:t xml:space="preserve"> (EPclin Score)</w:t>
      </w:r>
      <w:r>
        <w:t xml:space="preserve">. </w:t>
      </w:r>
      <w:r w:rsidR="00F84A4C">
        <w:t xml:space="preserve">The </w:t>
      </w:r>
      <w:proofErr w:type="spellStart"/>
      <w:r w:rsidR="00F84A4C">
        <w:t>EndoPredict</w:t>
      </w:r>
      <w:proofErr w:type="spellEnd"/>
      <w:r w:rsidR="00D03910">
        <w:t>®</w:t>
      </w:r>
      <w:r w:rsidR="00CE02BB">
        <w:t xml:space="preserve"> software produces a graph</w:t>
      </w:r>
      <w:r w:rsidR="00D03910">
        <w:t>, showing the risk of recurrence or metastases within 10 years, as well as a classification of high or low risk</w:t>
      </w:r>
      <w:r w:rsidR="00CE02BB">
        <w:t xml:space="preserve">. The </w:t>
      </w:r>
      <w:r>
        <w:t xml:space="preserve">oncologist </w:t>
      </w:r>
      <w:r w:rsidR="00CE02BB">
        <w:t xml:space="preserve">and patient </w:t>
      </w:r>
      <w:r>
        <w:t xml:space="preserve">will use </w:t>
      </w:r>
      <w:r w:rsidR="00CE02BB">
        <w:t xml:space="preserve">this </w:t>
      </w:r>
      <w:r>
        <w:t xml:space="preserve">to guide </w:t>
      </w:r>
      <w:r w:rsidR="00CE02BB">
        <w:t xml:space="preserve">the decision regarding </w:t>
      </w:r>
      <w:r>
        <w:t xml:space="preserve">therapy. </w:t>
      </w:r>
    </w:p>
    <w:p w14:paraId="2F00157C" w14:textId="77777777" w:rsidR="00246FE0" w:rsidRDefault="00246FE0" w:rsidP="00246FE0">
      <w:pPr>
        <w:spacing w:after="0"/>
      </w:pPr>
    </w:p>
    <w:p w14:paraId="3144F450" w14:textId="77777777" w:rsidR="00303AA1" w:rsidRPr="00BC4EFE" w:rsidRDefault="00246FE0" w:rsidP="006A7891">
      <w:pPr>
        <w:keepNext/>
      </w:pPr>
      <w:r>
        <w:rPr>
          <w:noProof/>
          <w:lang w:eastAsia="en-AU"/>
        </w:rPr>
        <w:drawing>
          <wp:inline distT="0" distB="0" distL="0" distR="0" wp14:anchorId="6CB9B01D" wp14:editId="2AA64238">
            <wp:extent cx="4819650" cy="5553075"/>
            <wp:effectExtent l="0" t="0" r="0" b="9525"/>
            <wp:docPr id="4" name="Picture 4" descr="Figure 3 Algorithm for the proposed clinical management of patients with ER+ve, HER2-ve primary breast can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19650" cy="5553075"/>
                    </a:xfrm>
                    <a:prstGeom prst="rect">
                      <a:avLst/>
                    </a:prstGeom>
                  </pic:spPr>
                </pic:pic>
              </a:graphicData>
            </a:graphic>
          </wp:inline>
        </w:drawing>
      </w:r>
    </w:p>
    <w:p w14:paraId="3D5D78BB" w14:textId="640BDBF0" w:rsidR="005E6858" w:rsidRDefault="00480251" w:rsidP="00F84B73">
      <w:pPr>
        <w:pStyle w:val="Caption"/>
        <w:rPr>
          <w:b w:val="0"/>
        </w:rPr>
      </w:pPr>
      <w:bookmarkStart w:id="8" w:name="_Ref428784955"/>
      <w:bookmarkStart w:id="9" w:name="_Ref420323009"/>
      <w:r>
        <w:t xml:space="preserve">Figure </w:t>
      </w:r>
      <w:r>
        <w:fldChar w:fldCharType="begin"/>
      </w:r>
      <w:r>
        <w:instrText xml:space="preserve"> SEQ Figure \* ARABIC </w:instrText>
      </w:r>
      <w:r>
        <w:fldChar w:fldCharType="separate"/>
      </w:r>
      <w:r w:rsidR="00126DA6">
        <w:rPr>
          <w:noProof/>
        </w:rPr>
        <w:t>3</w:t>
      </w:r>
      <w:r>
        <w:fldChar w:fldCharType="end"/>
      </w:r>
      <w:bookmarkEnd w:id="8"/>
      <w:bookmarkEnd w:id="9"/>
      <w:r>
        <w:tab/>
      </w:r>
      <w:r w:rsidR="005A2D11">
        <w:t>A</w:t>
      </w:r>
      <w:r w:rsidR="00C91848">
        <w:t xml:space="preserve">lgorithm for the proposed clinical management </w:t>
      </w:r>
      <w:r w:rsidR="00D34518">
        <w:t xml:space="preserve">of </w:t>
      </w:r>
      <w:r w:rsidR="00C91848">
        <w:t xml:space="preserve">patients with ER+ve, HER2-ve primary breast cancer </w:t>
      </w:r>
    </w:p>
    <w:p w14:paraId="45ED6557" w14:textId="77777777" w:rsidR="00F47F61" w:rsidRPr="00F84B73" w:rsidRDefault="00645A19" w:rsidP="00F84B73">
      <w:pPr>
        <w:keepLines/>
        <w:spacing w:after="0"/>
        <w:rPr>
          <w:sz w:val="18"/>
          <w:lang w:val="en-GB"/>
        </w:rPr>
      </w:pPr>
      <w:r w:rsidRPr="00645A19">
        <w:rPr>
          <w:sz w:val="18"/>
          <w:szCs w:val="18"/>
          <w:lang w:val="en-GB" w:eastAsia="ja-JP"/>
        </w:rPr>
        <w:t>ER+ve = oestrogen receptor positive; FFPE = formalin-fixed paraffin –embedded; HER2-ve human epidermal growth receptor negative; IHC = immunohistochemistry</w:t>
      </w:r>
      <w:r w:rsidR="007D7FCC">
        <w:rPr>
          <w:sz w:val="18"/>
          <w:szCs w:val="18"/>
          <w:lang w:val="en-GB" w:eastAsia="ja-JP"/>
        </w:rPr>
        <w:t>; ISH = in situ hybridisation</w:t>
      </w:r>
      <w:r w:rsidR="008A38B1">
        <w:rPr>
          <w:sz w:val="18"/>
          <w:szCs w:val="18"/>
          <w:lang w:val="en-GB" w:eastAsia="ja-JP"/>
        </w:rPr>
        <w:t xml:space="preserve">; </w:t>
      </w:r>
      <w:proofErr w:type="spellStart"/>
      <w:r w:rsidR="008A38B1">
        <w:rPr>
          <w:sz w:val="18"/>
          <w:szCs w:val="18"/>
          <w:lang w:val="en-GB" w:eastAsia="ja-JP"/>
        </w:rPr>
        <w:t>RTqPCR</w:t>
      </w:r>
      <w:proofErr w:type="spellEnd"/>
      <w:r w:rsidR="008A38B1">
        <w:rPr>
          <w:sz w:val="18"/>
          <w:szCs w:val="18"/>
          <w:lang w:val="en-GB" w:eastAsia="ja-JP"/>
        </w:rPr>
        <w:t xml:space="preserve"> = real time quantitative polymerase chain reaction</w:t>
      </w:r>
    </w:p>
    <w:p w14:paraId="3F55986B" w14:textId="77777777" w:rsidR="00FE30D7" w:rsidRPr="00FE30D7" w:rsidRDefault="00FE30D7" w:rsidP="00FE30D7">
      <w:pPr>
        <w:keepLines/>
        <w:spacing w:after="0"/>
        <w:rPr>
          <w:sz w:val="18"/>
          <w:szCs w:val="18"/>
          <w:lang w:val="en-GB" w:eastAsia="ja-JP"/>
        </w:rPr>
      </w:pPr>
      <w:r w:rsidRPr="00FE30D7">
        <w:rPr>
          <w:sz w:val="18"/>
          <w:szCs w:val="18"/>
          <w:lang w:val="en-GB" w:eastAsia="ja-JP"/>
        </w:rPr>
        <w:t>*Risk asses</w:t>
      </w:r>
      <w:r>
        <w:rPr>
          <w:sz w:val="18"/>
          <w:szCs w:val="18"/>
          <w:lang w:val="en-GB" w:eastAsia="ja-JP"/>
        </w:rPr>
        <w:t xml:space="preserve">sment based on ER/HER2 status, </w:t>
      </w:r>
      <w:r w:rsidRPr="00FE30D7">
        <w:rPr>
          <w:sz w:val="18"/>
          <w:szCs w:val="18"/>
          <w:lang w:val="en-GB" w:eastAsia="ja-JP"/>
        </w:rPr>
        <w:t>tumour size, nodal status, Ki67, tumour grade and other markers most likely to be used in the Australian setting (base case scenario)</w:t>
      </w:r>
    </w:p>
    <w:p w14:paraId="51C5043B" w14:textId="77777777" w:rsidR="00FE30D7" w:rsidRDefault="00FE30D7" w:rsidP="00FE30D7">
      <w:pPr>
        <w:keepLines/>
        <w:spacing w:after="0"/>
        <w:rPr>
          <w:sz w:val="18"/>
          <w:szCs w:val="18"/>
          <w:lang w:val="en-GB" w:eastAsia="ja-JP"/>
        </w:rPr>
      </w:pPr>
      <w:r w:rsidRPr="005A2D11">
        <w:rPr>
          <w:sz w:val="18"/>
          <w:szCs w:val="18"/>
          <w:vertAlign w:val="superscript"/>
          <w:lang w:val="en-GB" w:eastAsia="ja-JP"/>
        </w:rPr>
        <w:t>#</w:t>
      </w:r>
      <w:r w:rsidRPr="00FE30D7">
        <w:rPr>
          <w:sz w:val="18"/>
          <w:szCs w:val="18"/>
          <w:lang w:val="en-GB" w:eastAsia="ja-JP"/>
        </w:rPr>
        <w:t xml:space="preserve">Risk assessment based on ER/HER2 status and international clinical guidelines such as St </w:t>
      </w:r>
      <w:proofErr w:type="spellStart"/>
      <w:r w:rsidRPr="00FE30D7">
        <w:rPr>
          <w:sz w:val="18"/>
          <w:szCs w:val="18"/>
          <w:lang w:val="en-GB" w:eastAsia="ja-JP"/>
        </w:rPr>
        <w:t>Gallen</w:t>
      </w:r>
      <w:proofErr w:type="spellEnd"/>
      <w:r w:rsidRPr="00FE30D7">
        <w:rPr>
          <w:sz w:val="18"/>
          <w:szCs w:val="18"/>
          <w:lang w:val="en-GB" w:eastAsia="ja-JP"/>
        </w:rPr>
        <w:t>, NCCN and German S3</w:t>
      </w:r>
    </w:p>
    <w:p w14:paraId="0E403097" w14:textId="77777777" w:rsidR="00BC4EFE" w:rsidRPr="00BC4EFE" w:rsidRDefault="00BC4EFE" w:rsidP="00005108">
      <w:pPr>
        <w:pStyle w:val="Heading1"/>
      </w:pPr>
      <w:r w:rsidRPr="00BC4EFE">
        <w:lastRenderedPageBreak/>
        <w:t>Regulatory Information</w:t>
      </w:r>
    </w:p>
    <w:p w14:paraId="1A78F454" w14:textId="6E4F1865" w:rsidR="00AC0339" w:rsidRDefault="00AC0339" w:rsidP="00AC0339">
      <w:pPr>
        <w:spacing w:after="0"/>
      </w:pPr>
      <w:r>
        <w:t xml:space="preserve">The proposed new service uses </w:t>
      </w:r>
      <w:r w:rsidR="002B0852">
        <w:t>RT-qPCR</w:t>
      </w:r>
      <w:r>
        <w:t xml:space="preserve"> methodology to produce a gene expression profile, and as such is classified as an </w:t>
      </w:r>
      <w:r w:rsidRPr="00425079">
        <w:rPr>
          <w:i/>
        </w:rPr>
        <w:t>in vitro</w:t>
      </w:r>
      <w:r>
        <w:t xml:space="preserve"> diagnostic test (IVD), which must be registered and approved by the TGA. </w:t>
      </w:r>
      <w:r w:rsidR="00AD31D4">
        <w:t xml:space="preserve">As a registered </w:t>
      </w:r>
      <w:r>
        <w:t xml:space="preserve">IVD </w:t>
      </w:r>
      <w:r w:rsidR="00AD31D4">
        <w:t>it</w:t>
      </w:r>
      <w:r>
        <w:t xml:space="preserve"> come</w:t>
      </w:r>
      <w:r w:rsidR="00AD31D4">
        <w:t>s</w:t>
      </w:r>
      <w:r>
        <w:t xml:space="preserve"> under the regulation of the National </w:t>
      </w:r>
      <w:r w:rsidR="0065283D">
        <w:t xml:space="preserve">Pathology </w:t>
      </w:r>
      <w:r>
        <w:t xml:space="preserve">Accreditation Advisory </w:t>
      </w:r>
      <w:r w:rsidR="0065283D">
        <w:t xml:space="preserve">Council </w:t>
      </w:r>
      <w:r>
        <w:t xml:space="preserve">(NPAAC). NPAAC have published the following guidelines which are relevant to the regulation of </w:t>
      </w:r>
      <w:r w:rsidR="001176E4">
        <w:t>IVDs</w:t>
      </w:r>
      <w:r>
        <w:t xml:space="preserve"> and genetic testing:</w:t>
      </w:r>
    </w:p>
    <w:p w14:paraId="2D41F496" w14:textId="187C5828" w:rsidR="00C32677" w:rsidRDefault="0081141A" w:rsidP="0081141A">
      <w:pPr>
        <w:pStyle w:val="ListParagraph"/>
        <w:numPr>
          <w:ilvl w:val="0"/>
          <w:numId w:val="32"/>
        </w:numPr>
        <w:spacing w:after="0"/>
        <w:ind w:left="567" w:hanging="283"/>
      </w:pPr>
      <w:r>
        <w:t>Requirements for medical pathology services (1</w:t>
      </w:r>
      <w:r w:rsidRPr="0081141A">
        <w:rPr>
          <w:vertAlign w:val="superscript"/>
        </w:rPr>
        <w:t>st</w:t>
      </w:r>
      <w:r>
        <w:t xml:space="preserve"> edition 2013) </w:t>
      </w:r>
      <w:r>
        <w:fldChar w:fldCharType="begin"/>
      </w:r>
      <w:r>
        <w:instrText xml:space="preserve"> ADDIN EN.CITE &lt;EndNote&gt;&lt;Cite&gt;&lt;Author&gt;NPAAC&lt;/Author&gt;&lt;Year&gt;2013&lt;/Year&gt;&lt;RecNum&gt;44&lt;/RecNum&gt;&lt;DisplayText&gt;(NPAAC 2013a)&lt;/DisplayText&gt;&lt;record&gt;&lt;rec-number&gt;44&lt;/rec-number&gt;&lt;foreign-keys&gt;&lt;key app="EN" db-id="ttvewf9xnepwp2edxe5xxzfw9et0wp9vf9wd" timestamp="1431581847"&gt;44&lt;/key&gt;&lt;/foreign-keys&gt;&lt;ref-type name="Report"&gt;27&lt;/ref-type&gt;&lt;contributors&gt;&lt;authors&gt;&lt;author&gt;NPAAC&lt;/author&gt;&lt;/authors&gt;&lt;/contributors&gt;&lt;titles&gt;&lt;title&gt;Requirements for medical pathology services&lt;/title&gt;&lt;/titles&gt;&lt;edition&gt;1st edition&lt;/edition&gt;&lt;dates&gt;&lt;year&gt;2013&lt;/year&gt;&lt;/dates&gt;&lt;urls&gt;&lt;related-urls&gt;&lt;url&gt;http://www.health.gov.au/internet/main/publishing.nsf/Content/21B7F24866EF1DEECA257C2A001EC403/$File/Reqmts%20for%20Medical%20Path%20Services.pdf&lt;/url&gt;&lt;/related-urls&gt;&lt;/urls&gt;&lt;/record&gt;&lt;/Cite&gt;&lt;/EndNote&gt;</w:instrText>
      </w:r>
      <w:r>
        <w:fldChar w:fldCharType="separate"/>
      </w:r>
      <w:r>
        <w:rPr>
          <w:noProof/>
        </w:rPr>
        <w:t>(</w:t>
      </w:r>
      <w:hyperlink w:anchor="_ENREF_15" w:tooltip="NPAAC, 2013 #44" w:history="1">
        <w:r w:rsidR="009558F1">
          <w:rPr>
            <w:noProof/>
          </w:rPr>
          <w:t>NPAAC 2013a</w:t>
        </w:r>
      </w:hyperlink>
      <w:r>
        <w:rPr>
          <w:noProof/>
        </w:rPr>
        <w:t>)</w:t>
      </w:r>
      <w:r>
        <w:fldChar w:fldCharType="end"/>
      </w:r>
      <w:r w:rsidR="0065283D">
        <w:t>, and</w:t>
      </w:r>
    </w:p>
    <w:p w14:paraId="5650EF90" w14:textId="151E47A5" w:rsidR="00AC0339" w:rsidRDefault="00C32677" w:rsidP="0081141A">
      <w:pPr>
        <w:pStyle w:val="ListParagraph"/>
        <w:numPr>
          <w:ilvl w:val="0"/>
          <w:numId w:val="31"/>
        </w:numPr>
        <w:ind w:left="567" w:hanging="283"/>
      </w:pPr>
      <w:r>
        <w:t>Requirements for medical testing of human nucleic acids</w:t>
      </w:r>
      <w:r w:rsidR="00AC0339">
        <w:t xml:space="preserve"> (</w:t>
      </w:r>
      <w:r>
        <w:t>2</w:t>
      </w:r>
      <w:r w:rsidRPr="00C32677">
        <w:rPr>
          <w:vertAlign w:val="superscript"/>
        </w:rPr>
        <w:t>nd</w:t>
      </w:r>
      <w:r>
        <w:t xml:space="preserve"> edition </w:t>
      </w:r>
      <w:r w:rsidR="00AC0339">
        <w:t>201</w:t>
      </w:r>
      <w:r>
        <w:t xml:space="preserve">3) </w:t>
      </w:r>
      <w:r>
        <w:fldChar w:fldCharType="begin"/>
      </w:r>
      <w:r w:rsidR="00540D92">
        <w:instrText xml:space="preserve"> ADDIN EN.CITE &lt;EndNote&gt;&lt;Cite&gt;&lt;Author&gt;NPAAC&lt;/Author&gt;&lt;Year&gt;2013&lt;/Year&gt;&lt;RecNum&gt;43&lt;/RecNum&gt;&lt;DisplayText&gt;(NPAAC 2013b)&lt;/DisplayText&gt;&lt;record&gt;&lt;rec-number&gt;43&lt;/rec-number&gt;&lt;foreign-keys&gt;&lt;key app="EN" db-id="ttvewf9xnepwp2edxe5xxzfw9et0wp9vf9wd" timestamp="1431581514"&gt;43&lt;/key&gt;&lt;/foreign-keys&gt;&lt;ref-type name="Report"&gt;27&lt;/ref-type&gt;&lt;contributors&gt;&lt;authors&gt;&lt;author&gt;NPAAC&lt;/author&gt;&lt;/authors&gt;&lt;/contributors&gt;&lt;titles&gt;&lt;title&gt;Requirements for medical testing of human nucleic acids&lt;/title&gt;&lt;/titles&gt;&lt;edition&gt;2nd edition&lt;/edition&gt;&lt;dates&gt;&lt;year&gt;2013&lt;/year&gt;&lt;/dates&gt;&lt;urls&gt;&lt;related-urls&gt;&lt;url&gt;http://www.health.gov.au/internet/main/publishing.nsf/Content/E688964F88F4FD20CA257BF0001B739D/$File/V0.25%20NAD%20Human%20Genetics.pdf&lt;/url&gt;&lt;/related-urls&gt;&lt;/urls&gt;&lt;/record&gt;&lt;/Cite&gt;&lt;/EndNote&gt;</w:instrText>
      </w:r>
      <w:r>
        <w:fldChar w:fldCharType="separate"/>
      </w:r>
      <w:r w:rsidR="00540D92">
        <w:rPr>
          <w:noProof/>
        </w:rPr>
        <w:t>(</w:t>
      </w:r>
      <w:hyperlink w:anchor="_ENREF_16" w:tooltip="NPAAC, 2013 #43" w:history="1">
        <w:r w:rsidR="009558F1">
          <w:rPr>
            <w:noProof/>
          </w:rPr>
          <w:t>NPAAC 2013b</w:t>
        </w:r>
      </w:hyperlink>
      <w:r w:rsidR="00540D92">
        <w:rPr>
          <w:noProof/>
        </w:rPr>
        <w:t>)</w:t>
      </w:r>
      <w:r>
        <w:fldChar w:fldCharType="end"/>
      </w:r>
      <w:r w:rsidR="0065283D">
        <w:t>.</w:t>
      </w:r>
    </w:p>
    <w:p w14:paraId="7A0355AE" w14:textId="77777777" w:rsidR="00F47F61" w:rsidRDefault="00F47F61" w:rsidP="0081141A">
      <w:pPr>
        <w:spacing w:after="0"/>
      </w:pPr>
      <w:r w:rsidRPr="00F47F61">
        <w:t>Myriad Genetics has</w:t>
      </w:r>
      <w:r w:rsidR="00C532EE">
        <w:t xml:space="preserve"> stated that</w:t>
      </w:r>
      <w:r w:rsidRPr="00F47F61">
        <w:t xml:space="preserve"> </w:t>
      </w:r>
      <w:proofErr w:type="spellStart"/>
      <w:r w:rsidR="00AD31D4">
        <w:t>EndoPredict</w:t>
      </w:r>
      <w:proofErr w:type="spellEnd"/>
      <w:r w:rsidR="00AD31D4">
        <w:t xml:space="preserve">® </w:t>
      </w:r>
      <w:r w:rsidR="003C6755">
        <w:t xml:space="preserve">will be </w:t>
      </w:r>
      <w:r w:rsidR="00F773C7">
        <w:t xml:space="preserve">undergoing registration </w:t>
      </w:r>
      <w:r w:rsidRPr="00F47F61">
        <w:t xml:space="preserve">with the Therapeutic Goods Administration (TGA) (ARTG TBC, class 3 IVD). In addition, a submission to the TGA for approval has been made for the medical device 10282939 </w:t>
      </w:r>
      <w:proofErr w:type="spellStart"/>
      <w:r w:rsidRPr="00F47F61">
        <w:t>kPCR</w:t>
      </w:r>
      <w:proofErr w:type="spellEnd"/>
      <w:r w:rsidRPr="00F47F61">
        <w:t xml:space="preserve"> Amplification/Detection (AD Module), which is </w:t>
      </w:r>
      <w:r w:rsidR="00F773C7">
        <w:t>manufactured</w:t>
      </w:r>
      <w:r w:rsidR="00F773C7" w:rsidRPr="00F47F61">
        <w:t xml:space="preserve"> </w:t>
      </w:r>
      <w:r w:rsidRPr="00F47F61">
        <w:t xml:space="preserve">by </w:t>
      </w:r>
      <w:r w:rsidR="00F773C7">
        <w:t>Siemens</w:t>
      </w:r>
      <w:r w:rsidR="00F773C7" w:rsidRPr="00F47F61">
        <w:t xml:space="preserve"> </w:t>
      </w:r>
      <w:r w:rsidRPr="00F47F61">
        <w:t>(ARTG identifier 175890).</w:t>
      </w:r>
    </w:p>
    <w:p w14:paraId="6CFAE367" w14:textId="77777777" w:rsidR="00F47F61" w:rsidRDefault="00F47F61" w:rsidP="0081141A">
      <w:pPr>
        <w:spacing w:after="0"/>
      </w:pPr>
    </w:p>
    <w:p w14:paraId="1F030433" w14:textId="6762F533" w:rsidR="00AE13CD" w:rsidRPr="00B014CB" w:rsidRDefault="00AE13CD" w:rsidP="00AE13CD">
      <w:pPr>
        <w:ind w:left="360"/>
        <w:rPr>
          <w:iCs/>
          <w:lang w:val="en-GB"/>
        </w:rPr>
      </w:pPr>
      <w:r w:rsidRPr="00B014CB">
        <w:rPr>
          <w:iCs/>
          <w:lang w:val="en-GB"/>
        </w:rPr>
        <w:t>On the recommendation of their TGA consultant, the applicant comple</w:t>
      </w:r>
      <w:r w:rsidRPr="00AE13CD">
        <w:rPr>
          <w:iCs/>
          <w:lang w:val="en-GB"/>
        </w:rPr>
        <w:t>ted an external audit and ha</w:t>
      </w:r>
      <w:r>
        <w:rPr>
          <w:iCs/>
          <w:lang w:val="en-GB"/>
        </w:rPr>
        <w:t>s</w:t>
      </w:r>
      <w:r w:rsidRPr="00B014CB">
        <w:rPr>
          <w:iCs/>
          <w:lang w:val="en-GB"/>
        </w:rPr>
        <w:t xml:space="preserve"> gained the International Standardisation Organisation certification 13485 (with appropriate recognition through the International Accreditation Forum) in conjunction with Canada Medical Devices Conformity Assessment System and third party US Food and Drug Association inspection requirements.</w:t>
      </w:r>
    </w:p>
    <w:p w14:paraId="4F7ABAE7" w14:textId="77777777" w:rsidR="00AE13CD" w:rsidRDefault="00AE13CD" w:rsidP="0081141A">
      <w:pPr>
        <w:spacing w:after="0"/>
      </w:pPr>
    </w:p>
    <w:p w14:paraId="6FF2D589" w14:textId="057C7107" w:rsidR="00C32677" w:rsidRDefault="00C32677" w:rsidP="00005108"/>
    <w:p w14:paraId="51F6D0FE" w14:textId="77777777" w:rsidR="00BC4EFE" w:rsidRPr="00BC4EFE" w:rsidRDefault="00BC4EFE" w:rsidP="00005108">
      <w:pPr>
        <w:pStyle w:val="Heading1"/>
      </w:pPr>
      <w:r w:rsidRPr="00BC4EFE">
        <w:t>Decision analytic</w:t>
      </w:r>
    </w:p>
    <w:p w14:paraId="5176D03C" w14:textId="1BBC6118" w:rsidR="00CA6B7C" w:rsidRDefault="00CA6B7C" w:rsidP="00BC4EFE">
      <w:r>
        <w:t>If funded t</w:t>
      </w:r>
      <w:r w:rsidRPr="00CA6B7C">
        <w:t xml:space="preserve">he proposed new service </w:t>
      </w:r>
      <w:r>
        <w:t xml:space="preserve">would be added to the current decision pathway for treatment of ER+ve, HER2-ve </w:t>
      </w:r>
      <w:r w:rsidR="009779E5">
        <w:t xml:space="preserve">primary </w:t>
      </w:r>
      <w:r>
        <w:t>breast cancer</w:t>
      </w:r>
      <w:r w:rsidR="00C27194">
        <w:t xml:space="preserve">, and would be an alternative to </w:t>
      </w:r>
      <w:proofErr w:type="spellStart"/>
      <w:r w:rsidR="00C27194">
        <w:t>MammaPrint</w:t>
      </w:r>
      <w:proofErr w:type="spellEnd"/>
      <w:r w:rsidR="00B24C84">
        <w:t>®</w:t>
      </w:r>
      <w:r w:rsidR="00C27194">
        <w:t xml:space="preserve"> or </w:t>
      </w:r>
      <w:proofErr w:type="spellStart"/>
      <w:r w:rsidR="00C27194">
        <w:t>Oncotype</w:t>
      </w:r>
      <w:proofErr w:type="spellEnd"/>
      <w:r w:rsidR="00C27194">
        <w:t xml:space="preserve"> D</w:t>
      </w:r>
      <w:r w:rsidR="00065D43">
        <w:t>X</w:t>
      </w:r>
      <w:r w:rsidR="001B0939">
        <w:t>®</w:t>
      </w:r>
      <w:r>
        <w:t xml:space="preserve">. The cost of the new prognostic test would be in addition to current costs to the MBS. </w:t>
      </w:r>
      <w:r w:rsidR="002E7F23">
        <w:t xml:space="preserve">However there is likely to be a cost saving if fewer patients undergo chemotherapy as a result of the new test. Cost savings of fewer chemotherapy treatments will need to be weighed against the cost of the new test. The questions </w:t>
      </w:r>
      <w:r w:rsidR="00E77035">
        <w:t xml:space="preserve">to be considered in this analysis are regarding the safety, effectiveness and cost-effectiveness of </w:t>
      </w:r>
      <w:proofErr w:type="spellStart"/>
      <w:r w:rsidR="00B923E9">
        <w:t>EndoPredict</w:t>
      </w:r>
      <w:proofErr w:type="spellEnd"/>
      <w:r w:rsidR="00B923E9">
        <w:t xml:space="preserve">® </w:t>
      </w:r>
      <w:r w:rsidR="00E77035">
        <w:t xml:space="preserve">in addition to current </w:t>
      </w:r>
      <w:r w:rsidR="009779E5">
        <w:t xml:space="preserve">clinical </w:t>
      </w:r>
      <w:r w:rsidR="00E77035">
        <w:t xml:space="preserve">practice compared to current </w:t>
      </w:r>
      <w:r w:rsidR="00D43804">
        <w:t xml:space="preserve">clinical </w:t>
      </w:r>
      <w:r w:rsidR="00E77035">
        <w:t>practice alone</w:t>
      </w:r>
      <w:r w:rsidR="00E714F2">
        <w:t xml:space="preserve"> for the prognosis of disease recurrence in ER+ve, HER2-ve primary breast cancer</w:t>
      </w:r>
      <w:r w:rsidR="00E77035">
        <w:t>.</w:t>
      </w:r>
    </w:p>
    <w:p w14:paraId="42123BED" w14:textId="4A0D8C4E" w:rsidR="00702F2C" w:rsidRPr="00BE2386" w:rsidRDefault="00702F2C" w:rsidP="00BE2386">
      <w:pPr>
        <w:pStyle w:val="Heading2"/>
        <w:rPr>
          <w:i/>
          <w:sz w:val="24"/>
          <w:szCs w:val="24"/>
        </w:rPr>
      </w:pPr>
      <w:r w:rsidRPr="00BE2386">
        <w:rPr>
          <w:i/>
          <w:sz w:val="24"/>
          <w:szCs w:val="24"/>
        </w:rPr>
        <w:t>PICO criteria</w:t>
      </w:r>
    </w:p>
    <w:p w14:paraId="5FD8B1DB" w14:textId="4ABEF197" w:rsidR="00E35C49" w:rsidRDefault="00262707" w:rsidP="00E35C49">
      <w:r>
        <w:t xml:space="preserve">The criteria for assessment of the proposed test are defined through a description of the relevant population, intervention, comparator, and outcomes (PICO), and any prior tests required to define the population. </w:t>
      </w:r>
      <w:r w:rsidR="00E35C49">
        <w:t>The PICO criteria detailed in</w:t>
      </w:r>
      <w:r w:rsidR="00E4782E">
        <w:t xml:space="preserve"> </w:t>
      </w:r>
      <w:r w:rsidR="00E4782E">
        <w:fldChar w:fldCharType="begin"/>
      </w:r>
      <w:r w:rsidR="00E4782E">
        <w:instrText xml:space="preserve"> REF _Ref402884140 \h  \* MERGEFORMAT </w:instrText>
      </w:r>
      <w:r w:rsidR="00E4782E">
        <w:fldChar w:fldCharType="separate"/>
      </w:r>
      <w:r w:rsidR="00126DA6" w:rsidRPr="00126DA6">
        <w:t>Table 6</w:t>
      </w:r>
      <w:r w:rsidR="00E4782E">
        <w:fldChar w:fldCharType="end"/>
      </w:r>
      <w:r w:rsidR="00E35C49">
        <w:t>:</w:t>
      </w:r>
    </w:p>
    <w:p w14:paraId="172C15A0" w14:textId="77777777" w:rsidR="00E35C49" w:rsidRDefault="00262707" w:rsidP="00262707">
      <w:pPr>
        <w:ind w:left="993" w:hanging="426"/>
      </w:pPr>
      <w:r>
        <w:t>(1)</w:t>
      </w:r>
      <w:r>
        <w:tab/>
      </w:r>
      <w:r w:rsidR="00E35C49">
        <w:t xml:space="preserve">define the question for public funding, </w:t>
      </w:r>
    </w:p>
    <w:p w14:paraId="1146574C" w14:textId="6E6C9912" w:rsidR="00E35C49" w:rsidRDefault="00E35C49" w:rsidP="00262707">
      <w:pPr>
        <w:ind w:left="993" w:hanging="426"/>
      </w:pPr>
      <w:r>
        <w:t>(2)</w:t>
      </w:r>
      <w:r>
        <w:tab/>
        <w:t xml:space="preserve">guide selection of the relevant evidence to assess the safety, and effectiveness of </w:t>
      </w:r>
      <w:proofErr w:type="spellStart"/>
      <w:r w:rsidR="00B923E9">
        <w:t>EndoPredict</w:t>
      </w:r>
      <w:proofErr w:type="spellEnd"/>
      <w:r w:rsidR="00B923E9">
        <w:t xml:space="preserve">® </w:t>
      </w:r>
      <w:r w:rsidR="00262707">
        <w:t xml:space="preserve">in conjunction with current clinical practice </w:t>
      </w:r>
      <w:r>
        <w:t xml:space="preserve">for </w:t>
      </w:r>
      <w:r w:rsidR="00115346">
        <w:t xml:space="preserve">determining the </w:t>
      </w:r>
      <w:r w:rsidR="00262707">
        <w:t>pro</w:t>
      </w:r>
      <w:r>
        <w:t xml:space="preserve">gnosis </w:t>
      </w:r>
      <w:r w:rsidR="00262707">
        <w:t xml:space="preserve">of patients with </w:t>
      </w:r>
      <w:r w:rsidR="009779E5">
        <w:t xml:space="preserve">primary </w:t>
      </w:r>
      <w:r w:rsidR="00262707">
        <w:t>ER</w:t>
      </w:r>
      <w:r w:rsidR="009779E5">
        <w:t>+</w:t>
      </w:r>
      <w:r w:rsidR="00262707">
        <w:t>ve, HER2-ve breast cancer</w:t>
      </w:r>
      <w:r>
        <w:t xml:space="preserve">, </w:t>
      </w:r>
      <w:r w:rsidR="00115346">
        <w:t>to assist the decision in regards to which treatment patients should receive</w:t>
      </w:r>
      <w:r>
        <w:t>;</w:t>
      </w:r>
    </w:p>
    <w:p w14:paraId="528FAC9D" w14:textId="77777777" w:rsidR="002D76BB" w:rsidRDefault="00E35C49" w:rsidP="00262707">
      <w:pPr>
        <w:ind w:left="993" w:hanging="426"/>
      </w:pPr>
      <w:r>
        <w:lastRenderedPageBreak/>
        <w:t>(3)</w:t>
      </w:r>
      <w:r>
        <w:tab/>
        <w:t xml:space="preserve">provide the evidence-based inputs for any decision-analytical modelling to determine the cost-effectiveness of </w:t>
      </w:r>
      <w:proofErr w:type="spellStart"/>
      <w:r w:rsidR="00B923E9">
        <w:t>EndoPredict</w:t>
      </w:r>
      <w:proofErr w:type="spellEnd"/>
      <w:r w:rsidR="00B923E9">
        <w:t xml:space="preserve">® </w:t>
      </w:r>
      <w:r>
        <w:t xml:space="preserve">in the </w:t>
      </w:r>
      <w:r w:rsidR="00262707">
        <w:t>pro</w:t>
      </w:r>
      <w:r>
        <w:t xml:space="preserve">gnosis </w:t>
      </w:r>
      <w:r w:rsidR="00262707">
        <w:t>of ER+ve, HER2-ve patients</w:t>
      </w:r>
      <w:r>
        <w:t>.</w:t>
      </w:r>
    </w:p>
    <w:p w14:paraId="19776C22" w14:textId="77777777" w:rsidR="009779E5" w:rsidRPr="00124B06" w:rsidRDefault="009779E5" w:rsidP="00E4782E">
      <w:pPr>
        <w:keepNext/>
        <w:spacing w:after="40" w:line="240" w:lineRule="auto"/>
        <w:ind w:left="709" w:hanging="709"/>
        <w:rPr>
          <w:rFonts w:eastAsia="Times New Roman"/>
          <w:b/>
          <w:lang w:val="en-GB" w:eastAsia="ja-JP"/>
        </w:rPr>
      </w:pPr>
      <w:bookmarkStart w:id="10" w:name="_Ref402884140"/>
      <w:r w:rsidRPr="00124B06">
        <w:rPr>
          <w:rFonts w:ascii="Arial Narrow" w:eastAsia="Times New Roman" w:hAnsi="Arial Narrow" w:cs="Tahoma"/>
          <w:b/>
          <w:sz w:val="20"/>
          <w:szCs w:val="20"/>
          <w:lang w:val="en-GB" w:eastAsia="ja-JP"/>
        </w:rPr>
        <w:t xml:space="preserve">Table </w:t>
      </w:r>
      <w:r w:rsidRPr="00124B06">
        <w:rPr>
          <w:rFonts w:ascii="Arial Narrow" w:eastAsia="Times New Roman" w:hAnsi="Arial Narrow" w:cs="Tahoma"/>
          <w:b/>
          <w:sz w:val="20"/>
          <w:szCs w:val="20"/>
          <w:lang w:val="en-GB" w:eastAsia="ja-JP"/>
        </w:rPr>
        <w:fldChar w:fldCharType="begin"/>
      </w:r>
      <w:r w:rsidRPr="00124B06">
        <w:rPr>
          <w:rFonts w:ascii="Arial Narrow" w:eastAsia="Times New Roman" w:hAnsi="Arial Narrow" w:cs="Tahoma"/>
          <w:b/>
          <w:sz w:val="20"/>
          <w:szCs w:val="20"/>
          <w:lang w:val="en-GB" w:eastAsia="ja-JP"/>
        </w:rPr>
        <w:instrText xml:space="preserve"> SEQ Table \* ARABIC </w:instrText>
      </w:r>
      <w:r w:rsidRPr="00124B06">
        <w:rPr>
          <w:rFonts w:ascii="Arial Narrow" w:eastAsia="Times New Roman" w:hAnsi="Arial Narrow" w:cs="Tahoma"/>
          <w:b/>
          <w:sz w:val="20"/>
          <w:szCs w:val="20"/>
          <w:lang w:val="en-GB" w:eastAsia="ja-JP"/>
        </w:rPr>
        <w:fldChar w:fldCharType="separate"/>
      </w:r>
      <w:r w:rsidR="00126DA6">
        <w:rPr>
          <w:rFonts w:ascii="Arial Narrow" w:eastAsia="Times New Roman" w:hAnsi="Arial Narrow" w:cs="Tahoma"/>
          <w:b/>
          <w:noProof/>
          <w:sz w:val="20"/>
          <w:szCs w:val="20"/>
          <w:lang w:val="en-GB" w:eastAsia="ja-JP"/>
        </w:rPr>
        <w:t>6</w:t>
      </w:r>
      <w:r w:rsidRPr="00124B06">
        <w:rPr>
          <w:rFonts w:ascii="Arial Narrow" w:eastAsia="Times New Roman" w:hAnsi="Arial Narrow" w:cs="Tahoma"/>
          <w:b/>
          <w:noProof/>
          <w:sz w:val="20"/>
          <w:szCs w:val="20"/>
          <w:lang w:val="en-GB" w:eastAsia="ja-JP"/>
        </w:rPr>
        <w:fldChar w:fldCharType="end"/>
      </w:r>
      <w:bookmarkEnd w:id="10"/>
      <w:r w:rsidRPr="00124B06">
        <w:rPr>
          <w:rFonts w:ascii="Arial Narrow" w:eastAsia="Times New Roman" w:hAnsi="Arial Narrow" w:cs="Tahoma"/>
          <w:b/>
          <w:sz w:val="20"/>
          <w:szCs w:val="20"/>
          <w:lang w:val="en-GB" w:eastAsia="ja-JP"/>
        </w:rPr>
        <w:tab/>
        <w:t xml:space="preserve">PICO criteria for evaluating safety, effectiveness and cost effectiveness of </w:t>
      </w:r>
      <w:r w:rsidRPr="00124B06">
        <w:rPr>
          <w:rFonts w:ascii="Arial Narrow" w:eastAsia="Times New Roman" w:hAnsi="Arial Narrow" w:cs="Tahoma"/>
          <w:b/>
          <w:sz w:val="20"/>
          <w:szCs w:val="20"/>
          <w:lang w:eastAsia="ja-JP"/>
        </w:rPr>
        <w:t xml:space="preserve">gene expression profiling </w:t>
      </w:r>
      <w:r w:rsidR="00CD5F92">
        <w:rPr>
          <w:rFonts w:ascii="Arial Narrow" w:eastAsia="Times New Roman" w:hAnsi="Arial Narrow" w:cs="Tahoma"/>
          <w:b/>
          <w:sz w:val="20"/>
          <w:szCs w:val="20"/>
          <w:lang w:eastAsia="ja-JP"/>
        </w:rPr>
        <w:t xml:space="preserve">alone or in </w:t>
      </w:r>
      <w:r w:rsidRPr="00124B06">
        <w:rPr>
          <w:rFonts w:ascii="Arial Narrow" w:eastAsia="Times New Roman" w:hAnsi="Arial Narrow" w:cs="Tahoma"/>
          <w:b/>
          <w:sz w:val="20"/>
          <w:szCs w:val="20"/>
          <w:lang w:eastAsia="ja-JP"/>
        </w:rPr>
        <w:t>combin</w:t>
      </w:r>
      <w:r w:rsidR="00CD5F92">
        <w:rPr>
          <w:rFonts w:ascii="Arial Narrow" w:eastAsia="Times New Roman" w:hAnsi="Arial Narrow" w:cs="Tahoma"/>
          <w:b/>
          <w:sz w:val="20"/>
          <w:szCs w:val="20"/>
          <w:lang w:eastAsia="ja-JP"/>
        </w:rPr>
        <w:t>ation</w:t>
      </w:r>
      <w:r w:rsidRPr="00124B06">
        <w:rPr>
          <w:rFonts w:ascii="Arial Narrow" w:eastAsia="Times New Roman" w:hAnsi="Arial Narrow" w:cs="Tahoma"/>
          <w:b/>
          <w:sz w:val="20"/>
          <w:szCs w:val="20"/>
          <w:lang w:eastAsia="ja-JP"/>
        </w:rPr>
        <w:t xml:space="preserve"> with classical clinical factors to determine the risk of early and late metastases </w:t>
      </w:r>
      <w:r>
        <w:rPr>
          <w:rFonts w:ascii="Arial Narrow" w:eastAsia="Times New Roman" w:hAnsi="Arial Narrow" w:cs="Tahoma"/>
          <w:b/>
          <w:sz w:val="20"/>
          <w:szCs w:val="20"/>
          <w:lang w:eastAsia="ja-JP"/>
        </w:rPr>
        <w:t>in primary breast cancer patients</w:t>
      </w:r>
      <w:r w:rsidR="00227109">
        <w:rPr>
          <w:rFonts w:ascii="Arial Narrow" w:eastAsia="Times New Roman" w:hAnsi="Arial Narrow" w:cs="Tahoma"/>
          <w:b/>
          <w:sz w:val="20"/>
          <w:szCs w:val="20"/>
          <w:lang w:eastAsia="ja-JP"/>
        </w:rPr>
        <w:t xml:space="preserve"> at intermediate risk of distant recurrence or metastases</w:t>
      </w:r>
    </w:p>
    <w:tbl>
      <w:tblPr>
        <w:tblStyle w:val="TableGrid1"/>
        <w:tblW w:w="0" w:type="auto"/>
        <w:tblLook w:val="04A0" w:firstRow="1" w:lastRow="0" w:firstColumn="1" w:lastColumn="0" w:noHBand="0" w:noVBand="1"/>
        <w:tblCaption w:val="PICO criteria for evaluating safety, diagnostic accuracy, effectiveness, and cost effectiveness of TE for diagnosing liver fibrosis in patients with hepatitis B or C"/>
        <w:tblDescription w:val="Table 6: PICO criteria for evaluating safety, effectiveness and cost effectiveness of gene expression profiling combined with classical clinical factors to determine the risk of early and late metastases in primary breast cancer patients"/>
      </w:tblPr>
      <w:tblGrid>
        <w:gridCol w:w="1384"/>
        <w:gridCol w:w="1843"/>
        <w:gridCol w:w="2126"/>
        <w:gridCol w:w="2552"/>
        <w:gridCol w:w="1359"/>
      </w:tblGrid>
      <w:tr w:rsidR="00383806" w:rsidRPr="00124B06" w14:paraId="39D4CD18" w14:textId="77777777" w:rsidTr="00F84B73">
        <w:trPr>
          <w:tblHeader/>
        </w:trPr>
        <w:tc>
          <w:tcPr>
            <w:tcW w:w="1384" w:type="dxa"/>
            <w:tcBorders>
              <w:top w:val="single" w:sz="4" w:space="0" w:color="auto"/>
              <w:left w:val="single" w:sz="4" w:space="0" w:color="auto"/>
              <w:bottom w:val="single" w:sz="4" w:space="0" w:color="auto"/>
              <w:right w:val="single" w:sz="4" w:space="0" w:color="auto"/>
            </w:tcBorders>
          </w:tcPr>
          <w:p w14:paraId="157C073B" w14:textId="77777777" w:rsidR="009779E5" w:rsidRPr="00124B06" w:rsidRDefault="009779E5" w:rsidP="00F224B2">
            <w:pPr>
              <w:keepNext/>
              <w:rPr>
                <w:rFonts w:ascii="Arial Narrow" w:eastAsia="SimSun" w:hAnsi="Arial Narrow" w:cs="Tahoma"/>
                <w:b/>
              </w:rPr>
            </w:pPr>
            <w:r>
              <w:rPr>
                <w:rFonts w:ascii="Arial Narrow" w:eastAsia="SimSun" w:hAnsi="Arial Narrow" w:cs="Tahoma"/>
                <w:b/>
              </w:rPr>
              <w:t>Prior tests</w:t>
            </w:r>
          </w:p>
        </w:tc>
        <w:tc>
          <w:tcPr>
            <w:tcW w:w="1843" w:type="dxa"/>
            <w:tcBorders>
              <w:top w:val="single" w:sz="4" w:space="0" w:color="auto"/>
              <w:left w:val="single" w:sz="4" w:space="0" w:color="auto"/>
              <w:bottom w:val="single" w:sz="4" w:space="0" w:color="auto"/>
              <w:right w:val="single" w:sz="4" w:space="0" w:color="auto"/>
            </w:tcBorders>
          </w:tcPr>
          <w:p w14:paraId="522E22B9" w14:textId="77777777" w:rsidR="009779E5" w:rsidRPr="00124B06" w:rsidRDefault="009779E5" w:rsidP="00F224B2">
            <w:pPr>
              <w:keepNext/>
              <w:rPr>
                <w:rFonts w:ascii="Arial Narrow" w:eastAsia="SimSun" w:hAnsi="Arial Narrow" w:cs="Tahoma"/>
                <w:b/>
              </w:rPr>
            </w:pPr>
            <w:r w:rsidRPr="00124B06">
              <w:rPr>
                <w:rFonts w:ascii="Arial Narrow" w:eastAsia="SimSun" w:hAnsi="Arial Narrow" w:cs="Tahoma"/>
                <w:b/>
              </w:rPr>
              <w:t>Patients</w:t>
            </w:r>
          </w:p>
        </w:tc>
        <w:tc>
          <w:tcPr>
            <w:tcW w:w="2126" w:type="dxa"/>
            <w:tcBorders>
              <w:top w:val="single" w:sz="4" w:space="0" w:color="auto"/>
              <w:left w:val="single" w:sz="4" w:space="0" w:color="auto"/>
              <w:bottom w:val="single" w:sz="4" w:space="0" w:color="auto"/>
              <w:right w:val="single" w:sz="4" w:space="0" w:color="auto"/>
            </w:tcBorders>
          </w:tcPr>
          <w:p w14:paraId="4EF6E733" w14:textId="77777777" w:rsidR="009779E5" w:rsidRPr="00124B06" w:rsidRDefault="009779E5" w:rsidP="00F224B2">
            <w:pPr>
              <w:keepNext/>
              <w:rPr>
                <w:rFonts w:ascii="Arial Narrow" w:eastAsia="SimSun" w:hAnsi="Arial Narrow" w:cs="Tahoma"/>
                <w:b/>
              </w:rPr>
            </w:pPr>
            <w:r w:rsidRPr="00124B06">
              <w:rPr>
                <w:rFonts w:ascii="Arial Narrow" w:eastAsia="SimSun" w:hAnsi="Arial Narrow" w:cs="Tahoma"/>
                <w:b/>
              </w:rPr>
              <w:t>Intervention</w:t>
            </w:r>
          </w:p>
        </w:tc>
        <w:tc>
          <w:tcPr>
            <w:tcW w:w="2552" w:type="dxa"/>
            <w:tcBorders>
              <w:top w:val="single" w:sz="4" w:space="0" w:color="auto"/>
              <w:left w:val="single" w:sz="4" w:space="0" w:color="auto"/>
              <w:bottom w:val="single" w:sz="4" w:space="0" w:color="auto"/>
              <w:right w:val="single" w:sz="4" w:space="0" w:color="auto"/>
            </w:tcBorders>
          </w:tcPr>
          <w:p w14:paraId="7110811E" w14:textId="5739299E" w:rsidR="009779E5" w:rsidRPr="00124B06" w:rsidRDefault="009779E5" w:rsidP="00F224B2">
            <w:pPr>
              <w:keepNext/>
              <w:rPr>
                <w:rFonts w:ascii="Arial Narrow" w:eastAsia="SimSun" w:hAnsi="Arial Narrow" w:cs="Tahoma"/>
                <w:b/>
              </w:rPr>
            </w:pPr>
            <w:r w:rsidRPr="00124B06">
              <w:rPr>
                <w:rFonts w:ascii="Arial Narrow" w:eastAsia="SimSun" w:hAnsi="Arial Narrow" w:cs="Tahoma"/>
                <w:b/>
              </w:rPr>
              <w:t>Comparator</w:t>
            </w:r>
            <w:r w:rsidR="008E3616">
              <w:rPr>
                <w:rFonts w:ascii="Arial Narrow" w:eastAsia="SimSun" w:hAnsi="Arial Narrow" w:cs="Tahoma"/>
                <w:b/>
              </w:rPr>
              <w:t>s</w:t>
            </w:r>
          </w:p>
        </w:tc>
        <w:tc>
          <w:tcPr>
            <w:tcW w:w="1359" w:type="dxa"/>
            <w:tcBorders>
              <w:top w:val="single" w:sz="4" w:space="0" w:color="auto"/>
              <w:left w:val="single" w:sz="4" w:space="0" w:color="auto"/>
              <w:bottom w:val="single" w:sz="4" w:space="0" w:color="auto"/>
              <w:right w:val="single" w:sz="4" w:space="0" w:color="auto"/>
            </w:tcBorders>
          </w:tcPr>
          <w:p w14:paraId="213643D4" w14:textId="77777777" w:rsidR="009779E5" w:rsidRPr="00124B06" w:rsidRDefault="009779E5" w:rsidP="00F84B73">
            <w:pPr>
              <w:keepNext/>
              <w:jc w:val="left"/>
              <w:rPr>
                <w:rFonts w:ascii="Arial Narrow" w:eastAsia="SimSun" w:hAnsi="Arial Narrow" w:cs="Tahoma"/>
                <w:b/>
              </w:rPr>
            </w:pPr>
            <w:r w:rsidRPr="00124B06">
              <w:rPr>
                <w:rFonts w:ascii="Arial Narrow" w:eastAsia="SimSun" w:hAnsi="Arial Narrow" w:cs="Tahoma"/>
                <w:b/>
              </w:rPr>
              <w:t>Outcomes to be assessed</w:t>
            </w:r>
          </w:p>
        </w:tc>
      </w:tr>
      <w:tr w:rsidR="00227109" w:rsidRPr="00124B06" w14:paraId="044BC445" w14:textId="77777777" w:rsidTr="00F84B73">
        <w:trPr>
          <w:trHeight w:val="4814"/>
        </w:trPr>
        <w:tc>
          <w:tcPr>
            <w:tcW w:w="1384" w:type="dxa"/>
            <w:tcBorders>
              <w:top w:val="single" w:sz="4" w:space="0" w:color="auto"/>
              <w:left w:val="single" w:sz="4" w:space="0" w:color="auto"/>
              <w:right w:val="single" w:sz="4" w:space="0" w:color="auto"/>
            </w:tcBorders>
          </w:tcPr>
          <w:p w14:paraId="33CCEA96" w14:textId="2DF7BEE1" w:rsidR="00227109" w:rsidRDefault="00227109" w:rsidP="00F224B2">
            <w:pPr>
              <w:keepNext/>
              <w:jc w:val="left"/>
              <w:rPr>
                <w:rFonts w:ascii="Arial Narrow" w:eastAsia="SimSun" w:hAnsi="Arial Narrow" w:cs="Tahoma"/>
              </w:rPr>
            </w:pPr>
            <w:r w:rsidRPr="00E4782E">
              <w:rPr>
                <w:rFonts w:ascii="Arial Narrow" w:eastAsia="SimSun" w:hAnsi="Arial Narrow" w:cs="Tahoma"/>
              </w:rPr>
              <w:t>IHC</w:t>
            </w:r>
            <w:r>
              <w:rPr>
                <w:rFonts w:ascii="Arial Narrow" w:eastAsia="SimSun" w:hAnsi="Arial Narrow" w:cs="Tahoma"/>
              </w:rPr>
              <w:t xml:space="preserve"> and </w:t>
            </w:r>
            <w:r w:rsidRPr="00E4782E">
              <w:rPr>
                <w:rFonts w:ascii="Arial Narrow" w:eastAsia="SimSun" w:hAnsi="Arial Narrow" w:cs="Tahoma"/>
              </w:rPr>
              <w:t>ISH for ER</w:t>
            </w:r>
            <w:r>
              <w:rPr>
                <w:rFonts w:ascii="Arial Narrow" w:eastAsia="SimSun" w:hAnsi="Arial Narrow" w:cs="Tahoma"/>
              </w:rPr>
              <w:t xml:space="preserve"> and </w:t>
            </w:r>
            <w:r w:rsidRPr="00E4782E">
              <w:rPr>
                <w:rFonts w:ascii="Arial Narrow" w:eastAsia="SimSun" w:hAnsi="Arial Narrow" w:cs="Tahoma"/>
              </w:rPr>
              <w:t>HER2 status</w:t>
            </w:r>
            <w:r>
              <w:rPr>
                <w:rFonts w:ascii="Arial Narrow" w:eastAsia="SimSun" w:hAnsi="Arial Narrow" w:cs="Tahoma"/>
              </w:rPr>
              <w:t>, histopathology for tumour size and nodal status following surgery</w:t>
            </w:r>
          </w:p>
          <w:p w14:paraId="5750404D" w14:textId="14628AB1" w:rsidR="00227109" w:rsidRPr="00124B06" w:rsidRDefault="00227109" w:rsidP="00F84B73">
            <w:pPr>
              <w:keepNext/>
              <w:rPr>
                <w:rFonts w:ascii="Arial Narrow" w:eastAsia="SimSun" w:hAnsi="Arial Narrow" w:cs="Tahoma"/>
              </w:rPr>
            </w:pPr>
          </w:p>
        </w:tc>
        <w:tc>
          <w:tcPr>
            <w:tcW w:w="1843" w:type="dxa"/>
            <w:tcBorders>
              <w:top w:val="single" w:sz="4" w:space="0" w:color="auto"/>
              <w:left w:val="single" w:sz="4" w:space="0" w:color="auto"/>
              <w:right w:val="single" w:sz="4" w:space="0" w:color="auto"/>
            </w:tcBorders>
          </w:tcPr>
          <w:p w14:paraId="3CBFB293" w14:textId="236F70AF" w:rsidR="00227109" w:rsidRPr="00124B06" w:rsidRDefault="00227109" w:rsidP="00194FCC">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status, </w:t>
            </w:r>
            <w:r w:rsidRPr="00194FCC">
              <w:rPr>
                <w:rFonts w:ascii="Arial Narrow" w:eastAsia="SimSun" w:hAnsi="Arial Narrow" w:cs="Tahoma"/>
              </w:rPr>
              <w:t xml:space="preserve"> </w:t>
            </w:r>
            <w:r>
              <w:rPr>
                <w:rFonts w:ascii="Arial Narrow" w:eastAsia="SimSun" w:hAnsi="Arial Narrow" w:cs="Tahoma"/>
              </w:rPr>
              <w:t>tumour size and nodal status determined following tumour removal, at intermediate risk of distant recurrence or metastases*</w:t>
            </w:r>
          </w:p>
          <w:p w14:paraId="21327AC2" w14:textId="77777777" w:rsidR="00227109" w:rsidRPr="00124B06" w:rsidRDefault="00227109" w:rsidP="00172C66">
            <w:pPr>
              <w:keepNext/>
              <w:jc w:val="left"/>
              <w:rPr>
                <w:rFonts w:ascii="Arial Narrow" w:eastAsia="SimSun" w:hAnsi="Arial Narrow" w:cs="Tahoma"/>
              </w:rPr>
            </w:pPr>
          </w:p>
        </w:tc>
        <w:tc>
          <w:tcPr>
            <w:tcW w:w="2126" w:type="dxa"/>
            <w:tcBorders>
              <w:top w:val="single" w:sz="4" w:space="0" w:color="auto"/>
              <w:left w:val="single" w:sz="4" w:space="0" w:color="auto"/>
              <w:right w:val="single" w:sz="4" w:space="0" w:color="auto"/>
            </w:tcBorders>
          </w:tcPr>
          <w:p w14:paraId="289C37A6" w14:textId="0542AEE3" w:rsidR="00227109" w:rsidRPr="00124B06" w:rsidRDefault="00227109" w:rsidP="00340AD5">
            <w:pPr>
              <w:keepNext/>
              <w:jc w:val="left"/>
              <w:rPr>
                <w:rFonts w:ascii="Arial Narrow" w:eastAsia="SimSun" w:hAnsi="Arial Narrow" w:cs="Tahoma"/>
              </w:rPr>
            </w:pPr>
            <w:proofErr w:type="spellStart"/>
            <w:r>
              <w:rPr>
                <w:rFonts w:ascii="Arial Narrow" w:eastAsia="SimSun" w:hAnsi="Arial Narrow" w:cs="Tahoma"/>
              </w:rPr>
              <w:t>EndoPredict</w:t>
            </w:r>
            <w:proofErr w:type="spellEnd"/>
            <w:r>
              <w:rPr>
                <w:rFonts w:ascii="Arial Narrow" w:eastAsia="SimSun" w:hAnsi="Arial Narrow" w:cs="Tahoma"/>
              </w:rPr>
              <w:t>®</w:t>
            </w:r>
            <w:r w:rsidRPr="00124B06">
              <w:rPr>
                <w:rFonts w:ascii="Arial Narrow" w:eastAsia="SimSun" w:hAnsi="Arial Narrow" w:cs="Tahoma"/>
              </w:rPr>
              <w:t xml:space="preserve"> - </w:t>
            </w:r>
            <w:r w:rsidR="002B0852">
              <w:rPr>
                <w:rFonts w:ascii="Arial Narrow" w:eastAsia="SimSun" w:hAnsi="Arial Narrow" w:cs="Tahoma"/>
              </w:rPr>
              <w:t>RT-</w:t>
            </w:r>
            <w:proofErr w:type="spellStart"/>
            <w:r w:rsidR="002B0852">
              <w:rPr>
                <w:rFonts w:ascii="Arial Narrow" w:eastAsia="SimSun" w:hAnsi="Arial Narrow" w:cs="Tahoma"/>
              </w:rPr>
              <w:t>qPCR</w:t>
            </w:r>
            <w:proofErr w:type="spellEnd"/>
            <w:r w:rsidRPr="00124B06">
              <w:rPr>
                <w:rFonts w:ascii="Arial Narrow" w:eastAsia="SimSun" w:hAnsi="Arial Narrow" w:cs="Tahoma"/>
              </w:rPr>
              <w:t xml:space="preserve"> gene expression profiling </w:t>
            </w:r>
            <w:r>
              <w:rPr>
                <w:rFonts w:ascii="Arial Narrow" w:eastAsia="SimSun" w:hAnsi="Arial Narrow" w:cs="Tahoma"/>
              </w:rPr>
              <w:t xml:space="preserve">in </w:t>
            </w:r>
            <w:r w:rsidRPr="00124B06">
              <w:rPr>
                <w:rFonts w:ascii="Arial Narrow" w:eastAsia="SimSun" w:hAnsi="Arial Narrow" w:cs="Tahoma"/>
              </w:rPr>
              <w:t>combin</w:t>
            </w:r>
            <w:r>
              <w:rPr>
                <w:rFonts w:ascii="Arial Narrow" w:eastAsia="SimSun" w:hAnsi="Arial Narrow" w:cs="Tahoma"/>
              </w:rPr>
              <w:t>ation</w:t>
            </w:r>
            <w:r w:rsidRPr="00124B06">
              <w:rPr>
                <w:rFonts w:ascii="Arial Narrow" w:eastAsia="SimSun" w:hAnsi="Arial Narrow" w:cs="Tahoma"/>
              </w:rPr>
              <w:t xml:space="preserve"> with classical clinical </w:t>
            </w:r>
            <w:r>
              <w:rPr>
                <w:rFonts w:ascii="Arial Narrow" w:eastAsia="SimSun" w:hAnsi="Arial Narrow" w:cs="Tahoma"/>
              </w:rPr>
              <w:t>marker</w:t>
            </w:r>
            <w:r w:rsidRPr="00124B06">
              <w:rPr>
                <w:rFonts w:ascii="Arial Narrow" w:eastAsia="SimSun" w:hAnsi="Arial Narrow" w:cs="Tahoma"/>
              </w:rPr>
              <w:t>s</w:t>
            </w:r>
            <w:r>
              <w:rPr>
                <w:rFonts w:ascii="Arial Narrow" w:eastAsia="SimSun" w:hAnsi="Arial Narrow" w:cs="Tahoma"/>
              </w:rPr>
              <w:t xml:space="preserve"> (tumour size and node status)</w:t>
            </w:r>
            <w:r w:rsidRPr="00124B06">
              <w:rPr>
                <w:rFonts w:ascii="Arial Narrow" w:eastAsia="SimSun" w:hAnsi="Arial Narrow" w:cs="Tahoma"/>
              </w:rPr>
              <w:t xml:space="preserve"> </w:t>
            </w:r>
            <w:r>
              <w:rPr>
                <w:rFonts w:ascii="Arial Narrow" w:eastAsia="SimSun" w:hAnsi="Arial Narrow" w:cs="Tahoma"/>
              </w:rPr>
              <w:t xml:space="preserve">as an adjunct to current clinical practice </w:t>
            </w:r>
            <w:r w:rsidRPr="00124B06">
              <w:rPr>
                <w:rFonts w:ascii="Arial Narrow" w:eastAsia="SimSun" w:hAnsi="Arial Narrow" w:cs="Tahoma"/>
              </w:rPr>
              <w:t xml:space="preserve">as a prognostic tool to determine the risk of </w:t>
            </w:r>
            <w:r>
              <w:rPr>
                <w:rFonts w:ascii="Arial Narrow" w:eastAsia="SimSun" w:hAnsi="Arial Narrow" w:cs="Tahoma"/>
              </w:rPr>
              <w:t xml:space="preserve">distant recurrence and </w:t>
            </w:r>
            <w:r w:rsidRPr="00124B06">
              <w:rPr>
                <w:rFonts w:ascii="Arial Narrow" w:eastAsia="SimSun" w:hAnsi="Arial Narrow" w:cs="Tahoma"/>
              </w:rPr>
              <w:t xml:space="preserve">metastases </w:t>
            </w:r>
            <w:r>
              <w:rPr>
                <w:rFonts w:ascii="Arial Narrow" w:eastAsia="SimSun" w:hAnsi="Arial Narrow" w:cs="Tahoma"/>
              </w:rPr>
              <w:t>plus subsequent treatments (short or extended endocrine therapy or chemotherapy plus endocrine therapy)</w:t>
            </w:r>
          </w:p>
          <w:p w14:paraId="0C0FA69C" w14:textId="77777777" w:rsidR="00227109" w:rsidRPr="00124B06" w:rsidRDefault="00227109" w:rsidP="00172C66">
            <w:pPr>
              <w:keepNext/>
              <w:jc w:val="left"/>
              <w:rPr>
                <w:rFonts w:ascii="Arial Narrow" w:eastAsia="SimSun" w:hAnsi="Arial Narrow" w:cs="Tahoma"/>
              </w:rPr>
            </w:pPr>
          </w:p>
        </w:tc>
        <w:tc>
          <w:tcPr>
            <w:tcW w:w="2552" w:type="dxa"/>
            <w:tcBorders>
              <w:top w:val="single" w:sz="4" w:space="0" w:color="auto"/>
              <w:left w:val="single" w:sz="4" w:space="0" w:color="auto"/>
              <w:right w:val="single" w:sz="4" w:space="0" w:color="auto"/>
            </w:tcBorders>
          </w:tcPr>
          <w:p w14:paraId="4F777734" w14:textId="77777777" w:rsidR="00227109" w:rsidRDefault="00227109" w:rsidP="00F224B2">
            <w:pPr>
              <w:keepNext/>
              <w:jc w:val="left"/>
              <w:rPr>
                <w:rFonts w:ascii="Arial Narrow" w:eastAsia="SimSun" w:hAnsi="Arial Narrow" w:cs="Tahoma"/>
              </w:rPr>
            </w:pPr>
            <w:r>
              <w:rPr>
                <w:rFonts w:ascii="Arial Narrow" w:eastAsia="SimSun" w:hAnsi="Arial Narrow" w:cs="Tahoma"/>
              </w:rPr>
              <w:t xml:space="preserve">1. </w:t>
            </w:r>
            <w:r w:rsidR="009411D9" w:rsidRPr="009411D9">
              <w:rPr>
                <w:rFonts w:ascii="Arial Narrow" w:eastAsia="SimSun" w:hAnsi="Arial Narrow" w:cs="Tahoma"/>
              </w:rPr>
              <w:t>B</w:t>
            </w:r>
            <w:r w:rsidRPr="009411D9">
              <w:rPr>
                <w:rFonts w:ascii="Arial Narrow" w:eastAsia="SimSun" w:hAnsi="Arial Narrow" w:cs="Tahoma"/>
              </w:rPr>
              <w:t>ase case</w:t>
            </w:r>
            <w:r w:rsidR="009411D9">
              <w:rPr>
                <w:rFonts w:ascii="Arial Narrow" w:eastAsia="SimSun" w:hAnsi="Arial Narrow" w:cs="Tahoma"/>
              </w:rPr>
              <w:t xml:space="preserve">: </w:t>
            </w:r>
            <w:r w:rsidRPr="00124B06">
              <w:rPr>
                <w:rFonts w:ascii="Arial Narrow" w:eastAsia="SimSun" w:hAnsi="Arial Narrow" w:cs="Tahoma"/>
              </w:rPr>
              <w:t>Prognosis based on ER/H</w:t>
            </w:r>
            <w:r>
              <w:rPr>
                <w:rFonts w:ascii="Arial Narrow" w:eastAsia="SimSun" w:hAnsi="Arial Narrow" w:cs="Tahoma"/>
              </w:rPr>
              <w:t xml:space="preserve">ER2 status, </w:t>
            </w:r>
            <w:r w:rsidRPr="00BC0503">
              <w:rPr>
                <w:rFonts w:ascii="Arial Narrow" w:eastAsia="SimSun" w:hAnsi="Arial Narrow" w:cs="Tahoma"/>
              </w:rPr>
              <w:t xml:space="preserve">current clinical practice </w:t>
            </w:r>
            <w:r>
              <w:rPr>
                <w:rFonts w:ascii="Arial Narrow" w:eastAsia="SimSun" w:hAnsi="Arial Narrow" w:cs="Tahoma"/>
              </w:rPr>
              <w:t>(including Ki67 status</w:t>
            </w:r>
            <w:r w:rsidR="00912D07">
              <w:rPr>
                <w:rFonts w:ascii="Arial Narrow" w:eastAsia="SimSun" w:hAnsi="Arial Narrow" w:cs="Tahoma"/>
              </w:rPr>
              <w:t xml:space="preserve"> and Grade</w:t>
            </w:r>
            <w:r>
              <w:rPr>
                <w:rFonts w:ascii="Arial Narrow" w:eastAsia="SimSun" w:hAnsi="Arial Narrow" w:cs="Tahoma"/>
              </w:rPr>
              <w:t>) plus subsequent treatments (short or extended endocrine therapy or chemotherapy plus endocrine therapy)</w:t>
            </w:r>
          </w:p>
          <w:p w14:paraId="3524D923" w14:textId="77777777" w:rsidR="00227109" w:rsidRDefault="00227109" w:rsidP="00F224B2">
            <w:pPr>
              <w:keepNext/>
              <w:jc w:val="left"/>
              <w:rPr>
                <w:rFonts w:ascii="Arial Narrow" w:eastAsia="SimSun" w:hAnsi="Arial Narrow" w:cs="Tahoma"/>
              </w:rPr>
            </w:pPr>
            <w:r>
              <w:rPr>
                <w:rFonts w:ascii="Arial Narrow" w:eastAsia="SimSun" w:hAnsi="Arial Narrow" w:cs="Tahoma"/>
              </w:rPr>
              <w:t>2. Prognosis based on international breast cancer clinical guidelines, plus treatments:</w:t>
            </w:r>
          </w:p>
          <w:p w14:paraId="61AAE5FC" w14:textId="77777777" w:rsidR="00227109" w:rsidRDefault="00227109" w:rsidP="006833F6">
            <w:pPr>
              <w:keepNext/>
              <w:ind w:left="176"/>
              <w:jc w:val="left"/>
              <w:rPr>
                <w:rFonts w:ascii="Arial Narrow" w:eastAsia="SimSun" w:hAnsi="Arial Narrow" w:cs="Tahoma"/>
              </w:rPr>
            </w:pPr>
            <w:r>
              <w:rPr>
                <w:rFonts w:ascii="Arial Narrow" w:eastAsia="SimSun" w:hAnsi="Arial Narrow" w:cs="Tahoma"/>
              </w:rPr>
              <w:t>NCCN</w:t>
            </w:r>
          </w:p>
          <w:p w14:paraId="7445DF51" w14:textId="77777777" w:rsidR="00227109" w:rsidRDefault="00227109" w:rsidP="006833F6">
            <w:pPr>
              <w:keepNext/>
              <w:ind w:left="176"/>
              <w:jc w:val="left"/>
              <w:rPr>
                <w:rFonts w:ascii="Arial Narrow" w:eastAsia="SimSun" w:hAnsi="Arial Narrow" w:cs="Tahoma"/>
              </w:rPr>
            </w:pPr>
            <w:r>
              <w:rPr>
                <w:rFonts w:ascii="Arial Narrow" w:eastAsia="SimSun" w:hAnsi="Arial Narrow" w:cs="Tahoma"/>
              </w:rPr>
              <w:t xml:space="preserve">St </w:t>
            </w:r>
            <w:proofErr w:type="spellStart"/>
            <w:r>
              <w:rPr>
                <w:rFonts w:ascii="Arial Narrow" w:eastAsia="SimSun" w:hAnsi="Arial Narrow" w:cs="Tahoma"/>
              </w:rPr>
              <w:t>Gallen</w:t>
            </w:r>
            <w:proofErr w:type="spellEnd"/>
            <w:r w:rsidR="009411D9">
              <w:rPr>
                <w:rFonts w:ascii="Arial Narrow" w:eastAsia="SimSun" w:hAnsi="Arial Narrow" w:cs="Tahoma"/>
              </w:rPr>
              <w:t xml:space="preserve"> Consensus</w:t>
            </w:r>
          </w:p>
          <w:p w14:paraId="37952069" w14:textId="77777777" w:rsidR="00227109" w:rsidRPr="00124B06" w:rsidRDefault="00227109" w:rsidP="00172C66">
            <w:pPr>
              <w:keepNext/>
              <w:ind w:left="176"/>
              <w:jc w:val="left"/>
              <w:rPr>
                <w:rFonts w:ascii="Arial Narrow" w:eastAsia="SimSun" w:hAnsi="Arial Narrow" w:cs="Tahoma"/>
              </w:rPr>
            </w:pPr>
            <w:r>
              <w:rPr>
                <w:rFonts w:ascii="Arial Narrow" w:eastAsia="SimSun" w:hAnsi="Arial Narrow" w:cs="Tahoma"/>
              </w:rPr>
              <w:t>German S3</w:t>
            </w:r>
          </w:p>
          <w:p w14:paraId="6F092AE4" w14:textId="77777777" w:rsidR="00227109" w:rsidRDefault="00227109" w:rsidP="008014CF">
            <w:pPr>
              <w:keepNext/>
              <w:tabs>
                <w:tab w:val="left" w:pos="144"/>
              </w:tabs>
              <w:jc w:val="left"/>
              <w:rPr>
                <w:rFonts w:ascii="Arial Narrow" w:eastAsia="SimSun" w:hAnsi="Arial Narrow" w:cs="Tahoma"/>
              </w:rPr>
            </w:pPr>
            <w:r>
              <w:rPr>
                <w:rFonts w:ascii="Arial Narrow" w:eastAsia="SimSun" w:hAnsi="Arial Narrow" w:cs="Tahoma"/>
              </w:rPr>
              <w:t>3. Prognosis based on other tools plus treatments:</w:t>
            </w:r>
          </w:p>
          <w:p w14:paraId="4DBF695C" w14:textId="77777777" w:rsidR="00227109" w:rsidRDefault="00227109" w:rsidP="008014CF">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MammaPrint</w:t>
            </w:r>
            <w:proofErr w:type="spellEnd"/>
          </w:p>
          <w:p w14:paraId="4339C411" w14:textId="77777777" w:rsidR="00227109" w:rsidRPr="00124B06" w:rsidRDefault="00227109" w:rsidP="00F84B73">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OncotypeDX</w:t>
            </w:r>
            <w:proofErr w:type="spellEnd"/>
          </w:p>
        </w:tc>
        <w:tc>
          <w:tcPr>
            <w:tcW w:w="1359" w:type="dxa"/>
            <w:tcBorders>
              <w:top w:val="single" w:sz="4" w:space="0" w:color="auto"/>
              <w:left w:val="single" w:sz="4" w:space="0" w:color="auto"/>
              <w:right w:val="single" w:sz="4" w:space="0" w:color="auto"/>
            </w:tcBorders>
          </w:tcPr>
          <w:p w14:paraId="1A238B42" w14:textId="77777777" w:rsidR="00227109" w:rsidRDefault="00227109" w:rsidP="00F224B2">
            <w:pPr>
              <w:keepNext/>
              <w:spacing w:after="0"/>
              <w:jc w:val="left"/>
              <w:rPr>
                <w:rFonts w:ascii="Arial Narrow" w:eastAsia="SimSun" w:hAnsi="Arial Narrow" w:cs="Tahoma"/>
              </w:rPr>
            </w:pPr>
            <w:r w:rsidRPr="00124B06">
              <w:rPr>
                <w:rFonts w:ascii="Arial Narrow" w:eastAsia="SimSun" w:hAnsi="Arial Narrow" w:cs="Tahoma"/>
              </w:rPr>
              <w:t>Safety</w:t>
            </w:r>
          </w:p>
          <w:p w14:paraId="60A2169A" w14:textId="77777777" w:rsidR="00227109" w:rsidRDefault="00227109" w:rsidP="00F224B2">
            <w:pPr>
              <w:keepNext/>
              <w:spacing w:after="0"/>
              <w:jc w:val="left"/>
              <w:rPr>
                <w:rFonts w:ascii="Arial Narrow" w:eastAsia="SimSun" w:hAnsi="Arial Narrow" w:cs="Tahoma"/>
              </w:rPr>
            </w:pPr>
            <w:r w:rsidRPr="00124B06">
              <w:rPr>
                <w:rFonts w:ascii="Arial Narrow" w:eastAsia="SimSun" w:hAnsi="Arial Narrow" w:cs="Tahoma"/>
              </w:rPr>
              <w:t>Effectiveness</w:t>
            </w:r>
          </w:p>
          <w:p w14:paraId="4549F18E" w14:textId="6A3BEE9D" w:rsidR="00227109" w:rsidRPr="00124B06" w:rsidRDefault="00227109" w:rsidP="00F224B2">
            <w:pPr>
              <w:keepNext/>
              <w:spacing w:after="0"/>
              <w:ind w:left="102"/>
              <w:jc w:val="left"/>
              <w:rPr>
                <w:rFonts w:ascii="Arial Narrow" w:eastAsia="SimSun" w:hAnsi="Arial Narrow" w:cs="Tahoma"/>
              </w:rPr>
            </w:pPr>
            <w:r w:rsidRPr="00124B06">
              <w:rPr>
                <w:rFonts w:ascii="Arial Narrow" w:eastAsia="SimSun" w:hAnsi="Arial Narrow" w:cs="Tahoma"/>
              </w:rPr>
              <w:t>Survival, disease free survival, metastases free survival</w:t>
            </w:r>
            <w:r>
              <w:rPr>
                <w:rFonts w:ascii="Arial Narrow" w:eastAsia="SimSun" w:hAnsi="Arial Narrow" w:cs="Tahoma"/>
              </w:rPr>
              <w:t>, quality of life</w:t>
            </w:r>
            <w:r w:rsidRPr="00124B06">
              <w:rPr>
                <w:rFonts w:ascii="Arial Narrow" w:eastAsia="SimSun" w:hAnsi="Arial Narrow" w:cs="Tahoma"/>
              </w:rPr>
              <w:t xml:space="preserve"> </w:t>
            </w:r>
          </w:p>
          <w:p w14:paraId="5E52F9E2" w14:textId="77777777" w:rsidR="00227109" w:rsidRPr="00124B06" w:rsidRDefault="00227109" w:rsidP="00F224B2">
            <w:pPr>
              <w:keepNext/>
              <w:spacing w:after="0"/>
              <w:jc w:val="left"/>
              <w:rPr>
                <w:rFonts w:ascii="Arial Narrow" w:eastAsia="SimSun" w:hAnsi="Arial Narrow" w:cs="Tahoma"/>
              </w:rPr>
            </w:pPr>
            <w:r w:rsidRPr="00124B06">
              <w:rPr>
                <w:rFonts w:ascii="Arial Narrow" w:eastAsia="SimSun" w:hAnsi="Arial Narrow" w:cs="Tahoma"/>
              </w:rPr>
              <w:t>Cost effectiveness</w:t>
            </w:r>
          </w:p>
          <w:p w14:paraId="30492AC5" w14:textId="77777777" w:rsidR="00227109" w:rsidRPr="00124B06" w:rsidRDefault="00227109" w:rsidP="00F224B2">
            <w:pPr>
              <w:keepNext/>
              <w:spacing w:after="0"/>
              <w:jc w:val="left"/>
              <w:rPr>
                <w:rFonts w:ascii="Arial Narrow" w:eastAsia="SimSun" w:hAnsi="Arial Narrow" w:cs="Tahoma"/>
              </w:rPr>
            </w:pPr>
            <w:r w:rsidRPr="00124B06">
              <w:rPr>
                <w:rFonts w:ascii="Arial Narrow" w:eastAsia="SimSun" w:hAnsi="Arial Narrow" w:cs="Tahoma"/>
              </w:rPr>
              <w:t>Financial implications</w:t>
            </w:r>
          </w:p>
          <w:p w14:paraId="01FA8EFA" w14:textId="77777777" w:rsidR="00227109" w:rsidRPr="00124B06" w:rsidRDefault="00227109" w:rsidP="00F84B73">
            <w:pPr>
              <w:keepNext/>
              <w:spacing w:after="0"/>
              <w:rPr>
                <w:rFonts w:ascii="Arial Narrow" w:eastAsia="SimSun" w:hAnsi="Arial Narrow" w:cs="Tahoma"/>
              </w:rPr>
            </w:pPr>
          </w:p>
        </w:tc>
      </w:tr>
    </w:tbl>
    <w:p w14:paraId="69B54E6D" w14:textId="3C2C6C65" w:rsidR="009779E5" w:rsidRDefault="009D6948" w:rsidP="00F84B73">
      <w:pPr>
        <w:spacing w:after="0"/>
        <w:rPr>
          <w:rFonts w:ascii="Arial Narrow" w:hAnsi="Arial Narrow"/>
          <w:sz w:val="18"/>
          <w:szCs w:val="18"/>
        </w:rPr>
      </w:pPr>
      <w:r w:rsidRPr="009D6948">
        <w:rPr>
          <w:rFonts w:ascii="Arial Narrow" w:hAnsi="Arial Narrow"/>
          <w:sz w:val="18"/>
          <w:szCs w:val="18"/>
        </w:rPr>
        <w:t xml:space="preserve">IHC = immunohistochemistry; </w:t>
      </w:r>
      <w:r w:rsidR="00E4782E">
        <w:rPr>
          <w:rFonts w:ascii="Arial Narrow" w:hAnsi="Arial Narrow"/>
          <w:sz w:val="18"/>
          <w:szCs w:val="18"/>
        </w:rPr>
        <w:t xml:space="preserve">ISH = in situ hybridisation; </w:t>
      </w:r>
      <w:r w:rsidRPr="009D6948">
        <w:rPr>
          <w:rFonts w:ascii="Arial Narrow" w:hAnsi="Arial Narrow"/>
          <w:sz w:val="18"/>
          <w:szCs w:val="18"/>
        </w:rPr>
        <w:t xml:space="preserve">ER+ve = </w:t>
      </w:r>
      <w:r w:rsidR="006D2336">
        <w:rPr>
          <w:rFonts w:ascii="Arial Narrow" w:hAnsi="Arial Narrow"/>
          <w:sz w:val="18"/>
          <w:szCs w:val="18"/>
        </w:rPr>
        <w:t>o</w:t>
      </w:r>
      <w:r w:rsidRPr="009D6948">
        <w:rPr>
          <w:rFonts w:ascii="Arial Narrow" w:hAnsi="Arial Narrow"/>
          <w:sz w:val="18"/>
          <w:szCs w:val="18"/>
        </w:rPr>
        <w:t xml:space="preserve">estrogen receptor positive; HER2-ve = human epidermal growth receptor negative; </w:t>
      </w:r>
      <w:r w:rsidR="009411D9">
        <w:rPr>
          <w:rFonts w:ascii="Arial Narrow" w:hAnsi="Arial Narrow"/>
          <w:sz w:val="18"/>
          <w:szCs w:val="18"/>
        </w:rPr>
        <w:t xml:space="preserve">NCCN = National Comprehensive Cancer Network; </w:t>
      </w:r>
      <w:r w:rsidR="002B0852">
        <w:rPr>
          <w:rFonts w:ascii="Arial Narrow" w:hAnsi="Arial Narrow"/>
          <w:sz w:val="18"/>
          <w:szCs w:val="18"/>
        </w:rPr>
        <w:t>RT-qPCR</w:t>
      </w:r>
      <w:r w:rsidRPr="009D6948">
        <w:rPr>
          <w:rFonts w:ascii="Arial Narrow" w:hAnsi="Arial Narrow"/>
          <w:sz w:val="18"/>
          <w:szCs w:val="18"/>
        </w:rPr>
        <w:t xml:space="preserve"> = qualitative real time polymerase chain reaction</w:t>
      </w:r>
    </w:p>
    <w:p w14:paraId="6B8EA7BE" w14:textId="79F72A30" w:rsidR="00194FCC" w:rsidRPr="009D6948" w:rsidRDefault="00194FCC" w:rsidP="009779E5">
      <w:pPr>
        <w:rPr>
          <w:rFonts w:ascii="Arial Narrow" w:hAnsi="Arial Narrow"/>
          <w:sz w:val="18"/>
          <w:szCs w:val="18"/>
        </w:rPr>
      </w:pPr>
      <w:r>
        <w:rPr>
          <w:rFonts w:ascii="Arial Narrow" w:hAnsi="Arial Narrow"/>
          <w:sz w:val="18"/>
          <w:szCs w:val="18"/>
        </w:rPr>
        <w:t>*Intermediate risk is defined</w:t>
      </w:r>
      <w:r w:rsidR="002B0852">
        <w:rPr>
          <w:rFonts w:ascii="Arial Narrow" w:hAnsi="Arial Narrow"/>
          <w:sz w:val="18"/>
          <w:szCs w:val="18"/>
        </w:rPr>
        <w:t xml:space="preserve"> as</w:t>
      </w:r>
      <w:r>
        <w:rPr>
          <w:rFonts w:ascii="Arial Narrow" w:hAnsi="Arial Narrow"/>
          <w:sz w:val="18"/>
          <w:szCs w:val="18"/>
        </w:rPr>
        <w:t xml:space="preserve"> </w:t>
      </w:r>
      <w:r w:rsidR="00721825">
        <w:rPr>
          <w:rFonts w:ascii="Arial Narrow" w:hAnsi="Arial Narrow"/>
          <w:sz w:val="18"/>
          <w:szCs w:val="18"/>
        </w:rPr>
        <w:t>tumour size ≥ 2cm</w:t>
      </w:r>
      <w:r w:rsidR="002B0852" w:rsidRPr="002B0852">
        <w:rPr>
          <w:rFonts w:ascii="Arial Narrow" w:hAnsi="Arial Narrow"/>
          <w:sz w:val="18"/>
          <w:szCs w:val="18"/>
        </w:rPr>
        <w:t>; or Grade 2; or one to three lymph nodes involved in metastatic disease (nodes include micrometastases but not isolated tumour cells)</w:t>
      </w:r>
      <w:r>
        <w:rPr>
          <w:rFonts w:ascii="Arial Narrow" w:hAnsi="Arial Narrow"/>
          <w:sz w:val="18"/>
          <w:szCs w:val="18"/>
        </w:rPr>
        <w:t>.</w:t>
      </w:r>
      <w:r w:rsidR="00CC0C4F">
        <w:rPr>
          <w:rFonts w:ascii="Arial Narrow" w:hAnsi="Arial Narrow"/>
          <w:sz w:val="18"/>
          <w:szCs w:val="18"/>
        </w:rPr>
        <w:t xml:space="preserve"> Maximum tumour size for intermediate risk group to be determined by </w:t>
      </w:r>
      <w:r w:rsidR="003E3232">
        <w:rPr>
          <w:rFonts w:ascii="Arial Narrow" w:hAnsi="Arial Narrow"/>
          <w:sz w:val="18"/>
          <w:szCs w:val="18"/>
        </w:rPr>
        <w:t>subgroup analysis.</w:t>
      </w:r>
    </w:p>
    <w:p w14:paraId="5AC6141D" w14:textId="5C66F8C2" w:rsidR="00003068" w:rsidRPr="00BE2386" w:rsidRDefault="007A6E5F" w:rsidP="00BE2386">
      <w:pPr>
        <w:pStyle w:val="Heading2"/>
        <w:rPr>
          <w:i/>
          <w:sz w:val="24"/>
          <w:szCs w:val="24"/>
        </w:rPr>
      </w:pPr>
      <w:r w:rsidRPr="00BE2386">
        <w:rPr>
          <w:i/>
          <w:sz w:val="24"/>
          <w:szCs w:val="24"/>
        </w:rPr>
        <w:t>Direct r</w:t>
      </w:r>
      <w:r w:rsidR="009D6948" w:rsidRPr="00BE2386">
        <w:rPr>
          <w:i/>
          <w:sz w:val="24"/>
          <w:szCs w:val="24"/>
        </w:rPr>
        <w:t>esearch question</w:t>
      </w:r>
      <w:r w:rsidR="00746866" w:rsidRPr="00BE2386">
        <w:rPr>
          <w:i/>
          <w:sz w:val="24"/>
          <w:szCs w:val="24"/>
        </w:rPr>
        <w:t>s</w:t>
      </w:r>
      <w:r w:rsidR="00623E88">
        <w:rPr>
          <w:i/>
          <w:sz w:val="24"/>
          <w:szCs w:val="24"/>
        </w:rPr>
        <w:t xml:space="preserve"> for safety, effectiveness and cost-effectiveness</w:t>
      </w:r>
    </w:p>
    <w:p w14:paraId="7BFE928B" w14:textId="03D4AEED" w:rsidR="00746866" w:rsidRPr="00F84B73" w:rsidRDefault="009D6948" w:rsidP="009D6948">
      <w:r w:rsidRPr="00F84B73">
        <w:t xml:space="preserve">Is </w:t>
      </w:r>
      <w:proofErr w:type="spellStart"/>
      <w:r w:rsidR="00B923E9" w:rsidRPr="00F84B73">
        <w:t>EndoPredict</w:t>
      </w:r>
      <w:proofErr w:type="spellEnd"/>
      <w:r w:rsidR="00B923E9" w:rsidRPr="00F84B73">
        <w:t xml:space="preserve">® </w:t>
      </w:r>
      <w:r w:rsidR="00957D4B" w:rsidRPr="00F84B73">
        <w:t>(</w:t>
      </w:r>
      <w:proofErr w:type="spellStart"/>
      <w:r w:rsidR="00957D4B" w:rsidRPr="00F84B73">
        <w:t>EPclin</w:t>
      </w:r>
      <w:proofErr w:type="spellEnd"/>
      <w:r w:rsidR="00957D4B" w:rsidRPr="00F84B73">
        <w:t xml:space="preserve"> Score) </w:t>
      </w:r>
      <w:r w:rsidR="00C92FA1" w:rsidRPr="00F84B73">
        <w:t xml:space="preserve">when used </w:t>
      </w:r>
      <w:r w:rsidRPr="00F84B73">
        <w:t xml:space="preserve">in conjunction with current clinical practice, as safe, effective and cost-effective as current clinical practice alone for </w:t>
      </w:r>
      <w:r w:rsidR="00E32AD3">
        <w:t xml:space="preserve">determining </w:t>
      </w:r>
      <w:r w:rsidRPr="00F84B73">
        <w:t xml:space="preserve">the prognosis of </w:t>
      </w:r>
      <w:r w:rsidR="00957D4B" w:rsidRPr="00F84B73">
        <w:t xml:space="preserve">distant </w:t>
      </w:r>
      <w:r w:rsidRPr="00F84B73">
        <w:t xml:space="preserve">recurrence </w:t>
      </w:r>
      <w:r w:rsidR="00BC0503" w:rsidRPr="00F84B73">
        <w:t xml:space="preserve">and metastases </w:t>
      </w:r>
      <w:r w:rsidRPr="00F84B73">
        <w:t xml:space="preserve">in ER+ve, </w:t>
      </w:r>
      <w:r w:rsidRPr="00912D07">
        <w:t>HER</w:t>
      </w:r>
      <w:r w:rsidR="00172C66" w:rsidRPr="00912D07">
        <w:t>2</w:t>
      </w:r>
      <w:r w:rsidRPr="00F84B73">
        <w:t>-ve primary breast cancer patients</w:t>
      </w:r>
      <w:r w:rsidR="00BC0503" w:rsidRPr="00F84B73">
        <w:t xml:space="preserve"> </w:t>
      </w:r>
      <w:r w:rsidR="001D3616" w:rsidRPr="00F84B73">
        <w:t xml:space="preserve">at intermediate risk </w:t>
      </w:r>
      <w:r w:rsidR="00BC0503" w:rsidRPr="00F84B73">
        <w:t>who have undergone surgical tumour removal</w:t>
      </w:r>
      <w:r w:rsidR="00957D4B" w:rsidRPr="00F84B73">
        <w:t>?</w:t>
      </w:r>
    </w:p>
    <w:p w14:paraId="7048E1EB" w14:textId="77777777" w:rsidR="00E17097" w:rsidRPr="00912D07" w:rsidRDefault="00E17097" w:rsidP="009D6948">
      <w:r w:rsidRPr="00912D07">
        <w:t xml:space="preserve">Is </w:t>
      </w:r>
      <w:proofErr w:type="spellStart"/>
      <w:r w:rsidRPr="00912D07">
        <w:t>EndoPredict</w:t>
      </w:r>
      <w:proofErr w:type="spellEnd"/>
      <w:r w:rsidRPr="00912D07">
        <w:t>® (</w:t>
      </w:r>
      <w:proofErr w:type="spellStart"/>
      <w:r w:rsidRPr="00912D07">
        <w:t>EPclin</w:t>
      </w:r>
      <w:proofErr w:type="spellEnd"/>
      <w:r w:rsidRPr="00912D07">
        <w:t xml:space="preserve"> Score) when used in conjunction with current clinical practice, as safe, effective and cost-effective as international </w:t>
      </w:r>
      <w:r w:rsidR="00671F2F" w:rsidRPr="00912D07">
        <w:t>guidelines</w:t>
      </w:r>
      <w:r w:rsidRPr="00912D07">
        <w:t xml:space="preserve"> (NCCN, St </w:t>
      </w:r>
      <w:proofErr w:type="spellStart"/>
      <w:r w:rsidRPr="00912D07">
        <w:t>Gallen</w:t>
      </w:r>
      <w:proofErr w:type="spellEnd"/>
      <w:r w:rsidRPr="00912D07">
        <w:t>, German S3) for</w:t>
      </w:r>
      <w:r w:rsidR="00E32AD3">
        <w:t xml:space="preserve"> determining</w:t>
      </w:r>
      <w:r w:rsidRPr="00912D07">
        <w:t xml:space="preserve"> the prognosis of distant recurrence and metastases in ER+ve, HER2-ve primary breast cancer patients at intermediate risk who have undergone surgical tumour removal?</w:t>
      </w:r>
    </w:p>
    <w:p w14:paraId="2050375F" w14:textId="77777777" w:rsidR="00B014CB" w:rsidRDefault="005A495E" w:rsidP="00B014CB">
      <w:pPr>
        <w:keepNext/>
        <w:spacing w:after="40" w:line="240" w:lineRule="auto"/>
      </w:pPr>
      <w:r w:rsidRPr="00912D07">
        <w:lastRenderedPageBreak/>
        <w:t xml:space="preserve">Is </w:t>
      </w:r>
      <w:proofErr w:type="spellStart"/>
      <w:r w:rsidRPr="00912D07">
        <w:t>EndoPredict</w:t>
      </w:r>
      <w:proofErr w:type="spellEnd"/>
      <w:r w:rsidRPr="00912D07">
        <w:t>®</w:t>
      </w:r>
      <w:r w:rsidR="00AD4241" w:rsidRPr="00912D07">
        <w:t xml:space="preserve"> (</w:t>
      </w:r>
      <w:proofErr w:type="spellStart"/>
      <w:r w:rsidR="00AD4241" w:rsidRPr="00912D07">
        <w:t>EPclin</w:t>
      </w:r>
      <w:proofErr w:type="spellEnd"/>
      <w:r w:rsidR="00AD4241" w:rsidRPr="00912D07">
        <w:t xml:space="preserve"> Score) when used in conjunction with current clinical practice, as safe, effective and cost-effective as </w:t>
      </w:r>
      <w:proofErr w:type="spellStart"/>
      <w:r w:rsidR="00AD4241" w:rsidRPr="00912D07">
        <w:t>MammaPrint</w:t>
      </w:r>
      <w:proofErr w:type="spellEnd"/>
      <w:r w:rsidR="00AD4241" w:rsidRPr="00912D07">
        <w:t xml:space="preserve"> or </w:t>
      </w:r>
      <w:proofErr w:type="spellStart"/>
      <w:r w:rsidR="00AD4241" w:rsidRPr="00912D07">
        <w:t>Oncotype</w:t>
      </w:r>
      <w:proofErr w:type="spellEnd"/>
      <w:r w:rsidR="00AD4241" w:rsidRPr="00912D07">
        <w:t xml:space="preserve"> DX when used in conjunction with current clinical practice, for </w:t>
      </w:r>
      <w:r w:rsidR="00E32AD3">
        <w:t xml:space="preserve">determining </w:t>
      </w:r>
      <w:r w:rsidR="00AD4241" w:rsidRPr="00912D07">
        <w:t>the prognosis of distant recurrence and metastases in ER+ve, HER</w:t>
      </w:r>
      <w:r w:rsidR="006833F6" w:rsidRPr="00912D07">
        <w:t>2</w:t>
      </w:r>
      <w:r w:rsidR="00AD4241" w:rsidRPr="00912D07">
        <w:t>-ve primary breast cancer patients at intermediate risk who have undergone surgical tumour removal?</w:t>
      </w:r>
    </w:p>
    <w:p w14:paraId="147338EE" w14:textId="77777777" w:rsidR="00B014CB" w:rsidRDefault="00B014CB" w:rsidP="00EF5410">
      <w:pPr>
        <w:keepNext/>
        <w:spacing w:after="40" w:line="240" w:lineRule="auto"/>
        <w:ind w:left="709" w:hanging="709"/>
      </w:pPr>
    </w:p>
    <w:p w14:paraId="60243C7E" w14:textId="4068EDAF" w:rsidR="00C53441" w:rsidRDefault="00EF5410" w:rsidP="00EF5410">
      <w:pPr>
        <w:keepNext/>
        <w:spacing w:after="40" w:line="240" w:lineRule="auto"/>
        <w:ind w:left="709" w:hanging="709"/>
        <w:rPr>
          <w:rFonts w:ascii="Arial Narrow" w:eastAsia="Times New Roman" w:hAnsi="Arial Narrow" w:cs="Tahoma"/>
          <w:b/>
          <w:sz w:val="20"/>
          <w:szCs w:val="20"/>
          <w:lang w:val="en-GB" w:eastAsia="ja-JP"/>
        </w:rPr>
      </w:pPr>
      <w:r w:rsidRPr="00124B06">
        <w:rPr>
          <w:rFonts w:ascii="Arial Narrow" w:eastAsia="Times New Roman" w:hAnsi="Arial Narrow" w:cs="Tahoma"/>
          <w:b/>
          <w:sz w:val="20"/>
          <w:szCs w:val="20"/>
          <w:lang w:val="en-GB" w:eastAsia="ja-JP"/>
        </w:rPr>
        <w:t xml:space="preserve">Table </w:t>
      </w:r>
      <w:r w:rsidR="002527A6">
        <w:rPr>
          <w:rFonts w:ascii="Arial Narrow" w:eastAsia="Times New Roman" w:hAnsi="Arial Narrow" w:cs="Tahoma"/>
          <w:b/>
          <w:sz w:val="20"/>
          <w:szCs w:val="20"/>
          <w:lang w:val="en-GB" w:eastAsia="ja-JP"/>
        </w:rPr>
        <w:t>7</w:t>
      </w:r>
      <w:r w:rsidRPr="00124B06">
        <w:rPr>
          <w:rFonts w:ascii="Arial Narrow" w:eastAsia="Times New Roman" w:hAnsi="Arial Narrow" w:cs="Tahoma"/>
          <w:b/>
          <w:sz w:val="20"/>
          <w:szCs w:val="20"/>
          <w:lang w:val="en-GB" w:eastAsia="ja-JP"/>
        </w:rPr>
        <w:tab/>
        <w:t xml:space="preserve">PICO criteria for evaluating </w:t>
      </w:r>
      <w:r>
        <w:rPr>
          <w:rFonts w:ascii="Arial Narrow" w:eastAsia="Times New Roman" w:hAnsi="Arial Narrow" w:cs="Tahoma"/>
          <w:b/>
          <w:sz w:val="20"/>
          <w:szCs w:val="20"/>
          <w:lang w:val="en-GB" w:eastAsia="ja-JP"/>
        </w:rPr>
        <w:t xml:space="preserve">predictive value </w:t>
      </w:r>
      <w:r w:rsidR="008453B0">
        <w:rPr>
          <w:rFonts w:ascii="Arial Narrow" w:eastAsia="Times New Roman" w:hAnsi="Arial Narrow" w:cs="Tahoma"/>
          <w:b/>
          <w:sz w:val="20"/>
          <w:szCs w:val="20"/>
          <w:lang w:val="en-GB" w:eastAsia="ja-JP"/>
        </w:rPr>
        <w:t xml:space="preserve">for recurrence in </w:t>
      </w:r>
      <w:r w:rsidR="00C53441">
        <w:rPr>
          <w:rFonts w:ascii="Arial Narrow" w:eastAsia="Times New Roman" w:hAnsi="Arial Narrow" w:cs="Tahoma"/>
          <w:b/>
          <w:sz w:val="20"/>
          <w:szCs w:val="20"/>
          <w:lang w:val="en-GB" w:eastAsia="ja-JP"/>
        </w:rPr>
        <w:t>patients</w:t>
      </w:r>
      <w:r w:rsidR="008453B0">
        <w:rPr>
          <w:rFonts w:ascii="Arial Narrow" w:eastAsia="Times New Roman" w:hAnsi="Arial Narrow" w:cs="Tahoma"/>
          <w:b/>
          <w:sz w:val="20"/>
          <w:szCs w:val="20"/>
          <w:lang w:val="en-GB" w:eastAsia="ja-JP"/>
        </w:rPr>
        <w:t xml:space="preserve"> at intermediate risk who have been classified as high r</w:t>
      </w:r>
      <w:r w:rsidR="00C53441">
        <w:rPr>
          <w:rFonts w:ascii="Arial Narrow" w:eastAsia="Times New Roman" w:hAnsi="Arial Narrow" w:cs="Tahoma"/>
          <w:b/>
          <w:sz w:val="20"/>
          <w:szCs w:val="20"/>
          <w:lang w:val="en-GB" w:eastAsia="ja-JP"/>
        </w:rPr>
        <w:t xml:space="preserve">isk or low risk by </w:t>
      </w:r>
      <w:proofErr w:type="spellStart"/>
      <w:r w:rsidR="00C53441">
        <w:rPr>
          <w:rFonts w:ascii="Arial Narrow" w:eastAsia="Times New Roman" w:hAnsi="Arial Narrow" w:cs="Tahoma"/>
          <w:b/>
          <w:sz w:val="20"/>
          <w:szCs w:val="20"/>
          <w:lang w:val="en-GB" w:eastAsia="ja-JP"/>
        </w:rPr>
        <w:t>EndoPredict</w:t>
      </w:r>
      <w:proofErr w:type="spellEnd"/>
      <w:r w:rsidR="00C53441">
        <w:rPr>
          <w:rFonts w:ascii="Arial Narrow" w:eastAsia="Times New Roman" w:hAnsi="Arial Narrow" w:cs="Tahoma"/>
          <w:b/>
          <w:sz w:val="20"/>
          <w:szCs w:val="20"/>
          <w:lang w:val="en-GB" w:eastAsia="ja-JP"/>
        </w:rPr>
        <w:t>®</w:t>
      </w:r>
    </w:p>
    <w:tbl>
      <w:tblPr>
        <w:tblStyle w:val="TableGrid1"/>
        <w:tblW w:w="0" w:type="auto"/>
        <w:tblLook w:val="04A0" w:firstRow="1" w:lastRow="0" w:firstColumn="1" w:lastColumn="0" w:noHBand="0" w:noVBand="1"/>
        <w:tblCaption w:val="PICO criteria for evaluating safety, diagnostic accuracy, effectiveness, and cost effectiveness of TE for diagnosing liver fibrosis in patients with hepatitis B or C"/>
        <w:tblDescription w:val="Table 6: PICO criteria for evaluating safety, effectiveness and cost effectiveness of gene expression profiling combined with classical clinical factors to determine the risk of early and late metastases in primary breast cancer patients"/>
      </w:tblPr>
      <w:tblGrid>
        <w:gridCol w:w="1384"/>
        <w:gridCol w:w="2410"/>
        <w:gridCol w:w="1843"/>
        <w:gridCol w:w="1842"/>
        <w:gridCol w:w="1785"/>
      </w:tblGrid>
      <w:tr w:rsidR="00EF5410" w:rsidRPr="00124B06" w14:paraId="40803909" w14:textId="77777777" w:rsidTr="002527A6">
        <w:trPr>
          <w:tblHeader/>
        </w:trPr>
        <w:tc>
          <w:tcPr>
            <w:tcW w:w="1384" w:type="dxa"/>
            <w:tcBorders>
              <w:top w:val="single" w:sz="4" w:space="0" w:color="auto"/>
              <w:left w:val="single" w:sz="4" w:space="0" w:color="auto"/>
              <w:bottom w:val="single" w:sz="4" w:space="0" w:color="auto"/>
              <w:right w:val="single" w:sz="4" w:space="0" w:color="auto"/>
            </w:tcBorders>
          </w:tcPr>
          <w:p w14:paraId="27C8C42B" w14:textId="77777777" w:rsidR="00EF5410" w:rsidRPr="00124B06" w:rsidRDefault="00EF5410" w:rsidP="007F6029">
            <w:pPr>
              <w:keepNext/>
              <w:rPr>
                <w:rFonts w:ascii="Arial Narrow" w:eastAsia="SimSun" w:hAnsi="Arial Narrow" w:cs="Tahoma"/>
                <w:b/>
              </w:rPr>
            </w:pPr>
            <w:r>
              <w:rPr>
                <w:rFonts w:ascii="Arial Narrow" w:eastAsia="SimSun" w:hAnsi="Arial Narrow" w:cs="Tahoma"/>
                <w:b/>
              </w:rPr>
              <w:t>Prior tests</w:t>
            </w:r>
          </w:p>
        </w:tc>
        <w:tc>
          <w:tcPr>
            <w:tcW w:w="2410" w:type="dxa"/>
            <w:tcBorders>
              <w:top w:val="single" w:sz="4" w:space="0" w:color="auto"/>
              <w:left w:val="single" w:sz="4" w:space="0" w:color="auto"/>
              <w:bottom w:val="single" w:sz="4" w:space="0" w:color="auto"/>
              <w:right w:val="single" w:sz="4" w:space="0" w:color="auto"/>
            </w:tcBorders>
          </w:tcPr>
          <w:p w14:paraId="5C1A6E3A" w14:textId="77777777" w:rsidR="00EF5410" w:rsidRPr="00124B06" w:rsidRDefault="00EF5410" w:rsidP="007F6029">
            <w:pPr>
              <w:keepNext/>
              <w:rPr>
                <w:rFonts w:ascii="Arial Narrow" w:eastAsia="SimSun" w:hAnsi="Arial Narrow" w:cs="Tahoma"/>
                <w:b/>
              </w:rPr>
            </w:pPr>
            <w:r w:rsidRPr="00124B06">
              <w:rPr>
                <w:rFonts w:ascii="Arial Narrow" w:eastAsia="SimSun" w:hAnsi="Arial Narrow" w:cs="Tahoma"/>
                <w:b/>
              </w:rPr>
              <w:t>Patients</w:t>
            </w:r>
          </w:p>
        </w:tc>
        <w:tc>
          <w:tcPr>
            <w:tcW w:w="1843" w:type="dxa"/>
            <w:tcBorders>
              <w:top w:val="single" w:sz="4" w:space="0" w:color="auto"/>
              <w:left w:val="single" w:sz="4" w:space="0" w:color="auto"/>
              <w:bottom w:val="single" w:sz="4" w:space="0" w:color="auto"/>
              <w:right w:val="single" w:sz="4" w:space="0" w:color="auto"/>
            </w:tcBorders>
          </w:tcPr>
          <w:p w14:paraId="7D038148" w14:textId="77777777" w:rsidR="00EF5410" w:rsidRPr="00124B06" w:rsidRDefault="00EF5410" w:rsidP="007F6029">
            <w:pPr>
              <w:keepNext/>
              <w:rPr>
                <w:rFonts w:ascii="Arial Narrow" w:eastAsia="SimSun" w:hAnsi="Arial Narrow" w:cs="Tahoma"/>
                <w:b/>
              </w:rPr>
            </w:pPr>
            <w:r w:rsidRPr="00124B06">
              <w:rPr>
                <w:rFonts w:ascii="Arial Narrow" w:eastAsia="SimSun" w:hAnsi="Arial Narrow" w:cs="Tahoma"/>
                <w:b/>
              </w:rPr>
              <w:t>Intervention</w:t>
            </w:r>
          </w:p>
        </w:tc>
        <w:tc>
          <w:tcPr>
            <w:tcW w:w="1842" w:type="dxa"/>
            <w:tcBorders>
              <w:top w:val="single" w:sz="4" w:space="0" w:color="auto"/>
              <w:left w:val="single" w:sz="4" w:space="0" w:color="auto"/>
              <w:bottom w:val="single" w:sz="4" w:space="0" w:color="auto"/>
              <w:right w:val="single" w:sz="4" w:space="0" w:color="auto"/>
            </w:tcBorders>
          </w:tcPr>
          <w:p w14:paraId="0A839BAC" w14:textId="77777777" w:rsidR="00EF5410" w:rsidRPr="00124B06" w:rsidRDefault="00EF5410" w:rsidP="007F6029">
            <w:pPr>
              <w:keepNext/>
              <w:rPr>
                <w:rFonts w:ascii="Arial Narrow" w:eastAsia="SimSun" w:hAnsi="Arial Narrow" w:cs="Tahoma"/>
                <w:b/>
              </w:rPr>
            </w:pPr>
            <w:r w:rsidRPr="00124B06">
              <w:rPr>
                <w:rFonts w:ascii="Arial Narrow" w:eastAsia="SimSun" w:hAnsi="Arial Narrow" w:cs="Tahoma"/>
                <w:b/>
              </w:rPr>
              <w:t>Comparator</w:t>
            </w:r>
            <w:r>
              <w:rPr>
                <w:rFonts w:ascii="Arial Narrow" w:eastAsia="SimSun" w:hAnsi="Arial Narrow" w:cs="Tahoma"/>
                <w:b/>
              </w:rPr>
              <w:t>s</w:t>
            </w:r>
          </w:p>
        </w:tc>
        <w:tc>
          <w:tcPr>
            <w:tcW w:w="1785" w:type="dxa"/>
            <w:tcBorders>
              <w:top w:val="single" w:sz="4" w:space="0" w:color="auto"/>
              <w:left w:val="single" w:sz="4" w:space="0" w:color="auto"/>
              <w:bottom w:val="single" w:sz="4" w:space="0" w:color="auto"/>
              <w:right w:val="single" w:sz="4" w:space="0" w:color="auto"/>
            </w:tcBorders>
          </w:tcPr>
          <w:p w14:paraId="75F7DA57" w14:textId="77777777" w:rsidR="00EF5410" w:rsidRPr="00124B06" w:rsidRDefault="00EF5410" w:rsidP="007F6029">
            <w:pPr>
              <w:keepNext/>
              <w:jc w:val="left"/>
              <w:rPr>
                <w:rFonts w:ascii="Arial Narrow" w:eastAsia="SimSun" w:hAnsi="Arial Narrow" w:cs="Tahoma"/>
                <w:b/>
              </w:rPr>
            </w:pPr>
            <w:r w:rsidRPr="00124B06">
              <w:rPr>
                <w:rFonts w:ascii="Arial Narrow" w:eastAsia="SimSun" w:hAnsi="Arial Narrow" w:cs="Tahoma"/>
                <w:b/>
              </w:rPr>
              <w:t>Outcomes to be assessed</w:t>
            </w:r>
          </w:p>
        </w:tc>
      </w:tr>
      <w:tr w:rsidR="00EF5410" w:rsidRPr="00124B06" w14:paraId="5C8182C0" w14:textId="77777777" w:rsidTr="002527A6">
        <w:trPr>
          <w:trHeight w:val="3396"/>
        </w:trPr>
        <w:tc>
          <w:tcPr>
            <w:tcW w:w="1384" w:type="dxa"/>
            <w:tcBorders>
              <w:top w:val="single" w:sz="4" w:space="0" w:color="auto"/>
              <w:left w:val="single" w:sz="4" w:space="0" w:color="auto"/>
              <w:right w:val="single" w:sz="4" w:space="0" w:color="auto"/>
            </w:tcBorders>
          </w:tcPr>
          <w:p w14:paraId="1218EAA9" w14:textId="4BCB3D59" w:rsidR="00EF5410" w:rsidRDefault="00EF5410" w:rsidP="007F6029">
            <w:pPr>
              <w:keepNext/>
              <w:jc w:val="left"/>
              <w:rPr>
                <w:rFonts w:ascii="Arial Narrow" w:eastAsia="SimSun" w:hAnsi="Arial Narrow" w:cs="Tahoma"/>
              </w:rPr>
            </w:pPr>
            <w:r w:rsidRPr="00E4782E">
              <w:rPr>
                <w:rFonts w:ascii="Arial Narrow" w:eastAsia="SimSun" w:hAnsi="Arial Narrow" w:cs="Tahoma"/>
              </w:rPr>
              <w:t>IHC</w:t>
            </w:r>
            <w:r>
              <w:rPr>
                <w:rFonts w:ascii="Arial Narrow" w:eastAsia="SimSun" w:hAnsi="Arial Narrow" w:cs="Tahoma"/>
              </w:rPr>
              <w:t xml:space="preserve"> and </w:t>
            </w:r>
            <w:r w:rsidRPr="00E4782E">
              <w:rPr>
                <w:rFonts w:ascii="Arial Narrow" w:eastAsia="SimSun" w:hAnsi="Arial Narrow" w:cs="Tahoma"/>
              </w:rPr>
              <w:t>ISH for ER</w:t>
            </w:r>
            <w:r>
              <w:rPr>
                <w:rFonts w:ascii="Arial Narrow" w:eastAsia="SimSun" w:hAnsi="Arial Narrow" w:cs="Tahoma"/>
              </w:rPr>
              <w:t xml:space="preserve"> and </w:t>
            </w:r>
            <w:r w:rsidRPr="00E4782E">
              <w:rPr>
                <w:rFonts w:ascii="Arial Narrow" w:eastAsia="SimSun" w:hAnsi="Arial Narrow" w:cs="Tahoma"/>
              </w:rPr>
              <w:t>HER2 status</w:t>
            </w:r>
            <w:r>
              <w:rPr>
                <w:rFonts w:ascii="Arial Narrow" w:eastAsia="SimSun" w:hAnsi="Arial Narrow" w:cs="Tahoma"/>
              </w:rPr>
              <w:t>, histopathology for tumour size and nodal status following surgery</w:t>
            </w:r>
          </w:p>
          <w:p w14:paraId="60EF0772" w14:textId="77777777" w:rsidR="00EF5410" w:rsidRPr="00124B06" w:rsidRDefault="00EF5410" w:rsidP="007F6029">
            <w:pPr>
              <w:keepNext/>
              <w:rPr>
                <w:rFonts w:ascii="Arial Narrow" w:eastAsia="SimSun" w:hAnsi="Arial Narrow" w:cs="Tahoma"/>
              </w:rPr>
            </w:pPr>
          </w:p>
        </w:tc>
        <w:tc>
          <w:tcPr>
            <w:tcW w:w="2410" w:type="dxa"/>
            <w:tcBorders>
              <w:top w:val="single" w:sz="4" w:space="0" w:color="auto"/>
              <w:left w:val="single" w:sz="4" w:space="0" w:color="auto"/>
              <w:right w:val="single" w:sz="4" w:space="0" w:color="auto"/>
            </w:tcBorders>
          </w:tcPr>
          <w:p w14:paraId="4CFD8724" w14:textId="0FE2AC5C" w:rsidR="00EF5410" w:rsidRDefault="00EF5410" w:rsidP="007F6029">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status, </w:t>
            </w:r>
            <w:r w:rsidRPr="00194FCC">
              <w:rPr>
                <w:rFonts w:ascii="Arial Narrow" w:eastAsia="SimSun" w:hAnsi="Arial Narrow" w:cs="Tahoma"/>
              </w:rPr>
              <w:t xml:space="preserve"> </w:t>
            </w:r>
            <w:r>
              <w:rPr>
                <w:rFonts w:ascii="Arial Narrow" w:eastAsia="SimSun" w:hAnsi="Arial Narrow" w:cs="Tahoma"/>
              </w:rPr>
              <w:t>tumour size and nodal status determined following tumour removal, at intermediate risk of distant recurrence or metastases*</w:t>
            </w:r>
          </w:p>
          <w:p w14:paraId="05FAF6F4" w14:textId="6FC82CE0" w:rsidR="00F570C0" w:rsidRDefault="00F570C0" w:rsidP="007F6029">
            <w:pPr>
              <w:keepNext/>
              <w:jc w:val="left"/>
              <w:rPr>
                <w:rFonts w:ascii="Arial Narrow" w:eastAsia="SimSun" w:hAnsi="Arial Narrow" w:cs="Tahoma"/>
              </w:rPr>
            </w:pPr>
            <w:r>
              <w:rPr>
                <w:rFonts w:ascii="Arial Narrow" w:eastAsia="SimSun" w:hAnsi="Arial Narrow" w:cs="Tahoma"/>
              </w:rPr>
              <w:t xml:space="preserve">Subgroups as determined by </w:t>
            </w:r>
            <w:proofErr w:type="spellStart"/>
            <w:r>
              <w:rPr>
                <w:rFonts w:ascii="Arial Narrow" w:eastAsia="SimSun" w:hAnsi="Arial Narrow" w:cs="Tahoma"/>
              </w:rPr>
              <w:t>EndoPredict</w:t>
            </w:r>
            <w:proofErr w:type="spellEnd"/>
            <w:r>
              <w:rPr>
                <w:rFonts w:ascii="Arial Narrow" w:eastAsia="SimSun" w:hAnsi="Arial Narrow" w:cs="Tahoma"/>
              </w:rPr>
              <w:t>:</w:t>
            </w:r>
          </w:p>
          <w:p w14:paraId="07E0A498" w14:textId="73BE0258" w:rsidR="00F570C0" w:rsidRDefault="00F570C0" w:rsidP="005D5B17">
            <w:pPr>
              <w:pStyle w:val="ListParagraph"/>
              <w:keepNext/>
              <w:numPr>
                <w:ilvl w:val="0"/>
                <w:numId w:val="50"/>
              </w:numPr>
              <w:ind w:left="459" w:hanging="283"/>
              <w:rPr>
                <w:rFonts w:ascii="Arial Narrow" w:eastAsia="SimSun" w:hAnsi="Arial Narrow" w:cs="Tahoma"/>
              </w:rPr>
            </w:pPr>
            <w:r>
              <w:rPr>
                <w:rFonts w:ascii="Arial Narrow" w:eastAsia="SimSun" w:hAnsi="Arial Narrow" w:cs="Tahoma"/>
              </w:rPr>
              <w:t>Low risk</w:t>
            </w:r>
          </w:p>
          <w:p w14:paraId="1DB019E6" w14:textId="74BB5F88" w:rsidR="00F570C0" w:rsidRPr="002527A6" w:rsidRDefault="00F570C0" w:rsidP="005D5B17">
            <w:pPr>
              <w:pStyle w:val="ListParagraph"/>
              <w:keepNext/>
              <w:numPr>
                <w:ilvl w:val="0"/>
                <w:numId w:val="50"/>
              </w:numPr>
              <w:ind w:left="459" w:hanging="283"/>
              <w:rPr>
                <w:rFonts w:ascii="Arial Narrow" w:eastAsia="SimSun" w:hAnsi="Arial Narrow" w:cs="Tahoma"/>
              </w:rPr>
            </w:pPr>
            <w:r>
              <w:rPr>
                <w:rFonts w:ascii="Arial Narrow" w:eastAsia="SimSun" w:hAnsi="Arial Narrow" w:cs="Tahoma"/>
              </w:rPr>
              <w:t>High risk</w:t>
            </w:r>
          </w:p>
          <w:p w14:paraId="35364B0B" w14:textId="77777777" w:rsidR="00EF5410" w:rsidRPr="00124B06" w:rsidRDefault="00EF5410" w:rsidP="007F6029">
            <w:pPr>
              <w:keepNext/>
              <w:jc w:val="left"/>
              <w:rPr>
                <w:rFonts w:ascii="Arial Narrow" w:eastAsia="SimSun" w:hAnsi="Arial Narrow" w:cs="Tahoma"/>
              </w:rPr>
            </w:pPr>
          </w:p>
        </w:tc>
        <w:tc>
          <w:tcPr>
            <w:tcW w:w="1843" w:type="dxa"/>
            <w:tcBorders>
              <w:top w:val="single" w:sz="4" w:space="0" w:color="auto"/>
              <w:left w:val="single" w:sz="4" w:space="0" w:color="auto"/>
              <w:right w:val="single" w:sz="4" w:space="0" w:color="auto"/>
            </w:tcBorders>
          </w:tcPr>
          <w:p w14:paraId="7EE9AC19" w14:textId="4E50DDD2" w:rsidR="00EF5410" w:rsidRPr="00124B06" w:rsidRDefault="00F570C0" w:rsidP="007F6029">
            <w:pPr>
              <w:keepNext/>
              <w:jc w:val="left"/>
              <w:rPr>
                <w:rFonts w:ascii="Arial Narrow" w:eastAsia="SimSun" w:hAnsi="Arial Narrow" w:cs="Tahoma"/>
              </w:rPr>
            </w:pPr>
            <w:r>
              <w:rPr>
                <w:rFonts w:ascii="Arial Narrow" w:eastAsia="SimSun" w:hAnsi="Arial Narrow" w:cs="Tahoma"/>
              </w:rPr>
              <w:t>Endocrine therapy plus chemotherapy</w:t>
            </w:r>
          </w:p>
          <w:p w14:paraId="657C49BE" w14:textId="77777777" w:rsidR="00EF5410" w:rsidRPr="00124B06" w:rsidRDefault="00EF5410" w:rsidP="007F6029">
            <w:pPr>
              <w:keepNext/>
              <w:jc w:val="left"/>
              <w:rPr>
                <w:rFonts w:ascii="Arial Narrow" w:eastAsia="SimSun" w:hAnsi="Arial Narrow" w:cs="Tahoma"/>
              </w:rPr>
            </w:pPr>
          </w:p>
        </w:tc>
        <w:tc>
          <w:tcPr>
            <w:tcW w:w="1842" w:type="dxa"/>
            <w:tcBorders>
              <w:top w:val="single" w:sz="4" w:space="0" w:color="auto"/>
              <w:left w:val="single" w:sz="4" w:space="0" w:color="auto"/>
              <w:right w:val="single" w:sz="4" w:space="0" w:color="auto"/>
            </w:tcBorders>
          </w:tcPr>
          <w:p w14:paraId="649BE450" w14:textId="72274DC2" w:rsidR="00EF5410" w:rsidRPr="00124B06" w:rsidRDefault="00F570C0" w:rsidP="002527A6">
            <w:pPr>
              <w:keepNext/>
              <w:jc w:val="left"/>
              <w:rPr>
                <w:rFonts w:ascii="Arial Narrow" w:eastAsia="SimSun" w:hAnsi="Arial Narrow" w:cs="Tahoma"/>
              </w:rPr>
            </w:pPr>
            <w:r>
              <w:rPr>
                <w:rFonts w:ascii="Arial Narrow" w:eastAsia="SimSun" w:hAnsi="Arial Narrow" w:cs="Tahoma"/>
              </w:rPr>
              <w:t>Endocrine therapy alone</w:t>
            </w:r>
          </w:p>
        </w:tc>
        <w:tc>
          <w:tcPr>
            <w:tcW w:w="1785" w:type="dxa"/>
            <w:tcBorders>
              <w:top w:val="single" w:sz="4" w:space="0" w:color="auto"/>
              <w:left w:val="single" w:sz="4" w:space="0" w:color="auto"/>
              <w:right w:val="single" w:sz="4" w:space="0" w:color="auto"/>
            </w:tcBorders>
          </w:tcPr>
          <w:p w14:paraId="2FDA15C2" w14:textId="4AF2F1A6" w:rsidR="002B7E6E" w:rsidRPr="00124B06" w:rsidRDefault="00D6230E" w:rsidP="002527A6">
            <w:pPr>
              <w:keepNext/>
              <w:spacing w:after="0"/>
              <w:jc w:val="left"/>
              <w:rPr>
                <w:rFonts w:ascii="Arial Narrow" w:eastAsia="SimSun" w:hAnsi="Arial Narrow" w:cs="Tahoma"/>
              </w:rPr>
            </w:pPr>
            <w:r>
              <w:rPr>
                <w:rFonts w:ascii="Arial Narrow" w:eastAsia="SimSun" w:hAnsi="Arial Narrow" w:cs="Tahoma"/>
              </w:rPr>
              <w:t>Predictive value</w:t>
            </w:r>
            <w:r w:rsidR="00D32A95">
              <w:rPr>
                <w:rFonts w:ascii="Arial Narrow" w:eastAsia="SimSun" w:hAnsi="Arial Narrow" w:cs="Tahoma"/>
              </w:rPr>
              <w:t xml:space="preserve"> for distant recurrence or metastases</w:t>
            </w:r>
            <w:r w:rsidR="00F570C0">
              <w:rPr>
                <w:rFonts w:ascii="Arial Narrow" w:eastAsia="SimSun" w:hAnsi="Arial Narrow" w:cs="Tahoma"/>
              </w:rPr>
              <w:t xml:space="preserve"> i.e.</w:t>
            </w:r>
            <w:r w:rsidR="008349DD">
              <w:rPr>
                <w:rFonts w:ascii="Arial Narrow" w:eastAsia="SimSun" w:hAnsi="Arial Narrow" w:cs="Tahoma"/>
              </w:rPr>
              <w:t xml:space="preserve"> </w:t>
            </w:r>
            <w:r w:rsidR="00F570C0">
              <w:rPr>
                <w:rFonts w:ascii="Arial Narrow" w:eastAsia="SimSun" w:hAnsi="Arial Narrow" w:cs="Tahoma"/>
              </w:rPr>
              <w:t>the</w:t>
            </w:r>
            <w:r w:rsidR="005D326B">
              <w:rPr>
                <w:rFonts w:ascii="Arial Narrow" w:eastAsia="SimSun" w:hAnsi="Arial Narrow" w:cs="Tahoma"/>
              </w:rPr>
              <w:t xml:space="preserve"> </w:t>
            </w:r>
            <w:r w:rsidR="00F570C0">
              <w:rPr>
                <w:rFonts w:ascii="Arial Narrow" w:eastAsia="SimSun" w:hAnsi="Arial Narrow" w:cs="Tahoma"/>
              </w:rPr>
              <w:t>interaction between</w:t>
            </w:r>
            <w:r w:rsidR="008349DD">
              <w:rPr>
                <w:rFonts w:ascii="Arial Narrow" w:eastAsia="SimSun" w:hAnsi="Arial Narrow" w:cs="Tahoma"/>
              </w:rPr>
              <w:t xml:space="preserve"> low and high</w:t>
            </w:r>
            <w:r w:rsidR="00F570C0">
              <w:rPr>
                <w:rFonts w:ascii="Arial Narrow" w:eastAsia="SimSun" w:hAnsi="Arial Narrow" w:cs="Tahoma"/>
              </w:rPr>
              <w:t xml:space="preserve"> risk status and treatment</w:t>
            </w:r>
            <w:r w:rsidR="005D326B">
              <w:rPr>
                <w:rFonts w:ascii="Arial Narrow" w:eastAsia="SimSun" w:hAnsi="Arial Narrow" w:cs="Tahoma"/>
              </w:rPr>
              <w:t xml:space="preserve"> </w:t>
            </w:r>
          </w:p>
        </w:tc>
      </w:tr>
    </w:tbl>
    <w:p w14:paraId="6F81E054" w14:textId="476D570F" w:rsidR="00EF5410" w:rsidRDefault="00EF5410" w:rsidP="00EF5410">
      <w:pPr>
        <w:spacing w:after="0"/>
        <w:rPr>
          <w:rFonts w:ascii="Arial Narrow" w:hAnsi="Arial Narrow"/>
          <w:sz w:val="18"/>
          <w:szCs w:val="18"/>
        </w:rPr>
      </w:pPr>
      <w:r w:rsidRPr="009D6948">
        <w:rPr>
          <w:rFonts w:ascii="Arial Narrow" w:hAnsi="Arial Narrow"/>
          <w:sz w:val="18"/>
          <w:szCs w:val="18"/>
        </w:rPr>
        <w:t xml:space="preserve">IHC = immunohistochemistry; </w:t>
      </w:r>
      <w:r>
        <w:rPr>
          <w:rFonts w:ascii="Arial Narrow" w:hAnsi="Arial Narrow"/>
          <w:sz w:val="18"/>
          <w:szCs w:val="18"/>
        </w:rPr>
        <w:t xml:space="preserve">ISH = in situ hybridisation; </w:t>
      </w:r>
      <w:r w:rsidRPr="009D6948">
        <w:rPr>
          <w:rFonts w:ascii="Arial Narrow" w:hAnsi="Arial Narrow"/>
          <w:sz w:val="18"/>
          <w:szCs w:val="18"/>
        </w:rPr>
        <w:t xml:space="preserve">ER+ve = </w:t>
      </w:r>
      <w:r>
        <w:rPr>
          <w:rFonts w:ascii="Arial Narrow" w:hAnsi="Arial Narrow"/>
          <w:sz w:val="18"/>
          <w:szCs w:val="18"/>
        </w:rPr>
        <w:t>o</w:t>
      </w:r>
      <w:r w:rsidRPr="009D6948">
        <w:rPr>
          <w:rFonts w:ascii="Arial Narrow" w:hAnsi="Arial Narrow"/>
          <w:sz w:val="18"/>
          <w:szCs w:val="18"/>
        </w:rPr>
        <w:t>estrogen receptor positive; HER2-ve = human epi</w:t>
      </w:r>
      <w:r w:rsidR="005D326B">
        <w:rPr>
          <w:rFonts w:ascii="Arial Narrow" w:hAnsi="Arial Narrow"/>
          <w:sz w:val="18"/>
          <w:szCs w:val="18"/>
        </w:rPr>
        <w:t>dermal growth receptor negative</w:t>
      </w:r>
    </w:p>
    <w:p w14:paraId="6487FBE3" w14:textId="77777777" w:rsidR="00EF5410" w:rsidRPr="009D6948" w:rsidRDefault="00EF5410" w:rsidP="00EF5410">
      <w:pPr>
        <w:rPr>
          <w:rFonts w:ascii="Arial Narrow" w:hAnsi="Arial Narrow"/>
          <w:sz w:val="18"/>
          <w:szCs w:val="18"/>
        </w:rPr>
      </w:pPr>
      <w:r>
        <w:rPr>
          <w:rFonts w:ascii="Arial Narrow" w:hAnsi="Arial Narrow"/>
          <w:sz w:val="18"/>
          <w:szCs w:val="18"/>
        </w:rPr>
        <w:t xml:space="preserve">*Intermediate risk is defined as </w:t>
      </w:r>
      <w:r w:rsidRPr="002B0852">
        <w:rPr>
          <w:rFonts w:ascii="Arial Narrow" w:hAnsi="Arial Narrow"/>
          <w:sz w:val="18"/>
          <w:szCs w:val="18"/>
        </w:rPr>
        <w:t xml:space="preserve">tumour size ≥ 2cm, </w:t>
      </w:r>
      <w:r>
        <w:rPr>
          <w:rFonts w:ascii="Arial Narrow" w:hAnsi="Arial Narrow"/>
          <w:sz w:val="18"/>
          <w:szCs w:val="18"/>
        </w:rPr>
        <w:t xml:space="preserve"> </w:t>
      </w:r>
      <w:r w:rsidRPr="002B0852">
        <w:rPr>
          <w:rFonts w:ascii="Arial Narrow" w:hAnsi="Arial Narrow"/>
          <w:sz w:val="18"/>
          <w:szCs w:val="18"/>
        </w:rPr>
        <w:t>; or Grade 2; or one to three lymph nodes involved in metastatic disease (nodes include micrometastases but not isolated tumour cells)</w:t>
      </w:r>
      <w:r>
        <w:rPr>
          <w:rFonts w:ascii="Arial Narrow" w:hAnsi="Arial Narrow"/>
          <w:sz w:val="18"/>
          <w:szCs w:val="18"/>
        </w:rPr>
        <w:t>. Maximum tumour size for intermediate risk group to be determined by subgroup analysis.</w:t>
      </w:r>
    </w:p>
    <w:p w14:paraId="29DA90D1" w14:textId="1A1A6435" w:rsidR="00194CAF" w:rsidRPr="00BE2386" w:rsidRDefault="00194CAF" w:rsidP="00721825">
      <w:pPr>
        <w:pStyle w:val="Heading2"/>
        <w:tabs>
          <w:tab w:val="left" w:pos="7150"/>
        </w:tabs>
        <w:rPr>
          <w:i/>
          <w:sz w:val="24"/>
          <w:szCs w:val="24"/>
        </w:rPr>
      </w:pPr>
      <w:r w:rsidRPr="00BE2386">
        <w:rPr>
          <w:i/>
          <w:sz w:val="24"/>
          <w:szCs w:val="24"/>
        </w:rPr>
        <w:t>Direct research question</w:t>
      </w:r>
      <w:r w:rsidR="00623E88">
        <w:rPr>
          <w:i/>
          <w:sz w:val="24"/>
          <w:szCs w:val="24"/>
        </w:rPr>
        <w:t xml:space="preserve"> for predictive value</w:t>
      </w:r>
      <w:r w:rsidR="00721825">
        <w:rPr>
          <w:i/>
          <w:sz w:val="24"/>
          <w:szCs w:val="24"/>
        </w:rPr>
        <w:tab/>
      </w:r>
    </w:p>
    <w:p w14:paraId="1A1C07E9" w14:textId="609227E4" w:rsidR="00F570C0" w:rsidRDefault="00F570C0" w:rsidP="00194CAF">
      <w:r>
        <w:t xml:space="preserve">Is </w:t>
      </w:r>
      <w:proofErr w:type="spellStart"/>
      <w:r>
        <w:t>EndoPredict</w:t>
      </w:r>
      <w:proofErr w:type="spellEnd"/>
      <w:r>
        <w:t xml:space="preserve"> able to predict which patients will benefit from chemotherapy plus endocrine therapy compared with endocrine therapy alone</w:t>
      </w:r>
      <w:r w:rsidR="008349DD">
        <w:t xml:space="preserve"> in patients who are intermediate risk of recurrence or metastases</w:t>
      </w:r>
      <w:r>
        <w:t>?</w:t>
      </w:r>
    </w:p>
    <w:p w14:paraId="77DC1787" w14:textId="048E8882" w:rsidR="00BE4CA8" w:rsidRDefault="008349DD" w:rsidP="00194CAF">
      <w:r>
        <w:t>Note: Evidence from a randomised controlled trial is required for this question due to the high risk of selection bias in observational studies.</w:t>
      </w:r>
    </w:p>
    <w:p w14:paraId="517F9977" w14:textId="77777777" w:rsidR="001B03E9" w:rsidRPr="00BE2386" w:rsidRDefault="001B03E9" w:rsidP="00BE2386">
      <w:pPr>
        <w:pStyle w:val="Heading2"/>
        <w:rPr>
          <w:i/>
          <w:sz w:val="24"/>
          <w:szCs w:val="24"/>
        </w:rPr>
      </w:pPr>
      <w:r w:rsidRPr="00BE2386">
        <w:rPr>
          <w:i/>
          <w:sz w:val="24"/>
          <w:szCs w:val="24"/>
        </w:rPr>
        <w:lastRenderedPageBreak/>
        <w:t>Questions to consider – linked evidence</w:t>
      </w:r>
    </w:p>
    <w:p w14:paraId="272F5B26" w14:textId="77777777" w:rsidR="002C75AC" w:rsidRPr="00912D07" w:rsidRDefault="001B03E9" w:rsidP="00F84B73">
      <w:pPr>
        <w:keepNext/>
      </w:pPr>
      <w:r>
        <w:t>If inadequate direct evidence for effectiveness is identified then linked evidence should be sought. Additional literature searches may be required to provide the evidence. These are the questions to consider in the assessment of linked evidence of effectiveness.</w:t>
      </w:r>
    </w:p>
    <w:p w14:paraId="4F57AF55" w14:textId="77777777" w:rsidR="00227109" w:rsidRPr="002E6531" w:rsidRDefault="00227109" w:rsidP="00912D07">
      <w:pPr>
        <w:pStyle w:val="Caption"/>
      </w:pPr>
      <w:bookmarkStart w:id="11" w:name="_Ref428788102"/>
      <w:r w:rsidRPr="00D168F8">
        <w:t xml:space="preserve">Table </w:t>
      </w:r>
      <w:r w:rsidRPr="00912D07">
        <w:fldChar w:fldCharType="begin"/>
      </w:r>
      <w:r w:rsidRPr="00912D07">
        <w:instrText xml:space="preserve"> SEQ Table \* ARABIC </w:instrText>
      </w:r>
      <w:r w:rsidRPr="00912D07">
        <w:fldChar w:fldCharType="separate"/>
      </w:r>
      <w:r w:rsidR="004C6BA5">
        <w:rPr>
          <w:noProof/>
        </w:rPr>
        <w:t>7</w:t>
      </w:r>
      <w:r w:rsidRPr="00912D07">
        <w:fldChar w:fldCharType="end"/>
      </w:r>
      <w:bookmarkEnd w:id="11"/>
      <w:r w:rsidRPr="00912D07">
        <w:tab/>
      </w:r>
      <w:r w:rsidRPr="00912D07">
        <w:tab/>
        <w:t xml:space="preserve">PICO criteria for evaluating </w:t>
      </w:r>
      <w:r w:rsidR="000D3536">
        <w:t>linked evidence for</w:t>
      </w:r>
      <w:r w:rsidRPr="002E6531">
        <w:t xml:space="preserve"> gene expression profiling alone or in combination with classical clinical factors to determine the risk of early and late metastases in primary breast cancer patients at intermediate risk of distant recurrence or metastases</w:t>
      </w:r>
    </w:p>
    <w:tbl>
      <w:tblPr>
        <w:tblStyle w:val="TableGrid1"/>
        <w:tblW w:w="5185" w:type="pct"/>
        <w:tblLayout w:type="fixed"/>
        <w:tblLook w:val="04A0" w:firstRow="1" w:lastRow="0" w:firstColumn="1" w:lastColumn="0" w:noHBand="0" w:noVBand="1"/>
        <w:tblCaption w:val="PICO criteria for evaluating safety, diagnostic accuracy, effectiveness, and cost effectiveness of TE for diagnosing liver fibrosis in patients with hepatitis B or C"/>
        <w:tblDescription w:val="Table 7: PICO criteria for evaluating safety, effectiveness and cost effectiveness of gene expression profiling combined with classical clinical factors to determine the risk of early and late metastases in primary breast cancer patients"/>
      </w:tblPr>
      <w:tblGrid>
        <w:gridCol w:w="2092"/>
        <w:gridCol w:w="1985"/>
        <w:gridCol w:w="2694"/>
        <w:gridCol w:w="1134"/>
        <w:gridCol w:w="1702"/>
      </w:tblGrid>
      <w:tr w:rsidR="000D3536" w:rsidRPr="00124B06" w14:paraId="1F868DAE" w14:textId="77777777" w:rsidTr="000D3536">
        <w:trPr>
          <w:tblHeader/>
        </w:trPr>
        <w:tc>
          <w:tcPr>
            <w:tcW w:w="1089" w:type="pct"/>
            <w:tcBorders>
              <w:top w:val="single" w:sz="4" w:space="0" w:color="auto"/>
              <w:left w:val="single" w:sz="4" w:space="0" w:color="auto"/>
              <w:bottom w:val="single" w:sz="4" w:space="0" w:color="auto"/>
              <w:right w:val="single" w:sz="4" w:space="0" w:color="auto"/>
            </w:tcBorders>
          </w:tcPr>
          <w:p w14:paraId="71EE1E67" w14:textId="77777777" w:rsidR="00FD15C7" w:rsidRPr="00124B06" w:rsidRDefault="00FD15C7" w:rsidP="00912D07">
            <w:pPr>
              <w:keepNext/>
              <w:jc w:val="left"/>
              <w:rPr>
                <w:rFonts w:ascii="Arial Narrow" w:eastAsia="SimSun" w:hAnsi="Arial Narrow" w:cs="Tahoma"/>
                <w:b/>
              </w:rPr>
            </w:pPr>
            <w:r w:rsidRPr="00124B06">
              <w:rPr>
                <w:rFonts w:ascii="Arial Narrow" w:eastAsia="SimSun" w:hAnsi="Arial Narrow" w:cs="Tahoma"/>
                <w:b/>
              </w:rPr>
              <w:t>Patients</w:t>
            </w:r>
          </w:p>
        </w:tc>
        <w:tc>
          <w:tcPr>
            <w:tcW w:w="1033" w:type="pct"/>
            <w:tcBorders>
              <w:top w:val="single" w:sz="4" w:space="0" w:color="auto"/>
              <w:left w:val="single" w:sz="4" w:space="0" w:color="auto"/>
              <w:bottom w:val="single" w:sz="4" w:space="0" w:color="auto"/>
              <w:right w:val="single" w:sz="4" w:space="0" w:color="auto"/>
            </w:tcBorders>
          </w:tcPr>
          <w:p w14:paraId="57113D0B" w14:textId="77777777" w:rsidR="00FD15C7" w:rsidRPr="00124B06" w:rsidRDefault="00FD15C7" w:rsidP="00912D07">
            <w:pPr>
              <w:keepNext/>
              <w:jc w:val="left"/>
              <w:rPr>
                <w:rFonts w:ascii="Arial Narrow" w:eastAsia="SimSun" w:hAnsi="Arial Narrow" w:cs="Tahoma"/>
                <w:b/>
              </w:rPr>
            </w:pPr>
            <w:r w:rsidRPr="00124B06">
              <w:rPr>
                <w:rFonts w:ascii="Arial Narrow" w:eastAsia="SimSun" w:hAnsi="Arial Narrow" w:cs="Tahoma"/>
                <w:b/>
              </w:rPr>
              <w:t>Intervention</w:t>
            </w:r>
          </w:p>
        </w:tc>
        <w:tc>
          <w:tcPr>
            <w:tcW w:w="1402" w:type="pct"/>
            <w:tcBorders>
              <w:top w:val="single" w:sz="4" w:space="0" w:color="auto"/>
              <w:left w:val="single" w:sz="4" w:space="0" w:color="auto"/>
              <w:bottom w:val="single" w:sz="4" w:space="0" w:color="auto"/>
              <w:right w:val="single" w:sz="4" w:space="0" w:color="auto"/>
            </w:tcBorders>
          </w:tcPr>
          <w:p w14:paraId="4B5FB0ED" w14:textId="77777777" w:rsidR="00FD15C7" w:rsidRPr="00124B06" w:rsidRDefault="00FD15C7" w:rsidP="00912D07">
            <w:pPr>
              <w:keepNext/>
              <w:jc w:val="left"/>
              <w:rPr>
                <w:rFonts w:ascii="Arial Narrow" w:eastAsia="SimSun" w:hAnsi="Arial Narrow" w:cs="Tahoma"/>
                <w:b/>
              </w:rPr>
            </w:pPr>
            <w:r w:rsidRPr="00124B06">
              <w:rPr>
                <w:rFonts w:ascii="Arial Narrow" w:eastAsia="SimSun" w:hAnsi="Arial Narrow" w:cs="Tahoma"/>
                <w:b/>
              </w:rPr>
              <w:t>Comparator</w:t>
            </w:r>
            <w:r>
              <w:rPr>
                <w:rFonts w:ascii="Arial Narrow" w:eastAsia="SimSun" w:hAnsi="Arial Narrow" w:cs="Tahoma"/>
                <w:b/>
              </w:rPr>
              <w:t>s</w:t>
            </w:r>
          </w:p>
        </w:tc>
        <w:tc>
          <w:tcPr>
            <w:tcW w:w="590" w:type="pct"/>
            <w:tcBorders>
              <w:top w:val="single" w:sz="4" w:space="0" w:color="auto"/>
              <w:left w:val="single" w:sz="4" w:space="0" w:color="auto"/>
              <w:bottom w:val="single" w:sz="4" w:space="0" w:color="auto"/>
              <w:right w:val="single" w:sz="4" w:space="0" w:color="auto"/>
            </w:tcBorders>
          </w:tcPr>
          <w:p w14:paraId="31135D73" w14:textId="77777777" w:rsidR="00FD15C7" w:rsidRPr="00124B06" w:rsidRDefault="00FD15C7" w:rsidP="00912D07">
            <w:pPr>
              <w:keepNext/>
              <w:jc w:val="left"/>
              <w:rPr>
                <w:rFonts w:ascii="Arial Narrow" w:eastAsia="SimSun" w:hAnsi="Arial Narrow" w:cs="Tahoma"/>
                <w:b/>
              </w:rPr>
            </w:pPr>
            <w:r>
              <w:rPr>
                <w:rFonts w:ascii="Arial Narrow" w:eastAsia="SimSun" w:hAnsi="Arial Narrow" w:cs="Tahoma"/>
                <w:b/>
              </w:rPr>
              <w:t>Reference standard</w:t>
            </w:r>
          </w:p>
        </w:tc>
        <w:tc>
          <w:tcPr>
            <w:tcW w:w="886" w:type="pct"/>
            <w:tcBorders>
              <w:top w:val="single" w:sz="4" w:space="0" w:color="auto"/>
              <w:left w:val="single" w:sz="4" w:space="0" w:color="auto"/>
              <w:bottom w:val="single" w:sz="4" w:space="0" w:color="auto"/>
              <w:right w:val="single" w:sz="4" w:space="0" w:color="auto"/>
            </w:tcBorders>
          </w:tcPr>
          <w:p w14:paraId="4EF4C717" w14:textId="77777777" w:rsidR="00FD15C7" w:rsidRPr="00124B06" w:rsidRDefault="00FD15C7" w:rsidP="00912D07">
            <w:pPr>
              <w:keepNext/>
              <w:ind w:right="175"/>
              <w:jc w:val="left"/>
              <w:rPr>
                <w:rFonts w:ascii="Arial Narrow" w:eastAsia="SimSun" w:hAnsi="Arial Narrow" w:cs="Tahoma"/>
                <w:b/>
              </w:rPr>
            </w:pPr>
            <w:r w:rsidRPr="00124B06">
              <w:rPr>
                <w:rFonts w:ascii="Arial Narrow" w:eastAsia="SimSun" w:hAnsi="Arial Narrow" w:cs="Tahoma"/>
                <w:b/>
              </w:rPr>
              <w:t>Outcomes to be assessed</w:t>
            </w:r>
          </w:p>
        </w:tc>
      </w:tr>
      <w:tr w:rsidR="000D3536" w:rsidRPr="00124B06" w14:paraId="1271A6DD" w14:textId="77777777" w:rsidTr="000D3536">
        <w:trPr>
          <w:trHeight w:val="2657"/>
        </w:trPr>
        <w:tc>
          <w:tcPr>
            <w:tcW w:w="1089" w:type="pct"/>
            <w:tcBorders>
              <w:top w:val="single" w:sz="4" w:space="0" w:color="auto"/>
              <w:left w:val="single" w:sz="4" w:space="0" w:color="auto"/>
              <w:bottom w:val="single" w:sz="4" w:space="0" w:color="auto"/>
              <w:right w:val="single" w:sz="4" w:space="0" w:color="auto"/>
            </w:tcBorders>
          </w:tcPr>
          <w:p w14:paraId="07F61B44" w14:textId="77777777" w:rsidR="00FD15C7" w:rsidRPr="00124B06" w:rsidRDefault="00FD15C7" w:rsidP="00923942">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status, </w:t>
            </w:r>
            <w:r w:rsidRPr="00194FCC">
              <w:rPr>
                <w:rFonts w:ascii="Arial Narrow" w:eastAsia="SimSun" w:hAnsi="Arial Narrow" w:cs="Tahoma"/>
              </w:rPr>
              <w:t xml:space="preserve"> </w:t>
            </w:r>
            <w:r>
              <w:rPr>
                <w:rFonts w:ascii="Arial Narrow" w:eastAsia="SimSun" w:hAnsi="Arial Narrow" w:cs="Tahoma"/>
              </w:rPr>
              <w:t>tumour size and nodal status determined following tumour removal, at intermediate risk of distant recurrence or metastases*</w:t>
            </w:r>
          </w:p>
        </w:tc>
        <w:tc>
          <w:tcPr>
            <w:tcW w:w="1033" w:type="pct"/>
            <w:tcBorders>
              <w:top w:val="single" w:sz="4" w:space="0" w:color="auto"/>
              <w:left w:val="single" w:sz="4" w:space="0" w:color="auto"/>
              <w:bottom w:val="single" w:sz="4" w:space="0" w:color="auto"/>
              <w:right w:val="single" w:sz="4" w:space="0" w:color="auto"/>
            </w:tcBorders>
          </w:tcPr>
          <w:p w14:paraId="0780A505" w14:textId="77777777" w:rsidR="00FD15C7" w:rsidRPr="00124B06" w:rsidRDefault="00FD15C7" w:rsidP="000D3536">
            <w:pPr>
              <w:keepNext/>
              <w:jc w:val="left"/>
              <w:rPr>
                <w:rFonts w:ascii="Arial Narrow" w:eastAsia="SimSun" w:hAnsi="Arial Narrow" w:cs="Tahoma"/>
              </w:rPr>
            </w:pPr>
            <w:proofErr w:type="spellStart"/>
            <w:r>
              <w:rPr>
                <w:rFonts w:ascii="Arial Narrow" w:eastAsia="SimSun" w:hAnsi="Arial Narrow" w:cs="Tahoma"/>
              </w:rPr>
              <w:t>EndoPredict</w:t>
            </w:r>
            <w:proofErr w:type="spellEnd"/>
            <w:r>
              <w:rPr>
                <w:rFonts w:ascii="Arial Narrow" w:eastAsia="SimSun" w:hAnsi="Arial Narrow" w:cs="Tahoma"/>
              </w:rPr>
              <w:t>®</w:t>
            </w:r>
            <w:r w:rsidRPr="00124B06">
              <w:rPr>
                <w:rFonts w:ascii="Arial Narrow" w:eastAsia="SimSun" w:hAnsi="Arial Narrow" w:cs="Tahoma"/>
              </w:rPr>
              <w:t xml:space="preserve"> RT</w:t>
            </w:r>
            <w:r w:rsidR="000D3536">
              <w:rPr>
                <w:rFonts w:ascii="Arial Narrow" w:eastAsia="SimSun" w:hAnsi="Arial Narrow" w:cs="Tahoma"/>
              </w:rPr>
              <w:t>-</w:t>
            </w:r>
            <w:proofErr w:type="spellStart"/>
            <w:r w:rsidR="000D3536">
              <w:rPr>
                <w:rFonts w:ascii="Arial Narrow" w:eastAsia="SimSun" w:hAnsi="Arial Narrow" w:cs="Tahoma"/>
              </w:rPr>
              <w:t>q</w:t>
            </w:r>
            <w:r w:rsidRPr="00124B06">
              <w:rPr>
                <w:rFonts w:ascii="Arial Narrow" w:eastAsia="SimSun" w:hAnsi="Arial Narrow" w:cs="Tahoma"/>
              </w:rPr>
              <w:t>PCR</w:t>
            </w:r>
            <w:proofErr w:type="spellEnd"/>
            <w:r w:rsidRPr="00124B06">
              <w:rPr>
                <w:rFonts w:ascii="Arial Narrow" w:eastAsia="SimSun" w:hAnsi="Arial Narrow" w:cs="Tahoma"/>
              </w:rPr>
              <w:t xml:space="preserve"> gene expression profiling </w:t>
            </w:r>
            <w:r>
              <w:rPr>
                <w:rFonts w:ascii="Arial Narrow" w:eastAsia="SimSun" w:hAnsi="Arial Narrow" w:cs="Tahoma"/>
              </w:rPr>
              <w:t xml:space="preserve">in </w:t>
            </w:r>
            <w:r w:rsidRPr="00124B06">
              <w:rPr>
                <w:rFonts w:ascii="Arial Narrow" w:eastAsia="SimSun" w:hAnsi="Arial Narrow" w:cs="Tahoma"/>
              </w:rPr>
              <w:t>combin</w:t>
            </w:r>
            <w:r>
              <w:rPr>
                <w:rFonts w:ascii="Arial Narrow" w:eastAsia="SimSun" w:hAnsi="Arial Narrow" w:cs="Tahoma"/>
              </w:rPr>
              <w:t>ation</w:t>
            </w:r>
            <w:r w:rsidRPr="00124B06">
              <w:rPr>
                <w:rFonts w:ascii="Arial Narrow" w:eastAsia="SimSun" w:hAnsi="Arial Narrow" w:cs="Tahoma"/>
              </w:rPr>
              <w:t xml:space="preserve"> with classical clinical </w:t>
            </w:r>
            <w:r>
              <w:rPr>
                <w:rFonts w:ascii="Arial Narrow" w:eastAsia="SimSun" w:hAnsi="Arial Narrow" w:cs="Tahoma"/>
              </w:rPr>
              <w:t>marker</w:t>
            </w:r>
            <w:r w:rsidRPr="00124B06">
              <w:rPr>
                <w:rFonts w:ascii="Arial Narrow" w:eastAsia="SimSun" w:hAnsi="Arial Narrow" w:cs="Tahoma"/>
              </w:rPr>
              <w:t>s</w:t>
            </w:r>
            <w:r>
              <w:rPr>
                <w:rFonts w:ascii="Arial Narrow" w:eastAsia="SimSun" w:hAnsi="Arial Narrow" w:cs="Tahoma"/>
              </w:rPr>
              <w:t xml:space="preserve"> (tumour size and node status)</w:t>
            </w:r>
            <w:r w:rsidRPr="00124B06">
              <w:rPr>
                <w:rFonts w:ascii="Arial Narrow" w:eastAsia="SimSun" w:hAnsi="Arial Narrow" w:cs="Tahoma"/>
              </w:rPr>
              <w:t xml:space="preserve"> as a prognostic tool to determine the risk of </w:t>
            </w:r>
            <w:r>
              <w:rPr>
                <w:rFonts w:ascii="Arial Narrow" w:eastAsia="SimSun" w:hAnsi="Arial Narrow" w:cs="Tahoma"/>
              </w:rPr>
              <w:t xml:space="preserve">distant recurrence and </w:t>
            </w:r>
            <w:r w:rsidRPr="00124B06">
              <w:rPr>
                <w:rFonts w:ascii="Arial Narrow" w:eastAsia="SimSun" w:hAnsi="Arial Narrow" w:cs="Tahoma"/>
              </w:rPr>
              <w:t xml:space="preserve">metastases </w:t>
            </w:r>
          </w:p>
        </w:tc>
        <w:tc>
          <w:tcPr>
            <w:tcW w:w="1402" w:type="pct"/>
            <w:tcBorders>
              <w:top w:val="single" w:sz="4" w:space="0" w:color="auto"/>
              <w:left w:val="single" w:sz="4" w:space="0" w:color="auto"/>
              <w:bottom w:val="single" w:sz="4" w:space="0" w:color="auto"/>
              <w:right w:val="single" w:sz="4" w:space="0" w:color="auto"/>
            </w:tcBorders>
          </w:tcPr>
          <w:p w14:paraId="6D4775D3" w14:textId="4B5F0A34" w:rsidR="0018109F" w:rsidRDefault="0018109F" w:rsidP="00912D07">
            <w:pPr>
              <w:keepNext/>
              <w:jc w:val="left"/>
              <w:rPr>
                <w:rFonts w:ascii="Arial Narrow" w:eastAsia="SimSun" w:hAnsi="Arial Narrow" w:cs="Tahoma"/>
              </w:rPr>
            </w:pPr>
            <w:r>
              <w:rPr>
                <w:rFonts w:ascii="Arial Narrow" w:eastAsia="SimSun" w:hAnsi="Arial Narrow" w:cs="Tahoma"/>
              </w:rPr>
              <w:t>1.EndoPredict® RT-</w:t>
            </w:r>
            <w:r w:rsidR="00DD6679">
              <w:rPr>
                <w:rFonts w:ascii="Arial Narrow" w:eastAsia="SimSun" w:hAnsi="Arial Narrow" w:cs="Tahoma"/>
              </w:rPr>
              <w:t xml:space="preserve">qPCR </w:t>
            </w:r>
            <w:r>
              <w:rPr>
                <w:rFonts w:ascii="Arial Narrow" w:eastAsia="SimSun" w:hAnsi="Arial Narrow" w:cs="Tahoma"/>
              </w:rPr>
              <w:t>gene expression profiling</w:t>
            </w:r>
            <w:r w:rsidR="00D445CB">
              <w:rPr>
                <w:rFonts w:ascii="Arial Narrow" w:eastAsia="SimSun" w:hAnsi="Arial Narrow" w:cs="Tahoma"/>
              </w:rPr>
              <w:t xml:space="preserve"> conducted </w:t>
            </w:r>
            <w:r w:rsidR="00AE586A">
              <w:rPr>
                <w:rFonts w:ascii="Arial Narrow" w:eastAsia="SimSun" w:hAnsi="Arial Narrow" w:cs="Tahoma"/>
              </w:rPr>
              <w:t xml:space="preserve">at a different time, </w:t>
            </w:r>
            <w:r w:rsidR="00D445CB">
              <w:rPr>
                <w:rFonts w:ascii="Arial Narrow" w:eastAsia="SimSun" w:hAnsi="Arial Narrow" w:cs="Tahoma"/>
              </w:rPr>
              <w:t>in a different laboratory or with a different operator, protocol or instrument</w:t>
            </w:r>
          </w:p>
          <w:p w14:paraId="698004A7" w14:textId="77777777" w:rsidR="00FD15C7" w:rsidRPr="00912D07" w:rsidRDefault="0018109F" w:rsidP="00912D07">
            <w:pPr>
              <w:keepNext/>
              <w:jc w:val="left"/>
              <w:rPr>
                <w:rFonts w:ascii="Arial Narrow" w:eastAsia="SimSun" w:hAnsi="Arial Narrow" w:cs="Tahoma"/>
              </w:rPr>
            </w:pPr>
            <w:r>
              <w:rPr>
                <w:rFonts w:ascii="Arial Narrow" w:eastAsia="SimSun" w:hAnsi="Arial Narrow" w:cs="Tahoma"/>
              </w:rPr>
              <w:t>2</w:t>
            </w:r>
            <w:r w:rsidR="009E3501" w:rsidRPr="009E3501">
              <w:rPr>
                <w:rFonts w:ascii="Arial Narrow" w:eastAsia="SimSun" w:hAnsi="Arial Narrow" w:cs="Tahoma"/>
              </w:rPr>
              <w:t>.</w:t>
            </w:r>
            <w:r w:rsidR="009E3501">
              <w:rPr>
                <w:rFonts w:ascii="Arial Narrow" w:eastAsia="SimSun" w:hAnsi="Arial Narrow" w:cs="Tahoma"/>
              </w:rPr>
              <w:t xml:space="preserve"> </w:t>
            </w:r>
            <w:r w:rsidR="00FD15C7" w:rsidRPr="00912D07">
              <w:rPr>
                <w:rFonts w:ascii="Arial Narrow" w:eastAsia="SimSun" w:hAnsi="Arial Narrow" w:cs="Tahoma"/>
              </w:rPr>
              <w:t>Prognosis based on other tools</w:t>
            </w:r>
            <w:r w:rsidR="00B53DA2">
              <w:rPr>
                <w:rFonts w:ascii="Arial Narrow" w:eastAsia="SimSun" w:hAnsi="Arial Narrow" w:cs="Tahoma"/>
              </w:rPr>
              <w:t xml:space="preserve"> (if data </w:t>
            </w:r>
            <w:r w:rsidR="005A616C">
              <w:rPr>
                <w:rFonts w:ascii="Arial Narrow" w:eastAsia="SimSun" w:hAnsi="Arial Narrow" w:cs="Tahoma"/>
              </w:rPr>
              <w:t>are</w:t>
            </w:r>
            <w:r w:rsidR="00B53DA2">
              <w:rPr>
                <w:rFonts w:ascii="Arial Narrow" w:eastAsia="SimSun" w:hAnsi="Arial Narrow" w:cs="Tahoma"/>
              </w:rPr>
              <w:t xml:space="preserve"> available)</w:t>
            </w:r>
            <w:r w:rsidR="009E3501">
              <w:rPr>
                <w:rFonts w:ascii="Arial Narrow" w:eastAsia="SimSun" w:hAnsi="Arial Narrow" w:cs="Tahoma"/>
              </w:rPr>
              <w:t>:</w:t>
            </w:r>
          </w:p>
          <w:p w14:paraId="6F3F752C" w14:textId="77777777" w:rsidR="00FD15C7" w:rsidRDefault="00FD15C7" w:rsidP="009E3501">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MammaPrint</w:t>
            </w:r>
            <w:proofErr w:type="spellEnd"/>
          </w:p>
          <w:p w14:paraId="707F1882" w14:textId="77777777" w:rsidR="00FD15C7" w:rsidRPr="00124B06" w:rsidRDefault="00FD15C7" w:rsidP="009E3501">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OncotypeDX</w:t>
            </w:r>
            <w:proofErr w:type="spellEnd"/>
          </w:p>
        </w:tc>
        <w:tc>
          <w:tcPr>
            <w:tcW w:w="590" w:type="pct"/>
            <w:tcBorders>
              <w:top w:val="single" w:sz="4" w:space="0" w:color="auto"/>
              <w:left w:val="single" w:sz="4" w:space="0" w:color="auto"/>
              <w:bottom w:val="single" w:sz="4" w:space="0" w:color="auto"/>
              <w:right w:val="single" w:sz="4" w:space="0" w:color="auto"/>
            </w:tcBorders>
          </w:tcPr>
          <w:p w14:paraId="56DC396C" w14:textId="77777777" w:rsidR="00FD15C7" w:rsidRPr="00124B06" w:rsidRDefault="00FD15C7" w:rsidP="00912D07">
            <w:pPr>
              <w:keepNext/>
              <w:spacing w:after="0"/>
              <w:jc w:val="left"/>
              <w:rPr>
                <w:rFonts w:ascii="Arial Narrow" w:eastAsia="SimSun" w:hAnsi="Arial Narrow" w:cs="Tahoma"/>
              </w:rPr>
            </w:pPr>
            <w:r>
              <w:rPr>
                <w:rFonts w:ascii="Arial Narrow" w:eastAsia="SimSun" w:hAnsi="Arial Narrow" w:cs="Tahoma"/>
              </w:rPr>
              <w:t>N/A</w:t>
            </w:r>
          </w:p>
        </w:tc>
        <w:tc>
          <w:tcPr>
            <w:tcW w:w="886" w:type="pct"/>
            <w:tcBorders>
              <w:top w:val="single" w:sz="4" w:space="0" w:color="auto"/>
              <w:left w:val="single" w:sz="4" w:space="0" w:color="auto"/>
              <w:bottom w:val="single" w:sz="4" w:space="0" w:color="auto"/>
              <w:right w:val="single" w:sz="4" w:space="0" w:color="auto"/>
            </w:tcBorders>
          </w:tcPr>
          <w:p w14:paraId="5993CA5C" w14:textId="77777777" w:rsidR="00FD15C7" w:rsidRDefault="00FD15C7" w:rsidP="00912D07">
            <w:pPr>
              <w:keepNext/>
              <w:spacing w:after="0"/>
              <w:ind w:right="175"/>
              <w:jc w:val="left"/>
              <w:rPr>
                <w:rFonts w:ascii="Arial Narrow" w:eastAsia="SimSun" w:hAnsi="Arial Narrow" w:cs="Tahoma"/>
              </w:rPr>
            </w:pPr>
            <w:r>
              <w:rPr>
                <w:rFonts w:ascii="Arial Narrow" w:eastAsia="SimSun" w:hAnsi="Arial Narrow" w:cs="Tahoma"/>
              </w:rPr>
              <w:t>Analytic validity</w:t>
            </w:r>
          </w:p>
          <w:p w14:paraId="15C71B5E" w14:textId="77777777" w:rsidR="00FD15C7" w:rsidRPr="00124B06" w:rsidRDefault="00FD15C7" w:rsidP="00BB0841">
            <w:pPr>
              <w:keepNext/>
              <w:spacing w:after="0"/>
              <w:ind w:left="122" w:right="175"/>
              <w:jc w:val="left"/>
              <w:rPr>
                <w:rFonts w:ascii="Arial Narrow" w:eastAsia="SimSun" w:hAnsi="Arial Narrow" w:cs="Tahoma"/>
              </w:rPr>
            </w:pPr>
            <w:r>
              <w:rPr>
                <w:rFonts w:ascii="Arial Narrow" w:eastAsia="SimSun" w:hAnsi="Arial Narrow" w:cs="Tahoma"/>
              </w:rPr>
              <w:t>Consistency of repeat testing within and between laboratories, proto</w:t>
            </w:r>
            <w:r w:rsidR="00BB0841">
              <w:rPr>
                <w:rFonts w:ascii="Arial Narrow" w:eastAsia="SimSun" w:hAnsi="Arial Narrow" w:cs="Tahoma"/>
              </w:rPr>
              <w:t>cols, operators and instruments</w:t>
            </w:r>
          </w:p>
        </w:tc>
      </w:tr>
      <w:tr w:rsidR="000D3536" w:rsidRPr="00124B06" w14:paraId="565878E7" w14:textId="77777777" w:rsidTr="000D3536">
        <w:trPr>
          <w:trHeight w:val="3330"/>
        </w:trPr>
        <w:tc>
          <w:tcPr>
            <w:tcW w:w="1089" w:type="pct"/>
            <w:tcBorders>
              <w:top w:val="single" w:sz="4" w:space="0" w:color="auto"/>
              <w:left w:val="single" w:sz="4" w:space="0" w:color="auto"/>
              <w:bottom w:val="single" w:sz="4" w:space="0" w:color="auto"/>
              <w:right w:val="single" w:sz="4" w:space="0" w:color="auto"/>
            </w:tcBorders>
          </w:tcPr>
          <w:p w14:paraId="2D1B2B3A" w14:textId="77777777" w:rsidR="00923942" w:rsidRDefault="00923942" w:rsidP="00912D07">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status, </w:t>
            </w:r>
            <w:r w:rsidRPr="00194FCC">
              <w:rPr>
                <w:rFonts w:ascii="Arial Narrow" w:eastAsia="SimSun" w:hAnsi="Arial Narrow" w:cs="Tahoma"/>
              </w:rPr>
              <w:t xml:space="preserve"> </w:t>
            </w:r>
            <w:r>
              <w:rPr>
                <w:rFonts w:ascii="Arial Narrow" w:eastAsia="SimSun" w:hAnsi="Arial Narrow" w:cs="Tahoma"/>
              </w:rPr>
              <w:t>tumour size and nodal status determined following tumour removal, at intermediate risk of distant recurrence or metastases*</w:t>
            </w:r>
          </w:p>
        </w:tc>
        <w:tc>
          <w:tcPr>
            <w:tcW w:w="1033" w:type="pct"/>
            <w:tcBorders>
              <w:top w:val="single" w:sz="4" w:space="0" w:color="auto"/>
              <w:left w:val="single" w:sz="4" w:space="0" w:color="auto"/>
              <w:bottom w:val="single" w:sz="4" w:space="0" w:color="auto"/>
              <w:right w:val="single" w:sz="4" w:space="0" w:color="auto"/>
            </w:tcBorders>
          </w:tcPr>
          <w:p w14:paraId="065619BB" w14:textId="77777777" w:rsidR="00923942" w:rsidRDefault="00923942" w:rsidP="00912D07">
            <w:pPr>
              <w:keepNext/>
              <w:jc w:val="left"/>
              <w:rPr>
                <w:rFonts w:ascii="Arial Narrow" w:eastAsia="SimSun" w:hAnsi="Arial Narrow" w:cs="Tahoma"/>
              </w:rPr>
            </w:pPr>
            <w:proofErr w:type="spellStart"/>
            <w:r>
              <w:rPr>
                <w:rFonts w:ascii="Arial Narrow" w:eastAsia="SimSun" w:hAnsi="Arial Narrow" w:cs="Tahoma"/>
              </w:rPr>
              <w:t>EndoPredict</w:t>
            </w:r>
            <w:proofErr w:type="spellEnd"/>
            <w:r>
              <w:rPr>
                <w:rFonts w:ascii="Arial Narrow" w:eastAsia="SimSun" w:hAnsi="Arial Narrow" w:cs="Tahoma"/>
              </w:rPr>
              <w:t>®</w:t>
            </w:r>
            <w:r w:rsidRPr="00124B06">
              <w:rPr>
                <w:rFonts w:ascii="Arial Narrow" w:eastAsia="SimSun" w:hAnsi="Arial Narrow" w:cs="Tahoma"/>
              </w:rPr>
              <w:t xml:space="preserve"> - </w:t>
            </w:r>
            <w:r w:rsidR="002B0852">
              <w:rPr>
                <w:rFonts w:ascii="Arial Narrow" w:eastAsia="SimSun" w:hAnsi="Arial Narrow" w:cs="Tahoma"/>
              </w:rPr>
              <w:t>RT-</w:t>
            </w:r>
            <w:proofErr w:type="spellStart"/>
            <w:r w:rsidR="002B0852">
              <w:rPr>
                <w:rFonts w:ascii="Arial Narrow" w:eastAsia="SimSun" w:hAnsi="Arial Narrow" w:cs="Tahoma"/>
              </w:rPr>
              <w:t>qPCR</w:t>
            </w:r>
            <w:proofErr w:type="spellEnd"/>
            <w:r w:rsidRPr="00124B06">
              <w:rPr>
                <w:rFonts w:ascii="Arial Narrow" w:eastAsia="SimSun" w:hAnsi="Arial Narrow" w:cs="Tahoma"/>
              </w:rPr>
              <w:t xml:space="preserve"> gene expression profiling </w:t>
            </w:r>
            <w:r>
              <w:rPr>
                <w:rFonts w:ascii="Arial Narrow" w:eastAsia="SimSun" w:hAnsi="Arial Narrow" w:cs="Tahoma"/>
              </w:rPr>
              <w:t xml:space="preserve">in </w:t>
            </w:r>
            <w:r w:rsidRPr="00124B06">
              <w:rPr>
                <w:rFonts w:ascii="Arial Narrow" w:eastAsia="SimSun" w:hAnsi="Arial Narrow" w:cs="Tahoma"/>
              </w:rPr>
              <w:t>combin</w:t>
            </w:r>
            <w:r>
              <w:rPr>
                <w:rFonts w:ascii="Arial Narrow" w:eastAsia="SimSun" w:hAnsi="Arial Narrow" w:cs="Tahoma"/>
              </w:rPr>
              <w:t>ation</w:t>
            </w:r>
            <w:r w:rsidRPr="00124B06">
              <w:rPr>
                <w:rFonts w:ascii="Arial Narrow" w:eastAsia="SimSun" w:hAnsi="Arial Narrow" w:cs="Tahoma"/>
              </w:rPr>
              <w:t xml:space="preserve"> with classical clinical </w:t>
            </w:r>
            <w:r>
              <w:rPr>
                <w:rFonts w:ascii="Arial Narrow" w:eastAsia="SimSun" w:hAnsi="Arial Narrow" w:cs="Tahoma"/>
              </w:rPr>
              <w:t>marker</w:t>
            </w:r>
            <w:r w:rsidRPr="00124B06">
              <w:rPr>
                <w:rFonts w:ascii="Arial Narrow" w:eastAsia="SimSun" w:hAnsi="Arial Narrow" w:cs="Tahoma"/>
              </w:rPr>
              <w:t>s</w:t>
            </w:r>
            <w:r>
              <w:rPr>
                <w:rFonts w:ascii="Arial Narrow" w:eastAsia="SimSun" w:hAnsi="Arial Narrow" w:cs="Tahoma"/>
              </w:rPr>
              <w:t xml:space="preserve"> (tumour size and node status)</w:t>
            </w:r>
            <w:r w:rsidRPr="00124B06">
              <w:rPr>
                <w:rFonts w:ascii="Arial Narrow" w:eastAsia="SimSun" w:hAnsi="Arial Narrow" w:cs="Tahoma"/>
              </w:rPr>
              <w:t xml:space="preserve"> </w:t>
            </w:r>
            <w:r>
              <w:rPr>
                <w:rFonts w:ascii="Arial Narrow" w:eastAsia="SimSun" w:hAnsi="Arial Narrow" w:cs="Tahoma"/>
              </w:rPr>
              <w:t xml:space="preserve">as an adjunct to current clinical practice </w:t>
            </w:r>
            <w:r w:rsidRPr="00124B06">
              <w:rPr>
                <w:rFonts w:ascii="Arial Narrow" w:eastAsia="SimSun" w:hAnsi="Arial Narrow" w:cs="Tahoma"/>
              </w:rPr>
              <w:t xml:space="preserve">as a prognostic tool to determine the risk of </w:t>
            </w:r>
            <w:r>
              <w:rPr>
                <w:rFonts w:ascii="Arial Narrow" w:eastAsia="SimSun" w:hAnsi="Arial Narrow" w:cs="Tahoma"/>
              </w:rPr>
              <w:t xml:space="preserve">distant recurrence and </w:t>
            </w:r>
            <w:r w:rsidRPr="00124B06">
              <w:rPr>
                <w:rFonts w:ascii="Arial Narrow" w:eastAsia="SimSun" w:hAnsi="Arial Narrow" w:cs="Tahoma"/>
              </w:rPr>
              <w:t xml:space="preserve">metastases </w:t>
            </w:r>
          </w:p>
        </w:tc>
        <w:tc>
          <w:tcPr>
            <w:tcW w:w="1402" w:type="pct"/>
            <w:tcBorders>
              <w:top w:val="single" w:sz="4" w:space="0" w:color="auto"/>
              <w:left w:val="single" w:sz="4" w:space="0" w:color="auto"/>
              <w:bottom w:val="single" w:sz="4" w:space="0" w:color="auto"/>
              <w:right w:val="single" w:sz="4" w:space="0" w:color="auto"/>
            </w:tcBorders>
          </w:tcPr>
          <w:p w14:paraId="3025BD41" w14:textId="77777777" w:rsidR="00923942" w:rsidRDefault="00923942" w:rsidP="00923942">
            <w:pPr>
              <w:keepNext/>
              <w:jc w:val="left"/>
              <w:rPr>
                <w:rFonts w:ascii="Arial Narrow" w:eastAsia="SimSun" w:hAnsi="Arial Narrow" w:cs="Tahoma"/>
              </w:rPr>
            </w:pPr>
            <w:r>
              <w:rPr>
                <w:rFonts w:ascii="Arial Narrow" w:eastAsia="SimSun" w:hAnsi="Arial Narrow" w:cs="Tahoma"/>
              </w:rPr>
              <w:t xml:space="preserve">1. </w:t>
            </w:r>
            <w:r w:rsidRPr="00124B06">
              <w:rPr>
                <w:rFonts w:ascii="Arial Narrow" w:eastAsia="SimSun" w:hAnsi="Arial Narrow" w:cs="Tahoma"/>
              </w:rPr>
              <w:t>Prognosis based on ER/H</w:t>
            </w:r>
            <w:r>
              <w:rPr>
                <w:rFonts w:ascii="Arial Narrow" w:eastAsia="SimSun" w:hAnsi="Arial Narrow" w:cs="Tahoma"/>
              </w:rPr>
              <w:t>ER2 status,</w:t>
            </w:r>
            <w:r w:rsidR="006D1FB3">
              <w:rPr>
                <w:rFonts w:ascii="Arial Narrow" w:eastAsia="SimSun" w:hAnsi="Arial Narrow" w:cs="Tahoma"/>
              </w:rPr>
              <w:t xml:space="preserve"> and</w:t>
            </w:r>
            <w:r>
              <w:rPr>
                <w:rFonts w:ascii="Arial Narrow" w:eastAsia="SimSun" w:hAnsi="Arial Narrow" w:cs="Tahoma"/>
              </w:rPr>
              <w:t xml:space="preserve"> </w:t>
            </w:r>
            <w:r w:rsidRPr="00BC0503">
              <w:rPr>
                <w:rFonts w:ascii="Arial Narrow" w:eastAsia="SimSun" w:hAnsi="Arial Narrow" w:cs="Tahoma"/>
              </w:rPr>
              <w:t xml:space="preserve">current clinical practice </w:t>
            </w:r>
            <w:r w:rsidR="006D1FB3">
              <w:rPr>
                <w:rFonts w:ascii="Arial Narrow" w:eastAsia="SimSun" w:hAnsi="Arial Narrow" w:cs="Tahoma"/>
              </w:rPr>
              <w:t>(including Ki67 status)</w:t>
            </w:r>
            <w:r>
              <w:rPr>
                <w:rFonts w:ascii="Arial Narrow" w:eastAsia="SimSun" w:hAnsi="Arial Narrow" w:cs="Tahoma"/>
              </w:rPr>
              <w:t xml:space="preserve"> </w:t>
            </w:r>
          </w:p>
          <w:p w14:paraId="32DA216F" w14:textId="77777777" w:rsidR="00923942" w:rsidRDefault="009F5C7D" w:rsidP="00923942">
            <w:pPr>
              <w:keepNext/>
              <w:jc w:val="left"/>
              <w:rPr>
                <w:rFonts w:ascii="Arial Narrow" w:eastAsia="SimSun" w:hAnsi="Arial Narrow" w:cs="Tahoma"/>
              </w:rPr>
            </w:pPr>
            <w:r>
              <w:rPr>
                <w:rFonts w:ascii="Arial Narrow" w:eastAsia="SimSun" w:hAnsi="Arial Narrow" w:cs="Tahoma"/>
              </w:rPr>
              <w:t xml:space="preserve">2. </w:t>
            </w:r>
            <w:r w:rsidR="00923942">
              <w:rPr>
                <w:rFonts w:ascii="Arial Narrow" w:eastAsia="SimSun" w:hAnsi="Arial Narrow" w:cs="Tahoma"/>
              </w:rPr>
              <w:t>Prognosis based on international breast cancer clinical guidelines:</w:t>
            </w:r>
          </w:p>
          <w:p w14:paraId="7541695A" w14:textId="77777777" w:rsidR="00923942" w:rsidRDefault="00923942" w:rsidP="00923942">
            <w:pPr>
              <w:keepNext/>
              <w:ind w:left="176"/>
              <w:jc w:val="left"/>
              <w:rPr>
                <w:rFonts w:ascii="Arial Narrow" w:eastAsia="SimSun" w:hAnsi="Arial Narrow" w:cs="Tahoma"/>
              </w:rPr>
            </w:pPr>
            <w:r>
              <w:rPr>
                <w:rFonts w:ascii="Arial Narrow" w:eastAsia="SimSun" w:hAnsi="Arial Narrow" w:cs="Tahoma"/>
              </w:rPr>
              <w:t>NCCN</w:t>
            </w:r>
          </w:p>
          <w:p w14:paraId="69738D37" w14:textId="77777777" w:rsidR="00923942" w:rsidRDefault="00923942" w:rsidP="00923942">
            <w:pPr>
              <w:keepNext/>
              <w:ind w:left="176"/>
              <w:jc w:val="left"/>
              <w:rPr>
                <w:rFonts w:ascii="Arial Narrow" w:eastAsia="SimSun" w:hAnsi="Arial Narrow" w:cs="Tahoma"/>
              </w:rPr>
            </w:pPr>
            <w:r>
              <w:rPr>
                <w:rFonts w:ascii="Arial Narrow" w:eastAsia="SimSun" w:hAnsi="Arial Narrow" w:cs="Tahoma"/>
              </w:rPr>
              <w:t xml:space="preserve">St </w:t>
            </w:r>
            <w:proofErr w:type="spellStart"/>
            <w:r>
              <w:rPr>
                <w:rFonts w:ascii="Arial Narrow" w:eastAsia="SimSun" w:hAnsi="Arial Narrow" w:cs="Tahoma"/>
              </w:rPr>
              <w:t>Gallen</w:t>
            </w:r>
            <w:proofErr w:type="spellEnd"/>
          </w:p>
          <w:p w14:paraId="10FD6A00" w14:textId="77777777" w:rsidR="00923942" w:rsidRDefault="00923942" w:rsidP="00923942">
            <w:pPr>
              <w:keepNext/>
              <w:ind w:left="176"/>
              <w:jc w:val="left"/>
              <w:rPr>
                <w:rFonts w:ascii="Arial Narrow" w:eastAsia="SimSun" w:hAnsi="Arial Narrow" w:cs="Tahoma"/>
              </w:rPr>
            </w:pPr>
            <w:r>
              <w:rPr>
                <w:rFonts w:ascii="Arial Narrow" w:eastAsia="SimSun" w:hAnsi="Arial Narrow" w:cs="Tahoma"/>
              </w:rPr>
              <w:t>German S3</w:t>
            </w:r>
          </w:p>
          <w:p w14:paraId="111341D6" w14:textId="1208C9A6" w:rsidR="0026520B" w:rsidRDefault="0026520B" w:rsidP="00923942">
            <w:pPr>
              <w:keepNext/>
              <w:ind w:left="176"/>
              <w:jc w:val="left"/>
              <w:rPr>
                <w:rFonts w:ascii="Arial Narrow" w:eastAsia="SimSun" w:hAnsi="Arial Narrow" w:cs="Tahoma"/>
              </w:rPr>
            </w:pPr>
          </w:p>
          <w:p w14:paraId="64D82E81" w14:textId="77777777" w:rsidR="00923942" w:rsidRDefault="009F5C7D" w:rsidP="00923942">
            <w:pPr>
              <w:keepNext/>
              <w:tabs>
                <w:tab w:val="left" w:pos="144"/>
              </w:tabs>
              <w:jc w:val="left"/>
              <w:rPr>
                <w:rFonts w:ascii="Arial Narrow" w:eastAsia="SimSun" w:hAnsi="Arial Narrow" w:cs="Tahoma"/>
              </w:rPr>
            </w:pPr>
            <w:r>
              <w:rPr>
                <w:rFonts w:ascii="Arial Narrow" w:eastAsia="SimSun" w:hAnsi="Arial Narrow" w:cs="Tahoma"/>
              </w:rPr>
              <w:t xml:space="preserve">3. </w:t>
            </w:r>
            <w:r w:rsidR="00923942">
              <w:rPr>
                <w:rFonts w:ascii="Arial Narrow" w:eastAsia="SimSun" w:hAnsi="Arial Narrow" w:cs="Tahoma"/>
              </w:rPr>
              <w:t>Prognosis based on other tools</w:t>
            </w:r>
            <w:r w:rsidR="009E3501">
              <w:rPr>
                <w:rFonts w:ascii="Arial Narrow" w:eastAsia="SimSun" w:hAnsi="Arial Narrow" w:cs="Tahoma"/>
              </w:rPr>
              <w:t>:</w:t>
            </w:r>
          </w:p>
          <w:p w14:paraId="547D0705" w14:textId="77777777" w:rsidR="00923942" w:rsidRDefault="00923942" w:rsidP="00923942">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MammaPrint</w:t>
            </w:r>
            <w:proofErr w:type="spellEnd"/>
          </w:p>
          <w:p w14:paraId="5B8323D4" w14:textId="77777777" w:rsidR="00923942" w:rsidRDefault="00923942" w:rsidP="00912D07">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OncotypeDX</w:t>
            </w:r>
            <w:proofErr w:type="spellEnd"/>
          </w:p>
        </w:tc>
        <w:tc>
          <w:tcPr>
            <w:tcW w:w="590" w:type="pct"/>
            <w:tcBorders>
              <w:top w:val="single" w:sz="4" w:space="0" w:color="auto"/>
              <w:left w:val="single" w:sz="4" w:space="0" w:color="auto"/>
              <w:bottom w:val="single" w:sz="4" w:space="0" w:color="auto"/>
              <w:right w:val="single" w:sz="4" w:space="0" w:color="auto"/>
            </w:tcBorders>
          </w:tcPr>
          <w:p w14:paraId="51027420" w14:textId="77777777" w:rsidR="00923942" w:rsidRDefault="00923942" w:rsidP="00912D07">
            <w:pPr>
              <w:keepNext/>
              <w:spacing w:after="0"/>
              <w:jc w:val="left"/>
              <w:rPr>
                <w:rFonts w:ascii="Arial Narrow" w:eastAsia="SimSun" w:hAnsi="Arial Narrow" w:cs="Tahoma"/>
              </w:rPr>
            </w:pPr>
            <w:r>
              <w:rPr>
                <w:rFonts w:ascii="Arial Narrow" w:eastAsia="SimSun" w:hAnsi="Arial Narrow" w:cs="Tahoma"/>
              </w:rPr>
              <w:t>M</w:t>
            </w:r>
            <w:r w:rsidRPr="00124B06">
              <w:rPr>
                <w:rFonts w:ascii="Arial Narrow" w:eastAsia="SimSun" w:hAnsi="Arial Narrow" w:cs="Tahoma"/>
              </w:rPr>
              <w:t>etastases free survival</w:t>
            </w:r>
          </w:p>
        </w:tc>
        <w:tc>
          <w:tcPr>
            <w:tcW w:w="886" w:type="pct"/>
            <w:tcBorders>
              <w:top w:val="single" w:sz="4" w:space="0" w:color="auto"/>
              <w:left w:val="single" w:sz="4" w:space="0" w:color="auto"/>
              <w:bottom w:val="single" w:sz="4" w:space="0" w:color="auto"/>
              <w:right w:val="single" w:sz="4" w:space="0" w:color="auto"/>
            </w:tcBorders>
          </w:tcPr>
          <w:p w14:paraId="68280128" w14:textId="5CE88562" w:rsidR="00A62EB2" w:rsidRDefault="00A62EB2" w:rsidP="00617A13">
            <w:pPr>
              <w:keepNext/>
              <w:spacing w:after="0"/>
              <w:jc w:val="left"/>
              <w:rPr>
                <w:rFonts w:ascii="Arial Narrow" w:eastAsia="SimSun" w:hAnsi="Arial Narrow" w:cs="Tahoma"/>
              </w:rPr>
            </w:pPr>
            <w:r>
              <w:rPr>
                <w:rFonts w:ascii="Arial Narrow" w:eastAsia="SimSun" w:hAnsi="Arial Narrow" w:cs="Tahoma"/>
              </w:rPr>
              <w:t>Prognostic value</w:t>
            </w:r>
          </w:p>
          <w:p w14:paraId="0690C0A8" w14:textId="4353E680" w:rsidR="00923942" w:rsidRDefault="00A62EB2" w:rsidP="00923942">
            <w:pPr>
              <w:keepNext/>
              <w:spacing w:after="0"/>
              <w:ind w:left="175"/>
              <w:jc w:val="left"/>
              <w:rPr>
                <w:rFonts w:ascii="Arial Narrow" w:eastAsia="SimSun" w:hAnsi="Arial Narrow" w:cs="Tahoma"/>
              </w:rPr>
            </w:pPr>
            <w:r>
              <w:rPr>
                <w:rFonts w:ascii="Arial Narrow" w:eastAsia="SimSun" w:hAnsi="Arial Narrow" w:cs="Tahoma"/>
              </w:rPr>
              <w:t>Comparative incremental prognostic accuracy</w:t>
            </w:r>
            <w:r w:rsidR="00D42EC6">
              <w:rPr>
                <w:rFonts w:ascii="Arial Narrow" w:eastAsia="SimSun" w:hAnsi="Arial Narrow" w:cs="Tahoma"/>
              </w:rPr>
              <w:t xml:space="preserve"> (sensitivity, specificity, PPV, NPV)</w:t>
            </w:r>
            <w:r>
              <w:rPr>
                <w:rFonts w:ascii="Arial Narrow" w:eastAsia="SimSun" w:hAnsi="Arial Narrow" w:cs="Tahoma"/>
              </w:rPr>
              <w:t xml:space="preserve">, </w:t>
            </w:r>
            <w:r w:rsidR="0007324B">
              <w:rPr>
                <w:rFonts w:ascii="Arial Narrow" w:eastAsia="SimSun" w:hAnsi="Arial Narrow" w:cs="Tahoma"/>
              </w:rPr>
              <w:t>r</w:t>
            </w:r>
            <w:r w:rsidR="004A6367">
              <w:rPr>
                <w:rFonts w:ascii="Arial Narrow" w:eastAsia="SimSun" w:hAnsi="Arial Narrow" w:cs="Tahoma"/>
              </w:rPr>
              <w:t>elative risk, etiologic fraction, odds ratio, hazard ratio</w:t>
            </w:r>
          </w:p>
          <w:p w14:paraId="4ACDDB07" w14:textId="77777777" w:rsidR="00923942" w:rsidRDefault="00923942" w:rsidP="00617A13">
            <w:pPr>
              <w:keepNext/>
              <w:spacing w:after="0"/>
              <w:ind w:left="175"/>
              <w:rPr>
                <w:rFonts w:ascii="Arial Narrow" w:eastAsia="SimSun" w:hAnsi="Arial Narrow" w:cs="Tahoma"/>
              </w:rPr>
            </w:pPr>
          </w:p>
        </w:tc>
      </w:tr>
      <w:tr w:rsidR="000D3536" w:rsidRPr="00124B06" w14:paraId="76504326" w14:textId="77777777" w:rsidTr="000D3536">
        <w:trPr>
          <w:trHeight w:val="3497"/>
        </w:trPr>
        <w:tc>
          <w:tcPr>
            <w:tcW w:w="1089" w:type="pct"/>
            <w:tcBorders>
              <w:top w:val="single" w:sz="4" w:space="0" w:color="auto"/>
              <w:left w:val="single" w:sz="4" w:space="0" w:color="auto"/>
              <w:bottom w:val="single" w:sz="4" w:space="0" w:color="auto"/>
              <w:right w:val="single" w:sz="4" w:space="0" w:color="auto"/>
            </w:tcBorders>
          </w:tcPr>
          <w:p w14:paraId="1B231C33" w14:textId="4E9A32FB" w:rsidR="002D2E84" w:rsidRDefault="002D2E84" w:rsidP="00912D07">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status, </w:t>
            </w:r>
            <w:r w:rsidRPr="00194FCC">
              <w:rPr>
                <w:rFonts w:ascii="Arial Narrow" w:eastAsia="SimSun" w:hAnsi="Arial Narrow" w:cs="Tahoma"/>
              </w:rPr>
              <w:t xml:space="preserve"> </w:t>
            </w:r>
            <w:r>
              <w:rPr>
                <w:rFonts w:ascii="Arial Narrow" w:eastAsia="SimSun" w:hAnsi="Arial Narrow" w:cs="Tahoma"/>
              </w:rPr>
              <w:t>tumour size and nodal status determined following tumour removal, at intermediate risk of distant recurrence or metastases*</w:t>
            </w:r>
          </w:p>
        </w:tc>
        <w:tc>
          <w:tcPr>
            <w:tcW w:w="1033" w:type="pct"/>
            <w:tcBorders>
              <w:top w:val="single" w:sz="4" w:space="0" w:color="auto"/>
              <w:left w:val="single" w:sz="4" w:space="0" w:color="auto"/>
              <w:bottom w:val="single" w:sz="4" w:space="0" w:color="auto"/>
              <w:right w:val="single" w:sz="4" w:space="0" w:color="auto"/>
            </w:tcBorders>
          </w:tcPr>
          <w:p w14:paraId="2CFD81AF" w14:textId="77777777" w:rsidR="002D2E84" w:rsidRDefault="002D2E84" w:rsidP="00912D07">
            <w:pPr>
              <w:keepNext/>
              <w:jc w:val="left"/>
              <w:rPr>
                <w:rFonts w:ascii="Arial Narrow" w:eastAsia="SimSun" w:hAnsi="Arial Narrow" w:cs="Tahoma"/>
              </w:rPr>
            </w:pPr>
            <w:proofErr w:type="spellStart"/>
            <w:r>
              <w:rPr>
                <w:rFonts w:ascii="Arial Narrow" w:eastAsia="SimSun" w:hAnsi="Arial Narrow" w:cs="Tahoma"/>
              </w:rPr>
              <w:t>EndoPredict</w:t>
            </w:r>
            <w:proofErr w:type="spellEnd"/>
            <w:r>
              <w:rPr>
                <w:rFonts w:ascii="Arial Narrow" w:eastAsia="SimSun" w:hAnsi="Arial Narrow" w:cs="Tahoma"/>
              </w:rPr>
              <w:t>®</w:t>
            </w:r>
            <w:r w:rsidRPr="00124B06">
              <w:rPr>
                <w:rFonts w:ascii="Arial Narrow" w:eastAsia="SimSun" w:hAnsi="Arial Narrow" w:cs="Tahoma"/>
              </w:rPr>
              <w:t xml:space="preserve"> - </w:t>
            </w:r>
            <w:r w:rsidR="002B0852">
              <w:rPr>
                <w:rFonts w:ascii="Arial Narrow" w:eastAsia="SimSun" w:hAnsi="Arial Narrow" w:cs="Tahoma"/>
              </w:rPr>
              <w:t>RT-</w:t>
            </w:r>
            <w:proofErr w:type="spellStart"/>
            <w:r w:rsidR="002B0852">
              <w:rPr>
                <w:rFonts w:ascii="Arial Narrow" w:eastAsia="SimSun" w:hAnsi="Arial Narrow" w:cs="Tahoma"/>
              </w:rPr>
              <w:t>qPCR</w:t>
            </w:r>
            <w:proofErr w:type="spellEnd"/>
            <w:r w:rsidRPr="00124B06">
              <w:rPr>
                <w:rFonts w:ascii="Arial Narrow" w:eastAsia="SimSun" w:hAnsi="Arial Narrow" w:cs="Tahoma"/>
              </w:rPr>
              <w:t xml:space="preserve"> gene expression profiling </w:t>
            </w:r>
            <w:r>
              <w:rPr>
                <w:rFonts w:ascii="Arial Narrow" w:eastAsia="SimSun" w:hAnsi="Arial Narrow" w:cs="Tahoma"/>
              </w:rPr>
              <w:t xml:space="preserve">in </w:t>
            </w:r>
            <w:r w:rsidRPr="00124B06">
              <w:rPr>
                <w:rFonts w:ascii="Arial Narrow" w:eastAsia="SimSun" w:hAnsi="Arial Narrow" w:cs="Tahoma"/>
              </w:rPr>
              <w:t>combin</w:t>
            </w:r>
            <w:r>
              <w:rPr>
                <w:rFonts w:ascii="Arial Narrow" w:eastAsia="SimSun" w:hAnsi="Arial Narrow" w:cs="Tahoma"/>
              </w:rPr>
              <w:t>ation</w:t>
            </w:r>
            <w:r w:rsidRPr="00124B06">
              <w:rPr>
                <w:rFonts w:ascii="Arial Narrow" w:eastAsia="SimSun" w:hAnsi="Arial Narrow" w:cs="Tahoma"/>
              </w:rPr>
              <w:t xml:space="preserve"> with classical clinical </w:t>
            </w:r>
            <w:r>
              <w:rPr>
                <w:rFonts w:ascii="Arial Narrow" w:eastAsia="SimSun" w:hAnsi="Arial Narrow" w:cs="Tahoma"/>
              </w:rPr>
              <w:t>marker</w:t>
            </w:r>
            <w:r w:rsidRPr="00124B06">
              <w:rPr>
                <w:rFonts w:ascii="Arial Narrow" w:eastAsia="SimSun" w:hAnsi="Arial Narrow" w:cs="Tahoma"/>
              </w:rPr>
              <w:t>s</w:t>
            </w:r>
            <w:r>
              <w:rPr>
                <w:rFonts w:ascii="Arial Narrow" w:eastAsia="SimSun" w:hAnsi="Arial Narrow" w:cs="Tahoma"/>
              </w:rPr>
              <w:t xml:space="preserve"> (tumour size and node status)</w:t>
            </w:r>
            <w:r w:rsidRPr="00124B06">
              <w:rPr>
                <w:rFonts w:ascii="Arial Narrow" w:eastAsia="SimSun" w:hAnsi="Arial Narrow" w:cs="Tahoma"/>
              </w:rPr>
              <w:t xml:space="preserve"> </w:t>
            </w:r>
            <w:r>
              <w:rPr>
                <w:rFonts w:ascii="Arial Narrow" w:eastAsia="SimSun" w:hAnsi="Arial Narrow" w:cs="Tahoma"/>
              </w:rPr>
              <w:t xml:space="preserve">as an adjunct to current clinical practice </w:t>
            </w:r>
            <w:r w:rsidRPr="00124B06">
              <w:rPr>
                <w:rFonts w:ascii="Arial Narrow" w:eastAsia="SimSun" w:hAnsi="Arial Narrow" w:cs="Tahoma"/>
              </w:rPr>
              <w:t xml:space="preserve">as a prognostic tool to determine the risk of </w:t>
            </w:r>
            <w:r>
              <w:rPr>
                <w:rFonts w:ascii="Arial Narrow" w:eastAsia="SimSun" w:hAnsi="Arial Narrow" w:cs="Tahoma"/>
              </w:rPr>
              <w:t xml:space="preserve">distant recurrence and </w:t>
            </w:r>
            <w:r w:rsidRPr="00124B06">
              <w:rPr>
                <w:rFonts w:ascii="Arial Narrow" w:eastAsia="SimSun" w:hAnsi="Arial Narrow" w:cs="Tahoma"/>
              </w:rPr>
              <w:t xml:space="preserve">metastases </w:t>
            </w:r>
          </w:p>
        </w:tc>
        <w:tc>
          <w:tcPr>
            <w:tcW w:w="1402" w:type="pct"/>
            <w:tcBorders>
              <w:top w:val="single" w:sz="4" w:space="0" w:color="auto"/>
              <w:left w:val="single" w:sz="4" w:space="0" w:color="auto"/>
              <w:bottom w:val="single" w:sz="4" w:space="0" w:color="auto"/>
              <w:right w:val="single" w:sz="4" w:space="0" w:color="auto"/>
            </w:tcBorders>
          </w:tcPr>
          <w:p w14:paraId="1464D00C" w14:textId="77777777" w:rsidR="002D2E84" w:rsidRDefault="002D2E84" w:rsidP="008014CF">
            <w:pPr>
              <w:keepNext/>
              <w:jc w:val="left"/>
              <w:rPr>
                <w:rFonts w:ascii="Arial Narrow" w:eastAsia="SimSun" w:hAnsi="Arial Narrow" w:cs="Tahoma"/>
              </w:rPr>
            </w:pPr>
            <w:r>
              <w:rPr>
                <w:rFonts w:ascii="Arial Narrow" w:eastAsia="SimSun" w:hAnsi="Arial Narrow" w:cs="Tahoma"/>
              </w:rPr>
              <w:t xml:space="preserve">1. </w:t>
            </w:r>
            <w:r w:rsidR="00AB3FFA">
              <w:rPr>
                <w:rFonts w:ascii="Arial Narrow" w:eastAsia="SimSun" w:hAnsi="Arial Narrow" w:cs="Tahoma"/>
              </w:rPr>
              <w:t>Treatment decisions</w:t>
            </w:r>
            <w:r w:rsidRPr="00124B06">
              <w:rPr>
                <w:rFonts w:ascii="Arial Narrow" w:eastAsia="SimSun" w:hAnsi="Arial Narrow" w:cs="Tahoma"/>
              </w:rPr>
              <w:t xml:space="preserve"> based on ER/H</w:t>
            </w:r>
            <w:r>
              <w:rPr>
                <w:rFonts w:ascii="Arial Narrow" w:eastAsia="SimSun" w:hAnsi="Arial Narrow" w:cs="Tahoma"/>
              </w:rPr>
              <w:t xml:space="preserve">ER2 status, and </w:t>
            </w:r>
            <w:r w:rsidRPr="00BC0503">
              <w:rPr>
                <w:rFonts w:ascii="Arial Narrow" w:eastAsia="SimSun" w:hAnsi="Arial Narrow" w:cs="Tahoma"/>
              </w:rPr>
              <w:t xml:space="preserve">current clinical practice </w:t>
            </w:r>
            <w:r>
              <w:rPr>
                <w:rFonts w:ascii="Arial Narrow" w:eastAsia="SimSun" w:hAnsi="Arial Narrow" w:cs="Tahoma"/>
              </w:rPr>
              <w:t xml:space="preserve">(including Ki67 status) </w:t>
            </w:r>
          </w:p>
          <w:p w14:paraId="7A8E1C0C" w14:textId="77777777" w:rsidR="002D2E84" w:rsidRDefault="002D2E84" w:rsidP="008014CF">
            <w:pPr>
              <w:keepNext/>
              <w:jc w:val="left"/>
              <w:rPr>
                <w:rFonts w:ascii="Arial Narrow" w:eastAsia="SimSun" w:hAnsi="Arial Narrow" w:cs="Tahoma"/>
              </w:rPr>
            </w:pPr>
            <w:r>
              <w:rPr>
                <w:rFonts w:ascii="Arial Narrow" w:eastAsia="SimSun" w:hAnsi="Arial Narrow" w:cs="Tahoma"/>
              </w:rPr>
              <w:t xml:space="preserve">2. </w:t>
            </w:r>
            <w:r w:rsidR="00AB3FFA">
              <w:rPr>
                <w:rFonts w:ascii="Arial Narrow" w:eastAsia="SimSun" w:hAnsi="Arial Narrow" w:cs="Tahoma"/>
              </w:rPr>
              <w:t>Treatment decisions</w:t>
            </w:r>
            <w:r>
              <w:rPr>
                <w:rFonts w:ascii="Arial Narrow" w:eastAsia="SimSun" w:hAnsi="Arial Narrow" w:cs="Tahoma"/>
              </w:rPr>
              <w:t xml:space="preserve"> based on international breast cancer clinical guidelines:</w:t>
            </w:r>
          </w:p>
          <w:p w14:paraId="38D6E156" w14:textId="77777777" w:rsidR="002D2E84" w:rsidRDefault="002D2E84" w:rsidP="008014CF">
            <w:pPr>
              <w:keepNext/>
              <w:ind w:left="176"/>
              <w:jc w:val="left"/>
              <w:rPr>
                <w:rFonts w:ascii="Arial Narrow" w:eastAsia="SimSun" w:hAnsi="Arial Narrow" w:cs="Tahoma"/>
              </w:rPr>
            </w:pPr>
            <w:r>
              <w:rPr>
                <w:rFonts w:ascii="Arial Narrow" w:eastAsia="SimSun" w:hAnsi="Arial Narrow" w:cs="Tahoma"/>
              </w:rPr>
              <w:t>NCCN</w:t>
            </w:r>
          </w:p>
          <w:p w14:paraId="268F6627" w14:textId="77777777" w:rsidR="002D2E84" w:rsidRDefault="002D2E84" w:rsidP="008014CF">
            <w:pPr>
              <w:keepNext/>
              <w:ind w:left="176"/>
              <w:jc w:val="left"/>
              <w:rPr>
                <w:rFonts w:ascii="Arial Narrow" w:eastAsia="SimSun" w:hAnsi="Arial Narrow" w:cs="Tahoma"/>
              </w:rPr>
            </w:pPr>
            <w:r>
              <w:rPr>
                <w:rFonts w:ascii="Arial Narrow" w:eastAsia="SimSun" w:hAnsi="Arial Narrow" w:cs="Tahoma"/>
              </w:rPr>
              <w:t xml:space="preserve">St </w:t>
            </w:r>
            <w:proofErr w:type="spellStart"/>
            <w:r>
              <w:rPr>
                <w:rFonts w:ascii="Arial Narrow" w:eastAsia="SimSun" w:hAnsi="Arial Narrow" w:cs="Tahoma"/>
              </w:rPr>
              <w:t>Gallen</w:t>
            </w:r>
            <w:proofErr w:type="spellEnd"/>
          </w:p>
          <w:p w14:paraId="664EABB3" w14:textId="77777777" w:rsidR="002D2E84" w:rsidRDefault="002D2E84" w:rsidP="008014CF">
            <w:pPr>
              <w:keepNext/>
              <w:ind w:left="176"/>
              <w:jc w:val="left"/>
              <w:rPr>
                <w:rFonts w:ascii="Arial Narrow" w:eastAsia="SimSun" w:hAnsi="Arial Narrow" w:cs="Tahoma"/>
              </w:rPr>
            </w:pPr>
            <w:r>
              <w:rPr>
                <w:rFonts w:ascii="Arial Narrow" w:eastAsia="SimSun" w:hAnsi="Arial Narrow" w:cs="Tahoma"/>
              </w:rPr>
              <w:t>German S3</w:t>
            </w:r>
          </w:p>
          <w:p w14:paraId="731DE171" w14:textId="77777777" w:rsidR="002D2E84" w:rsidRDefault="002D2E84" w:rsidP="008014CF">
            <w:pPr>
              <w:keepNext/>
              <w:tabs>
                <w:tab w:val="left" w:pos="144"/>
              </w:tabs>
              <w:jc w:val="left"/>
              <w:rPr>
                <w:rFonts w:ascii="Arial Narrow" w:eastAsia="SimSun" w:hAnsi="Arial Narrow" w:cs="Tahoma"/>
              </w:rPr>
            </w:pPr>
            <w:r>
              <w:rPr>
                <w:rFonts w:ascii="Arial Narrow" w:eastAsia="SimSun" w:hAnsi="Arial Narrow" w:cs="Tahoma"/>
              </w:rPr>
              <w:t xml:space="preserve">3. </w:t>
            </w:r>
            <w:r w:rsidR="00AB3FFA">
              <w:rPr>
                <w:rFonts w:ascii="Arial Narrow" w:eastAsia="SimSun" w:hAnsi="Arial Narrow" w:cs="Tahoma"/>
              </w:rPr>
              <w:t>Treatment decisions</w:t>
            </w:r>
            <w:r>
              <w:rPr>
                <w:rFonts w:ascii="Arial Narrow" w:eastAsia="SimSun" w:hAnsi="Arial Narrow" w:cs="Tahoma"/>
              </w:rPr>
              <w:t xml:space="preserve"> based on other tools:</w:t>
            </w:r>
          </w:p>
          <w:p w14:paraId="5C5EB013" w14:textId="77777777" w:rsidR="002D2E84" w:rsidRDefault="002D2E84" w:rsidP="008014CF">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MammaPrint</w:t>
            </w:r>
            <w:proofErr w:type="spellEnd"/>
          </w:p>
          <w:p w14:paraId="3795A4D7" w14:textId="77777777" w:rsidR="002D2E84" w:rsidRDefault="002D2E84" w:rsidP="00912D07">
            <w:pPr>
              <w:keepNext/>
              <w:tabs>
                <w:tab w:val="left" w:pos="144"/>
              </w:tabs>
              <w:ind w:firstLine="176"/>
              <w:jc w:val="left"/>
              <w:rPr>
                <w:rFonts w:ascii="Arial Narrow" w:eastAsia="SimSun" w:hAnsi="Arial Narrow" w:cs="Tahoma"/>
              </w:rPr>
            </w:pPr>
            <w:proofErr w:type="spellStart"/>
            <w:r>
              <w:rPr>
                <w:rFonts w:ascii="Arial Narrow" w:eastAsia="SimSun" w:hAnsi="Arial Narrow" w:cs="Tahoma"/>
              </w:rPr>
              <w:t>OncotypeDX</w:t>
            </w:r>
            <w:proofErr w:type="spellEnd"/>
          </w:p>
        </w:tc>
        <w:tc>
          <w:tcPr>
            <w:tcW w:w="590" w:type="pct"/>
            <w:tcBorders>
              <w:top w:val="single" w:sz="4" w:space="0" w:color="auto"/>
              <w:left w:val="single" w:sz="4" w:space="0" w:color="auto"/>
              <w:bottom w:val="single" w:sz="4" w:space="0" w:color="auto"/>
              <w:right w:val="single" w:sz="4" w:space="0" w:color="auto"/>
            </w:tcBorders>
          </w:tcPr>
          <w:p w14:paraId="02E1A114" w14:textId="77777777" w:rsidR="002D2E84" w:rsidRPr="00124B06" w:rsidRDefault="002D2E84" w:rsidP="00912D07">
            <w:pPr>
              <w:keepNext/>
              <w:spacing w:after="0"/>
              <w:jc w:val="left"/>
              <w:rPr>
                <w:rFonts w:ascii="Arial Narrow" w:eastAsia="SimSun" w:hAnsi="Arial Narrow" w:cs="Tahoma"/>
              </w:rPr>
            </w:pPr>
            <w:r>
              <w:rPr>
                <w:rFonts w:ascii="Arial Narrow" w:eastAsia="SimSun" w:hAnsi="Arial Narrow" w:cs="Tahoma"/>
              </w:rPr>
              <w:t>N/A</w:t>
            </w:r>
          </w:p>
        </w:tc>
        <w:tc>
          <w:tcPr>
            <w:tcW w:w="886" w:type="pct"/>
            <w:tcBorders>
              <w:top w:val="single" w:sz="4" w:space="0" w:color="auto"/>
              <w:left w:val="single" w:sz="4" w:space="0" w:color="auto"/>
              <w:bottom w:val="single" w:sz="4" w:space="0" w:color="auto"/>
              <w:right w:val="single" w:sz="4" w:space="0" w:color="auto"/>
            </w:tcBorders>
          </w:tcPr>
          <w:p w14:paraId="2409E935" w14:textId="77777777" w:rsidR="00853386" w:rsidRDefault="002F2656" w:rsidP="00C37121">
            <w:pPr>
              <w:keepNext/>
              <w:spacing w:after="0"/>
              <w:jc w:val="left"/>
              <w:rPr>
                <w:rFonts w:ascii="Arial Narrow" w:eastAsia="SimSun" w:hAnsi="Arial Narrow" w:cs="Tahoma"/>
              </w:rPr>
            </w:pPr>
            <w:r>
              <w:rPr>
                <w:rFonts w:ascii="Arial Narrow" w:eastAsia="SimSun" w:hAnsi="Arial Narrow" w:cs="Tahoma"/>
              </w:rPr>
              <w:t>T</w:t>
            </w:r>
            <w:r w:rsidR="00B250C4">
              <w:rPr>
                <w:rFonts w:ascii="Arial Narrow" w:eastAsia="SimSun" w:hAnsi="Arial Narrow" w:cs="Tahoma"/>
              </w:rPr>
              <w:t>herapeutic efficacy</w:t>
            </w:r>
          </w:p>
          <w:p w14:paraId="3A309EFE" w14:textId="2B445D96" w:rsidR="002D2E84" w:rsidRPr="00124B06" w:rsidRDefault="002D2E84" w:rsidP="00912D07">
            <w:pPr>
              <w:keepNext/>
              <w:spacing w:after="0"/>
              <w:ind w:left="122"/>
              <w:jc w:val="left"/>
              <w:rPr>
                <w:rFonts w:ascii="Arial Narrow" w:eastAsia="SimSun" w:hAnsi="Arial Narrow" w:cs="Tahoma"/>
              </w:rPr>
            </w:pPr>
            <w:r>
              <w:rPr>
                <w:rFonts w:ascii="Arial Narrow" w:eastAsia="SimSun" w:hAnsi="Arial Narrow" w:cs="Tahoma"/>
              </w:rPr>
              <w:t>Proportion of patients referred for, or treated with, chemotherapy or endocrine therapy</w:t>
            </w:r>
            <w:r w:rsidR="009024AE">
              <w:rPr>
                <w:rFonts w:ascii="Arial Narrow" w:eastAsia="SimSun" w:hAnsi="Arial Narrow" w:cs="Tahoma"/>
              </w:rPr>
              <w:t xml:space="preserve"> </w:t>
            </w:r>
            <w:r w:rsidR="0054538D">
              <w:rPr>
                <w:rFonts w:ascii="Arial Narrow" w:eastAsia="SimSun" w:hAnsi="Arial Narrow" w:cs="Tahoma"/>
              </w:rPr>
              <w:t>alone</w:t>
            </w:r>
          </w:p>
        </w:tc>
      </w:tr>
      <w:tr w:rsidR="000D3536" w:rsidRPr="00124B06" w14:paraId="74299AA3" w14:textId="77777777" w:rsidTr="000D3536">
        <w:trPr>
          <w:trHeight w:val="282"/>
        </w:trPr>
        <w:tc>
          <w:tcPr>
            <w:tcW w:w="1089" w:type="pct"/>
            <w:tcBorders>
              <w:top w:val="single" w:sz="4" w:space="0" w:color="auto"/>
              <w:left w:val="single" w:sz="4" w:space="0" w:color="auto"/>
              <w:bottom w:val="single" w:sz="4" w:space="0" w:color="auto"/>
              <w:right w:val="single" w:sz="4" w:space="0" w:color="auto"/>
            </w:tcBorders>
          </w:tcPr>
          <w:p w14:paraId="002CF096" w14:textId="7F63E3AF" w:rsidR="00B870C0" w:rsidRDefault="00E50031" w:rsidP="00E05F08">
            <w:pPr>
              <w:keepNext/>
              <w:jc w:val="left"/>
              <w:rPr>
                <w:rFonts w:ascii="Arial Narrow" w:eastAsia="SimSun" w:hAnsi="Arial Narrow" w:cs="Tahoma"/>
              </w:rPr>
            </w:pPr>
            <w:r>
              <w:rPr>
                <w:rFonts w:ascii="Arial Narrow" w:eastAsia="SimSun" w:hAnsi="Arial Narrow" w:cs="Tahoma"/>
              </w:rPr>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 xml:space="preserve">-ve </w:t>
            </w:r>
            <w:r>
              <w:rPr>
                <w:rFonts w:ascii="Arial Narrow" w:eastAsia="SimSun" w:hAnsi="Arial Narrow" w:cs="Tahoma"/>
              </w:rPr>
              <w:lastRenderedPageBreak/>
              <w:t>status, at intermediate risk</w:t>
            </w:r>
            <w:r w:rsidR="00853386" w:rsidRPr="00C37121">
              <w:rPr>
                <w:rFonts w:ascii="Arial Narrow" w:eastAsia="SimSun" w:hAnsi="Arial Narrow" w:cs="Tahoma"/>
                <w:vertAlign w:val="superscript"/>
              </w:rPr>
              <w:t>#</w:t>
            </w:r>
            <w:r>
              <w:rPr>
                <w:rFonts w:ascii="Arial Narrow" w:eastAsia="SimSun" w:hAnsi="Arial Narrow" w:cs="Tahoma"/>
              </w:rPr>
              <w:t xml:space="preserve"> of distant recurrence or metastases*</w:t>
            </w:r>
            <w:r w:rsidR="00CA110F">
              <w:rPr>
                <w:rFonts w:ascii="Arial Narrow" w:eastAsia="SimSun" w:hAnsi="Arial Narrow" w:cs="Tahoma"/>
              </w:rPr>
              <w:t xml:space="preserve">, who would be classified as low risk with </w:t>
            </w:r>
            <w:proofErr w:type="spellStart"/>
            <w:r w:rsidR="00CA110F">
              <w:rPr>
                <w:rFonts w:ascii="Arial Narrow" w:eastAsia="SimSun" w:hAnsi="Arial Narrow" w:cs="Tahoma"/>
              </w:rPr>
              <w:t>EndoPredict</w:t>
            </w:r>
            <w:proofErr w:type="spellEnd"/>
            <w:r w:rsidR="00137946">
              <w:rPr>
                <w:rFonts w:ascii="Arial Narrow" w:eastAsia="SimSun" w:hAnsi="Arial Narrow" w:cs="Tahoma"/>
              </w:rPr>
              <w:t xml:space="preserve">, but receive chemotherapy through </w:t>
            </w:r>
            <w:r w:rsidR="00E05F08">
              <w:rPr>
                <w:rFonts w:ascii="Arial Narrow" w:eastAsia="SimSun" w:hAnsi="Arial Narrow" w:cs="Tahoma"/>
              </w:rPr>
              <w:t>current clinical practice</w:t>
            </w:r>
          </w:p>
        </w:tc>
        <w:tc>
          <w:tcPr>
            <w:tcW w:w="1033" w:type="pct"/>
            <w:tcBorders>
              <w:top w:val="single" w:sz="4" w:space="0" w:color="auto"/>
              <w:left w:val="single" w:sz="4" w:space="0" w:color="auto"/>
              <w:bottom w:val="single" w:sz="4" w:space="0" w:color="auto"/>
              <w:right w:val="single" w:sz="4" w:space="0" w:color="auto"/>
            </w:tcBorders>
          </w:tcPr>
          <w:p w14:paraId="57164DA2" w14:textId="77777777" w:rsidR="00B870C0" w:rsidRDefault="00B870C0" w:rsidP="00912D07">
            <w:pPr>
              <w:keepNext/>
              <w:jc w:val="left"/>
              <w:rPr>
                <w:rFonts w:ascii="Arial Narrow" w:eastAsia="SimSun" w:hAnsi="Arial Narrow" w:cs="Tahoma"/>
              </w:rPr>
            </w:pPr>
            <w:r>
              <w:rPr>
                <w:rFonts w:ascii="Arial Narrow" w:eastAsia="SimSun" w:hAnsi="Arial Narrow" w:cs="Tahoma"/>
              </w:rPr>
              <w:lastRenderedPageBreak/>
              <w:t>Endocrine therapy alone</w:t>
            </w:r>
          </w:p>
        </w:tc>
        <w:tc>
          <w:tcPr>
            <w:tcW w:w="1402" w:type="pct"/>
            <w:tcBorders>
              <w:top w:val="single" w:sz="4" w:space="0" w:color="auto"/>
              <w:left w:val="single" w:sz="4" w:space="0" w:color="auto"/>
              <w:bottom w:val="single" w:sz="4" w:space="0" w:color="auto"/>
              <w:right w:val="single" w:sz="4" w:space="0" w:color="auto"/>
            </w:tcBorders>
          </w:tcPr>
          <w:p w14:paraId="0DAD20F7" w14:textId="77777777" w:rsidR="00B870C0" w:rsidRDefault="00B870C0" w:rsidP="00912D07">
            <w:pPr>
              <w:keepNext/>
              <w:jc w:val="left"/>
              <w:rPr>
                <w:rFonts w:ascii="Arial Narrow" w:eastAsia="SimSun" w:hAnsi="Arial Narrow" w:cs="Tahoma"/>
              </w:rPr>
            </w:pPr>
            <w:r>
              <w:rPr>
                <w:rFonts w:ascii="Arial Narrow" w:eastAsia="SimSun" w:hAnsi="Arial Narrow" w:cs="Tahoma"/>
              </w:rPr>
              <w:t>Endocrine therapy plus chemotherapy</w:t>
            </w:r>
          </w:p>
        </w:tc>
        <w:tc>
          <w:tcPr>
            <w:tcW w:w="590" w:type="pct"/>
            <w:tcBorders>
              <w:top w:val="single" w:sz="4" w:space="0" w:color="auto"/>
              <w:left w:val="single" w:sz="4" w:space="0" w:color="auto"/>
              <w:bottom w:val="single" w:sz="4" w:space="0" w:color="auto"/>
              <w:right w:val="single" w:sz="4" w:space="0" w:color="auto"/>
            </w:tcBorders>
          </w:tcPr>
          <w:p w14:paraId="45D64ED0" w14:textId="77777777" w:rsidR="00B870C0" w:rsidRDefault="006E4D76" w:rsidP="00923942">
            <w:pPr>
              <w:keepNext/>
              <w:spacing w:after="0"/>
              <w:rPr>
                <w:rFonts w:ascii="Arial Narrow" w:eastAsia="SimSun" w:hAnsi="Arial Narrow" w:cs="Tahoma"/>
              </w:rPr>
            </w:pPr>
            <w:r>
              <w:rPr>
                <w:rFonts w:ascii="Arial Narrow" w:eastAsia="SimSun" w:hAnsi="Arial Narrow" w:cs="Tahoma"/>
              </w:rPr>
              <w:t>N/A</w:t>
            </w:r>
          </w:p>
        </w:tc>
        <w:tc>
          <w:tcPr>
            <w:tcW w:w="886" w:type="pct"/>
            <w:tcBorders>
              <w:top w:val="single" w:sz="4" w:space="0" w:color="auto"/>
              <w:left w:val="single" w:sz="4" w:space="0" w:color="auto"/>
              <w:bottom w:val="single" w:sz="4" w:space="0" w:color="auto"/>
              <w:right w:val="single" w:sz="4" w:space="0" w:color="auto"/>
            </w:tcBorders>
          </w:tcPr>
          <w:p w14:paraId="499A6C69" w14:textId="77777777" w:rsidR="006E4D76" w:rsidRDefault="006E4D76" w:rsidP="006E4D76">
            <w:pPr>
              <w:keepNext/>
              <w:spacing w:after="0"/>
              <w:jc w:val="left"/>
              <w:rPr>
                <w:rFonts w:ascii="Arial Narrow" w:eastAsia="SimSun" w:hAnsi="Arial Narrow" w:cs="Tahoma"/>
              </w:rPr>
            </w:pPr>
            <w:r>
              <w:rPr>
                <w:rFonts w:ascii="Arial Narrow" w:eastAsia="SimSun" w:hAnsi="Arial Narrow" w:cs="Tahoma"/>
              </w:rPr>
              <w:t xml:space="preserve">Therapeutic effectiveness: </w:t>
            </w:r>
          </w:p>
          <w:p w14:paraId="443DD2BC" w14:textId="77777777" w:rsidR="006E4D76" w:rsidRDefault="006E4D76" w:rsidP="00912D07">
            <w:pPr>
              <w:keepNext/>
              <w:spacing w:after="0"/>
              <w:ind w:left="175"/>
              <w:jc w:val="left"/>
              <w:rPr>
                <w:rFonts w:ascii="Arial Narrow" w:eastAsia="SimSun" w:hAnsi="Arial Narrow" w:cs="Tahoma"/>
              </w:rPr>
            </w:pPr>
            <w:r w:rsidRPr="00124B06">
              <w:rPr>
                <w:rFonts w:ascii="Arial Narrow" w:eastAsia="SimSun" w:hAnsi="Arial Narrow" w:cs="Tahoma"/>
              </w:rPr>
              <w:t>Safety</w:t>
            </w:r>
          </w:p>
          <w:p w14:paraId="12CA40EE" w14:textId="77777777" w:rsidR="00B870C0" w:rsidRDefault="006E4D76" w:rsidP="00912D07">
            <w:pPr>
              <w:keepNext/>
              <w:spacing w:after="0"/>
              <w:ind w:left="175"/>
              <w:jc w:val="left"/>
              <w:rPr>
                <w:rFonts w:ascii="Arial Narrow" w:eastAsia="SimSun" w:hAnsi="Arial Narrow" w:cs="Tahoma"/>
              </w:rPr>
            </w:pPr>
            <w:r w:rsidRPr="00124B06">
              <w:rPr>
                <w:rFonts w:ascii="Arial Narrow" w:eastAsia="SimSun" w:hAnsi="Arial Narrow" w:cs="Tahoma"/>
              </w:rPr>
              <w:t>Effectiveness</w:t>
            </w:r>
            <w:r w:rsidR="00E50031">
              <w:rPr>
                <w:rFonts w:ascii="Arial Narrow" w:eastAsia="SimSun" w:hAnsi="Arial Narrow" w:cs="Tahoma"/>
              </w:rPr>
              <w:t xml:space="preserve">: </w:t>
            </w:r>
            <w:r w:rsidRPr="00124B06">
              <w:rPr>
                <w:rFonts w:ascii="Arial Narrow" w:eastAsia="SimSun" w:hAnsi="Arial Narrow" w:cs="Tahoma"/>
              </w:rPr>
              <w:t xml:space="preserve">Survival, disease </w:t>
            </w:r>
            <w:r w:rsidRPr="00124B06">
              <w:rPr>
                <w:rFonts w:ascii="Arial Narrow" w:eastAsia="SimSun" w:hAnsi="Arial Narrow" w:cs="Tahoma"/>
              </w:rPr>
              <w:lastRenderedPageBreak/>
              <w:t>free survival, metastases free survival</w:t>
            </w:r>
            <w:r>
              <w:rPr>
                <w:rFonts w:ascii="Arial Narrow" w:eastAsia="SimSun" w:hAnsi="Arial Narrow" w:cs="Tahoma"/>
              </w:rPr>
              <w:t>, quality of life</w:t>
            </w:r>
          </w:p>
        </w:tc>
      </w:tr>
      <w:tr w:rsidR="001D1575" w:rsidRPr="00124B06" w14:paraId="719C1697" w14:textId="77777777" w:rsidTr="000D3536">
        <w:trPr>
          <w:trHeight w:val="282"/>
        </w:trPr>
        <w:tc>
          <w:tcPr>
            <w:tcW w:w="1089" w:type="pct"/>
            <w:tcBorders>
              <w:top w:val="single" w:sz="4" w:space="0" w:color="auto"/>
              <w:left w:val="single" w:sz="4" w:space="0" w:color="auto"/>
              <w:bottom w:val="single" w:sz="4" w:space="0" w:color="auto"/>
              <w:right w:val="single" w:sz="4" w:space="0" w:color="auto"/>
            </w:tcBorders>
          </w:tcPr>
          <w:p w14:paraId="54F68ADE" w14:textId="56494E8C" w:rsidR="001D1575" w:rsidRDefault="00CA110F" w:rsidP="00C37121">
            <w:pPr>
              <w:keepNext/>
              <w:jc w:val="left"/>
              <w:rPr>
                <w:rFonts w:ascii="Arial Narrow" w:eastAsia="SimSun" w:hAnsi="Arial Narrow" w:cs="Tahoma"/>
              </w:rPr>
            </w:pPr>
            <w:r>
              <w:rPr>
                <w:rFonts w:ascii="Arial Narrow" w:eastAsia="SimSun" w:hAnsi="Arial Narrow" w:cs="Tahoma"/>
              </w:rPr>
              <w:lastRenderedPageBreak/>
              <w:t>Patients with p</w:t>
            </w:r>
            <w:r w:rsidRPr="00124B06">
              <w:rPr>
                <w:rFonts w:ascii="Arial Narrow" w:eastAsia="SimSun" w:hAnsi="Arial Narrow" w:cs="Tahoma"/>
              </w:rPr>
              <w:t>rimary breast cancer</w:t>
            </w:r>
            <w:r>
              <w:rPr>
                <w:rFonts w:ascii="Arial Narrow" w:eastAsia="SimSun" w:hAnsi="Arial Narrow" w:cs="Tahoma"/>
              </w:rPr>
              <w:t xml:space="preserve">, suitable for adjuvant </w:t>
            </w:r>
            <w:r w:rsidRPr="00BC0503">
              <w:rPr>
                <w:rFonts w:ascii="Arial Narrow" w:eastAsia="SimSun" w:hAnsi="Arial Narrow" w:cs="Tahoma"/>
              </w:rPr>
              <w:t>chemotherapy</w:t>
            </w:r>
            <w:r>
              <w:rPr>
                <w:rFonts w:ascii="Arial Narrow" w:eastAsia="SimSun" w:hAnsi="Arial Narrow" w:cs="Tahoma"/>
              </w:rPr>
              <w:t xml:space="preserve">, and who have </w:t>
            </w:r>
            <w:r w:rsidRPr="00194FCC">
              <w:rPr>
                <w:rFonts w:ascii="Arial Narrow" w:eastAsia="SimSun" w:hAnsi="Arial Narrow" w:cs="Tahoma"/>
              </w:rPr>
              <w:t>ER+ve, HER2</w:t>
            </w:r>
            <w:r>
              <w:rPr>
                <w:rFonts w:ascii="Arial Narrow" w:eastAsia="SimSun" w:hAnsi="Arial Narrow" w:cs="Tahoma"/>
              </w:rPr>
              <w:t>-ve status, at intermediate risk</w:t>
            </w:r>
            <w:r w:rsidRPr="005424DE">
              <w:rPr>
                <w:rFonts w:ascii="Arial Narrow" w:eastAsia="SimSun" w:hAnsi="Arial Narrow" w:cs="Tahoma"/>
                <w:vertAlign w:val="superscript"/>
              </w:rPr>
              <w:t>#</w:t>
            </w:r>
            <w:r>
              <w:rPr>
                <w:rFonts w:ascii="Arial Narrow" w:eastAsia="SimSun" w:hAnsi="Arial Narrow" w:cs="Tahoma"/>
              </w:rPr>
              <w:t xml:space="preserve"> of distant recurrence or metastases*, who would be classified as high risk with </w:t>
            </w:r>
            <w:proofErr w:type="spellStart"/>
            <w:r>
              <w:rPr>
                <w:rFonts w:ascii="Arial Narrow" w:eastAsia="SimSun" w:hAnsi="Arial Narrow" w:cs="Tahoma"/>
              </w:rPr>
              <w:t>EndoPredict</w:t>
            </w:r>
            <w:proofErr w:type="spellEnd"/>
            <w:r w:rsidR="00137946">
              <w:rPr>
                <w:rFonts w:ascii="Arial Narrow" w:eastAsia="SimSun" w:hAnsi="Arial Narrow" w:cs="Tahoma"/>
              </w:rPr>
              <w:t xml:space="preserve">, but not receive chemotherapy through </w:t>
            </w:r>
            <w:r w:rsidR="00E05F08">
              <w:rPr>
                <w:rFonts w:ascii="Arial Narrow" w:eastAsia="SimSun" w:hAnsi="Arial Narrow" w:cs="Tahoma"/>
              </w:rPr>
              <w:t>current clinical practice</w:t>
            </w:r>
          </w:p>
        </w:tc>
        <w:tc>
          <w:tcPr>
            <w:tcW w:w="1033" w:type="pct"/>
            <w:tcBorders>
              <w:top w:val="single" w:sz="4" w:space="0" w:color="auto"/>
              <w:left w:val="single" w:sz="4" w:space="0" w:color="auto"/>
              <w:bottom w:val="single" w:sz="4" w:space="0" w:color="auto"/>
              <w:right w:val="single" w:sz="4" w:space="0" w:color="auto"/>
            </w:tcBorders>
          </w:tcPr>
          <w:p w14:paraId="113A4450" w14:textId="53C3CE5D" w:rsidR="001D1575" w:rsidRDefault="00CA110F" w:rsidP="00912D07">
            <w:pPr>
              <w:keepNext/>
              <w:rPr>
                <w:rFonts w:ascii="Arial Narrow" w:eastAsia="SimSun" w:hAnsi="Arial Narrow" w:cs="Tahoma"/>
              </w:rPr>
            </w:pPr>
            <w:r>
              <w:rPr>
                <w:rFonts w:ascii="Arial Narrow" w:eastAsia="SimSun" w:hAnsi="Arial Narrow" w:cs="Tahoma"/>
              </w:rPr>
              <w:t>Endocrine therapy plus chemotherapy</w:t>
            </w:r>
          </w:p>
        </w:tc>
        <w:tc>
          <w:tcPr>
            <w:tcW w:w="1402" w:type="pct"/>
            <w:tcBorders>
              <w:top w:val="single" w:sz="4" w:space="0" w:color="auto"/>
              <w:left w:val="single" w:sz="4" w:space="0" w:color="auto"/>
              <w:bottom w:val="single" w:sz="4" w:space="0" w:color="auto"/>
              <w:right w:val="single" w:sz="4" w:space="0" w:color="auto"/>
            </w:tcBorders>
          </w:tcPr>
          <w:p w14:paraId="035B71F4" w14:textId="488BDB07" w:rsidR="001D1575" w:rsidRDefault="00CA110F" w:rsidP="00912D07">
            <w:pPr>
              <w:keepNext/>
              <w:rPr>
                <w:rFonts w:ascii="Arial Narrow" w:eastAsia="SimSun" w:hAnsi="Arial Narrow" w:cs="Tahoma"/>
              </w:rPr>
            </w:pPr>
            <w:r>
              <w:rPr>
                <w:rFonts w:ascii="Arial Narrow" w:eastAsia="SimSun" w:hAnsi="Arial Narrow" w:cs="Tahoma"/>
              </w:rPr>
              <w:t>Endocrine therapy alone</w:t>
            </w:r>
          </w:p>
        </w:tc>
        <w:tc>
          <w:tcPr>
            <w:tcW w:w="590" w:type="pct"/>
            <w:tcBorders>
              <w:top w:val="single" w:sz="4" w:space="0" w:color="auto"/>
              <w:left w:val="single" w:sz="4" w:space="0" w:color="auto"/>
              <w:bottom w:val="single" w:sz="4" w:space="0" w:color="auto"/>
              <w:right w:val="single" w:sz="4" w:space="0" w:color="auto"/>
            </w:tcBorders>
          </w:tcPr>
          <w:p w14:paraId="662F5CA7" w14:textId="161CDB58" w:rsidR="001D1575" w:rsidRDefault="00CA110F" w:rsidP="00923942">
            <w:pPr>
              <w:keepNext/>
              <w:spacing w:after="0"/>
              <w:rPr>
                <w:rFonts w:ascii="Arial Narrow" w:eastAsia="SimSun" w:hAnsi="Arial Narrow" w:cs="Tahoma"/>
              </w:rPr>
            </w:pPr>
            <w:r>
              <w:rPr>
                <w:rFonts w:ascii="Arial Narrow" w:eastAsia="SimSun" w:hAnsi="Arial Narrow" w:cs="Tahoma"/>
              </w:rPr>
              <w:t>N/A</w:t>
            </w:r>
          </w:p>
        </w:tc>
        <w:tc>
          <w:tcPr>
            <w:tcW w:w="886" w:type="pct"/>
            <w:tcBorders>
              <w:top w:val="single" w:sz="4" w:space="0" w:color="auto"/>
              <w:left w:val="single" w:sz="4" w:space="0" w:color="auto"/>
              <w:bottom w:val="single" w:sz="4" w:space="0" w:color="auto"/>
              <w:right w:val="single" w:sz="4" w:space="0" w:color="auto"/>
            </w:tcBorders>
          </w:tcPr>
          <w:p w14:paraId="0A92502E" w14:textId="77777777" w:rsidR="00CA110F" w:rsidRDefault="00CA110F" w:rsidP="00CA110F">
            <w:pPr>
              <w:keepNext/>
              <w:spacing w:after="0"/>
              <w:jc w:val="left"/>
              <w:rPr>
                <w:rFonts w:ascii="Arial Narrow" w:eastAsia="SimSun" w:hAnsi="Arial Narrow" w:cs="Tahoma"/>
              </w:rPr>
            </w:pPr>
            <w:r>
              <w:rPr>
                <w:rFonts w:ascii="Arial Narrow" w:eastAsia="SimSun" w:hAnsi="Arial Narrow" w:cs="Tahoma"/>
              </w:rPr>
              <w:t xml:space="preserve">Therapeutic effectiveness: </w:t>
            </w:r>
          </w:p>
          <w:p w14:paraId="2A1AACFC" w14:textId="77777777" w:rsidR="00CA110F" w:rsidRDefault="00CA110F" w:rsidP="00CA110F">
            <w:pPr>
              <w:keepNext/>
              <w:spacing w:after="0"/>
              <w:ind w:left="175"/>
              <w:jc w:val="left"/>
              <w:rPr>
                <w:rFonts w:ascii="Arial Narrow" w:eastAsia="SimSun" w:hAnsi="Arial Narrow" w:cs="Tahoma"/>
              </w:rPr>
            </w:pPr>
            <w:r w:rsidRPr="00124B06">
              <w:rPr>
                <w:rFonts w:ascii="Arial Narrow" w:eastAsia="SimSun" w:hAnsi="Arial Narrow" w:cs="Tahoma"/>
              </w:rPr>
              <w:t>Safety</w:t>
            </w:r>
          </w:p>
          <w:p w14:paraId="420269A7" w14:textId="5C6B02D5" w:rsidR="001D1575" w:rsidRDefault="00CA110F" w:rsidP="00C37121">
            <w:pPr>
              <w:keepNext/>
              <w:spacing w:after="0"/>
              <w:ind w:left="175"/>
              <w:jc w:val="left"/>
              <w:rPr>
                <w:rFonts w:ascii="Arial Narrow" w:eastAsia="SimSun" w:hAnsi="Arial Narrow" w:cs="Tahoma"/>
              </w:rPr>
            </w:pPr>
            <w:r w:rsidRPr="00124B06">
              <w:rPr>
                <w:rFonts w:ascii="Arial Narrow" w:eastAsia="SimSun" w:hAnsi="Arial Narrow" w:cs="Tahoma"/>
              </w:rPr>
              <w:t>Effectiveness</w:t>
            </w:r>
            <w:r>
              <w:rPr>
                <w:rFonts w:ascii="Arial Narrow" w:eastAsia="SimSun" w:hAnsi="Arial Narrow" w:cs="Tahoma"/>
              </w:rPr>
              <w:t xml:space="preserve">: </w:t>
            </w:r>
            <w:r w:rsidRPr="00124B06">
              <w:rPr>
                <w:rFonts w:ascii="Arial Narrow" w:eastAsia="SimSun" w:hAnsi="Arial Narrow" w:cs="Tahoma"/>
              </w:rPr>
              <w:t>Survival, disease free survival, metastases free survival</w:t>
            </w:r>
            <w:r>
              <w:rPr>
                <w:rFonts w:ascii="Arial Narrow" w:eastAsia="SimSun" w:hAnsi="Arial Narrow" w:cs="Tahoma"/>
              </w:rPr>
              <w:t>, quality of life</w:t>
            </w:r>
          </w:p>
        </w:tc>
      </w:tr>
    </w:tbl>
    <w:p w14:paraId="7B1E578C" w14:textId="66A6F804" w:rsidR="0042678B" w:rsidRDefault="0042678B" w:rsidP="0042678B">
      <w:pPr>
        <w:spacing w:after="0"/>
        <w:rPr>
          <w:rFonts w:ascii="Arial Narrow" w:hAnsi="Arial Narrow"/>
          <w:sz w:val="18"/>
          <w:szCs w:val="18"/>
        </w:rPr>
      </w:pPr>
      <w:r w:rsidRPr="009D6948">
        <w:rPr>
          <w:rFonts w:ascii="Arial Narrow" w:hAnsi="Arial Narrow"/>
          <w:sz w:val="18"/>
          <w:szCs w:val="18"/>
        </w:rPr>
        <w:t xml:space="preserve">IHC = immunohistochemistry; </w:t>
      </w:r>
      <w:r>
        <w:rPr>
          <w:rFonts w:ascii="Arial Narrow" w:hAnsi="Arial Narrow"/>
          <w:sz w:val="18"/>
          <w:szCs w:val="18"/>
        </w:rPr>
        <w:t xml:space="preserve">ISH = in situ hybridisation; </w:t>
      </w:r>
      <w:r w:rsidRPr="009D6948">
        <w:rPr>
          <w:rFonts w:ascii="Arial Narrow" w:hAnsi="Arial Narrow"/>
          <w:sz w:val="18"/>
          <w:szCs w:val="18"/>
        </w:rPr>
        <w:t xml:space="preserve">ER+ve = </w:t>
      </w:r>
      <w:r>
        <w:rPr>
          <w:rFonts w:ascii="Arial Narrow" w:hAnsi="Arial Narrow"/>
          <w:sz w:val="18"/>
          <w:szCs w:val="18"/>
        </w:rPr>
        <w:t>o</w:t>
      </w:r>
      <w:r w:rsidRPr="009D6948">
        <w:rPr>
          <w:rFonts w:ascii="Arial Narrow" w:hAnsi="Arial Narrow"/>
          <w:sz w:val="18"/>
          <w:szCs w:val="18"/>
        </w:rPr>
        <w:t xml:space="preserve">estrogen receptor positive; HER2-ve = human epidermal growth receptor negative; </w:t>
      </w:r>
      <w:r w:rsidR="00D42EC6">
        <w:rPr>
          <w:rFonts w:ascii="Arial Narrow" w:hAnsi="Arial Narrow"/>
          <w:sz w:val="18"/>
          <w:szCs w:val="18"/>
        </w:rPr>
        <w:t xml:space="preserve">NPV = negative predictive value; PPV = positive </w:t>
      </w:r>
      <w:r w:rsidR="001C3123">
        <w:rPr>
          <w:rFonts w:ascii="Arial Narrow" w:hAnsi="Arial Narrow"/>
          <w:sz w:val="18"/>
          <w:szCs w:val="18"/>
        </w:rPr>
        <w:t>predictive</w:t>
      </w:r>
      <w:r w:rsidR="00D42EC6">
        <w:rPr>
          <w:rFonts w:ascii="Arial Narrow" w:hAnsi="Arial Narrow"/>
          <w:sz w:val="18"/>
          <w:szCs w:val="18"/>
        </w:rPr>
        <w:t xml:space="preserve"> value; </w:t>
      </w:r>
      <w:r w:rsidR="002B0852">
        <w:rPr>
          <w:rFonts w:ascii="Arial Narrow" w:hAnsi="Arial Narrow"/>
          <w:sz w:val="18"/>
          <w:szCs w:val="18"/>
        </w:rPr>
        <w:t>RT-qPCR</w:t>
      </w:r>
      <w:r w:rsidRPr="009D6948">
        <w:rPr>
          <w:rFonts w:ascii="Arial Narrow" w:hAnsi="Arial Narrow"/>
          <w:sz w:val="18"/>
          <w:szCs w:val="18"/>
        </w:rPr>
        <w:t xml:space="preserve"> = qualitative real time polymerase chain reaction</w:t>
      </w:r>
    </w:p>
    <w:p w14:paraId="62B0AD73" w14:textId="1A4710C3" w:rsidR="00210CE3" w:rsidRPr="00210CE3" w:rsidRDefault="00210CE3" w:rsidP="0042678B">
      <w:pPr>
        <w:spacing w:after="0"/>
        <w:rPr>
          <w:rFonts w:ascii="Arial Narrow" w:hAnsi="Arial Narrow"/>
          <w:sz w:val="18"/>
          <w:szCs w:val="18"/>
        </w:rPr>
      </w:pPr>
      <w:r>
        <w:rPr>
          <w:rFonts w:ascii="Arial Narrow" w:hAnsi="Arial Narrow"/>
          <w:sz w:val="18"/>
          <w:szCs w:val="18"/>
          <w:vertAlign w:val="superscript"/>
        </w:rPr>
        <w:t>#</w:t>
      </w:r>
      <w:r>
        <w:rPr>
          <w:rFonts w:ascii="Arial Narrow" w:hAnsi="Arial Narrow"/>
          <w:sz w:val="18"/>
          <w:szCs w:val="18"/>
        </w:rPr>
        <w:t xml:space="preserve">Note </w:t>
      </w:r>
      <w:r w:rsidR="00137946">
        <w:rPr>
          <w:rFonts w:ascii="Arial Narrow" w:hAnsi="Arial Narrow"/>
          <w:sz w:val="18"/>
          <w:szCs w:val="18"/>
        </w:rPr>
        <w:t>that if</w:t>
      </w:r>
      <w:r w:rsidR="00526E7C">
        <w:rPr>
          <w:rFonts w:ascii="Arial Narrow" w:hAnsi="Arial Narrow"/>
          <w:sz w:val="18"/>
          <w:szCs w:val="18"/>
        </w:rPr>
        <w:t xml:space="preserve"> the </w:t>
      </w:r>
      <w:proofErr w:type="spellStart"/>
      <w:r w:rsidR="00526E7C">
        <w:rPr>
          <w:rFonts w:ascii="Arial Narrow" w:hAnsi="Arial Narrow"/>
          <w:sz w:val="18"/>
          <w:szCs w:val="18"/>
        </w:rPr>
        <w:t>EndoPredict</w:t>
      </w:r>
      <w:proofErr w:type="spellEnd"/>
      <w:r w:rsidR="00526E7C">
        <w:rPr>
          <w:rFonts w:ascii="Arial Narrow" w:hAnsi="Arial Narrow"/>
          <w:sz w:val="18"/>
          <w:szCs w:val="18"/>
        </w:rPr>
        <w:t xml:space="preserve"> scores are</w:t>
      </w:r>
      <w:r w:rsidR="00137946">
        <w:rPr>
          <w:rFonts w:ascii="Arial Narrow" w:hAnsi="Arial Narrow"/>
          <w:sz w:val="18"/>
          <w:szCs w:val="18"/>
        </w:rPr>
        <w:t xml:space="preserve"> prospectively</w:t>
      </w:r>
      <w:r w:rsidR="00526E7C">
        <w:rPr>
          <w:rFonts w:ascii="Arial Narrow" w:hAnsi="Arial Narrow"/>
          <w:sz w:val="18"/>
          <w:szCs w:val="18"/>
        </w:rPr>
        <w:t xml:space="preserve"> used to determine treatment, then this would be the same as direct evidence. However, as the </w:t>
      </w:r>
      <w:proofErr w:type="spellStart"/>
      <w:r w:rsidR="00526E7C">
        <w:rPr>
          <w:rFonts w:ascii="Arial Narrow" w:hAnsi="Arial Narrow"/>
          <w:sz w:val="18"/>
          <w:szCs w:val="18"/>
        </w:rPr>
        <w:t>EndoPredict</w:t>
      </w:r>
      <w:proofErr w:type="spellEnd"/>
      <w:r w:rsidR="00526E7C">
        <w:rPr>
          <w:rFonts w:ascii="Arial Narrow" w:hAnsi="Arial Narrow"/>
          <w:sz w:val="18"/>
          <w:szCs w:val="18"/>
        </w:rPr>
        <w:t xml:space="preserve"> scores may be determined retrospectivel</w:t>
      </w:r>
      <w:r w:rsidR="006C75EF">
        <w:rPr>
          <w:rFonts w:ascii="Arial Narrow" w:hAnsi="Arial Narrow"/>
          <w:sz w:val="18"/>
          <w:szCs w:val="18"/>
        </w:rPr>
        <w:t xml:space="preserve">y (and not used to influence what treatment was used) </w:t>
      </w:r>
      <w:r w:rsidR="00526E7C">
        <w:rPr>
          <w:rFonts w:ascii="Arial Narrow" w:hAnsi="Arial Narrow"/>
          <w:sz w:val="18"/>
          <w:szCs w:val="18"/>
        </w:rPr>
        <w:t>it is possible this information may be available</w:t>
      </w:r>
      <w:r w:rsidR="006C75EF">
        <w:rPr>
          <w:rFonts w:ascii="Arial Narrow" w:hAnsi="Arial Narrow"/>
          <w:sz w:val="18"/>
          <w:szCs w:val="18"/>
        </w:rPr>
        <w:t xml:space="preserve"> to use as the last step of linked evidence. If these subgroups are not available, then the evaluation should provide evidence of the effectiveness and safety of endocrine therapy plus chemotherapy versus endocrine therapy alone in the broader intermediate risk population. </w:t>
      </w:r>
    </w:p>
    <w:p w14:paraId="56118B45" w14:textId="784DB095" w:rsidR="0042678B" w:rsidRPr="009D6948" w:rsidRDefault="0042678B" w:rsidP="0042678B">
      <w:pPr>
        <w:rPr>
          <w:rFonts w:ascii="Arial Narrow" w:hAnsi="Arial Narrow"/>
          <w:sz w:val="18"/>
          <w:szCs w:val="18"/>
        </w:rPr>
      </w:pPr>
      <w:r>
        <w:rPr>
          <w:rFonts w:ascii="Arial Narrow" w:hAnsi="Arial Narrow"/>
          <w:sz w:val="18"/>
          <w:szCs w:val="18"/>
        </w:rPr>
        <w:t xml:space="preserve">*Intermediate risk is defined as </w:t>
      </w:r>
      <w:r w:rsidR="00721825">
        <w:rPr>
          <w:rFonts w:ascii="Arial Narrow" w:hAnsi="Arial Narrow"/>
          <w:sz w:val="18"/>
          <w:szCs w:val="18"/>
        </w:rPr>
        <w:t>tumour size ≥ 2cm</w:t>
      </w:r>
      <w:r w:rsidR="002B0852" w:rsidRPr="002B0852">
        <w:rPr>
          <w:rFonts w:ascii="Arial Narrow" w:hAnsi="Arial Narrow"/>
          <w:sz w:val="18"/>
          <w:szCs w:val="18"/>
        </w:rPr>
        <w:t>; or Grade 2; or one to three lymph nodes involved in metastatic disease (nodes include micrometastases but not isolated tumour cells)</w:t>
      </w:r>
      <w:r>
        <w:rPr>
          <w:rFonts w:ascii="Arial Narrow" w:hAnsi="Arial Narrow"/>
          <w:sz w:val="18"/>
          <w:szCs w:val="18"/>
        </w:rPr>
        <w:t>.</w:t>
      </w:r>
      <w:r w:rsidR="003E3232">
        <w:rPr>
          <w:rFonts w:ascii="Arial Narrow" w:hAnsi="Arial Narrow"/>
          <w:sz w:val="18"/>
          <w:szCs w:val="18"/>
        </w:rPr>
        <w:t xml:space="preserve"> Maximum tumour size for intermediate risk group to be determined by sub-group analysis.</w:t>
      </w:r>
    </w:p>
    <w:p w14:paraId="7A18C82E" w14:textId="77777777" w:rsidR="00042C60" w:rsidRPr="00E12B34" w:rsidRDefault="00042C60" w:rsidP="00813CA8">
      <w:pPr>
        <w:spacing w:after="0"/>
        <w:rPr>
          <w:i/>
          <w:u w:val="single"/>
        </w:rPr>
      </w:pPr>
      <w:r w:rsidRPr="00DF1ACE">
        <w:rPr>
          <w:rStyle w:val="SubtitleChar"/>
        </w:rPr>
        <w:t>Analytic validity</w:t>
      </w:r>
      <w:r w:rsidR="007C7B4D" w:rsidRPr="00912D07">
        <w:t xml:space="preserve"> </w:t>
      </w:r>
      <w:r w:rsidR="007C7B4D" w:rsidRPr="00E12B34">
        <w:rPr>
          <w:i/>
        </w:rPr>
        <w:t>(</w:t>
      </w:r>
      <w:r w:rsidR="00F52461" w:rsidRPr="00E12B34">
        <w:rPr>
          <w:i/>
        </w:rPr>
        <w:t>reliability</w:t>
      </w:r>
      <w:r w:rsidR="00964DBA" w:rsidRPr="00E12B34">
        <w:rPr>
          <w:i/>
        </w:rPr>
        <w:t xml:space="preserve"> of testing within and between laboratories, protocols, operators and instruments</w:t>
      </w:r>
      <w:r w:rsidR="007C7B4D" w:rsidRPr="00E12B34">
        <w:rPr>
          <w:i/>
        </w:rPr>
        <w:t>)</w:t>
      </w:r>
    </w:p>
    <w:p w14:paraId="23C47F0E" w14:textId="77777777" w:rsidR="00F52461" w:rsidRPr="00D93ADB" w:rsidRDefault="00B53DA2" w:rsidP="00B53DA2">
      <w:pPr>
        <w:spacing w:after="0"/>
      </w:pPr>
      <w:r w:rsidRPr="00D93ADB">
        <w:t xml:space="preserve">What is the analytic validity of </w:t>
      </w:r>
      <w:proofErr w:type="spellStart"/>
      <w:r w:rsidRPr="00D93ADB">
        <w:t>EndoPredict</w:t>
      </w:r>
      <w:proofErr w:type="spellEnd"/>
      <w:r w:rsidRPr="00D93ADB">
        <w:t>® (</w:t>
      </w:r>
      <w:proofErr w:type="spellStart"/>
      <w:r w:rsidRPr="00D93ADB">
        <w:t>EPclin</w:t>
      </w:r>
      <w:proofErr w:type="spellEnd"/>
      <w:r w:rsidRPr="00D93ADB">
        <w:t xml:space="preserve"> Score) for</w:t>
      </w:r>
      <w:r w:rsidRPr="004054B4">
        <w:t xml:space="preserve"> </w:t>
      </w:r>
      <w:r w:rsidR="00BB0841">
        <w:t>the</w:t>
      </w:r>
      <w:r w:rsidR="00BB0841" w:rsidRPr="00D93ADB">
        <w:t xml:space="preserve"> </w:t>
      </w:r>
      <w:r w:rsidRPr="00D93ADB">
        <w:t>assessment of prognosis of distant recurrence and metastases in ER+ve, HER2-ve primary breast cancer patients at intermediate risk?</w:t>
      </w:r>
    </w:p>
    <w:p w14:paraId="444AF6C1" w14:textId="77777777" w:rsidR="00B53DA2" w:rsidRPr="00D93ADB" w:rsidRDefault="00B53DA2" w:rsidP="00813CA8">
      <w:pPr>
        <w:spacing w:after="0"/>
      </w:pPr>
    </w:p>
    <w:p w14:paraId="0AE92C93" w14:textId="6FA8D814" w:rsidR="00CF1FDE" w:rsidRPr="004054B4" w:rsidRDefault="00813CA8" w:rsidP="00813CA8">
      <w:pPr>
        <w:spacing w:after="0"/>
      </w:pPr>
      <w:r w:rsidRPr="00D93ADB">
        <w:t xml:space="preserve">What </w:t>
      </w:r>
      <w:r w:rsidRPr="004054B4">
        <w:t xml:space="preserve">is the analytic validity of </w:t>
      </w:r>
      <w:proofErr w:type="spellStart"/>
      <w:r w:rsidRPr="00D93ADB">
        <w:t>EndoPredict</w:t>
      </w:r>
      <w:proofErr w:type="spellEnd"/>
      <w:r w:rsidRPr="00D93ADB">
        <w:t>® (</w:t>
      </w:r>
      <w:proofErr w:type="spellStart"/>
      <w:r w:rsidRPr="00D93ADB">
        <w:t>EPclin</w:t>
      </w:r>
      <w:proofErr w:type="spellEnd"/>
      <w:r w:rsidRPr="00D93ADB">
        <w:t xml:space="preserve"> Score) </w:t>
      </w:r>
      <w:r w:rsidR="001D3CDC" w:rsidRPr="004054B4">
        <w:t xml:space="preserve">compared with </w:t>
      </w:r>
      <w:proofErr w:type="spellStart"/>
      <w:r w:rsidR="002B7C2F" w:rsidRPr="004054B4">
        <w:t>MammaPrint</w:t>
      </w:r>
      <w:proofErr w:type="spellEnd"/>
      <w:r w:rsidR="001D3CDC" w:rsidRPr="004054B4">
        <w:t xml:space="preserve">® or </w:t>
      </w:r>
      <w:proofErr w:type="spellStart"/>
      <w:r w:rsidR="001D3CDC" w:rsidRPr="004054B4">
        <w:t>OncotypeDX</w:t>
      </w:r>
      <w:proofErr w:type="spellEnd"/>
      <w:r w:rsidR="001D3CDC" w:rsidRPr="004054B4">
        <w:t xml:space="preserve">® </w:t>
      </w:r>
      <w:r w:rsidRPr="004054B4">
        <w:t>for</w:t>
      </w:r>
      <w:r w:rsidR="00BB0841">
        <w:t xml:space="preserve"> the</w:t>
      </w:r>
      <w:r w:rsidRPr="004054B4">
        <w:t xml:space="preserve"> assessment of prognosis of distant recurrence and metastases in</w:t>
      </w:r>
      <w:r w:rsidRPr="00D93ADB">
        <w:t xml:space="preserve"> ER+ve, HER2-ve primary breast cancer patients </w:t>
      </w:r>
      <w:r w:rsidRPr="004054B4">
        <w:t>at intermediate risk?</w:t>
      </w:r>
      <w:r w:rsidR="007C7B4D" w:rsidRPr="004054B4">
        <w:t xml:space="preserve"> </w:t>
      </w:r>
      <w:r w:rsidR="007C7B4D" w:rsidRPr="002C06E9">
        <w:rPr>
          <w:i/>
        </w:rPr>
        <w:t>(</w:t>
      </w:r>
      <w:r w:rsidR="00C61073" w:rsidRPr="002C06E9">
        <w:rPr>
          <w:i/>
        </w:rPr>
        <w:t>If data are available)</w:t>
      </w:r>
    </w:p>
    <w:p w14:paraId="2E5FAA71" w14:textId="77777777" w:rsidR="00042C60" w:rsidRPr="004054B4" w:rsidRDefault="00042C60" w:rsidP="00813CA8">
      <w:pPr>
        <w:spacing w:after="0"/>
      </w:pPr>
    </w:p>
    <w:p w14:paraId="271A7CE1" w14:textId="3D7B3CE0" w:rsidR="00813CA8" w:rsidRPr="00D93ADB" w:rsidRDefault="00042C60" w:rsidP="00D93ADB">
      <w:pPr>
        <w:spacing w:after="0"/>
      </w:pPr>
      <w:r w:rsidRPr="00DF1ACE">
        <w:rPr>
          <w:rStyle w:val="SubtitleChar"/>
        </w:rPr>
        <w:t>Prognostic accuracy</w:t>
      </w:r>
      <w:r w:rsidR="00931028">
        <w:t xml:space="preserve"> </w:t>
      </w:r>
      <w:r w:rsidR="001D3CDC" w:rsidRPr="00E12B34">
        <w:rPr>
          <w:i/>
        </w:rPr>
        <w:br/>
      </w:r>
      <w:r w:rsidR="00813CA8" w:rsidRPr="004054B4">
        <w:t>What is the</w:t>
      </w:r>
      <w:r w:rsidR="005C0DEE">
        <w:t xml:space="preserve"> incremental </w:t>
      </w:r>
      <w:r w:rsidR="00813CA8" w:rsidRPr="004054B4">
        <w:t xml:space="preserve">prognostic accuracy of </w:t>
      </w:r>
      <w:proofErr w:type="spellStart"/>
      <w:r w:rsidR="00813CA8" w:rsidRPr="004054B4">
        <w:t>EndoPredict</w:t>
      </w:r>
      <w:proofErr w:type="spellEnd"/>
      <w:r w:rsidR="00813CA8" w:rsidRPr="004054B4">
        <w:t>®</w:t>
      </w:r>
      <w:r w:rsidR="00813CA8" w:rsidRPr="00D93ADB">
        <w:t xml:space="preserve"> in conjunction with current </w:t>
      </w:r>
      <w:r w:rsidR="00813CA8" w:rsidRPr="004054B4">
        <w:t>clinical practice compared with current clinical practice alone in ER+ve, HER2-ve primary breast cancer patients at intermediate risk who have under gone surgical tumour removal</w:t>
      </w:r>
      <w:r w:rsidR="00813CA8" w:rsidRPr="00D93ADB">
        <w:t>?</w:t>
      </w:r>
    </w:p>
    <w:p w14:paraId="28E29456" w14:textId="77777777" w:rsidR="00E17097" w:rsidRPr="004054B4" w:rsidRDefault="00E17097" w:rsidP="00813CA8">
      <w:pPr>
        <w:spacing w:after="0"/>
      </w:pPr>
    </w:p>
    <w:p w14:paraId="17617C24" w14:textId="11288923" w:rsidR="001D3CDC" w:rsidRPr="004054B4" w:rsidRDefault="001D3CDC" w:rsidP="00813CA8">
      <w:pPr>
        <w:spacing w:after="0"/>
      </w:pPr>
      <w:r w:rsidRPr="004054B4">
        <w:t>What is the</w:t>
      </w:r>
      <w:r w:rsidR="005C0DEE">
        <w:t xml:space="preserve"> </w:t>
      </w:r>
      <w:r w:rsidR="00CA4C7F">
        <w:t>incremental</w:t>
      </w:r>
      <w:r w:rsidRPr="004054B4">
        <w:t xml:space="preserve"> </w:t>
      </w:r>
      <w:r w:rsidR="00931028">
        <w:t>prognostic accuracy</w:t>
      </w:r>
      <w:r w:rsidR="00007DD4" w:rsidRPr="004054B4">
        <w:t xml:space="preserve"> of</w:t>
      </w:r>
      <w:r w:rsidRPr="004054B4">
        <w:t xml:space="preserve"> </w:t>
      </w:r>
      <w:proofErr w:type="spellStart"/>
      <w:r w:rsidRPr="004054B4">
        <w:t>EndoPredict</w:t>
      </w:r>
      <w:proofErr w:type="spellEnd"/>
      <w:r w:rsidRPr="004054B4">
        <w:t xml:space="preserve">® in conjunction with current clinical practice compared </w:t>
      </w:r>
      <w:r w:rsidR="00EB5222" w:rsidRPr="004054B4">
        <w:t xml:space="preserve">with international clinical guidelines </w:t>
      </w:r>
      <w:r w:rsidR="00007DD4" w:rsidRPr="004054B4">
        <w:t>(</w:t>
      </w:r>
      <w:r w:rsidR="00EB5222" w:rsidRPr="004054B4">
        <w:t xml:space="preserve">NCCN, St </w:t>
      </w:r>
      <w:proofErr w:type="spellStart"/>
      <w:r w:rsidR="00EB5222" w:rsidRPr="004054B4">
        <w:t>Gallen</w:t>
      </w:r>
      <w:proofErr w:type="spellEnd"/>
      <w:r w:rsidR="00007DD4" w:rsidRPr="004054B4">
        <w:t>,</w:t>
      </w:r>
      <w:r w:rsidR="00EB5222" w:rsidRPr="004054B4">
        <w:t xml:space="preserve"> German S3</w:t>
      </w:r>
      <w:r w:rsidR="00007DD4" w:rsidRPr="004054B4">
        <w:t>)</w:t>
      </w:r>
      <w:r w:rsidR="00EB5222" w:rsidRPr="004054B4">
        <w:t xml:space="preserve"> in ER+ve, HER2-ve primary breast cancer patients at intermediate risk who have undergone surgical tumour removal?</w:t>
      </w:r>
    </w:p>
    <w:p w14:paraId="11E41CD7" w14:textId="77777777" w:rsidR="00E17097" w:rsidRPr="004054B4" w:rsidRDefault="00E17097" w:rsidP="00042C60">
      <w:pPr>
        <w:spacing w:after="0"/>
      </w:pPr>
    </w:p>
    <w:p w14:paraId="77331A93" w14:textId="141B9D6C" w:rsidR="00042C60" w:rsidRDefault="00042C60" w:rsidP="00042C60">
      <w:pPr>
        <w:spacing w:after="0"/>
      </w:pPr>
      <w:r w:rsidRPr="004054B4">
        <w:t>What is the</w:t>
      </w:r>
      <w:r w:rsidR="005C0DEE">
        <w:t xml:space="preserve"> comparative</w:t>
      </w:r>
      <w:r w:rsidRPr="004054B4">
        <w:t xml:space="preserve"> </w:t>
      </w:r>
      <w:r w:rsidR="00931028">
        <w:t>prognostic accuracy</w:t>
      </w:r>
      <w:r w:rsidR="00007DD4" w:rsidRPr="004054B4">
        <w:t xml:space="preserve"> of</w:t>
      </w:r>
      <w:r w:rsidRPr="004054B4">
        <w:t xml:space="preserve"> </w:t>
      </w:r>
      <w:proofErr w:type="spellStart"/>
      <w:r w:rsidRPr="004054B4">
        <w:t>EndoPredict</w:t>
      </w:r>
      <w:proofErr w:type="spellEnd"/>
      <w:r w:rsidRPr="004054B4">
        <w:t xml:space="preserve">® in conjunction with current clinical practice compared with the prognostic tools </w:t>
      </w:r>
      <w:proofErr w:type="spellStart"/>
      <w:r w:rsidRPr="004054B4">
        <w:t>MammaPrint</w:t>
      </w:r>
      <w:proofErr w:type="spellEnd"/>
      <w:r w:rsidRPr="004054B4">
        <w:t xml:space="preserve">® and </w:t>
      </w:r>
      <w:proofErr w:type="spellStart"/>
      <w:r w:rsidRPr="004054B4">
        <w:t>OncotypeDX</w:t>
      </w:r>
      <w:proofErr w:type="spellEnd"/>
      <w:r w:rsidRPr="004054B4">
        <w:t>® in ER+ve, HER2-ve primary breast cancer patients at intermediate risk who have undergone surgical tumour removal?</w:t>
      </w:r>
    </w:p>
    <w:p w14:paraId="7E8F7BA0" w14:textId="77777777" w:rsidR="00F52461" w:rsidRPr="004054B4" w:rsidRDefault="00F52461" w:rsidP="00042C60">
      <w:pPr>
        <w:spacing w:after="0"/>
      </w:pPr>
    </w:p>
    <w:p w14:paraId="4BF2FC42" w14:textId="77777777" w:rsidR="00042C60" w:rsidRPr="00DF1ACE" w:rsidRDefault="00042C60" w:rsidP="00813CA8">
      <w:pPr>
        <w:spacing w:after="0"/>
      </w:pPr>
    </w:p>
    <w:p w14:paraId="43C45D72" w14:textId="43FAD551" w:rsidR="00E17097" w:rsidRPr="00DF1ACE" w:rsidRDefault="00355630" w:rsidP="00E12B34">
      <w:pPr>
        <w:keepNext/>
        <w:spacing w:after="0"/>
        <w:rPr>
          <w:u w:val="single"/>
        </w:rPr>
      </w:pPr>
      <w:r>
        <w:rPr>
          <w:rStyle w:val="SubtitleChar"/>
        </w:rPr>
        <w:t>Thera</w:t>
      </w:r>
      <w:r w:rsidR="002A5663">
        <w:rPr>
          <w:rStyle w:val="SubtitleChar"/>
        </w:rPr>
        <w:t>p</w:t>
      </w:r>
      <w:r>
        <w:rPr>
          <w:rStyle w:val="SubtitleChar"/>
        </w:rPr>
        <w:t>eutic efficacy</w:t>
      </w:r>
    </w:p>
    <w:p w14:paraId="5F41C6B6" w14:textId="77777777" w:rsidR="00E17097" w:rsidRPr="00DF1ACE" w:rsidRDefault="00E17097" w:rsidP="00E12B34">
      <w:pPr>
        <w:keepNext/>
        <w:spacing w:after="0"/>
      </w:pPr>
      <w:r w:rsidRPr="00DF1ACE">
        <w:t xml:space="preserve">What is the proportion of ER+ve, HER2-ve primary breast cancer patients at intermediate risk referred for adjuvant chemotherapy combined with endocrine therapy and endocrine therapy alone using </w:t>
      </w:r>
      <w:proofErr w:type="spellStart"/>
      <w:r w:rsidRPr="00DF1ACE">
        <w:t>EndoPredict</w:t>
      </w:r>
      <w:proofErr w:type="spellEnd"/>
      <w:r w:rsidRPr="00DF1ACE">
        <w:t>® in conjunction with current clinical practice compared with current clinical practice alone?</w:t>
      </w:r>
    </w:p>
    <w:p w14:paraId="79712E52" w14:textId="77777777" w:rsidR="00E17097" w:rsidRPr="00DF1ACE" w:rsidRDefault="00E17097" w:rsidP="00E17097">
      <w:pPr>
        <w:spacing w:after="0"/>
      </w:pPr>
    </w:p>
    <w:p w14:paraId="060B09D0" w14:textId="77777777" w:rsidR="00E17097" w:rsidRPr="00DF1ACE" w:rsidRDefault="00E17097" w:rsidP="00E17097">
      <w:pPr>
        <w:spacing w:after="0"/>
      </w:pPr>
      <w:r w:rsidRPr="00DF1ACE">
        <w:t xml:space="preserve">What is the proportion of ER+ve, HER2-ve primary breast cancer patients at intermediate risk referred for adjuvant chemotherapy combined with endocrine therapy and endocrine therapy alone using </w:t>
      </w:r>
      <w:proofErr w:type="spellStart"/>
      <w:r w:rsidRPr="00DF1ACE">
        <w:t>EndoPredict</w:t>
      </w:r>
      <w:proofErr w:type="spellEnd"/>
      <w:r w:rsidRPr="00DF1ACE">
        <w:t xml:space="preserve">® in conjunction with current clinical practice compared with international guidelines (NCCN, St </w:t>
      </w:r>
      <w:proofErr w:type="spellStart"/>
      <w:r w:rsidRPr="00DF1ACE">
        <w:t>Gallen</w:t>
      </w:r>
      <w:proofErr w:type="spellEnd"/>
      <w:r w:rsidRPr="00DF1ACE">
        <w:t>, German S3)?</w:t>
      </w:r>
    </w:p>
    <w:p w14:paraId="70841427" w14:textId="77777777" w:rsidR="00E17097" w:rsidRPr="00DF1ACE" w:rsidRDefault="00E17097" w:rsidP="00E17097">
      <w:pPr>
        <w:spacing w:after="0"/>
      </w:pPr>
    </w:p>
    <w:p w14:paraId="160600BA" w14:textId="77777777" w:rsidR="00E17097" w:rsidRPr="00DF1ACE" w:rsidRDefault="00E17097" w:rsidP="00E17097">
      <w:pPr>
        <w:spacing w:after="0"/>
      </w:pPr>
      <w:r w:rsidRPr="00DF1ACE">
        <w:t xml:space="preserve">What is the proportion of ER+ve, HER2-ve primary breast cancer patients at intermediate risk referred for adjuvant chemotherapy </w:t>
      </w:r>
      <w:r w:rsidR="00BD5F28" w:rsidRPr="00DF1ACE">
        <w:t>combined with endocrine therapy and</w:t>
      </w:r>
      <w:r w:rsidRPr="00DF1ACE">
        <w:t xml:space="preserve"> endocrine therapy alone using </w:t>
      </w:r>
      <w:proofErr w:type="spellStart"/>
      <w:r w:rsidRPr="00DF1ACE">
        <w:t>EndoPredict</w:t>
      </w:r>
      <w:proofErr w:type="spellEnd"/>
      <w:r w:rsidRPr="00DF1ACE">
        <w:t xml:space="preserve">® in conjunction with current clinical practice compared with prognostic tools </w:t>
      </w:r>
      <w:proofErr w:type="spellStart"/>
      <w:r w:rsidRPr="00DF1ACE">
        <w:t>MammaPrint</w:t>
      </w:r>
      <w:proofErr w:type="spellEnd"/>
      <w:r w:rsidRPr="00DF1ACE">
        <w:t xml:space="preserve">® and </w:t>
      </w:r>
      <w:proofErr w:type="spellStart"/>
      <w:r w:rsidRPr="00DF1ACE">
        <w:t>OncotypeDX</w:t>
      </w:r>
      <w:proofErr w:type="spellEnd"/>
      <w:r w:rsidRPr="00DF1ACE">
        <w:t>®?</w:t>
      </w:r>
    </w:p>
    <w:p w14:paraId="7F568A0D" w14:textId="77777777" w:rsidR="00E17097" w:rsidRPr="00DF1ACE" w:rsidRDefault="00E17097" w:rsidP="00813CA8">
      <w:pPr>
        <w:spacing w:after="0"/>
      </w:pPr>
    </w:p>
    <w:p w14:paraId="35FB148D" w14:textId="24A841ED" w:rsidR="00BD5F28" w:rsidRPr="00E12B34" w:rsidRDefault="00BD5F28" w:rsidP="00E12B34">
      <w:pPr>
        <w:pStyle w:val="Subtitle"/>
        <w:spacing w:after="0"/>
      </w:pPr>
      <w:r w:rsidRPr="00E12B34">
        <w:t>Therapeutic effectiveness</w:t>
      </w:r>
    </w:p>
    <w:p w14:paraId="7C503A90" w14:textId="146E9F54" w:rsidR="00505593" w:rsidRDefault="00BD5F28" w:rsidP="00C37121">
      <w:r w:rsidRPr="00DF1ACE">
        <w:t xml:space="preserve">What is the </w:t>
      </w:r>
      <w:r w:rsidR="00964DBA" w:rsidRPr="00DF1ACE">
        <w:t xml:space="preserve">safety and </w:t>
      </w:r>
      <w:r w:rsidRPr="00DF1ACE">
        <w:t xml:space="preserve">effectiveness of endocrine therapy alone compared with </w:t>
      </w:r>
      <w:r w:rsidR="0008769C">
        <w:t xml:space="preserve">chemotherapy combined with endocrine therapy </w:t>
      </w:r>
      <w:r w:rsidRPr="00DF1ACE">
        <w:t>in ER+ve, HER2-ve primary breast cancer patients at intermediate risk</w:t>
      </w:r>
      <w:r w:rsidR="003E440D">
        <w:t xml:space="preserve">, who would be classified as low risk by </w:t>
      </w:r>
      <w:proofErr w:type="spellStart"/>
      <w:r w:rsidR="003E440D">
        <w:t>EndoPredict</w:t>
      </w:r>
      <w:proofErr w:type="spellEnd"/>
      <w:r w:rsidR="003E440D">
        <w:t>®</w:t>
      </w:r>
      <w:r w:rsidR="00195E57">
        <w:t xml:space="preserve">, but would receive chemotherapy </w:t>
      </w:r>
      <w:r w:rsidR="00474B28">
        <w:t xml:space="preserve">combined with endocrine therapy  when assessed </w:t>
      </w:r>
      <w:r w:rsidR="00195E57">
        <w:t>by current clinical practice</w:t>
      </w:r>
      <w:r w:rsidRPr="00DF1ACE">
        <w:t>?</w:t>
      </w:r>
      <w:r w:rsidR="00DF0015">
        <w:t xml:space="preserve"> </w:t>
      </w:r>
    </w:p>
    <w:p w14:paraId="266B993D" w14:textId="1FBD5754" w:rsidR="00195E57" w:rsidRDefault="00195E57" w:rsidP="00C37121">
      <w:r>
        <w:t xml:space="preserve">What is the safety and effectiveness of endocrine therapy plus chemotherapy compared with endocrine therapy alone in ER+ve, HER2-ve primary breast cancer patients at intermediate risk, </w:t>
      </w:r>
      <w:r w:rsidR="00474B28">
        <w:t xml:space="preserve">who would be classified as high risk by </w:t>
      </w:r>
      <w:proofErr w:type="spellStart"/>
      <w:r w:rsidR="00474B28">
        <w:t>EndoPredict</w:t>
      </w:r>
      <w:proofErr w:type="spellEnd"/>
      <w:r w:rsidR="00474B28">
        <w:t>®, but would receive endoc</w:t>
      </w:r>
      <w:r w:rsidR="00E05F08">
        <w:t>rine therapy alone when assessed by current clinical practice?</w:t>
      </w:r>
    </w:p>
    <w:p w14:paraId="3183727D" w14:textId="38515643" w:rsidR="00B014CB" w:rsidRDefault="000D3C9B" w:rsidP="00813CA8">
      <w:pPr>
        <w:spacing w:after="0"/>
        <w:rPr>
          <w:noProof/>
        </w:rPr>
      </w:pPr>
      <w:r>
        <w:rPr>
          <w:noProof/>
        </w:rPr>
        <w:t xml:space="preserve">If there is no </w:t>
      </w:r>
      <w:r w:rsidR="00210CE3">
        <w:rPr>
          <w:noProof/>
        </w:rPr>
        <w:t xml:space="preserve">evidence specifically </w:t>
      </w:r>
      <w:r>
        <w:rPr>
          <w:noProof/>
        </w:rPr>
        <w:t>in</w:t>
      </w:r>
      <w:r w:rsidR="00210CE3">
        <w:rPr>
          <w:noProof/>
        </w:rPr>
        <w:t xml:space="preserve"> these patients, then therapeutic effectiveness will</w:t>
      </w:r>
      <w:r w:rsidR="00210CE3" w:rsidRPr="00210CE3">
        <w:rPr>
          <w:noProof/>
        </w:rPr>
        <w:t xml:space="preserve"> have to be inferred from the evidence available about the clinical validity/prognostic accuracy of the EndoPredict versus other prognostic tools and the relative effectiveness of endocrine </w:t>
      </w:r>
      <w:r w:rsidR="00210CE3">
        <w:rPr>
          <w:noProof/>
        </w:rPr>
        <w:t xml:space="preserve"> therapy alone versus chemotherapy combined with </w:t>
      </w:r>
      <w:r w:rsidR="00210CE3" w:rsidRPr="00210CE3">
        <w:rPr>
          <w:noProof/>
        </w:rPr>
        <w:t>endocrine</w:t>
      </w:r>
      <w:r w:rsidR="00210CE3">
        <w:rPr>
          <w:noProof/>
        </w:rPr>
        <w:t xml:space="preserve"> therapy</w:t>
      </w:r>
      <w:r w:rsidR="006324DE">
        <w:rPr>
          <w:noProof/>
        </w:rPr>
        <w:t xml:space="preserve"> in a broader population of those at intermediate risk</w:t>
      </w:r>
      <w:r w:rsidR="00210CE3">
        <w:rPr>
          <w:noProof/>
        </w:rPr>
        <w:t>.</w:t>
      </w:r>
    </w:p>
    <w:p w14:paraId="23670B54" w14:textId="77777777" w:rsidR="00B014CB" w:rsidRDefault="00B014CB">
      <w:pPr>
        <w:rPr>
          <w:noProof/>
        </w:rPr>
      </w:pPr>
      <w:r>
        <w:rPr>
          <w:noProof/>
        </w:rPr>
        <w:br w:type="page"/>
      </w:r>
    </w:p>
    <w:p w14:paraId="14C3D865" w14:textId="77777777" w:rsidR="00355630" w:rsidRDefault="00355630" w:rsidP="00813CA8">
      <w:pPr>
        <w:spacing w:after="0"/>
      </w:pPr>
    </w:p>
    <w:p w14:paraId="72F65EEE" w14:textId="77777777" w:rsidR="00210CE3" w:rsidRDefault="00210CE3" w:rsidP="00813CA8">
      <w:pPr>
        <w:spacing w:after="0"/>
        <w:rPr>
          <w:i/>
        </w:rPr>
      </w:pPr>
    </w:p>
    <w:p w14:paraId="33D40F26" w14:textId="77777777" w:rsidR="00BC4EFE" w:rsidRPr="00BC4EFE" w:rsidRDefault="00BC4EFE" w:rsidP="00005108">
      <w:pPr>
        <w:pStyle w:val="Heading1"/>
      </w:pPr>
      <w:r w:rsidRPr="00BC4EFE">
        <w:t>Healthcare resources</w:t>
      </w:r>
    </w:p>
    <w:p w14:paraId="20119467" w14:textId="294CA1EE" w:rsidR="00C16F43" w:rsidRDefault="000F59A6" w:rsidP="00BC4EFE">
      <w:r>
        <w:t xml:space="preserve">The proposed test would be used in addition to current clinical practice for disease prognosis. There would be no impact on patients with regards to conducting the test as no additional sampling or attendance with a clinician would be required. There would be costs associated with purchasing the </w:t>
      </w:r>
      <w:proofErr w:type="spellStart"/>
      <w:r w:rsidR="00B923E9">
        <w:t>EndoPredict</w:t>
      </w:r>
      <w:proofErr w:type="spellEnd"/>
      <w:r w:rsidR="00B923E9">
        <w:t xml:space="preserve">® </w:t>
      </w:r>
      <w:r>
        <w:t xml:space="preserve">Kit and the </w:t>
      </w:r>
      <w:r w:rsidR="002B0852">
        <w:t>RT-qPCR</w:t>
      </w:r>
      <w:r>
        <w:t xml:space="preserve"> module needed, for pathology laboratories providing the service. </w:t>
      </w:r>
      <w:r w:rsidR="0018393E">
        <w:t xml:space="preserve">The cost of these components would not be charged separately but would be covered by the service fee. </w:t>
      </w:r>
      <w:r>
        <w:t xml:space="preserve">There may also be costs associated with training molecular </w:t>
      </w:r>
      <w:r w:rsidR="00F839D6">
        <w:t xml:space="preserve">laboratory staff </w:t>
      </w:r>
      <w:r>
        <w:t xml:space="preserve">to use the test and to interpret the results. </w:t>
      </w:r>
      <w:r w:rsidR="001E54E4">
        <w:t xml:space="preserve">In the scenario where a patient consults a private clinician the test is likely to be conducted within private pathology laboratories. </w:t>
      </w:r>
      <w:r>
        <w:t xml:space="preserve">Pathology laboratories may claim reimbursement directly from patients, or through </w:t>
      </w:r>
      <w:r w:rsidR="00F839D6">
        <w:t>MBS</w:t>
      </w:r>
      <w:r>
        <w:t xml:space="preserve"> funding should the test be approved, or through a combination of both sources.</w:t>
      </w:r>
      <w:r w:rsidR="00F839D6">
        <w:t xml:space="preserve"> </w:t>
      </w:r>
    </w:p>
    <w:p w14:paraId="5D7708D6" w14:textId="77777777" w:rsidR="006D4385" w:rsidRDefault="00F839D6" w:rsidP="00BC4EFE">
      <w:r w:rsidRPr="006D4385">
        <w:t xml:space="preserve">Should the test be conducted on patients attending a public hospital outpatient clinic, the costs may be covered by public hospital funds. </w:t>
      </w:r>
    </w:p>
    <w:p w14:paraId="3A9AD647" w14:textId="77777777" w:rsidR="00F839D6" w:rsidRDefault="00F839D6" w:rsidP="00BC4EFE">
      <w:r>
        <w:t xml:space="preserve">Should the proposed test prove to be more accurate than current clinical practice alone, there may be a reduction in patients receiving chemotherapy, which could result in a cost saving, as chemotherapy is a more expensive treatment option than endocrine therapy. </w:t>
      </w:r>
    </w:p>
    <w:p w14:paraId="611B4825" w14:textId="681838B5" w:rsidR="00921571" w:rsidDel="00526BFA" w:rsidRDefault="00921571" w:rsidP="00A0199F">
      <w:r w:rsidDel="00526BFA">
        <w:t>It is expected that under the proposed new service</w:t>
      </w:r>
      <w:r w:rsidR="00E57B5C" w:rsidRPr="00E57B5C" w:rsidDel="00526BFA">
        <w:t xml:space="preserve"> more patients </w:t>
      </w:r>
      <w:r w:rsidDel="00526BFA">
        <w:t>will be</w:t>
      </w:r>
      <w:r w:rsidR="00E57B5C" w:rsidRPr="00E57B5C" w:rsidDel="00526BFA">
        <w:t xml:space="preserve"> classified as low-risk compared to the current treatment pathway</w:t>
      </w:r>
      <w:r w:rsidDel="00526BFA">
        <w:t>. If that is the case</w:t>
      </w:r>
      <w:r w:rsidR="00E57B5C" w:rsidRPr="00E57B5C" w:rsidDel="00526BFA">
        <w:t xml:space="preserve"> </w:t>
      </w:r>
      <w:r w:rsidR="00C1737C">
        <w:t>and</w:t>
      </w:r>
      <w:r w:rsidR="00E57B5C" w:rsidRPr="00E57B5C" w:rsidDel="00526BFA">
        <w:t xml:space="preserve"> fewer patients </w:t>
      </w:r>
      <w:r w:rsidR="00C1737C">
        <w:t xml:space="preserve">are </w:t>
      </w:r>
      <w:r w:rsidR="00E57B5C" w:rsidRPr="00E57B5C" w:rsidDel="00526BFA">
        <w:t>treated with chemotherapy</w:t>
      </w:r>
      <w:r w:rsidDel="00526BFA">
        <w:t xml:space="preserve"> under the proposed service</w:t>
      </w:r>
      <w:r w:rsidR="00C1737C">
        <w:t xml:space="preserve">, it </w:t>
      </w:r>
      <w:r w:rsidR="00E57B5C" w:rsidRPr="00E57B5C" w:rsidDel="00526BFA">
        <w:t xml:space="preserve">would be expected to lead to a cost saving to Medicare, </w:t>
      </w:r>
      <w:r w:rsidR="00A0199F" w:rsidDel="00526BFA">
        <w:t>a</w:t>
      </w:r>
      <w:r w:rsidR="00A0199F" w:rsidRPr="00A0199F" w:rsidDel="00526BFA">
        <w:t xml:space="preserve">ssuming that the cost of the number of patients you need to test to save one person receiving chemotherapy is less than the </w:t>
      </w:r>
      <w:r w:rsidR="00A0199F" w:rsidDel="00526BFA">
        <w:t>fee for chemotherapy.</w:t>
      </w:r>
      <w:r w:rsidR="00A0199F" w:rsidRPr="00A0199F" w:rsidDel="00526BFA">
        <w:t xml:space="preserve"> </w:t>
      </w:r>
      <w:r w:rsidR="00867E6C" w:rsidDel="00526BFA">
        <w:t xml:space="preserve">The proportion of </w:t>
      </w:r>
      <w:r w:rsidDel="00526BFA">
        <w:t xml:space="preserve">breast cancer </w:t>
      </w:r>
      <w:r w:rsidR="00867E6C" w:rsidDel="00526BFA">
        <w:t xml:space="preserve">patients </w:t>
      </w:r>
      <w:r w:rsidDel="00526BFA">
        <w:t xml:space="preserve">under the care of an oncologist in the private sector is not likely to be affected should the proposed service be funded through Medicare. If the new service is not approved, the cost would need to be borne by the patient should the oncologist </w:t>
      </w:r>
      <w:r w:rsidR="00EA2B17" w:rsidDel="00526BFA">
        <w:t>request</w:t>
      </w:r>
      <w:r w:rsidDel="00526BFA">
        <w:t xml:space="preserve"> </w:t>
      </w:r>
      <w:r w:rsidR="00EA2B17" w:rsidDel="00526BFA">
        <w:t>the service</w:t>
      </w:r>
      <w:r w:rsidDel="00526BFA">
        <w:t xml:space="preserve">. This </w:t>
      </w:r>
      <w:r w:rsidR="00EA2B17" w:rsidDel="00526BFA">
        <w:t xml:space="preserve">extra cost </w:t>
      </w:r>
      <w:r w:rsidDel="00526BFA">
        <w:t xml:space="preserve">may lead to a shift of patients to the public system. </w:t>
      </w:r>
    </w:p>
    <w:p w14:paraId="6EAB91EC" w14:textId="77777777" w:rsidR="00526BFA" w:rsidRPr="00D93ADB" w:rsidRDefault="00921571" w:rsidP="00D93ADB">
      <w:pPr>
        <w:keepNext/>
        <w:rPr>
          <w:b/>
        </w:rPr>
      </w:pPr>
      <w:r>
        <w:t xml:space="preserve">There may be some additional costs to the Pathology sector for training, </w:t>
      </w:r>
      <w:r w:rsidR="003B080C">
        <w:t xml:space="preserve">qualification </w:t>
      </w:r>
      <w:r>
        <w:t>and accreditation requirements</w:t>
      </w:r>
      <w:r w:rsidR="003B080C">
        <w:t>.</w:t>
      </w:r>
      <w:r w:rsidR="005C4CD5">
        <w:t xml:space="preserve"> </w:t>
      </w:r>
    </w:p>
    <w:p w14:paraId="24BAAA94" w14:textId="77777777" w:rsidR="00526BFA" w:rsidRDefault="00526BFA" w:rsidP="0028660C">
      <w:pPr>
        <w:keepNext/>
        <w:rPr>
          <w:b/>
        </w:rPr>
        <w:sectPr w:rsidR="00526BFA" w:rsidSect="0028660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18" w:header="708" w:footer="708" w:gutter="0"/>
          <w:cols w:space="708"/>
          <w:docGrid w:linePitch="360"/>
        </w:sectPr>
      </w:pPr>
    </w:p>
    <w:p w14:paraId="282EC75C" w14:textId="4EAA06FB" w:rsidR="004750DD" w:rsidRPr="00D415F1" w:rsidRDefault="00CE6281" w:rsidP="00CE6281">
      <w:pPr>
        <w:pStyle w:val="Caption"/>
      </w:pPr>
      <w:r>
        <w:lastRenderedPageBreak/>
        <w:t xml:space="preserve">Table </w:t>
      </w:r>
      <w:r>
        <w:fldChar w:fldCharType="begin"/>
      </w:r>
      <w:r>
        <w:instrText xml:space="preserve"> SEQ Table \* ARABIC </w:instrText>
      </w:r>
      <w:r>
        <w:fldChar w:fldCharType="separate"/>
      </w:r>
      <w:r w:rsidR="00FA6B07">
        <w:rPr>
          <w:noProof/>
        </w:rPr>
        <w:t>8</w:t>
      </w:r>
      <w:r>
        <w:fldChar w:fldCharType="end"/>
      </w:r>
      <w:r w:rsidR="004750DD" w:rsidRPr="00D415F1">
        <w:tab/>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Table 8 List of resources to be considered in the economic analysis"/>
      </w:tblPr>
      <w:tblGrid>
        <w:gridCol w:w="2472"/>
        <w:gridCol w:w="1284"/>
        <w:gridCol w:w="1284"/>
        <w:gridCol w:w="1085"/>
        <w:gridCol w:w="1480"/>
        <w:gridCol w:w="1048"/>
        <w:gridCol w:w="1048"/>
        <w:gridCol w:w="1180"/>
        <w:gridCol w:w="1048"/>
        <w:gridCol w:w="1048"/>
        <w:gridCol w:w="1037"/>
      </w:tblGrid>
      <w:tr w:rsidR="007A0DFF" w:rsidRPr="00A543B0" w14:paraId="713FE8D5" w14:textId="77777777" w:rsidTr="00F20C24">
        <w:trPr>
          <w:tblHeader/>
        </w:trPr>
        <w:tc>
          <w:tcPr>
            <w:tcW w:w="882" w:type="pct"/>
            <w:vMerge w:val="restart"/>
            <w:shd w:val="clear" w:color="auto" w:fill="auto"/>
          </w:tcPr>
          <w:p w14:paraId="25A2D4DD" w14:textId="77777777" w:rsidR="004750DD" w:rsidRPr="00D93ADB" w:rsidRDefault="004750DD" w:rsidP="0028660C">
            <w:pPr>
              <w:keepNext/>
              <w:spacing w:after="0" w:line="240" w:lineRule="auto"/>
              <w:rPr>
                <w:rFonts w:ascii="Arial Narrow" w:hAnsi="Arial Narrow"/>
                <w:b/>
                <w:sz w:val="20"/>
              </w:rPr>
            </w:pPr>
          </w:p>
        </w:tc>
        <w:tc>
          <w:tcPr>
            <w:tcW w:w="458" w:type="pct"/>
            <w:vMerge w:val="restart"/>
            <w:shd w:val="clear" w:color="auto" w:fill="E5B8B7" w:themeFill="accent2" w:themeFillTint="66"/>
            <w:vAlign w:val="center"/>
          </w:tcPr>
          <w:p w14:paraId="72CCDDDA" w14:textId="77777777" w:rsidR="004750DD" w:rsidRPr="00D93ADB" w:rsidRDefault="004750DD" w:rsidP="0028660C">
            <w:pPr>
              <w:keepNext/>
              <w:spacing w:after="0" w:line="240" w:lineRule="auto"/>
              <w:jc w:val="center"/>
              <w:rPr>
                <w:rFonts w:ascii="Arial Narrow" w:hAnsi="Arial Narrow"/>
                <w:b/>
                <w:sz w:val="20"/>
              </w:rPr>
            </w:pPr>
            <w:r w:rsidRPr="00D93ADB">
              <w:rPr>
                <w:rFonts w:ascii="Arial Narrow" w:hAnsi="Arial Narrow"/>
                <w:b/>
                <w:sz w:val="20"/>
              </w:rPr>
              <w:t>Provider of resource</w:t>
            </w:r>
          </w:p>
        </w:tc>
        <w:tc>
          <w:tcPr>
            <w:tcW w:w="458" w:type="pct"/>
            <w:vMerge w:val="restart"/>
            <w:shd w:val="clear" w:color="auto" w:fill="E5B8B7" w:themeFill="accent2" w:themeFillTint="66"/>
            <w:vAlign w:val="center"/>
          </w:tcPr>
          <w:p w14:paraId="3867DD8C" w14:textId="77777777" w:rsidR="004750DD" w:rsidRPr="00D93ADB" w:rsidRDefault="004750DD" w:rsidP="0028660C">
            <w:pPr>
              <w:keepNext/>
              <w:spacing w:after="0" w:line="240" w:lineRule="auto"/>
              <w:jc w:val="center"/>
              <w:rPr>
                <w:rFonts w:ascii="Arial Narrow" w:hAnsi="Arial Narrow"/>
                <w:b/>
                <w:sz w:val="20"/>
              </w:rPr>
            </w:pPr>
            <w:r w:rsidRPr="00D93ADB">
              <w:rPr>
                <w:rFonts w:ascii="Arial Narrow" w:hAnsi="Arial Narrow"/>
                <w:b/>
                <w:sz w:val="20"/>
              </w:rPr>
              <w:t>Setting in which resource is provided</w:t>
            </w:r>
          </w:p>
        </w:tc>
        <w:tc>
          <w:tcPr>
            <w:tcW w:w="387" w:type="pct"/>
            <w:vMerge w:val="restart"/>
            <w:shd w:val="clear" w:color="auto" w:fill="D6E3BC" w:themeFill="accent3" w:themeFillTint="66"/>
            <w:vAlign w:val="center"/>
          </w:tcPr>
          <w:p w14:paraId="03AB0653" w14:textId="77777777" w:rsidR="004750DD" w:rsidRPr="00D93ADB" w:rsidRDefault="004750DD" w:rsidP="0028660C">
            <w:pPr>
              <w:keepNext/>
              <w:spacing w:after="0" w:line="240" w:lineRule="auto"/>
              <w:jc w:val="center"/>
              <w:rPr>
                <w:rFonts w:ascii="Arial Narrow" w:hAnsi="Arial Narrow"/>
                <w:b/>
                <w:sz w:val="20"/>
              </w:rPr>
            </w:pPr>
            <w:r w:rsidRPr="00D93ADB">
              <w:rPr>
                <w:rFonts w:ascii="Arial Narrow" w:hAnsi="Arial Narrow"/>
                <w:b/>
                <w:sz w:val="20"/>
              </w:rPr>
              <w:t>Proportion of patients receiving resource</w:t>
            </w:r>
          </w:p>
        </w:tc>
        <w:tc>
          <w:tcPr>
            <w:tcW w:w="528" w:type="pct"/>
            <w:vMerge w:val="restart"/>
            <w:shd w:val="clear" w:color="auto" w:fill="D6E3BC" w:themeFill="accent3" w:themeFillTint="66"/>
            <w:vAlign w:val="center"/>
          </w:tcPr>
          <w:p w14:paraId="531E560C" w14:textId="77777777" w:rsidR="004750DD" w:rsidRPr="00D93ADB" w:rsidRDefault="004750DD" w:rsidP="0028660C">
            <w:pPr>
              <w:keepNext/>
              <w:spacing w:after="0" w:line="240" w:lineRule="auto"/>
              <w:jc w:val="center"/>
              <w:rPr>
                <w:rFonts w:ascii="Arial Narrow" w:hAnsi="Arial Narrow"/>
                <w:b/>
                <w:sz w:val="20"/>
              </w:rPr>
            </w:pPr>
            <w:r w:rsidRPr="00D93ADB">
              <w:rPr>
                <w:rFonts w:ascii="Arial Narrow" w:hAnsi="Arial Narrow"/>
                <w:b/>
                <w:sz w:val="20"/>
              </w:rPr>
              <w:t>Number of units of resource per relevant time horizon per patient receiving resource</w:t>
            </w:r>
          </w:p>
        </w:tc>
        <w:tc>
          <w:tcPr>
            <w:tcW w:w="2287" w:type="pct"/>
            <w:gridSpan w:val="6"/>
            <w:shd w:val="clear" w:color="auto" w:fill="FBD4B4" w:themeFill="accent6" w:themeFillTint="66"/>
          </w:tcPr>
          <w:p w14:paraId="4DD7F788" w14:textId="77777777" w:rsidR="004750DD" w:rsidRPr="00D93ADB" w:rsidRDefault="004750DD" w:rsidP="0028660C">
            <w:pPr>
              <w:keepNext/>
              <w:spacing w:before="120" w:after="120" w:line="240" w:lineRule="auto"/>
              <w:jc w:val="center"/>
              <w:rPr>
                <w:rFonts w:ascii="Arial Narrow" w:hAnsi="Arial Narrow"/>
                <w:b/>
                <w:sz w:val="20"/>
              </w:rPr>
            </w:pPr>
            <w:r w:rsidRPr="00D93ADB">
              <w:rPr>
                <w:rFonts w:ascii="Arial Narrow" w:hAnsi="Arial Narrow"/>
                <w:b/>
                <w:sz w:val="20"/>
              </w:rPr>
              <w:t>Disaggregated unit cost</w:t>
            </w:r>
          </w:p>
        </w:tc>
      </w:tr>
      <w:tr w:rsidR="007A0DFF" w:rsidRPr="00A543B0" w14:paraId="5AFD78D9" w14:textId="77777777" w:rsidTr="00F20C24">
        <w:trPr>
          <w:tblHeader/>
        </w:trPr>
        <w:tc>
          <w:tcPr>
            <w:tcW w:w="882" w:type="pct"/>
            <w:vMerge/>
            <w:shd w:val="clear" w:color="auto" w:fill="auto"/>
          </w:tcPr>
          <w:p w14:paraId="3BD417B5" w14:textId="77777777" w:rsidR="004750DD" w:rsidRPr="00D93ADB" w:rsidRDefault="004750DD" w:rsidP="004750DD">
            <w:pPr>
              <w:keepNext/>
              <w:spacing w:after="0" w:line="240" w:lineRule="auto"/>
              <w:rPr>
                <w:rFonts w:ascii="Arial Narrow" w:hAnsi="Arial Narrow"/>
                <w:sz w:val="20"/>
              </w:rPr>
            </w:pPr>
          </w:p>
        </w:tc>
        <w:tc>
          <w:tcPr>
            <w:tcW w:w="458" w:type="pct"/>
            <w:vMerge/>
            <w:shd w:val="clear" w:color="auto" w:fill="E5B8B7" w:themeFill="accent2" w:themeFillTint="66"/>
          </w:tcPr>
          <w:p w14:paraId="529E5CFC" w14:textId="77777777" w:rsidR="004750DD" w:rsidRPr="00D93ADB" w:rsidRDefault="004750DD" w:rsidP="004750DD">
            <w:pPr>
              <w:keepNext/>
              <w:spacing w:after="0" w:line="240" w:lineRule="auto"/>
              <w:jc w:val="center"/>
              <w:rPr>
                <w:rFonts w:ascii="Arial Narrow" w:hAnsi="Arial Narrow"/>
                <w:sz w:val="20"/>
              </w:rPr>
            </w:pPr>
          </w:p>
        </w:tc>
        <w:tc>
          <w:tcPr>
            <w:tcW w:w="458" w:type="pct"/>
            <w:vMerge/>
            <w:shd w:val="clear" w:color="auto" w:fill="E5B8B7" w:themeFill="accent2" w:themeFillTint="66"/>
          </w:tcPr>
          <w:p w14:paraId="20620E69" w14:textId="77777777" w:rsidR="004750DD" w:rsidRPr="00D93ADB" w:rsidRDefault="004750DD" w:rsidP="004750DD">
            <w:pPr>
              <w:keepNext/>
              <w:spacing w:after="0" w:line="240" w:lineRule="auto"/>
              <w:jc w:val="center"/>
              <w:rPr>
                <w:rFonts w:ascii="Arial Narrow" w:hAnsi="Arial Narrow"/>
                <w:sz w:val="20"/>
              </w:rPr>
            </w:pPr>
          </w:p>
        </w:tc>
        <w:tc>
          <w:tcPr>
            <w:tcW w:w="387" w:type="pct"/>
            <w:vMerge/>
            <w:shd w:val="clear" w:color="auto" w:fill="D6E3BC" w:themeFill="accent3" w:themeFillTint="66"/>
          </w:tcPr>
          <w:p w14:paraId="6CCF83F8" w14:textId="77777777" w:rsidR="004750DD" w:rsidRPr="00D93ADB" w:rsidRDefault="004750DD" w:rsidP="004750DD">
            <w:pPr>
              <w:keepNext/>
              <w:spacing w:after="0" w:line="240" w:lineRule="auto"/>
              <w:jc w:val="center"/>
              <w:rPr>
                <w:rFonts w:ascii="Arial Narrow" w:hAnsi="Arial Narrow"/>
                <w:sz w:val="20"/>
              </w:rPr>
            </w:pPr>
          </w:p>
        </w:tc>
        <w:tc>
          <w:tcPr>
            <w:tcW w:w="528" w:type="pct"/>
            <w:vMerge/>
            <w:shd w:val="clear" w:color="auto" w:fill="D6E3BC" w:themeFill="accent3" w:themeFillTint="66"/>
          </w:tcPr>
          <w:p w14:paraId="7006B947" w14:textId="77777777" w:rsidR="004750DD" w:rsidRPr="00D93ADB" w:rsidRDefault="004750DD" w:rsidP="004750DD">
            <w:pPr>
              <w:keepNext/>
              <w:spacing w:after="0" w:line="240" w:lineRule="auto"/>
              <w:jc w:val="center"/>
              <w:rPr>
                <w:rFonts w:ascii="Arial Narrow" w:hAnsi="Arial Narrow"/>
                <w:sz w:val="20"/>
              </w:rPr>
            </w:pPr>
          </w:p>
        </w:tc>
        <w:tc>
          <w:tcPr>
            <w:tcW w:w="374" w:type="pct"/>
            <w:shd w:val="clear" w:color="auto" w:fill="FBD4B4" w:themeFill="accent6" w:themeFillTint="66"/>
            <w:vAlign w:val="center"/>
          </w:tcPr>
          <w:p w14:paraId="4CFEC01E"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MBS</w:t>
            </w:r>
          </w:p>
        </w:tc>
        <w:tc>
          <w:tcPr>
            <w:tcW w:w="374" w:type="pct"/>
            <w:shd w:val="clear" w:color="auto" w:fill="FBD4B4" w:themeFill="accent6" w:themeFillTint="66"/>
            <w:vAlign w:val="center"/>
          </w:tcPr>
          <w:p w14:paraId="641D2B51"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Safety nets*</w:t>
            </w:r>
          </w:p>
        </w:tc>
        <w:tc>
          <w:tcPr>
            <w:tcW w:w="421" w:type="pct"/>
            <w:shd w:val="clear" w:color="auto" w:fill="FBD4B4" w:themeFill="accent6" w:themeFillTint="66"/>
            <w:vAlign w:val="center"/>
          </w:tcPr>
          <w:p w14:paraId="4E13BC42"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Other government budget</w:t>
            </w:r>
          </w:p>
        </w:tc>
        <w:tc>
          <w:tcPr>
            <w:tcW w:w="374" w:type="pct"/>
            <w:shd w:val="clear" w:color="auto" w:fill="FBD4B4" w:themeFill="accent6" w:themeFillTint="66"/>
            <w:vAlign w:val="center"/>
          </w:tcPr>
          <w:p w14:paraId="662A1727"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Private health insurer</w:t>
            </w:r>
          </w:p>
        </w:tc>
        <w:tc>
          <w:tcPr>
            <w:tcW w:w="374" w:type="pct"/>
            <w:shd w:val="clear" w:color="auto" w:fill="FBD4B4" w:themeFill="accent6" w:themeFillTint="66"/>
            <w:vAlign w:val="center"/>
          </w:tcPr>
          <w:p w14:paraId="77C71193"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Patient</w:t>
            </w:r>
          </w:p>
        </w:tc>
        <w:tc>
          <w:tcPr>
            <w:tcW w:w="370" w:type="pct"/>
            <w:shd w:val="clear" w:color="auto" w:fill="FBD4B4" w:themeFill="accent6" w:themeFillTint="66"/>
            <w:vAlign w:val="center"/>
          </w:tcPr>
          <w:p w14:paraId="2AFA2F83" w14:textId="77777777" w:rsidR="004750DD" w:rsidRPr="00D93ADB" w:rsidRDefault="004750DD" w:rsidP="004750DD">
            <w:pPr>
              <w:keepNext/>
              <w:spacing w:after="0" w:line="240" w:lineRule="auto"/>
              <w:jc w:val="center"/>
              <w:rPr>
                <w:rFonts w:ascii="Arial Narrow" w:hAnsi="Arial Narrow"/>
                <w:b/>
                <w:sz w:val="20"/>
              </w:rPr>
            </w:pPr>
            <w:r w:rsidRPr="00D93ADB">
              <w:rPr>
                <w:rFonts w:ascii="Arial Narrow" w:hAnsi="Arial Narrow"/>
                <w:b/>
                <w:sz w:val="20"/>
              </w:rPr>
              <w:t>Total cost</w:t>
            </w:r>
          </w:p>
        </w:tc>
      </w:tr>
      <w:tr w:rsidR="004750DD" w:rsidRPr="00A543B0" w14:paraId="551ADE1D" w14:textId="77777777" w:rsidTr="004750DD">
        <w:tc>
          <w:tcPr>
            <w:tcW w:w="5000" w:type="pct"/>
            <w:gridSpan w:val="11"/>
            <w:shd w:val="clear" w:color="auto" w:fill="auto"/>
            <w:vAlign w:val="center"/>
          </w:tcPr>
          <w:p w14:paraId="7DCDA409" w14:textId="77777777" w:rsidR="004750DD" w:rsidRPr="00D93ADB" w:rsidRDefault="004750DD" w:rsidP="00AE47F2">
            <w:pPr>
              <w:spacing w:before="120" w:after="120" w:line="240" w:lineRule="auto"/>
              <w:rPr>
                <w:rFonts w:ascii="Arial Narrow" w:hAnsi="Arial Narrow"/>
                <w:b/>
                <w:sz w:val="20"/>
              </w:rPr>
            </w:pPr>
            <w:r w:rsidRPr="00D93ADB">
              <w:rPr>
                <w:rFonts w:ascii="Arial Narrow" w:hAnsi="Arial Narrow"/>
                <w:b/>
                <w:sz w:val="20"/>
              </w:rPr>
              <w:t xml:space="preserve">Resources provided to deliver </w:t>
            </w:r>
            <w:proofErr w:type="spellStart"/>
            <w:r w:rsidR="00A44346" w:rsidRPr="00D93ADB">
              <w:rPr>
                <w:rFonts w:ascii="Arial Narrow" w:hAnsi="Arial Narrow"/>
                <w:b/>
                <w:sz w:val="20"/>
              </w:rPr>
              <w:t>EndoPredict</w:t>
            </w:r>
            <w:proofErr w:type="spellEnd"/>
            <w:r w:rsidR="00A44346" w:rsidRPr="00D93ADB">
              <w:rPr>
                <w:rFonts w:ascii="Arial Narrow" w:hAnsi="Arial Narrow"/>
                <w:b/>
                <w:sz w:val="20"/>
              </w:rPr>
              <w:t xml:space="preserve">® </w:t>
            </w:r>
            <w:r w:rsidR="00AE47F2" w:rsidRPr="00D93ADB">
              <w:rPr>
                <w:rFonts w:ascii="Arial Narrow" w:hAnsi="Arial Narrow"/>
                <w:b/>
                <w:sz w:val="20"/>
              </w:rPr>
              <w:t>and</w:t>
            </w:r>
            <w:r w:rsidR="00A62F49" w:rsidRPr="00D93ADB">
              <w:rPr>
                <w:rFonts w:ascii="Arial Narrow" w:hAnsi="Arial Narrow"/>
                <w:b/>
                <w:sz w:val="20"/>
              </w:rPr>
              <w:t xml:space="preserve"> current clinical practice</w:t>
            </w:r>
          </w:p>
        </w:tc>
      </w:tr>
      <w:tr w:rsidR="007A0DFF" w:rsidRPr="00A543B0" w14:paraId="72D37CD3" w14:textId="77777777" w:rsidTr="00C270F6">
        <w:tc>
          <w:tcPr>
            <w:tcW w:w="882" w:type="pct"/>
            <w:shd w:val="clear" w:color="auto" w:fill="auto"/>
          </w:tcPr>
          <w:p w14:paraId="02C7D2AF" w14:textId="6BDAB115" w:rsidR="004750DD" w:rsidRPr="00D93ADB" w:rsidRDefault="002B0852" w:rsidP="004750DD">
            <w:pPr>
              <w:spacing w:before="120" w:after="120" w:line="240" w:lineRule="auto"/>
              <w:rPr>
                <w:rFonts w:ascii="Arial Narrow" w:hAnsi="Arial Narrow"/>
                <w:sz w:val="20"/>
              </w:rPr>
            </w:pPr>
            <w:r w:rsidRPr="00D93ADB">
              <w:rPr>
                <w:rFonts w:ascii="Arial Narrow" w:hAnsi="Arial Narrow"/>
                <w:sz w:val="20"/>
              </w:rPr>
              <w:t>RT</w:t>
            </w:r>
            <w:r w:rsidRPr="00A543B0">
              <w:rPr>
                <w:rFonts w:ascii="Arial Narrow" w:hAnsi="Arial Narrow" w:cs="Times New Roman"/>
                <w:sz w:val="20"/>
                <w:szCs w:val="20"/>
              </w:rPr>
              <w:t>-</w:t>
            </w:r>
            <w:r w:rsidRPr="00D93ADB">
              <w:rPr>
                <w:rFonts w:ascii="Arial Narrow" w:hAnsi="Arial Narrow"/>
                <w:sz w:val="20"/>
              </w:rPr>
              <w:t>qPCR</w:t>
            </w:r>
            <w:r w:rsidR="009625A3" w:rsidRPr="00D93ADB">
              <w:rPr>
                <w:rFonts w:ascii="Arial Narrow" w:hAnsi="Arial Narrow"/>
                <w:sz w:val="20"/>
              </w:rPr>
              <w:t xml:space="preserve"> Instrumentation</w:t>
            </w:r>
          </w:p>
        </w:tc>
        <w:tc>
          <w:tcPr>
            <w:tcW w:w="458" w:type="pct"/>
            <w:shd w:val="clear" w:color="auto" w:fill="E5B8B7" w:themeFill="accent2" w:themeFillTint="66"/>
          </w:tcPr>
          <w:p w14:paraId="46EA3660" w14:textId="77777777" w:rsidR="004750DD" w:rsidRPr="00D93ADB" w:rsidRDefault="009625A3" w:rsidP="009625A3">
            <w:pPr>
              <w:spacing w:before="120" w:after="120" w:line="240" w:lineRule="auto"/>
              <w:jc w:val="center"/>
              <w:rPr>
                <w:rFonts w:ascii="Arial Narrow" w:hAnsi="Arial Narrow"/>
                <w:sz w:val="20"/>
              </w:rPr>
            </w:pPr>
            <w:r w:rsidRPr="00D93ADB">
              <w:rPr>
                <w:rFonts w:ascii="Arial Narrow" w:hAnsi="Arial Narrow"/>
                <w:sz w:val="20"/>
              </w:rPr>
              <w:t>Molecular pathologist</w:t>
            </w:r>
          </w:p>
        </w:tc>
        <w:tc>
          <w:tcPr>
            <w:tcW w:w="458" w:type="pct"/>
            <w:shd w:val="clear" w:color="auto" w:fill="E5B8B7" w:themeFill="accent2" w:themeFillTint="66"/>
          </w:tcPr>
          <w:p w14:paraId="2234E090" w14:textId="77777777" w:rsidR="004750DD" w:rsidRPr="00D93ADB" w:rsidRDefault="009625A3"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6197BD11"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153D1D54"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649AE56C"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25604C22"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7A557D67"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3CB8DC71"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1AEDB6FE"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2C91DCE1" w14:textId="77777777" w:rsidR="004750DD" w:rsidRPr="00D93ADB" w:rsidRDefault="004750DD" w:rsidP="004750DD">
            <w:pPr>
              <w:spacing w:after="0" w:line="240" w:lineRule="auto"/>
              <w:jc w:val="center"/>
              <w:rPr>
                <w:rFonts w:ascii="Arial Narrow" w:hAnsi="Arial Narrow"/>
                <w:sz w:val="20"/>
              </w:rPr>
            </w:pPr>
          </w:p>
        </w:tc>
      </w:tr>
      <w:tr w:rsidR="007A0DFF" w:rsidRPr="00A543B0" w14:paraId="33E9721E" w14:textId="77777777" w:rsidTr="00C270F6">
        <w:tc>
          <w:tcPr>
            <w:tcW w:w="882" w:type="pct"/>
            <w:shd w:val="clear" w:color="auto" w:fill="auto"/>
          </w:tcPr>
          <w:p w14:paraId="3668A9BB" w14:textId="77777777" w:rsidR="004750DD" w:rsidRPr="00D93ADB" w:rsidRDefault="009625A3" w:rsidP="004750DD">
            <w:pPr>
              <w:spacing w:before="120" w:after="120" w:line="240" w:lineRule="auto"/>
              <w:rPr>
                <w:rFonts w:ascii="Arial Narrow" w:hAnsi="Arial Narrow"/>
                <w:sz w:val="20"/>
              </w:rPr>
            </w:pPr>
            <w:r w:rsidRPr="00D93ADB">
              <w:rPr>
                <w:rFonts w:ascii="Arial Narrow" w:hAnsi="Arial Narrow"/>
                <w:sz w:val="20"/>
              </w:rPr>
              <w:t>Online software</w:t>
            </w:r>
          </w:p>
        </w:tc>
        <w:tc>
          <w:tcPr>
            <w:tcW w:w="458" w:type="pct"/>
            <w:shd w:val="clear" w:color="auto" w:fill="E5B8B7" w:themeFill="accent2" w:themeFillTint="66"/>
          </w:tcPr>
          <w:p w14:paraId="6844472B" w14:textId="77777777" w:rsidR="004750DD" w:rsidRPr="00D93ADB" w:rsidRDefault="009625A3" w:rsidP="009625A3">
            <w:pPr>
              <w:spacing w:before="120" w:after="120" w:line="240" w:lineRule="auto"/>
              <w:jc w:val="center"/>
              <w:rPr>
                <w:rFonts w:ascii="Arial Narrow" w:hAnsi="Arial Narrow"/>
                <w:sz w:val="20"/>
              </w:rPr>
            </w:pPr>
            <w:r w:rsidRPr="00D93ADB">
              <w:rPr>
                <w:rFonts w:ascii="Arial Narrow" w:hAnsi="Arial Narrow"/>
                <w:sz w:val="20"/>
              </w:rPr>
              <w:t>Molecular pathologist</w:t>
            </w:r>
          </w:p>
        </w:tc>
        <w:tc>
          <w:tcPr>
            <w:tcW w:w="458" w:type="pct"/>
            <w:shd w:val="clear" w:color="auto" w:fill="E5B8B7" w:themeFill="accent2" w:themeFillTint="66"/>
          </w:tcPr>
          <w:p w14:paraId="1E6B2D77" w14:textId="77777777" w:rsidR="004750DD" w:rsidRPr="00D93ADB" w:rsidRDefault="009625A3"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10BBF6D7"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15F949F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17970A28"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186D6551"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37D4A486"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73B8892F"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973CE7B"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3AC508A5" w14:textId="77777777" w:rsidR="004750DD" w:rsidRPr="00D93ADB" w:rsidRDefault="004750DD" w:rsidP="004750DD">
            <w:pPr>
              <w:spacing w:after="0" w:line="240" w:lineRule="auto"/>
              <w:jc w:val="center"/>
              <w:rPr>
                <w:rFonts w:ascii="Arial Narrow" w:hAnsi="Arial Narrow"/>
                <w:sz w:val="20"/>
              </w:rPr>
            </w:pPr>
          </w:p>
        </w:tc>
      </w:tr>
      <w:tr w:rsidR="007A0DFF" w:rsidRPr="00A543B0" w14:paraId="472236D1" w14:textId="77777777" w:rsidTr="00C270F6">
        <w:tc>
          <w:tcPr>
            <w:tcW w:w="882" w:type="pct"/>
            <w:shd w:val="clear" w:color="auto" w:fill="auto"/>
          </w:tcPr>
          <w:p w14:paraId="1DCBAA03" w14:textId="77777777" w:rsidR="009625A3" w:rsidRPr="00D93ADB" w:rsidRDefault="009625A3" w:rsidP="004750DD">
            <w:pPr>
              <w:spacing w:before="120" w:after="120" w:line="240" w:lineRule="auto"/>
              <w:rPr>
                <w:rFonts w:ascii="Arial Narrow" w:hAnsi="Arial Narrow"/>
                <w:sz w:val="20"/>
              </w:rPr>
            </w:pPr>
            <w:proofErr w:type="spellStart"/>
            <w:r w:rsidRPr="00D93ADB">
              <w:rPr>
                <w:rFonts w:ascii="Arial Narrow" w:hAnsi="Arial Narrow"/>
                <w:sz w:val="20"/>
              </w:rPr>
              <w:t>EndoPredict</w:t>
            </w:r>
            <w:proofErr w:type="spellEnd"/>
            <w:r w:rsidRPr="00D93ADB">
              <w:rPr>
                <w:rFonts w:ascii="Arial Narrow" w:hAnsi="Arial Narrow"/>
                <w:sz w:val="20"/>
              </w:rPr>
              <w:t>® Kit (reagents)</w:t>
            </w:r>
          </w:p>
        </w:tc>
        <w:tc>
          <w:tcPr>
            <w:tcW w:w="458" w:type="pct"/>
            <w:shd w:val="clear" w:color="auto" w:fill="E5B8B7" w:themeFill="accent2" w:themeFillTint="66"/>
          </w:tcPr>
          <w:p w14:paraId="29460903" w14:textId="77777777" w:rsidR="009625A3" w:rsidRPr="00D93ADB" w:rsidRDefault="009625A3" w:rsidP="004750DD">
            <w:pPr>
              <w:spacing w:before="120" w:after="120" w:line="240" w:lineRule="auto"/>
              <w:jc w:val="center"/>
              <w:rPr>
                <w:rFonts w:ascii="Arial Narrow" w:hAnsi="Arial Narrow"/>
                <w:sz w:val="20"/>
              </w:rPr>
            </w:pPr>
            <w:r w:rsidRPr="00D93ADB">
              <w:rPr>
                <w:rFonts w:ascii="Arial Narrow" w:hAnsi="Arial Narrow"/>
                <w:sz w:val="20"/>
              </w:rPr>
              <w:t>Molecular pathologist</w:t>
            </w:r>
          </w:p>
        </w:tc>
        <w:tc>
          <w:tcPr>
            <w:tcW w:w="458" w:type="pct"/>
            <w:shd w:val="clear" w:color="auto" w:fill="E5B8B7" w:themeFill="accent2" w:themeFillTint="66"/>
          </w:tcPr>
          <w:p w14:paraId="7ED47C59" w14:textId="77777777" w:rsidR="009625A3" w:rsidRPr="00D93ADB" w:rsidRDefault="009625A3"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38B34E61" w14:textId="77777777" w:rsidR="009625A3" w:rsidRPr="00D93ADB" w:rsidRDefault="009625A3" w:rsidP="004750DD">
            <w:pPr>
              <w:spacing w:after="0" w:line="240" w:lineRule="auto"/>
              <w:jc w:val="center"/>
              <w:rPr>
                <w:rFonts w:ascii="Arial Narrow" w:hAnsi="Arial Narrow"/>
                <w:sz w:val="20"/>
              </w:rPr>
            </w:pPr>
          </w:p>
        </w:tc>
        <w:tc>
          <w:tcPr>
            <w:tcW w:w="528" w:type="pct"/>
            <w:shd w:val="clear" w:color="auto" w:fill="D6E3BC" w:themeFill="accent3" w:themeFillTint="66"/>
          </w:tcPr>
          <w:p w14:paraId="51D2B661"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1BAB8A99"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1EF0BD84" w14:textId="77777777" w:rsidR="009625A3" w:rsidRPr="00D93ADB" w:rsidRDefault="009625A3" w:rsidP="004750DD">
            <w:pPr>
              <w:spacing w:after="0" w:line="240" w:lineRule="auto"/>
              <w:jc w:val="center"/>
              <w:rPr>
                <w:rFonts w:ascii="Arial Narrow" w:hAnsi="Arial Narrow"/>
                <w:sz w:val="20"/>
              </w:rPr>
            </w:pPr>
          </w:p>
        </w:tc>
        <w:tc>
          <w:tcPr>
            <w:tcW w:w="421" w:type="pct"/>
            <w:shd w:val="clear" w:color="auto" w:fill="FBD4B4" w:themeFill="accent6" w:themeFillTint="66"/>
          </w:tcPr>
          <w:p w14:paraId="14A331B2"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53B62ABE"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0E9293E4" w14:textId="77777777" w:rsidR="009625A3" w:rsidRPr="00D93ADB" w:rsidRDefault="009625A3" w:rsidP="004750DD">
            <w:pPr>
              <w:spacing w:after="0" w:line="240" w:lineRule="auto"/>
              <w:jc w:val="center"/>
              <w:rPr>
                <w:rFonts w:ascii="Arial Narrow" w:hAnsi="Arial Narrow"/>
                <w:sz w:val="20"/>
              </w:rPr>
            </w:pPr>
          </w:p>
        </w:tc>
        <w:tc>
          <w:tcPr>
            <w:tcW w:w="370" w:type="pct"/>
            <w:shd w:val="clear" w:color="auto" w:fill="FBD4B4" w:themeFill="accent6" w:themeFillTint="66"/>
          </w:tcPr>
          <w:p w14:paraId="284055A4" w14:textId="77777777" w:rsidR="009625A3" w:rsidRPr="00D93ADB" w:rsidRDefault="009625A3" w:rsidP="004750DD">
            <w:pPr>
              <w:spacing w:after="0" w:line="240" w:lineRule="auto"/>
              <w:jc w:val="center"/>
              <w:rPr>
                <w:rFonts w:ascii="Arial Narrow" w:hAnsi="Arial Narrow"/>
                <w:sz w:val="20"/>
              </w:rPr>
            </w:pPr>
          </w:p>
        </w:tc>
      </w:tr>
      <w:tr w:rsidR="007A0DFF" w:rsidRPr="00A543B0" w14:paraId="0726DB4A" w14:textId="77777777" w:rsidTr="00C270F6">
        <w:tc>
          <w:tcPr>
            <w:tcW w:w="882" w:type="pct"/>
            <w:shd w:val="clear" w:color="auto" w:fill="auto"/>
          </w:tcPr>
          <w:p w14:paraId="069DB949" w14:textId="77777777" w:rsidR="009625A3" w:rsidRPr="00D93ADB" w:rsidRDefault="00A44346" w:rsidP="00A44346">
            <w:pPr>
              <w:spacing w:before="120" w:after="120" w:line="240" w:lineRule="auto"/>
              <w:rPr>
                <w:rFonts w:ascii="Arial Narrow" w:hAnsi="Arial Narrow"/>
                <w:sz w:val="20"/>
              </w:rPr>
            </w:pPr>
            <w:r w:rsidRPr="00D93ADB">
              <w:rPr>
                <w:rFonts w:ascii="Arial Narrow" w:hAnsi="Arial Narrow"/>
                <w:sz w:val="20"/>
              </w:rPr>
              <w:t xml:space="preserve">Report on </w:t>
            </w:r>
            <w:r w:rsidR="00C10B22" w:rsidRPr="00D93ADB">
              <w:rPr>
                <w:rFonts w:ascii="Arial Narrow" w:hAnsi="Arial Narrow"/>
                <w:sz w:val="20"/>
              </w:rPr>
              <w:t>EP score/</w:t>
            </w:r>
            <w:r w:rsidRPr="00D93ADB">
              <w:rPr>
                <w:rFonts w:ascii="Arial Narrow" w:hAnsi="Arial Narrow"/>
                <w:sz w:val="20"/>
              </w:rPr>
              <w:t>EPclin score</w:t>
            </w:r>
          </w:p>
        </w:tc>
        <w:tc>
          <w:tcPr>
            <w:tcW w:w="458" w:type="pct"/>
            <w:shd w:val="clear" w:color="auto" w:fill="E5B8B7" w:themeFill="accent2" w:themeFillTint="66"/>
          </w:tcPr>
          <w:p w14:paraId="6BD9D253" w14:textId="77777777" w:rsidR="009625A3" w:rsidRPr="00D93ADB" w:rsidRDefault="00A44346" w:rsidP="004750DD">
            <w:pPr>
              <w:spacing w:before="120" w:after="120" w:line="240" w:lineRule="auto"/>
              <w:jc w:val="center"/>
              <w:rPr>
                <w:rFonts w:ascii="Arial Narrow" w:hAnsi="Arial Narrow"/>
                <w:sz w:val="20"/>
              </w:rPr>
            </w:pPr>
            <w:r w:rsidRPr="00D93ADB">
              <w:rPr>
                <w:rFonts w:ascii="Arial Narrow" w:hAnsi="Arial Narrow"/>
                <w:sz w:val="20"/>
              </w:rPr>
              <w:t>Molecular pathologist</w:t>
            </w:r>
          </w:p>
        </w:tc>
        <w:tc>
          <w:tcPr>
            <w:tcW w:w="458" w:type="pct"/>
            <w:shd w:val="clear" w:color="auto" w:fill="E5B8B7" w:themeFill="accent2" w:themeFillTint="66"/>
          </w:tcPr>
          <w:p w14:paraId="1E66ABD2" w14:textId="77777777" w:rsidR="009625A3" w:rsidRPr="00D93ADB" w:rsidRDefault="00A44346"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63DA5FE5" w14:textId="77777777" w:rsidR="009625A3" w:rsidRPr="00D93ADB" w:rsidRDefault="009625A3" w:rsidP="004750DD">
            <w:pPr>
              <w:spacing w:after="0" w:line="240" w:lineRule="auto"/>
              <w:jc w:val="center"/>
              <w:rPr>
                <w:rFonts w:ascii="Arial Narrow" w:hAnsi="Arial Narrow"/>
                <w:sz w:val="20"/>
              </w:rPr>
            </w:pPr>
          </w:p>
        </w:tc>
        <w:tc>
          <w:tcPr>
            <w:tcW w:w="528" w:type="pct"/>
            <w:shd w:val="clear" w:color="auto" w:fill="D6E3BC" w:themeFill="accent3" w:themeFillTint="66"/>
          </w:tcPr>
          <w:p w14:paraId="4B9DAE68"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7B3899EE"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45762A9C" w14:textId="77777777" w:rsidR="009625A3" w:rsidRPr="00D93ADB" w:rsidRDefault="009625A3" w:rsidP="004750DD">
            <w:pPr>
              <w:spacing w:after="0" w:line="240" w:lineRule="auto"/>
              <w:jc w:val="center"/>
              <w:rPr>
                <w:rFonts w:ascii="Arial Narrow" w:hAnsi="Arial Narrow"/>
                <w:sz w:val="20"/>
              </w:rPr>
            </w:pPr>
          </w:p>
        </w:tc>
        <w:tc>
          <w:tcPr>
            <w:tcW w:w="421" w:type="pct"/>
            <w:shd w:val="clear" w:color="auto" w:fill="FBD4B4" w:themeFill="accent6" w:themeFillTint="66"/>
          </w:tcPr>
          <w:p w14:paraId="614D72EB"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733E8FD0" w14:textId="77777777" w:rsidR="009625A3" w:rsidRPr="00D93ADB" w:rsidRDefault="009625A3" w:rsidP="004750DD">
            <w:pPr>
              <w:spacing w:after="0" w:line="240" w:lineRule="auto"/>
              <w:jc w:val="center"/>
              <w:rPr>
                <w:rFonts w:ascii="Arial Narrow" w:hAnsi="Arial Narrow"/>
                <w:sz w:val="20"/>
              </w:rPr>
            </w:pPr>
          </w:p>
        </w:tc>
        <w:tc>
          <w:tcPr>
            <w:tcW w:w="374" w:type="pct"/>
            <w:shd w:val="clear" w:color="auto" w:fill="FBD4B4" w:themeFill="accent6" w:themeFillTint="66"/>
          </w:tcPr>
          <w:p w14:paraId="422014BA" w14:textId="77777777" w:rsidR="009625A3" w:rsidRPr="00D93ADB" w:rsidRDefault="009625A3" w:rsidP="004750DD">
            <w:pPr>
              <w:spacing w:after="0" w:line="240" w:lineRule="auto"/>
              <w:jc w:val="center"/>
              <w:rPr>
                <w:rFonts w:ascii="Arial Narrow" w:hAnsi="Arial Narrow"/>
                <w:sz w:val="20"/>
              </w:rPr>
            </w:pPr>
          </w:p>
        </w:tc>
        <w:tc>
          <w:tcPr>
            <w:tcW w:w="370" w:type="pct"/>
            <w:shd w:val="clear" w:color="auto" w:fill="FBD4B4" w:themeFill="accent6" w:themeFillTint="66"/>
          </w:tcPr>
          <w:p w14:paraId="63C7E847" w14:textId="77777777" w:rsidR="009625A3" w:rsidRPr="00D93ADB" w:rsidRDefault="009625A3" w:rsidP="004750DD">
            <w:pPr>
              <w:spacing w:after="0" w:line="240" w:lineRule="auto"/>
              <w:jc w:val="center"/>
              <w:rPr>
                <w:rFonts w:ascii="Arial Narrow" w:hAnsi="Arial Narrow"/>
                <w:sz w:val="20"/>
              </w:rPr>
            </w:pPr>
          </w:p>
        </w:tc>
      </w:tr>
      <w:tr w:rsidR="004750DD" w:rsidRPr="00A543B0" w14:paraId="119CA099" w14:textId="77777777" w:rsidTr="004750DD">
        <w:tc>
          <w:tcPr>
            <w:tcW w:w="5000" w:type="pct"/>
            <w:gridSpan w:val="11"/>
            <w:shd w:val="clear" w:color="auto" w:fill="auto"/>
            <w:vAlign w:val="center"/>
          </w:tcPr>
          <w:p w14:paraId="6C54F089" w14:textId="77777777" w:rsidR="004750DD" w:rsidRPr="00D93ADB" w:rsidRDefault="004750DD" w:rsidP="00D33461">
            <w:pPr>
              <w:spacing w:before="120" w:after="120" w:line="240" w:lineRule="auto"/>
              <w:rPr>
                <w:rFonts w:ascii="Arial Narrow" w:hAnsi="Arial Narrow"/>
                <w:b/>
                <w:sz w:val="20"/>
              </w:rPr>
            </w:pPr>
            <w:r w:rsidRPr="00D93ADB">
              <w:rPr>
                <w:rFonts w:ascii="Arial Narrow" w:hAnsi="Arial Narrow"/>
                <w:b/>
                <w:sz w:val="20"/>
              </w:rPr>
              <w:t xml:space="preserve">Resources provided in association with </w:t>
            </w:r>
            <w:proofErr w:type="spellStart"/>
            <w:r w:rsidR="00A62F49" w:rsidRPr="00D93ADB">
              <w:rPr>
                <w:rFonts w:ascii="Arial Narrow" w:hAnsi="Arial Narrow"/>
                <w:b/>
                <w:sz w:val="20"/>
              </w:rPr>
              <w:t>EndoPredict</w:t>
            </w:r>
            <w:proofErr w:type="spellEnd"/>
            <w:r w:rsidR="00A62F49" w:rsidRPr="00D93ADB">
              <w:rPr>
                <w:rFonts w:ascii="Arial Narrow" w:hAnsi="Arial Narrow"/>
                <w:b/>
                <w:sz w:val="20"/>
              </w:rPr>
              <w:t xml:space="preserve">® </w:t>
            </w:r>
            <w:r w:rsidR="00D33461" w:rsidRPr="00D93ADB">
              <w:rPr>
                <w:rFonts w:ascii="Arial Narrow" w:hAnsi="Arial Narrow"/>
                <w:b/>
                <w:sz w:val="20"/>
              </w:rPr>
              <w:t>and</w:t>
            </w:r>
            <w:r w:rsidR="00A62F49" w:rsidRPr="00D93ADB">
              <w:rPr>
                <w:rFonts w:ascii="Arial Narrow" w:hAnsi="Arial Narrow"/>
                <w:b/>
                <w:sz w:val="20"/>
              </w:rPr>
              <w:t xml:space="preserve"> current clinical practice</w:t>
            </w:r>
          </w:p>
        </w:tc>
      </w:tr>
      <w:tr w:rsidR="007A0DFF" w:rsidRPr="00A543B0" w14:paraId="170CB3A7" w14:textId="77777777" w:rsidTr="00C270F6">
        <w:tc>
          <w:tcPr>
            <w:tcW w:w="882" w:type="pct"/>
            <w:shd w:val="clear" w:color="auto" w:fill="auto"/>
          </w:tcPr>
          <w:p w14:paraId="40C9C58E" w14:textId="77777777" w:rsidR="004750DD" w:rsidRPr="00D93ADB" w:rsidRDefault="009625A3" w:rsidP="00046A1C">
            <w:pPr>
              <w:spacing w:before="120" w:after="120" w:line="240" w:lineRule="auto"/>
              <w:rPr>
                <w:rFonts w:ascii="Arial Narrow" w:hAnsi="Arial Narrow"/>
                <w:sz w:val="20"/>
              </w:rPr>
            </w:pPr>
            <w:r w:rsidRPr="00D93ADB">
              <w:rPr>
                <w:rFonts w:ascii="Arial Narrow" w:hAnsi="Arial Narrow"/>
                <w:sz w:val="20"/>
              </w:rPr>
              <w:t>FFPE block retrieval</w:t>
            </w:r>
            <w:r w:rsidR="00046A1C" w:rsidRPr="00D93ADB">
              <w:rPr>
                <w:rFonts w:ascii="Arial Narrow" w:hAnsi="Arial Narrow"/>
                <w:sz w:val="20"/>
              </w:rPr>
              <w:t xml:space="preserve"> (occasional)</w:t>
            </w:r>
          </w:p>
        </w:tc>
        <w:tc>
          <w:tcPr>
            <w:tcW w:w="458" w:type="pct"/>
            <w:shd w:val="clear" w:color="auto" w:fill="E5B8B7" w:themeFill="accent2" w:themeFillTint="66"/>
          </w:tcPr>
          <w:p w14:paraId="17ACA65D" w14:textId="77777777" w:rsidR="004750DD" w:rsidRPr="00D93ADB" w:rsidRDefault="009625A3" w:rsidP="004750DD">
            <w:pPr>
              <w:spacing w:before="120" w:after="120" w:line="240" w:lineRule="auto"/>
              <w:jc w:val="center"/>
              <w:rPr>
                <w:rFonts w:ascii="Arial Narrow" w:hAnsi="Arial Narrow"/>
                <w:sz w:val="20"/>
              </w:rPr>
            </w:pPr>
            <w:r w:rsidRPr="00D93ADB">
              <w:rPr>
                <w:rFonts w:ascii="Arial Narrow" w:hAnsi="Arial Narrow"/>
                <w:sz w:val="20"/>
              </w:rPr>
              <w:t>Pathologist</w:t>
            </w:r>
          </w:p>
        </w:tc>
        <w:tc>
          <w:tcPr>
            <w:tcW w:w="458" w:type="pct"/>
            <w:shd w:val="clear" w:color="auto" w:fill="E5B8B7" w:themeFill="accent2" w:themeFillTint="66"/>
          </w:tcPr>
          <w:p w14:paraId="55770617" w14:textId="77777777" w:rsidR="004750DD" w:rsidRPr="00D93ADB" w:rsidRDefault="009625A3"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5231850F"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50CA6F1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1146248"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60B1BFB"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733D2C0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CCEBE3A"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72647BC7"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13ED70CA" w14:textId="77777777" w:rsidR="004750DD" w:rsidRPr="00D93ADB" w:rsidRDefault="004750DD" w:rsidP="004750DD">
            <w:pPr>
              <w:spacing w:after="0" w:line="240" w:lineRule="auto"/>
              <w:jc w:val="center"/>
              <w:rPr>
                <w:rFonts w:ascii="Arial Narrow" w:hAnsi="Arial Narrow"/>
                <w:sz w:val="20"/>
              </w:rPr>
            </w:pPr>
          </w:p>
        </w:tc>
      </w:tr>
      <w:tr w:rsidR="007A0DFF" w:rsidRPr="00A543B0" w14:paraId="0309E58C" w14:textId="77777777" w:rsidTr="00C270F6">
        <w:tc>
          <w:tcPr>
            <w:tcW w:w="882" w:type="pct"/>
            <w:shd w:val="clear" w:color="auto" w:fill="auto"/>
          </w:tcPr>
          <w:p w14:paraId="5D54BEF8" w14:textId="77777777" w:rsidR="004750DD" w:rsidRPr="00D93ADB" w:rsidRDefault="00A44346" w:rsidP="004750DD">
            <w:pPr>
              <w:spacing w:before="120" w:after="120" w:line="240" w:lineRule="auto"/>
              <w:rPr>
                <w:rFonts w:ascii="Arial Narrow" w:hAnsi="Arial Narrow"/>
                <w:sz w:val="20"/>
              </w:rPr>
            </w:pPr>
            <w:r w:rsidRPr="00D93ADB">
              <w:rPr>
                <w:rFonts w:ascii="Arial Narrow" w:hAnsi="Arial Narrow"/>
                <w:sz w:val="20"/>
              </w:rPr>
              <w:t>Equipment service agreements</w:t>
            </w:r>
          </w:p>
        </w:tc>
        <w:tc>
          <w:tcPr>
            <w:tcW w:w="458" w:type="pct"/>
            <w:shd w:val="clear" w:color="auto" w:fill="E5B8B7" w:themeFill="accent2" w:themeFillTint="66"/>
          </w:tcPr>
          <w:p w14:paraId="172F1DDE" w14:textId="77777777" w:rsidR="004750DD" w:rsidRPr="00D93ADB" w:rsidRDefault="00A44346" w:rsidP="004750DD">
            <w:pPr>
              <w:spacing w:before="120" w:after="120" w:line="240" w:lineRule="auto"/>
              <w:jc w:val="center"/>
              <w:rPr>
                <w:rFonts w:ascii="Arial Narrow" w:hAnsi="Arial Narrow"/>
                <w:sz w:val="20"/>
              </w:rPr>
            </w:pPr>
            <w:r w:rsidRPr="00D93ADB">
              <w:rPr>
                <w:rFonts w:ascii="Arial Narrow" w:hAnsi="Arial Narrow"/>
                <w:sz w:val="20"/>
              </w:rPr>
              <w:t>Pathology provider</w:t>
            </w:r>
          </w:p>
        </w:tc>
        <w:tc>
          <w:tcPr>
            <w:tcW w:w="458" w:type="pct"/>
            <w:shd w:val="clear" w:color="auto" w:fill="E5B8B7" w:themeFill="accent2" w:themeFillTint="66"/>
          </w:tcPr>
          <w:p w14:paraId="05998519" w14:textId="77777777" w:rsidR="004750DD" w:rsidRPr="00D93ADB" w:rsidRDefault="00A44346" w:rsidP="004750DD">
            <w:pPr>
              <w:spacing w:after="0" w:line="240" w:lineRule="auto"/>
              <w:jc w:val="center"/>
              <w:rPr>
                <w:rFonts w:ascii="Arial Narrow" w:hAnsi="Arial Narrow"/>
                <w:sz w:val="20"/>
              </w:rPr>
            </w:pPr>
            <w:r w:rsidRPr="00D93ADB">
              <w:rPr>
                <w:rFonts w:ascii="Arial Narrow" w:hAnsi="Arial Narrow"/>
                <w:sz w:val="20"/>
              </w:rPr>
              <w:t>Pathology laboratory</w:t>
            </w:r>
          </w:p>
        </w:tc>
        <w:tc>
          <w:tcPr>
            <w:tcW w:w="387" w:type="pct"/>
            <w:shd w:val="clear" w:color="auto" w:fill="D6E3BC" w:themeFill="accent3" w:themeFillTint="66"/>
          </w:tcPr>
          <w:p w14:paraId="6D93D371"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5B237B34"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7B3A5C1E"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8ECF020"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04C4AD9B"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844CCB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526DF479"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5F48B30D" w14:textId="77777777" w:rsidR="004750DD" w:rsidRPr="00D93ADB" w:rsidRDefault="004750DD" w:rsidP="004750DD">
            <w:pPr>
              <w:spacing w:after="0" w:line="240" w:lineRule="auto"/>
              <w:jc w:val="center"/>
              <w:rPr>
                <w:rFonts w:ascii="Arial Narrow" w:hAnsi="Arial Narrow"/>
                <w:sz w:val="20"/>
              </w:rPr>
            </w:pPr>
          </w:p>
        </w:tc>
      </w:tr>
      <w:tr w:rsidR="007A0DFF" w:rsidRPr="00A543B0" w14:paraId="34E4A76E" w14:textId="77777777" w:rsidTr="00C270F6">
        <w:tc>
          <w:tcPr>
            <w:tcW w:w="882" w:type="pct"/>
            <w:shd w:val="clear" w:color="auto" w:fill="auto"/>
          </w:tcPr>
          <w:p w14:paraId="62012BAA" w14:textId="77777777" w:rsidR="00A62F49" w:rsidRPr="00D93ADB" w:rsidRDefault="00A62F49" w:rsidP="004750DD">
            <w:pPr>
              <w:spacing w:before="120" w:after="120" w:line="240" w:lineRule="auto"/>
              <w:rPr>
                <w:rFonts w:ascii="Arial Narrow" w:hAnsi="Arial Narrow"/>
                <w:sz w:val="20"/>
              </w:rPr>
            </w:pPr>
            <w:r w:rsidRPr="00D93ADB">
              <w:rPr>
                <w:rFonts w:ascii="Arial Narrow" w:hAnsi="Arial Narrow"/>
                <w:sz w:val="20"/>
              </w:rPr>
              <w:t>Chemotherapy</w:t>
            </w:r>
          </w:p>
        </w:tc>
        <w:tc>
          <w:tcPr>
            <w:tcW w:w="458" w:type="pct"/>
            <w:shd w:val="clear" w:color="auto" w:fill="E5B8B7" w:themeFill="accent2" w:themeFillTint="66"/>
          </w:tcPr>
          <w:p w14:paraId="61F51536" w14:textId="77777777" w:rsidR="00A62F49" w:rsidRPr="00D93ADB" w:rsidRDefault="00A62F49" w:rsidP="004750DD">
            <w:pPr>
              <w:spacing w:before="120" w:after="120" w:line="240" w:lineRule="auto"/>
              <w:jc w:val="center"/>
              <w:rPr>
                <w:rFonts w:ascii="Arial Narrow" w:hAnsi="Arial Narrow"/>
                <w:sz w:val="20"/>
              </w:rPr>
            </w:pPr>
          </w:p>
        </w:tc>
        <w:tc>
          <w:tcPr>
            <w:tcW w:w="458" w:type="pct"/>
            <w:shd w:val="clear" w:color="auto" w:fill="E5B8B7" w:themeFill="accent2" w:themeFillTint="66"/>
          </w:tcPr>
          <w:p w14:paraId="123BAD82" w14:textId="77777777" w:rsidR="00A62F49" w:rsidRPr="00D93ADB" w:rsidRDefault="00A62F49" w:rsidP="004750DD">
            <w:pPr>
              <w:spacing w:after="0" w:line="240" w:lineRule="auto"/>
              <w:jc w:val="center"/>
              <w:rPr>
                <w:rFonts w:ascii="Arial Narrow" w:hAnsi="Arial Narrow"/>
                <w:sz w:val="20"/>
              </w:rPr>
            </w:pPr>
          </w:p>
        </w:tc>
        <w:tc>
          <w:tcPr>
            <w:tcW w:w="387" w:type="pct"/>
            <w:shd w:val="clear" w:color="auto" w:fill="D6E3BC" w:themeFill="accent3" w:themeFillTint="66"/>
          </w:tcPr>
          <w:p w14:paraId="167C157E" w14:textId="77777777" w:rsidR="00A62F49" w:rsidRPr="00D93ADB" w:rsidRDefault="00A62F49" w:rsidP="004750DD">
            <w:pPr>
              <w:spacing w:after="0" w:line="240" w:lineRule="auto"/>
              <w:jc w:val="center"/>
              <w:rPr>
                <w:rFonts w:ascii="Arial Narrow" w:hAnsi="Arial Narrow"/>
                <w:sz w:val="20"/>
              </w:rPr>
            </w:pPr>
          </w:p>
        </w:tc>
        <w:tc>
          <w:tcPr>
            <w:tcW w:w="528" w:type="pct"/>
            <w:shd w:val="clear" w:color="auto" w:fill="D6E3BC" w:themeFill="accent3" w:themeFillTint="66"/>
          </w:tcPr>
          <w:p w14:paraId="31513E45" w14:textId="77777777" w:rsidR="00A62F49" w:rsidRPr="00D93ADB" w:rsidRDefault="00A62F49" w:rsidP="004750DD">
            <w:pPr>
              <w:spacing w:after="0" w:line="240" w:lineRule="auto"/>
              <w:jc w:val="center"/>
              <w:rPr>
                <w:rFonts w:ascii="Arial Narrow" w:hAnsi="Arial Narrow"/>
                <w:sz w:val="20"/>
              </w:rPr>
            </w:pPr>
          </w:p>
        </w:tc>
        <w:tc>
          <w:tcPr>
            <w:tcW w:w="374" w:type="pct"/>
            <w:shd w:val="clear" w:color="auto" w:fill="FBD4B4" w:themeFill="accent6" w:themeFillTint="66"/>
          </w:tcPr>
          <w:p w14:paraId="14CE9916" w14:textId="77777777" w:rsidR="00A62F49" w:rsidRPr="00D93ADB" w:rsidRDefault="00A62F49" w:rsidP="004750DD">
            <w:pPr>
              <w:spacing w:after="0" w:line="240" w:lineRule="auto"/>
              <w:jc w:val="center"/>
              <w:rPr>
                <w:rFonts w:ascii="Arial Narrow" w:hAnsi="Arial Narrow"/>
                <w:sz w:val="20"/>
              </w:rPr>
            </w:pPr>
          </w:p>
        </w:tc>
        <w:tc>
          <w:tcPr>
            <w:tcW w:w="374" w:type="pct"/>
            <w:shd w:val="clear" w:color="auto" w:fill="FBD4B4" w:themeFill="accent6" w:themeFillTint="66"/>
          </w:tcPr>
          <w:p w14:paraId="54D3A76D" w14:textId="77777777" w:rsidR="00A62F49" w:rsidRPr="00D93ADB" w:rsidRDefault="00A62F49" w:rsidP="004750DD">
            <w:pPr>
              <w:spacing w:after="0" w:line="240" w:lineRule="auto"/>
              <w:jc w:val="center"/>
              <w:rPr>
                <w:rFonts w:ascii="Arial Narrow" w:hAnsi="Arial Narrow"/>
                <w:sz w:val="20"/>
              </w:rPr>
            </w:pPr>
          </w:p>
        </w:tc>
        <w:tc>
          <w:tcPr>
            <w:tcW w:w="421" w:type="pct"/>
            <w:shd w:val="clear" w:color="auto" w:fill="FBD4B4" w:themeFill="accent6" w:themeFillTint="66"/>
          </w:tcPr>
          <w:p w14:paraId="56CAD08C" w14:textId="77777777" w:rsidR="00A62F49" w:rsidRPr="00D93ADB" w:rsidRDefault="00A62F49" w:rsidP="004750DD">
            <w:pPr>
              <w:spacing w:after="0" w:line="240" w:lineRule="auto"/>
              <w:jc w:val="center"/>
              <w:rPr>
                <w:rFonts w:ascii="Arial Narrow" w:hAnsi="Arial Narrow"/>
                <w:sz w:val="20"/>
              </w:rPr>
            </w:pPr>
          </w:p>
        </w:tc>
        <w:tc>
          <w:tcPr>
            <w:tcW w:w="374" w:type="pct"/>
            <w:shd w:val="clear" w:color="auto" w:fill="FBD4B4" w:themeFill="accent6" w:themeFillTint="66"/>
          </w:tcPr>
          <w:p w14:paraId="3DAF5D6E" w14:textId="77777777" w:rsidR="00A62F49" w:rsidRPr="00D93ADB" w:rsidRDefault="00A62F49" w:rsidP="004750DD">
            <w:pPr>
              <w:spacing w:after="0" w:line="240" w:lineRule="auto"/>
              <w:jc w:val="center"/>
              <w:rPr>
                <w:rFonts w:ascii="Arial Narrow" w:hAnsi="Arial Narrow"/>
                <w:sz w:val="20"/>
              </w:rPr>
            </w:pPr>
          </w:p>
        </w:tc>
        <w:tc>
          <w:tcPr>
            <w:tcW w:w="374" w:type="pct"/>
            <w:shd w:val="clear" w:color="auto" w:fill="FBD4B4" w:themeFill="accent6" w:themeFillTint="66"/>
          </w:tcPr>
          <w:p w14:paraId="0BA0253F" w14:textId="77777777" w:rsidR="00A62F49" w:rsidRPr="00D93ADB" w:rsidRDefault="00A62F49" w:rsidP="004750DD">
            <w:pPr>
              <w:spacing w:after="0" w:line="240" w:lineRule="auto"/>
              <w:jc w:val="center"/>
              <w:rPr>
                <w:rFonts w:ascii="Arial Narrow" w:hAnsi="Arial Narrow"/>
                <w:sz w:val="20"/>
              </w:rPr>
            </w:pPr>
          </w:p>
        </w:tc>
        <w:tc>
          <w:tcPr>
            <w:tcW w:w="370" w:type="pct"/>
            <w:shd w:val="clear" w:color="auto" w:fill="FBD4B4" w:themeFill="accent6" w:themeFillTint="66"/>
          </w:tcPr>
          <w:p w14:paraId="19C1A506" w14:textId="77777777" w:rsidR="00A62F49" w:rsidRPr="00D93ADB" w:rsidRDefault="00A62F49" w:rsidP="004750DD">
            <w:pPr>
              <w:spacing w:after="0" w:line="240" w:lineRule="auto"/>
              <w:jc w:val="center"/>
              <w:rPr>
                <w:rFonts w:ascii="Arial Narrow" w:hAnsi="Arial Narrow"/>
                <w:sz w:val="20"/>
              </w:rPr>
            </w:pPr>
          </w:p>
        </w:tc>
      </w:tr>
      <w:tr w:rsidR="007A0DFF" w:rsidRPr="00A543B0" w14:paraId="58BFCFC9" w14:textId="77777777" w:rsidTr="00C270F6">
        <w:tc>
          <w:tcPr>
            <w:tcW w:w="882" w:type="pct"/>
            <w:shd w:val="clear" w:color="auto" w:fill="auto"/>
          </w:tcPr>
          <w:p w14:paraId="42F7EF0B" w14:textId="77777777" w:rsidR="00D33461" w:rsidRPr="00D93ADB" w:rsidRDefault="00D33461" w:rsidP="004750DD">
            <w:pPr>
              <w:spacing w:before="120" w:after="120" w:line="240" w:lineRule="auto"/>
              <w:rPr>
                <w:rFonts w:ascii="Arial Narrow" w:hAnsi="Arial Narrow"/>
                <w:sz w:val="20"/>
              </w:rPr>
            </w:pPr>
            <w:r w:rsidRPr="00D93ADB">
              <w:rPr>
                <w:rFonts w:ascii="Arial Narrow" w:hAnsi="Arial Narrow"/>
                <w:sz w:val="20"/>
              </w:rPr>
              <w:t>Aftercare, treatment of side effects and adverse events</w:t>
            </w:r>
          </w:p>
        </w:tc>
        <w:tc>
          <w:tcPr>
            <w:tcW w:w="458" w:type="pct"/>
            <w:shd w:val="clear" w:color="auto" w:fill="E5B8B7" w:themeFill="accent2" w:themeFillTint="66"/>
          </w:tcPr>
          <w:p w14:paraId="3C9A48CC" w14:textId="77777777" w:rsidR="00D33461" w:rsidRPr="00D93ADB" w:rsidRDefault="00D33461" w:rsidP="004750DD">
            <w:pPr>
              <w:spacing w:before="120" w:after="120" w:line="240" w:lineRule="auto"/>
              <w:jc w:val="center"/>
              <w:rPr>
                <w:rFonts w:ascii="Arial Narrow" w:hAnsi="Arial Narrow"/>
                <w:sz w:val="20"/>
              </w:rPr>
            </w:pPr>
          </w:p>
        </w:tc>
        <w:tc>
          <w:tcPr>
            <w:tcW w:w="458" w:type="pct"/>
            <w:shd w:val="clear" w:color="auto" w:fill="E5B8B7" w:themeFill="accent2" w:themeFillTint="66"/>
          </w:tcPr>
          <w:p w14:paraId="05E77EBF" w14:textId="77777777" w:rsidR="00D33461" w:rsidRPr="00D93ADB" w:rsidRDefault="00D33461" w:rsidP="004750DD">
            <w:pPr>
              <w:spacing w:after="0" w:line="240" w:lineRule="auto"/>
              <w:jc w:val="center"/>
              <w:rPr>
                <w:rFonts w:ascii="Arial Narrow" w:hAnsi="Arial Narrow"/>
                <w:sz w:val="20"/>
              </w:rPr>
            </w:pPr>
          </w:p>
        </w:tc>
        <w:tc>
          <w:tcPr>
            <w:tcW w:w="387" w:type="pct"/>
            <w:shd w:val="clear" w:color="auto" w:fill="D6E3BC" w:themeFill="accent3" w:themeFillTint="66"/>
          </w:tcPr>
          <w:p w14:paraId="1CF6278D" w14:textId="77777777" w:rsidR="00D33461" w:rsidRPr="00D93ADB" w:rsidRDefault="00D33461" w:rsidP="004750DD">
            <w:pPr>
              <w:spacing w:after="0" w:line="240" w:lineRule="auto"/>
              <w:jc w:val="center"/>
              <w:rPr>
                <w:rFonts w:ascii="Arial Narrow" w:hAnsi="Arial Narrow"/>
                <w:sz w:val="20"/>
              </w:rPr>
            </w:pPr>
          </w:p>
        </w:tc>
        <w:tc>
          <w:tcPr>
            <w:tcW w:w="528" w:type="pct"/>
            <w:shd w:val="clear" w:color="auto" w:fill="D6E3BC" w:themeFill="accent3" w:themeFillTint="66"/>
          </w:tcPr>
          <w:p w14:paraId="2A580E9C" w14:textId="77777777" w:rsidR="00D33461" w:rsidRPr="00D93ADB" w:rsidRDefault="00D33461" w:rsidP="004750DD">
            <w:pPr>
              <w:spacing w:after="0" w:line="240" w:lineRule="auto"/>
              <w:jc w:val="center"/>
              <w:rPr>
                <w:rFonts w:ascii="Arial Narrow" w:hAnsi="Arial Narrow"/>
                <w:sz w:val="20"/>
              </w:rPr>
            </w:pPr>
          </w:p>
        </w:tc>
        <w:tc>
          <w:tcPr>
            <w:tcW w:w="374" w:type="pct"/>
            <w:shd w:val="clear" w:color="auto" w:fill="FBD4B4" w:themeFill="accent6" w:themeFillTint="66"/>
          </w:tcPr>
          <w:p w14:paraId="0F354DF7" w14:textId="77777777" w:rsidR="00D33461" w:rsidRPr="00D93ADB" w:rsidRDefault="00D33461" w:rsidP="004750DD">
            <w:pPr>
              <w:spacing w:after="0" w:line="240" w:lineRule="auto"/>
              <w:jc w:val="center"/>
              <w:rPr>
                <w:rFonts w:ascii="Arial Narrow" w:hAnsi="Arial Narrow"/>
                <w:sz w:val="20"/>
              </w:rPr>
            </w:pPr>
          </w:p>
        </w:tc>
        <w:tc>
          <w:tcPr>
            <w:tcW w:w="374" w:type="pct"/>
            <w:shd w:val="clear" w:color="auto" w:fill="FBD4B4" w:themeFill="accent6" w:themeFillTint="66"/>
          </w:tcPr>
          <w:p w14:paraId="0AFCC7AA" w14:textId="77777777" w:rsidR="00D33461" w:rsidRPr="00D93ADB" w:rsidRDefault="00D33461" w:rsidP="004750DD">
            <w:pPr>
              <w:spacing w:after="0" w:line="240" w:lineRule="auto"/>
              <w:jc w:val="center"/>
              <w:rPr>
                <w:rFonts w:ascii="Arial Narrow" w:hAnsi="Arial Narrow"/>
                <w:sz w:val="20"/>
              </w:rPr>
            </w:pPr>
          </w:p>
        </w:tc>
        <w:tc>
          <w:tcPr>
            <w:tcW w:w="421" w:type="pct"/>
            <w:shd w:val="clear" w:color="auto" w:fill="FBD4B4" w:themeFill="accent6" w:themeFillTint="66"/>
          </w:tcPr>
          <w:p w14:paraId="1E846A73" w14:textId="77777777" w:rsidR="00D33461" w:rsidRPr="00D93ADB" w:rsidRDefault="00D33461" w:rsidP="004750DD">
            <w:pPr>
              <w:spacing w:after="0" w:line="240" w:lineRule="auto"/>
              <w:jc w:val="center"/>
              <w:rPr>
                <w:rFonts w:ascii="Arial Narrow" w:hAnsi="Arial Narrow"/>
                <w:sz w:val="20"/>
              </w:rPr>
            </w:pPr>
          </w:p>
        </w:tc>
        <w:tc>
          <w:tcPr>
            <w:tcW w:w="374" w:type="pct"/>
            <w:shd w:val="clear" w:color="auto" w:fill="FBD4B4" w:themeFill="accent6" w:themeFillTint="66"/>
          </w:tcPr>
          <w:p w14:paraId="58F47F43" w14:textId="77777777" w:rsidR="00D33461" w:rsidRPr="00D93ADB" w:rsidRDefault="00D33461" w:rsidP="004750DD">
            <w:pPr>
              <w:spacing w:after="0" w:line="240" w:lineRule="auto"/>
              <w:jc w:val="center"/>
              <w:rPr>
                <w:rFonts w:ascii="Arial Narrow" w:hAnsi="Arial Narrow"/>
                <w:sz w:val="20"/>
              </w:rPr>
            </w:pPr>
          </w:p>
        </w:tc>
        <w:tc>
          <w:tcPr>
            <w:tcW w:w="374" w:type="pct"/>
            <w:shd w:val="clear" w:color="auto" w:fill="FBD4B4" w:themeFill="accent6" w:themeFillTint="66"/>
          </w:tcPr>
          <w:p w14:paraId="36C3241A" w14:textId="77777777" w:rsidR="00D33461" w:rsidRPr="00D93ADB" w:rsidRDefault="00D33461" w:rsidP="004750DD">
            <w:pPr>
              <w:spacing w:after="0" w:line="240" w:lineRule="auto"/>
              <w:jc w:val="center"/>
              <w:rPr>
                <w:rFonts w:ascii="Arial Narrow" w:hAnsi="Arial Narrow"/>
                <w:sz w:val="20"/>
              </w:rPr>
            </w:pPr>
          </w:p>
        </w:tc>
        <w:tc>
          <w:tcPr>
            <w:tcW w:w="370" w:type="pct"/>
            <w:shd w:val="clear" w:color="auto" w:fill="FBD4B4" w:themeFill="accent6" w:themeFillTint="66"/>
          </w:tcPr>
          <w:p w14:paraId="774CCF76" w14:textId="77777777" w:rsidR="00D33461" w:rsidRPr="00D93ADB" w:rsidRDefault="00D33461" w:rsidP="004750DD">
            <w:pPr>
              <w:spacing w:after="0" w:line="240" w:lineRule="auto"/>
              <w:jc w:val="center"/>
              <w:rPr>
                <w:rFonts w:ascii="Arial Narrow" w:hAnsi="Arial Narrow"/>
                <w:sz w:val="20"/>
              </w:rPr>
            </w:pPr>
          </w:p>
        </w:tc>
      </w:tr>
      <w:tr w:rsidR="004750DD" w:rsidRPr="00A543B0" w14:paraId="7E3E319E" w14:textId="77777777" w:rsidTr="004750DD">
        <w:tc>
          <w:tcPr>
            <w:tcW w:w="5000" w:type="pct"/>
            <w:gridSpan w:val="11"/>
            <w:shd w:val="clear" w:color="auto" w:fill="auto"/>
            <w:vAlign w:val="center"/>
          </w:tcPr>
          <w:p w14:paraId="565FC3B8" w14:textId="77777777" w:rsidR="004750DD" w:rsidRPr="00D93ADB" w:rsidRDefault="004750DD" w:rsidP="004750DD">
            <w:pPr>
              <w:spacing w:before="120" w:after="120" w:line="240" w:lineRule="auto"/>
              <w:rPr>
                <w:rFonts w:ascii="Arial Narrow" w:hAnsi="Arial Narrow"/>
                <w:sz w:val="20"/>
              </w:rPr>
            </w:pPr>
            <w:r w:rsidRPr="00D93ADB">
              <w:rPr>
                <w:rFonts w:ascii="Arial Narrow" w:hAnsi="Arial Narrow"/>
                <w:b/>
                <w:sz w:val="20"/>
              </w:rPr>
              <w:t xml:space="preserve">Resources provided in association with </w:t>
            </w:r>
            <w:r w:rsidR="00A62F49" w:rsidRPr="00D93ADB">
              <w:rPr>
                <w:rFonts w:ascii="Arial Narrow" w:hAnsi="Arial Narrow"/>
                <w:b/>
                <w:sz w:val="20"/>
              </w:rPr>
              <w:t>current clinical practice</w:t>
            </w:r>
          </w:p>
          <w:p w14:paraId="32E45FDB" w14:textId="77777777" w:rsidR="004750DD" w:rsidRPr="00D93ADB" w:rsidRDefault="004750DD" w:rsidP="004750DD">
            <w:pPr>
              <w:spacing w:before="120" w:after="120" w:line="240" w:lineRule="auto"/>
              <w:rPr>
                <w:rFonts w:ascii="Arial Narrow" w:hAnsi="Arial Narrow"/>
                <w:sz w:val="20"/>
              </w:rPr>
            </w:pPr>
            <w:r w:rsidRPr="00D93ADB">
              <w:rPr>
                <w:rFonts w:ascii="Arial Narrow" w:hAnsi="Arial Narrow"/>
                <w:sz w:val="20"/>
              </w:rPr>
              <w:t>(e.g., pre-treatments, co-administered interventions, resources used to monitor or in follow-up, resources used in management of adverse events, resources used for treatment of down-stream conditions)</w:t>
            </w:r>
          </w:p>
        </w:tc>
      </w:tr>
      <w:tr w:rsidR="007A0DFF" w:rsidRPr="00A543B0" w14:paraId="55E09351" w14:textId="77777777" w:rsidTr="00C270F6">
        <w:tc>
          <w:tcPr>
            <w:tcW w:w="882" w:type="pct"/>
            <w:shd w:val="clear" w:color="auto" w:fill="auto"/>
          </w:tcPr>
          <w:p w14:paraId="7D48B251" w14:textId="77777777" w:rsidR="004750DD" w:rsidRPr="00D93ADB" w:rsidRDefault="00A62F49" w:rsidP="004750DD">
            <w:pPr>
              <w:spacing w:before="120" w:after="120" w:line="240" w:lineRule="auto"/>
              <w:rPr>
                <w:rFonts w:ascii="Arial Narrow" w:hAnsi="Arial Narrow"/>
                <w:sz w:val="20"/>
              </w:rPr>
            </w:pPr>
            <w:r w:rsidRPr="00D93ADB">
              <w:rPr>
                <w:rFonts w:ascii="Arial Narrow" w:hAnsi="Arial Narrow"/>
                <w:sz w:val="20"/>
              </w:rPr>
              <w:lastRenderedPageBreak/>
              <w:t>Chemotherapy</w:t>
            </w:r>
          </w:p>
        </w:tc>
        <w:tc>
          <w:tcPr>
            <w:tcW w:w="458" w:type="pct"/>
            <w:shd w:val="clear" w:color="auto" w:fill="E5B8B7" w:themeFill="accent2" w:themeFillTint="66"/>
          </w:tcPr>
          <w:p w14:paraId="68EDCB61" w14:textId="77777777" w:rsidR="004750DD" w:rsidRPr="00D93ADB" w:rsidRDefault="004750DD" w:rsidP="004750DD">
            <w:pPr>
              <w:spacing w:before="120" w:after="120" w:line="240" w:lineRule="auto"/>
              <w:jc w:val="center"/>
              <w:rPr>
                <w:rFonts w:ascii="Arial Narrow" w:hAnsi="Arial Narrow"/>
                <w:sz w:val="20"/>
              </w:rPr>
            </w:pPr>
          </w:p>
        </w:tc>
        <w:tc>
          <w:tcPr>
            <w:tcW w:w="458" w:type="pct"/>
            <w:shd w:val="clear" w:color="auto" w:fill="E5B8B7" w:themeFill="accent2" w:themeFillTint="66"/>
          </w:tcPr>
          <w:p w14:paraId="05A02F1E" w14:textId="77777777" w:rsidR="004750DD" w:rsidRPr="00D93ADB" w:rsidRDefault="004750DD" w:rsidP="004750DD">
            <w:pPr>
              <w:spacing w:after="0" w:line="240" w:lineRule="auto"/>
              <w:jc w:val="center"/>
              <w:rPr>
                <w:rFonts w:ascii="Arial Narrow" w:hAnsi="Arial Narrow"/>
                <w:sz w:val="20"/>
              </w:rPr>
            </w:pPr>
          </w:p>
        </w:tc>
        <w:tc>
          <w:tcPr>
            <w:tcW w:w="387" w:type="pct"/>
            <w:shd w:val="clear" w:color="auto" w:fill="D6E3BC" w:themeFill="accent3" w:themeFillTint="66"/>
          </w:tcPr>
          <w:p w14:paraId="6D3C546F"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3E800B8E"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51480959"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539B6F1A"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0D021523"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23F18747"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3DF850A"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30FF86BB" w14:textId="77777777" w:rsidR="004750DD" w:rsidRPr="00D93ADB" w:rsidRDefault="004750DD" w:rsidP="004750DD">
            <w:pPr>
              <w:spacing w:after="0" w:line="240" w:lineRule="auto"/>
              <w:jc w:val="center"/>
              <w:rPr>
                <w:rFonts w:ascii="Arial Narrow" w:hAnsi="Arial Narrow"/>
                <w:sz w:val="20"/>
              </w:rPr>
            </w:pPr>
          </w:p>
        </w:tc>
      </w:tr>
      <w:tr w:rsidR="007A0DFF" w:rsidRPr="00A543B0" w14:paraId="660DD780" w14:textId="77777777" w:rsidTr="00C270F6">
        <w:tc>
          <w:tcPr>
            <w:tcW w:w="882" w:type="pct"/>
            <w:shd w:val="clear" w:color="auto" w:fill="auto"/>
          </w:tcPr>
          <w:p w14:paraId="23806D09" w14:textId="77777777" w:rsidR="00003068" w:rsidRPr="00D93ADB" w:rsidRDefault="00AE47F2" w:rsidP="004750DD">
            <w:pPr>
              <w:spacing w:before="120" w:after="120" w:line="240" w:lineRule="auto"/>
              <w:rPr>
                <w:rFonts w:ascii="Arial Narrow" w:hAnsi="Arial Narrow"/>
                <w:sz w:val="20"/>
              </w:rPr>
            </w:pPr>
            <w:r w:rsidRPr="00D93ADB">
              <w:rPr>
                <w:rFonts w:ascii="Arial Narrow" w:hAnsi="Arial Narrow"/>
                <w:sz w:val="20"/>
              </w:rPr>
              <w:t>T</w:t>
            </w:r>
            <w:r w:rsidR="00D33461" w:rsidRPr="00D93ADB">
              <w:rPr>
                <w:rFonts w:ascii="Arial Narrow" w:hAnsi="Arial Narrow"/>
                <w:sz w:val="20"/>
              </w:rPr>
              <w:t>reatment of side effects and a</w:t>
            </w:r>
            <w:r w:rsidRPr="00D93ADB">
              <w:rPr>
                <w:rFonts w:ascii="Arial Narrow" w:hAnsi="Arial Narrow"/>
                <w:sz w:val="20"/>
              </w:rPr>
              <w:t>d</w:t>
            </w:r>
            <w:r w:rsidR="00D33461" w:rsidRPr="00D93ADB">
              <w:rPr>
                <w:rFonts w:ascii="Arial Narrow" w:hAnsi="Arial Narrow"/>
                <w:sz w:val="20"/>
              </w:rPr>
              <w:t>verse events</w:t>
            </w:r>
          </w:p>
        </w:tc>
        <w:tc>
          <w:tcPr>
            <w:tcW w:w="458" w:type="pct"/>
            <w:shd w:val="clear" w:color="auto" w:fill="E5B8B7" w:themeFill="accent2" w:themeFillTint="66"/>
          </w:tcPr>
          <w:p w14:paraId="10E3A73F" w14:textId="77777777" w:rsidR="00003068" w:rsidRPr="00D93ADB" w:rsidRDefault="00003068" w:rsidP="004750DD">
            <w:pPr>
              <w:spacing w:before="120" w:after="120" w:line="240" w:lineRule="auto"/>
              <w:jc w:val="center"/>
              <w:rPr>
                <w:rFonts w:ascii="Arial Narrow" w:hAnsi="Arial Narrow"/>
                <w:sz w:val="20"/>
              </w:rPr>
            </w:pPr>
          </w:p>
        </w:tc>
        <w:tc>
          <w:tcPr>
            <w:tcW w:w="458" w:type="pct"/>
            <w:shd w:val="clear" w:color="auto" w:fill="E5B8B7" w:themeFill="accent2" w:themeFillTint="66"/>
          </w:tcPr>
          <w:p w14:paraId="0893DF7A" w14:textId="77777777" w:rsidR="00003068" w:rsidRPr="00D93ADB" w:rsidRDefault="00003068" w:rsidP="004750DD">
            <w:pPr>
              <w:spacing w:after="0" w:line="240" w:lineRule="auto"/>
              <w:jc w:val="center"/>
              <w:rPr>
                <w:rFonts w:ascii="Arial Narrow" w:hAnsi="Arial Narrow"/>
                <w:sz w:val="20"/>
              </w:rPr>
            </w:pPr>
          </w:p>
        </w:tc>
        <w:tc>
          <w:tcPr>
            <w:tcW w:w="387" w:type="pct"/>
            <w:shd w:val="clear" w:color="auto" w:fill="D6E3BC" w:themeFill="accent3" w:themeFillTint="66"/>
          </w:tcPr>
          <w:p w14:paraId="2BF0F8A7" w14:textId="77777777" w:rsidR="00003068" w:rsidRPr="00D93ADB" w:rsidRDefault="00003068" w:rsidP="004750DD">
            <w:pPr>
              <w:spacing w:after="0" w:line="240" w:lineRule="auto"/>
              <w:jc w:val="center"/>
              <w:rPr>
                <w:rFonts w:ascii="Arial Narrow" w:hAnsi="Arial Narrow"/>
                <w:sz w:val="20"/>
              </w:rPr>
            </w:pPr>
          </w:p>
        </w:tc>
        <w:tc>
          <w:tcPr>
            <w:tcW w:w="528" w:type="pct"/>
            <w:shd w:val="clear" w:color="auto" w:fill="D6E3BC" w:themeFill="accent3" w:themeFillTint="66"/>
          </w:tcPr>
          <w:p w14:paraId="567FF463" w14:textId="77777777" w:rsidR="00003068" w:rsidRPr="00D93ADB" w:rsidRDefault="00003068" w:rsidP="004750DD">
            <w:pPr>
              <w:spacing w:after="0" w:line="240" w:lineRule="auto"/>
              <w:jc w:val="center"/>
              <w:rPr>
                <w:rFonts w:ascii="Arial Narrow" w:hAnsi="Arial Narrow"/>
                <w:sz w:val="20"/>
              </w:rPr>
            </w:pPr>
          </w:p>
        </w:tc>
        <w:tc>
          <w:tcPr>
            <w:tcW w:w="374" w:type="pct"/>
            <w:shd w:val="clear" w:color="auto" w:fill="FBD4B4" w:themeFill="accent6" w:themeFillTint="66"/>
          </w:tcPr>
          <w:p w14:paraId="05CF4C04" w14:textId="77777777" w:rsidR="00003068" w:rsidRPr="00D93ADB" w:rsidRDefault="00003068" w:rsidP="004750DD">
            <w:pPr>
              <w:spacing w:after="0" w:line="240" w:lineRule="auto"/>
              <w:jc w:val="center"/>
              <w:rPr>
                <w:rFonts w:ascii="Arial Narrow" w:hAnsi="Arial Narrow"/>
                <w:sz w:val="20"/>
              </w:rPr>
            </w:pPr>
          </w:p>
        </w:tc>
        <w:tc>
          <w:tcPr>
            <w:tcW w:w="374" w:type="pct"/>
            <w:shd w:val="clear" w:color="auto" w:fill="FBD4B4" w:themeFill="accent6" w:themeFillTint="66"/>
          </w:tcPr>
          <w:p w14:paraId="7CA3E4F4" w14:textId="77777777" w:rsidR="00003068" w:rsidRPr="00D93ADB" w:rsidRDefault="00003068" w:rsidP="004750DD">
            <w:pPr>
              <w:spacing w:after="0" w:line="240" w:lineRule="auto"/>
              <w:jc w:val="center"/>
              <w:rPr>
                <w:rFonts w:ascii="Arial Narrow" w:hAnsi="Arial Narrow"/>
                <w:sz w:val="20"/>
              </w:rPr>
            </w:pPr>
          </w:p>
        </w:tc>
        <w:tc>
          <w:tcPr>
            <w:tcW w:w="421" w:type="pct"/>
            <w:shd w:val="clear" w:color="auto" w:fill="FBD4B4" w:themeFill="accent6" w:themeFillTint="66"/>
          </w:tcPr>
          <w:p w14:paraId="36936AFD" w14:textId="77777777" w:rsidR="00003068" w:rsidRPr="00D93ADB" w:rsidRDefault="00003068" w:rsidP="004750DD">
            <w:pPr>
              <w:spacing w:after="0" w:line="240" w:lineRule="auto"/>
              <w:jc w:val="center"/>
              <w:rPr>
                <w:rFonts w:ascii="Arial Narrow" w:hAnsi="Arial Narrow"/>
                <w:sz w:val="20"/>
              </w:rPr>
            </w:pPr>
          </w:p>
        </w:tc>
        <w:tc>
          <w:tcPr>
            <w:tcW w:w="374" w:type="pct"/>
            <w:shd w:val="clear" w:color="auto" w:fill="FBD4B4" w:themeFill="accent6" w:themeFillTint="66"/>
          </w:tcPr>
          <w:p w14:paraId="507C399C" w14:textId="77777777" w:rsidR="00003068" w:rsidRPr="00D93ADB" w:rsidRDefault="00003068" w:rsidP="004750DD">
            <w:pPr>
              <w:spacing w:after="0" w:line="240" w:lineRule="auto"/>
              <w:jc w:val="center"/>
              <w:rPr>
                <w:rFonts w:ascii="Arial Narrow" w:hAnsi="Arial Narrow"/>
                <w:sz w:val="20"/>
              </w:rPr>
            </w:pPr>
          </w:p>
        </w:tc>
        <w:tc>
          <w:tcPr>
            <w:tcW w:w="374" w:type="pct"/>
            <w:shd w:val="clear" w:color="auto" w:fill="FBD4B4" w:themeFill="accent6" w:themeFillTint="66"/>
          </w:tcPr>
          <w:p w14:paraId="48BAFD5F" w14:textId="77777777" w:rsidR="00003068" w:rsidRPr="00D93ADB" w:rsidRDefault="00003068" w:rsidP="004750DD">
            <w:pPr>
              <w:spacing w:after="0" w:line="240" w:lineRule="auto"/>
              <w:jc w:val="center"/>
              <w:rPr>
                <w:rFonts w:ascii="Arial Narrow" w:hAnsi="Arial Narrow"/>
                <w:sz w:val="20"/>
              </w:rPr>
            </w:pPr>
          </w:p>
        </w:tc>
        <w:tc>
          <w:tcPr>
            <w:tcW w:w="370" w:type="pct"/>
            <w:shd w:val="clear" w:color="auto" w:fill="FBD4B4" w:themeFill="accent6" w:themeFillTint="66"/>
          </w:tcPr>
          <w:p w14:paraId="48970E56" w14:textId="77777777" w:rsidR="00003068" w:rsidRPr="00D93ADB" w:rsidRDefault="00003068" w:rsidP="004750DD">
            <w:pPr>
              <w:spacing w:after="0" w:line="240" w:lineRule="auto"/>
              <w:jc w:val="center"/>
              <w:rPr>
                <w:rFonts w:ascii="Arial Narrow" w:hAnsi="Arial Narrow"/>
                <w:sz w:val="20"/>
              </w:rPr>
            </w:pPr>
          </w:p>
        </w:tc>
      </w:tr>
      <w:tr w:rsidR="004750DD" w:rsidRPr="00A543B0" w14:paraId="150AE947" w14:textId="77777777" w:rsidTr="004750DD">
        <w:tc>
          <w:tcPr>
            <w:tcW w:w="5000" w:type="pct"/>
            <w:gridSpan w:val="11"/>
            <w:shd w:val="clear" w:color="auto" w:fill="auto"/>
            <w:vAlign w:val="center"/>
          </w:tcPr>
          <w:p w14:paraId="24D185E8" w14:textId="77777777" w:rsidR="004750DD" w:rsidRPr="00D93ADB" w:rsidRDefault="004750DD" w:rsidP="00AE47F2">
            <w:pPr>
              <w:spacing w:before="120" w:after="120" w:line="240" w:lineRule="auto"/>
              <w:rPr>
                <w:rFonts w:ascii="Arial Narrow" w:hAnsi="Arial Narrow"/>
                <w:b/>
                <w:sz w:val="20"/>
              </w:rPr>
            </w:pPr>
            <w:r w:rsidRPr="00D93ADB">
              <w:rPr>
                <w:rFonts w:ascii="Arial Narrow" w:hAnsi="Arial Narrow"/>
                <w:b/>
                <w:sz w:val="20"/>
              </w:rPr>
              <w:t xml:space="preserve">Resources used to manage patients who are unsuccessfully treated with </w:t>
            </w:r>
            <w:proofErr w:type="spellStart"/>
            <w:r w:rsidR="00AE47F2" w:rsidRPr="00D93ADB">
              <w:rPr>
                <w:rFonts w:ascii="Arial Narrow" w:hAnsi="Arial Narrow"/>
                <w:b/>
                <w:sz w:val="20"/>
              </w:rPr>
              <w:t>EndoPredict</w:t>
            </w:r>
            <w:proofErr w:type="spellEnd"/>
            <w:r w:rsidR="00AE47F2" w:rsidRPr="00D93ADB">
              <w:rPr>
                <w:rFonts w:ascii="Arial Narrow" w:hAnsi="Arial Narrow"/>
                <w:b/>
                <w:sz w:val="20"/>
              </w:rPr>
              <w:t>® and current clinical practice</w:t>
            </w:r>
          </w:p>
        </w:tc>
      </w:tr>
      <w:tr w:rsidR="007A0DFF" w:rsidRPr="00A543B0" w14:paraId="2B490771" w14:textId="77777777" w:rsidTr="00C270F6">
        <w:tc>
          <w:tcPr>
            <w:tcW w:w="882" w:type="pct"/>
            <w:shd w:val="clear" w:color="auto" w:fill="auto"/>
          </w:tcPr>
          <w:p w14:paraId="4DDA8C5A" w14:textId="77777777" w:rsidR="004750DD" w:rsidRPr="00D93ADB" w:rsidRDefault="00AE47F2" w:rsidP="004750DD">
            <w:pPr>
              <w:spacing w:before="120" w:after="120" w:line="240" w:lineRule="auto"/>
              <w:rPr>
                <w:rFonts w:ascii="Arial Narrow" w:hAnsi="Arial Narrow"/>
                <w:sz w:val="20"/>
              </w:rPr>
            </w:pPr>
            <w:r w:rsidRPr="00D93ADB">
              <w:rPr>
                <w:rFonts w:ascii="Arial Narrow" w:hAnsi="Arial Narrow"/>
                <w:sz w:val="20"/>
              </w:rPr>
              <w:t>Chemotherapy</w:t>
            </w:r>
          </w:p>
        </w:tc>
        <w:tc>
          <w:tcPr>
            <w:tcW w:w="458" w:type="pct"/>
            <w:shd w:val="clear" w:color="auto" w:fill="E5B8B7" w:themeFill="accent2" w:themeFillTint="66"/>
          </w:tcPr>
          <w:p w14:paraId="544743C4" w14:textId="77777777" w:rsidR="004750DD" w:rsidRPr="00D93ADB" w:rsidRDefault="004750DD" w:rsidP="004750DD">
            <w:pPr>
              <w:spacing w:after="0" w:line="240" w:lineRule="auto"/>
              <w:jc w:val="center"/>
              <w:rPr>
                <w:rFonts w:ascii="Arial Narrow" w:hAnsi="Arial Narrow"/>
                <w:sz w:val="20"/>
              </w:rPr>
            </w:pPr>
          </w:p>
        </w:tc>
        <w:tc>
          <w:tcPr>
            <w:tcW w:w="458" w:type="pct"/>
            <w:shd w:val="clear" w:color="auto" w:fill="E5B8B7" w:themeFill="accent2" w:themeFillTint="66"/>
          </w:tcPr>
          <w:p w14:paraId="4CFFA5B2" w14:textId="77777777" w:rsidR="004750DD" w:rsidRPr="00D93ADB" w:rsidRDefault="004750DD" w:rsidP="004750DD">
            <w:pPr>
              <w:spacing w:after="0" w:line="240" w:lineRule="auto"/>
              <w:jc w:val="center"/>
              <w:rPr>
                <w:rFonts w:ascii="Arial Narrow" w:hAnsi="Arial Narrow"/>
                <w:sz w:val="20"/>
              </w:rPr>
            </w:pPr>
          </w:p>
        </w:tc>
        <w:tc>
          <w:tcPr>
            <w:tcW w:w="387" w:type="pct"/>
            <w:shd w:val="clear" w:color="auto" w:fill="D6E3BC" w:themeFill="accent3" w:themeFillTint="66"/>
          </w:tcPr>
          <w:p w14:paraId="0684824C"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24874EEA"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75EB2E69"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5A607651"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41A7EB26"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61F4F5F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D8C9A17"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66000EEA" w14:textId="77777777" w:rsidR="004750DD" w:rsidRPr="00D93ADB" w:rsidRDefault="004750DD" w:rsidP="004750DD">
            <w:pPr>
              <w:spacing w:after="0" w:line="240" w:lineRule="auto"/>
              <w:jc w:val="center"/>
              <w:rPr>
                <w:rFonts w:ascii="Arial Narrow" w:hAnsi="Arial Narrow"/>
                <w:sz w:val="20"/>
              </w:rPr>
            </w:pPr>
          </w:p>
        </w:tc>
      </w:tr>
      <w:tr w:rsidR="007A0DFF" w:rsidRPr="00A543B0" w14:paraId="0F3BC0FF" w14:textId="77777777" w:rsidTr="00C270F6">
        <w:tc>
          <w:tcPr>
            <w:tcW w:w="882" w:type="pct"/>
            <w:shd w:val="clear" w:color="auto" w:fill="auto"/>
          </w:tcPr>
          <w:p w14:paraId="2BAF4B20" w14:textId="77777777" w:rsidR="00AE47F2" w:rsidRPr="00D93ADB" w:rsidDel="00AE47F2" w:rsidRDefault="00AE47F2" w:rsidP="004750DD">
            <w:pPr>
              <w:spacing w:before="120" w:after="120" w:line="240" w:lineRule="auto"/>
              <w:rPr>
                <w:rFonts w:ascii="Arial Narrow" w:hAnsi="Arial Narrow"/>
                <w:sz w:val="20"/>
              </w:rPr>
            </w:pPr>
            <w:r w:rsidRPr="00D93ADB">
              <w:rPr>
                <w:rFonts w:ascii="Arial Narrow" w:hAnsi="Arial Narrow"/>
                <w:sz w:val="20"/>
              </w:rPr>
              <w:t>Treatment of side effects and adverse events</w:t>
            </w:r>
          </w:p>
        </w:tc>
        <w:tc>
          <w:tcPr>
            <w:tcW w:w="458" w:type="pct"/>
            <w:shd w:val="clear" w:color="auto" w:fill="E5B8B7" w:themeFill="accent2" w:themeFillTint="66"/>
          </w:tcPr>
          <w:p w14:paraId="7EE1D2A1" w14:textId="77777777" w:rsidR="00AE47F2" w:rsidRPr="00D93ADB" w:rsidRDefault="00AE47F2" w:rsidP="004750DD">
            <w:pPr>
              <w:spacing w:after="0" w:line="240" w:lineRule="auto"/>
              <w:jc w:val="center"/>
              <w:rPr>
                <w:rFonts w:ascii="Arial Narrow" w:hAnsi="Arial Narrow"/>
                <w:sz w:val="20"/>
              </w:rPr>
            </w:pPr>
          </w:p>
        </w:tc>
        <w:tc>
          <w:tcPr>
            <w:tcW w:w="458" w:type="pct"/>
            <w:shd w:val="clear" w:color="auto" w:fill="E5B8B7" w:themeFill="accent2" w:themeFillTint="66"/>
          </w:tcPr>
          <w:p w14:paraId="385A59AF" w14:textId="77777777" w:rsidR="00AE47F2" w:rsidRPr="00D93ADB" w:rsidRDefault="00AE47F2" w:rsidP="004750DD">
            <w:pPr>
              <w:spacing w:after="0" w:line="240" w:lineRule="auto"/>
              <w:jc w:val="center"/>
              <w:rPr>
                <w:rFonts w:ascii="Arial Narrow" w:hAnsi="Arial Narrow"/>
                <w:sz w:val="20"/>
              </w:rPr>
            </w:pPr>
          </w:p>
        </w:tc>
        <w:tc>
          <w:tcPr>
            <w:tcW w:w="387" w:type="pct"/>
            <w:shd w:val="clear" w:color="auto" w:fill="D6E3BC" w:themeFill="accent3" w:themeFillTint="66"/>
          </w:tcPr>
          <w:p w14:paraId="7D2F5754" w14:textId="77777777" w:rsidR="00AE47F2" w:rsidRPr="00D93ADB" w:rsidRDefault="00AE47F2" w:rsidP="004750DD">
            <w:pPr>
              <w:spacing w:after="0" w:line="240" w:lineRule="auto"/>
              <w:jc w:val="center"/>
              <w:rPr>
                <w:rFonts w:ascii="Arial Narrow" w:hAnsi="Arial Narrow"/>
                <w:sz w:val="20"/>
              </w:rPr>
            </w:pPr>
          </w:p>
        </w:tc>
        <w:tc>
          <w:tcPr>
            <w:tcW w:w="528" w:type="pct"/>
            <w:shd w:val="clear" w:color="auto" w:fill="D6E3BC" w:themeFill="accent3" w:themeFillTint="66"/>
          </w:tcPr>
          <w:p w14:paraId="1C3619AB"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62837B2D"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6919672E" w14:textId="77777777" w:rsidR="00AE47F2" w:rsidRPr="00D93ADB" w:rsidRDefault="00AE47F2" w:rsidP="004750DD">
            <w:pPr>
              <w:spacing w:after="0" w:line="240" w:lineRule="auto"/>
              <w:jc w:val="center"/>
              <w:rPr>
                <w:rFonts w:ascii="Arial Narrow" w:hAnsi="Arial Narrow"/>
                <w:sz w:val="20"/>
              </w:rPr>
            </w:pPr>
          </w:p>
        </w:tc>
        <w:tc>
          <w:tcPr>
            <w:tcW w:w="421" w:type="pct"/>
            <w:shd w:val="clear" w:color="auto" w:fill="FBD4B4" w:themeFill="accent6" w:themeFillTint="66"/>
          </w:tcPr>
          <w:p w14:paraId="0E9836E4"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007E80E1"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1022E61F" w14:textId="77777777" w:rsidR="00AE47F2" w:rsidRPr="00D93ADB" w:rsidRDefault="00AE47F2" w:rsidP="004750DD">
            <w:pPr>
              <w:spacing w:after="0" w:line="240" w:lineRule="auto"/>
              <w:jc w:val="center"/>
              <w:rPr>
                <w:rFonts w:ascii="Arial Narrow" w:hAnsi="Arial Narrow"/>
                <w:sz w:val="20"/>
              </w:rPr>
            </w:pPr>
          </w:p>
        </w:tc>
        <w:tc>
          <w:tcPr>
            <w:tcW w:w="370" w:type="pct"/>
            <w:shd w:val="clear" w:color="auto" w:fill="FBD4B4" w:themeFill="accent6" w:themeFillTint="66"/>
          </w:tcPr>
          <w:p w14:paraId="25E2F773" w14:textId="77777777" w:rsidR="00AE47F2" w:rsidRPr="00D93ADB" w:rsidRDefault="00AE47F2" w:rsidP="004750DD">
            <w:pPr>
              <w:spacing w:after="0" w:line="240" w:lineRule="auto"/>
              <w:jc w:val="center"/>
              <w:rPr>
                <w:rFonts w:ascii="Arial Narrow" w:hAnsi="Arial Narrow"/>
                <w:sz w:val="20"/>
              </w:rPr>
            </w:pPr>
          </w:p>
        </w:tc>
      </w:tr>
      <w:tr w:rsidR="007A0DFF" w:rsidRPr="00A543B0" w14:paraId="6A0F51B2" w14:textId="77777777" w:rsidTr="00C270F6">
        <w:tc>
          <w:tcPr>
            <w:tcW w:w="882" w:type="pct"/>
            <w:shd w:val="clear" w:color="auto" w:fill="auto"/>
          </w:tcPr>
          <w:p w14:paraId="0267BA0A" w14:textId="77777777" w:rsidR="00AE47F2" w:rsidRPr="00D93ADB" w:rsidRDefault="00AE47F2" w:rsidP="004750DD">
            <w:pPr>
              <w:spacing w:before="120" w:after="120" w:line="240" w:lineRule="auto"/>
              <w:rPr>
                <w:rFonts w:ascii="Arial Narrow" w:hAnsi="Arial Narrow"/>
                <w:sz w:val="20"/>
              </w:rPr>
            </w:pPr>
            <w:r w:rsidRPr="00D93ADB">
              <w:rPr>
                <w:rFonts w:ascii="Arial Narrow" w:hAnsi="Arial Narrow"/>
                <w:sz w:val="20"/>
              </w:rPr>
              <w:t>Palliative care</w:t>
            </w:r>
          </w:p>
        </w:tc>
        <w:tc>
          <w:tcPr>
            <w:tcW w:w="458" w:type="pct"/>
            <w:shd w:val="clear" w:color="auto" w:fill="E5B8B7" w:themeFill="accent2" w:themeFillTint="66"/>
          </w:tcPr>
          <w:p w14:paraId="6058C0B9" w14:textId="77777777" w:rsidR="00AE47F2" w:rsidRPr="00D93ADB" w:rsidRDefault="00AE47F2" w:rsidP="004750DD">
            <w:pPr>
              <w:spacing w:after="0" w:line="240" w:lineRule="auto"/>
              <w:jc w:val="center"/>
              <w:rPr>
                <w:rFonts w:ascii="Arial Narrow" w:hAnsi="Arial Narrow"/>
                <w:sz w:val="20"/>
              </w:rPr>
            </w:pPr>
          </w:p>
        </w:tc>
        <w:tc>
          <w:tcPr>
            <w:tcW w:w="458" w:type="pct"/>
            <w:shd w:val="clear" w:color="auto" w:fill="E5B8B7" w:themeFill="accent2" w:themeFillTint="66"/>
          </w:tcPr>
          <w:p w14:paraId="47E66C69" w14:textId="77777777" w:rsidR="00AE47F2" w:rsidRPr="00D93ADB" w:rsidRDefault="00AE47F2" w:rsidP="004750DD">
            <w:pPr>
              <w:spacing w:after="0" w:line="240" w:lineRule="auto"/>
              <w:jc w:val="center"/>
              <w:rPr>
                <w:rFonts w:ascii="Arial Narrow" w:hAnsi="Arial Narrow"/>
                <w:sz w:val="20"/>
              </w:rPr>
            </w:pPr>
          </w:p>
        </w:tc>
        <w:tc>
          <w:tcPr>
            <w:tcW w:w="387" w:type="pct"/>
            <w:shd w:val="clear" w:color="auto" w:fill="D6E3BC" w:themeFill="accent3" w:themeFillTint="66"/>
          </w:tcPr>
          <w:p w14:paraId="6DD9E038" w14:textId="77777777" w:rsidR="00AE47F2" w:rsidRPr="00D93ADB" w:rsidRDefault="00AE47F2" w:rsidP="004750DD">
            <w:pPr>
              <w:spacing w:after="0" w:line="240" w:lineRule="auto"/>
              <w:jc w:val="center"/>
              <w:rPr>
                <w:rFonts w:ascii="Arial Narrow" w:hAnsi="Arial Narrow"/>
                <w:sz w:val="20"/>
              </w:rPr>
            </w:pPr>
          </w:p>
        </w:tc>
        <w:tc>
          <w:tcPr>
            <w:tcW w:w="528" w:type="pct"/>
            <w:shd w:val="clear" w:color="auto" w:fill="D6E3BC" w:themeFill="accent3" w:themeFillTint="66"/>
          </w:tcPr>
          <w:p w14:paraId="5A7BA9A5"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55280EF5"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7CD2BC0B" w14:textId="77777777" w:rsidR="00AE47F2" w:rsidRPr="00D93ADB" w:rsidRDefault="00AE47F2" w:rsidP="004750DD">
            <w:pPr>
              <w:spacing w:after="0" w:line="240" w:lineRule="auto"/>
              <w:jc w:val="center"/>
              <w:rPr>
                <w:rFonts w:ascii="Arial Narrow" w:hAnsi="Arial Narrow"/>
                <w:sz w:val="20"/>
              </w:rPr>
            </w:pPr>
          </w:p>
        </w:tc>
        <w:tc>
          <w:tcPr>
            <w:tcW w:w="421" w:type="pct"/>
            <w:shd w:val="clear" w:color="auto" w:fill="FBD4B4" w:themeFill="accent6" w:themeFillTint="66"/>
          </w:tcPr>
          <w:p w14:paraId="3B84F98B"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77661399"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220AC713" w14:textId="77777777" w:rsidR="00AE47F2" w:rsidRPr="00D93ADB" w:rsidRDefault="00AE47F2" w:rsidP="004750DD">
            <w:pPr>
              <w:spacing w:after="0" w:line="240" w:lineRule="auto"/>
              <w:jc w:val="center"/>
              <w:rPr>
                <w:rFonts w:ascii="Arial Narrow" w:hAnsi="Arial Narrow"/>
                <w:sz w:val="20"/>
              </w:rPr>
            </w:pPr>
          </w:p>
        </w:tc>
        <w:tc>
          <w:tcPr>
            <w:tcW w:w="370" w:type="pct"/>
            <w:shd w:val="clear" w:color="auto" w:fill="FBD4B4" w:themeFill="accent6" w:themeFillTint="66"/>
          </w:tcPr>
          <w:p w14:paraId="1283EC5C" w14:textId="77777777" w:rsidR="00AE47F2" w:rsidRPr="00D93ADB" w:rsidRDefault="00AE47F2" w:rsidP="004750DD">
            <w:pPr>
              <w:spacing w:after="0" w:line="240" w:lineRule="auto"/>
              <w:jc w:val="center"/>
              <w:rPr>
                <w:rFonts w:ascii="Arial Narrow" w:hAnsi="Arial Narrow"/>
                <w:sz w:val="20"/>
              </w:rPr>
            </w:pPr>
          </w:p>
        </w:tc>
      </w:tr>
      <w:tr w:rsidR="004750DD" w:rsidRPr="00A543B0" w14:paraId="26D3E0D2" w14:textId="77777777" w:rsidTr="004750DD">
        <w:tc>
          <w:tcPr>
            <w:tcW w:w="5000" w:type="pct"/>
            <w:gridSpan w:val="11"/>
            <w:shd w:val="clear" w:color="auto" w:fill="auto"/>
            <w:vAlign w:val="center"/>
          </w:tcPr>
          <w:p w14:paraId="419C5E21" w14:textId="77777777" w:rsidR="004750DD" w:rsidRPr="00D93ADB" w:rsidRDefault="004750DD" w:rsidP="004750DD">
            <w:pPr>
              <w:spacing w:before="120" w:after="120" w:line="240" w:lineRule="auto"/>
              <w:rPr>
                <w:rFonts w:ascii="Arial Narrow" w:hAnsi="Arial Narrow"/>
                <w:b/>
                <w:sz w:val="20"/>
              </w:rPr>
            </w:pPr>
            <w:r w:rsidRPr="00D93ADB">
              <w:rPr>
                <w:rFonts w:ascii="Arial Narrow" w:hAnsi="Arial Narrow"/>
                <w:b/>
                <w:sz w:val="20"/>
              </w:rPr>
              <w:t>Resources used to manage patients who are unsuccessfully treated with comparator 1</w:t>
            </w:r>
          </w:p>
        </w:tc>
      </w:tr>
      <w:tr w:rsidR="007A0DFF" w:rsidRPr="00A543B0" w14:paraId="38B67797" w14:textId="77777777" w:rsidTr="00C270F6">
        <w:tc>
          <w:tcPr>
            <w:tcW w:w="882" w:type="pct"/>
            <w:shd w:val="clear" w:color="auto" w:fill="auto"/>
          </w:tcPr>
          <w:p w14:paraId="585C6B6D" w14:textId="77777777" w:rsidR="004750DD" w:rsidRPr="00D93ADB" w:rsidRDefault="00AE47F2" w:rsidP="004750DD">
            <w:pPr>
              <w:spacing w:before="120" w:after="120" w:line="240" w:lineRule="auto"/>
              <w:rPr>
                <w:rFonts w:ascii="Arial Narrow" w:hAnsi="Arial Narrow"/>
                <w:sz w:val="20"/>
              </w:rPr>
            </w:pPr>
            <w:r w:rsidRPr="00D93ADB">
              <w:rPr>
                <w:rFonts w:ascii="Arial Narrow" w:hAnsi="Arial Narrow"/>
                <w:sz w:val="20"/>
              </w:rPr>
              <w:t>Chemotherapy</w:t>
            </w:r>
          </w:p>
        </w:tc>
        <w:tc>
          <w:tcPr>
            <w:tcW w:w="458" w:type="pct"/>
            <w:shd w:val="clear" w:color="auto" w:fill="E5B8B7" w:themeFill="accent2" w:themeFillTint="66"/>
          </w:tcPr>
          <w:p w14:paraId="6C920EA9" w14:textId="77777777" w:rsidR="004750DD" w:rsidRPr="00D93ADB" w:rsidRDefault="004750DD" w:rsidP="004750DD">
            <w:pPr>
              <w:spacing w:after="0" w:line="240" w:lineRule="auto"/>
              <w:jc w:val="center"/>
              <w:rPr>
                <w:rFonts w:ascii="Arial Narrow" w:hAnsi="Arial Narrow"/>
                <w:sz w:val="20"/>
              </w:rPr>
            </w:pPr>
          </w:p>
        </w:tc>
        <w:tc>
          <w:tcPr>
            <w:tcW w:w="458" w:type="pct"/>
            <w:shd w:val="clear" w:color="auto" w:fill="E5B8B7" w:themeFill="accent2" w:themeFillTint="66"/>
          </w:tcPr>
          <w:p w14:paraId="3A494FF9" w14:textId="77777777" w:rsidR="004750DD" w:rsidRPr="00D93ADB" w:rsidRDefault="004750DD" w:rsidP="004750DD">
            <w:pPr>
              <w:spacing w:after="0" w:line="240" w:lineRule="auto"/>
              <w:jc w:val="center"/>
              <w:rPr>
                <w:rFonts w:ascii="Arial Narrow" w:hAnsi="Arial Narrow"/>
                <w:sz w:val="20"/>
              </w:rPr>
            </w:pPr>
          </w:p>
        </w:tc>
        <w:tc>
          <w:tcPr>
            <w:tcW w:w="387" w:type="pct"/>
            <w:shd w:val="clear" w:color="auto" w:fill="D6E3BC" w:themeFill="accent3" w:themeFillTint="66"/>
          </w:tcPr>
          <w:p w14:paraId="298DD08F" w14:textId="77777777" w:rsidR="004750DD" w:rsidRPr="00D93ADB" w:rsidRDefault="004750DD" w:rsidP="004750DD">
            <w:pPr>
              <w:spacing w:after="0" w:line="240" w:lineRule="auto"/>
              <w:jc w:val="center"/>
              <w:rPr>
                <w:rFonts w:ascii="Arial Narrow" w:hAnsi="Arial Narrow"/>
                <w:sz w:val="20"/>
              </w:rPr>
            </w:pPr>
          </w:p>
        </w:tc>
        <w:tc>
          <w:tcPr>
            <w:tcW w:w="528" w:type="pct"/>
            <w:shd w:val="clear" w:color="auto" w:fill="D6E3BC" w:themeFill="accent3" w:themeFillTint="66"/>
          </w:tcPr>
          <w:p w14:paraId="4086D444"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0F8A1823"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3FCCAB9D" w14:textId="77777777" w:rsidR="004750DD" w:rsidRPr="00D93ADB" w:rsidRDefault="004750DD" w:rsidP="004750DD">
            <w:pPr>
              <w:spacing w:after="0" w:line="240" w:lineRule="auto"/>
              <w:jc w:val="center"/>
              <w:rPr>
                <w:rFonts w:ascii="Arial Narrow" w:hAnsi="Arial Narrow"/>
                <w:sz w:val="20"/>
              </w:rPr>
            </w:pPr>
          </w:p>
        </w:tc>
        <w:tc>
          <w:tcPr>
            <w:tcW w:w="421" w:type="pct"/>
            <w:shd w:val="clear" w:color="auto" w:fill="FBD4B4" w:themeFill="accent6" w:themeFillTint="66"/>
          </w:tcPr>
          <w:p w14:paraId="29E08904"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25F53645" w14:textId="77777777" w:rsidR="004750DD" w:rsidRPr="00D93ADB" w:rsidRDefault="004750DD" w:rsidP="004750DD">
            <w:pPr>
              <w:spacing w:after="0" w:line="240" w:lineRule="auto"/>
              <w:jc w:val="center"/>
              <w:rPr>
                <w:rFonts w:ascii="Arial Narrow" w:hAnsi="Arial Narrow"/>
                <w:sz w:val="20"/>
              </w:rPr>
            </w:pPr>
          </w:p>
        </w:tc>
        <w:tc>
          <w:tcPr>
            <w:tcW w:w="374" w:type="pct"/>
            <w:shd w:val="clear" w:color="auto" w:fill="FBD4B4" w:themeFill="accent6" w:themeFillTint="66"/>
          </w:tcPr>
          <w:p w14:paraId="4B2FCA69" w14:textId="77777777" w:rsidR="004750DD" w:rsidRPr="00D93ADB" w:rsidRDefault="004750DD" w:rsidP="004750DD">
            <w:pPr>
              <w:spacing w:after="0" w:line="240" w:lineRule="auto"/>
              <w:jc w:val="center"/>
              <w:rPr>
                <w:rFonts w:ascii="Arial Narrow" w:hAnsi="Arial Narrow"/>
                <w:sz w:val="20"/>
              </w:rPr>
            </w:pPr>
          </w:p>
        </w:tc>
        <w:tc>
          <w:tcPr>
            <w:tcW w:w="370" w:type="pct"/>
            <w:shd w:val="clear" w:color="auto" w:fill="FBD4B4" w:themeFill="accent6" w:themeFillTint="66"/>
          </w:tcPr>
          <w:p w14:paraId="0374F3B7" w14:textId="77777777" w:rsidR="004750DD" w:rsidRPr="00D93ADB" w:rsidRDefault="004750DD" w:rsidP="004750DD">
            <w:pPr>
              <w:spacing w:after="0" w:line="240" w:lineRule="auto"/>
              <w:jc w:val="center"/>
              <w:rPr>
                <w:rFonts w:ascii="Arial Narrow" w:hAnsi="Arial Narrow"/>
                <w:sz w:val="20"/>
              </w:rPr>
            </w:pPr>
          </w:p>
        </w:tc>
      </w:tr>
      <w:tr w:rsidR="007A0DFF" w:rsidRPr="00A543B0" w14:paraId="0D006709" w14:textId="77777777" w:rsidTr="00C270F6">
        <w:tc>
          <w:tcPr>
            <w:tcW w:w="882" w:type="pct"/>
            <w:shd w:val="clear" w:color="auto" w:fill="auto"/>
          </w:tcPr>
          <w:p w14:paraId="4B16B9F7" w14:textId="77777777" w:rsidR="00AE47F2" w:rsidRPr="00D93ADB" w:rsidDel="00AE47F2" w:rsidRDefault="00AE47F2" w:rsidP="004750DD">
            <w:pPr>
              <w:spacing w:before="120" w:after="120" w:line="240" w:lineRule="auto"/>
              <w:rPr>
                <w:rFonts w:ascii="Arial Narrow" w:hAnsi="Arial Narrow"/>
                <w:sz w:val="20"/>
              </w:rPr>
            </w:pPr>
            <w:r w:rsidRPr="00D93ADB">
              <w:rPr>
                <w:rFonts w:ascii="Arial Narrow" w:hAnsi="Arial Narrow"/>
                <w:sz w:val="20"/>
              </w:rPr>
              <w:t>Treatment of side effects and adverse events</w:t>
            </w:r>
          </w:p>
        </w:tc>
        <w:tc>
          <w:tcPr>
            <w:tcW w:w="458" w:type="pct"/>
            <w:shd w:val="clear" w:color="auto" w:fill="E5B8B7" w:themeFill="accent2" w:themeFillTint="66"/>
          </w:tcPr>
          <w:p w14:paraId="41E917F7" w14:textId="77777777" w:rsidR="00AE47F2" w:rsidRPr="00D93ADB" w:rsidRDefault="00AE47F2" w:rsidP="004750DD">
            <w:pPr>
              <w:spacing w:after="0" w:line="240" w:lineRule="auto"/>
              <w:jc w:val="center"/>
              <w:rPr>
                <w:rFonts w:ascii="Arial Narrow" w:hAnsi="Arial Narrow"/>
                <w:sz w:val="20"/>
              </w:rPr>
            </w:pPr>
          </w:p>
        </w:tc>
        <w:tc>
          <w:tcPr>
            <w:tcW w:w="458" w:type="pct"/>
            <w:shd w:val="clear" w:color="auto" w:fill="E5B8B7" w:themeFill="accent2" w:themeFillTint="66"/>
          </w:tcPr>
          <w:p w14:paraId="26493367" w14:textId="77777777" w:rsidR="00AE47F2" w:rsidRPr="00D93ADB" w:rsidRDefault="00AE47F2" w:rsidP="004750DD">
            <w:pPr>
              <w:spacing w:after="0" w:line="240" w:lineRule="auto"/>
              <w:jc w:val="center"/>
              <w:rPr>
                <w:rFonts w:ascii="Arial Narrow" w:hAnsi="Arial Narrow"/>
                <w:sz w:val="20"/>
              </w:rPr>
            </w:pPr>
          </w:p>
        </w:tc>
        <w:tc>
          <w:tcPr>
            <w:tcW w:w="387" w:type="pct"/>
            <w:shd w:val="clear" w:color="auto" w:fill="D6E3BC" w:themeFill="accent3" w:themeFillTint="66"/>
          </w:tcPr>
          <w:p w14:paraId="6145B3A2" w14:textId="77777777" w:rsidR="00AE47F2" w:rsidRPr="00D93ADB" w:rsidRDefault="00AE47F2" w:rsidP="004750DD">
            <w:pPr>
              <w:spacing w:after="0" w:line="240" w:lineRule="auto"/>
              <w:jc w:val="center"/>
              <w:rPr>
                <w:rFonts w:ascii="Arial Narrow" w:hAnsi="Arial Narrow"/>
                <w:sz w:val="20"/>
              </w:rPr>
            </w:pPr>
          </w:p>
        </w:tc>
        <w:tc>
          <w:tcPr>
            <w:tcW w:w="528" w:type="pct"/>
            <w:shd w:val="clear" w:color="auto" w:fill="D6E3BC" w:themeFill="accent3" w:themeFillTint="66"/>
          </w:tcPr>
          <w:p w14:paraId="4A09370D"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5E91C876"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19C42F6F" w14:textId="77777777" w:rsidR="00AE47F2" w:rsidRPr="00D93ADB" w:rsidRDefault="00AE47F2" w:rsidP="004750DD">
            <w:pPr>
              <w:spacing w:after="0" w:line="240" w:lineRule="auto"/>
              <w:jc w:val="center"/>
              <w:rPr>
                <w:rFonts w:ascii="Arial Narrow" w:hAnsi="Arial Narrow"/>
                <w:sz w:val="20"/>
              </w:rPr>
            </w:pPr>
          </w:p>
        </w:tc>
        <w:tc>
          <w:tcPr>
            <w:tcW w:w="421" w:type="pct"/>
            <w:shd w:val="clear" w:color="auto" w:fill="FBD4B4" w:themeFill="accent6" w:themeFillTint="66"/>
          </w:tcPr>
          <w:p w14:paraId="165C83A1"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763263D8"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062D43B1" w14:textId="77777777" w:rsidR="00AE47F2" w:rsidRPr="00D93ADB" w:rsidRDefault="00AE47F2" w:rsidP="004750DD">
            <w:pPr>
              <w:spacing w:after="0" w:line="240" w:lineRule="auto"/>
              <w:jc w:val="center"/>
              <w:rPr>
                <w:rFonts w:ascii="Arial Narrow" w:hAnsi="Arial Narrow"/>
                <w:sz w:val="20"/>
              </w:rPr>
            </w:pPr>
          </w:p>
        </w:tc>
        <w:tc>
          <w:tcPr>
            <w:tcW w:w="370" w:type="pct"/>
            <w:shd w:val="clear" w:color="auto" w:fill="FBD4B4" w:themeFill="accent6" w:themeFillTint="66"/>
          </w:tcPr>
          <w:p w14:paraId="118A9846" w14:textId="77777777" w:rsidR="00AE47F2" w:rsidRPr="00D93ADB" w:rsidRDefault="00AE47F2" w:rsidP="004750DD">
            <w:pPr>
              <w:spacing w:after="0" w:line="240" w:lineRule="auto"/>
              <w:jc w:val="center"/>
              <w:rPr>
                <w:rFonts w:ascii="Arial Narrow" w:hAnsi="Arial Narrow"/>
                <w:sz w:val="20"/>
              </w:rPr>
            </w:pPr>
          </w:p>
        </w:tc>
      </w:tr>
      <w:tr w:rsidR="007A0DFF" w:rsidRPr="00A543B0" w14:paraId="00FF3EDB" w14:textId="77777777" w:rsidTr="00C270F6">
        <w:tc>
          <w:tcPr>
            <w:tcW w:w="882" w:type="pct"/>
            <w:shd w:val="clear" w:color="auto" w:fill="auto"/>
          </w:tcPr>
          <w:p w14:paraId="637D812F" w14:textId="77777777" w:rsidR="00AE47F2" w:rsidRPr="00D93ADB" w:rsidDel="00AE47F2" w:rsidRDefault="00AE47F2" w:rsidP="004750DD">
            <w:pPr>
              <w:spacing w:before="120" w:after="120" w:line="240" w:lineRule="auto"/>
              <w:rPr>
                <w:rFonts w:ascii="Arial Narrow" w:hAnsi="Arial Narrow"/>
                <w:sz w:val="20"/>
              </w:rPr>
            </w:pPr>
            <w:r w:rsidRPr="00D93ADB">
              <w:rPr>
                <w:rFonts w:ascii="Arial Narrow" w:hAnsi="Arial Narrow"/>
                <w:sz w:val="20"/>
              </w:rPr>
              <w:t>Palliative care</w:t>
            </w:r>
          </w:p>
        </w:tc>
        <w:tc>
          <w:tcPr>
            <w:tcW w:w="458" w:type="pct"/>
            <w:shd w:val="clear" w:color="auto" w:fill="E5B8B7" w:themeFill="accent2" w:themeFillTint="66"/>
          </w:tcPr>
          <w:p w14:paraId="60D1DBC3" w14:textId="77777777" w:rsidR="00AE47F2" w:rsidRPr="00D93ADB" w:rsidRDefault="00AE47F2" w:rsidP="004750DD">
            <w:pPr>
              <w:spacing w:after="0" w:line="240" w:lineRule="auto"/>
              <w:jc w:val="center"/>
              <w:rPr>
                <w:rFonts w:ascii="Arial Narrow" w:hAnsi="Arial Narrow"/>
                <w:sz w:val="20"/>
              </w:rPr>
            </w:pPr>
          </w:p>
        </w:tc>
        <w:tc>
          <w:tcPr>
            <w:tcW w:w="458" w:type="pct"/>
            <w:shd w:val="clear" w:color="auto" w:fill="E5B8B7" w:themeFill="accent2" w:themeFillTint="66"/>
          </w:tcPr>
          <w:p w14:paraId="6DE8B30F" w14:textId="77777777" w:rsidR="00AE47F2" w:rsidRPr="00D93ADB" w:rsidRDefault="00AE47F2" w:rsidP="004750DD">
            <w:pPr>
              <w:spacing w:after="0" w:line="240" w:lineRule="auto"/>
              <w:jc w:val="center"/>
              <w:rPr>
                <w:rFonts w:ascii="Arial Narrow" w:hAnsi="Arial Narrow"/>
                <w:sz w:val="20"/>
              </w:rPr>
            </w:pPr>
          </w:p>
        </w:tc>
        <w:tc>
          <w:tcPr>
            <w:tcW w:w="387" w:type="pct"/>
            <w:shd w:val="clear" w:color="auto" w:fill="D6E3BC" w:themeFill="accent3" w:themeFillTint="66"/>
          </w:tcPr>
          <w:p w14:paraId="132A43E2" w14:textId="77777777" w:rsidR="00AE47F2" w:rsidRPr="00D93ADB" w:rsidRDefault="00AE47F2" w:rsidP="004750DD">
            <w:pPr>
              <w:spacing w:after="0" w:line="240" w:lineRule="auto"/>
              <w:jc w:val="center"/>
              <w:rPr>
                <w:rFonts w:ascii="Arial Narrow" w:hAnsi="Arial Narrow"/>
                <w:sz w:val="20"/>
              </w:rPr>
            </w:pPr>
          </w:p>
        </w:tc>
        <w:tc>
          <w:tcPr>
            <w:tcW w:w="528" w:type="pct"/>
            <w:shd w:val="clear" w:color="auto" w:fill="D6E3BC" w:themeFill="accent3" w:themeFillTint="66"/>
          </w:tcPr>
          <w:p w14:paraId="577AEB46"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21A0C2C9"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2F5D5124" w14:textId="77777777" w:rsidR="00AE47F2" w:rsidRPr="00D93ADB" w:rsidRDefault="00AE47F2" w:rsidP="004750DD">
            <w:pPr>
              <w:spacing w:after="0" w:line="240" w:lineRule="auto"/>
              <w:jc w:val="center"/>
              <w:rPr>
                <w:rFonts w:ascii="Arial Narrow" w:hAnsi="Arial Narrow"/>
                <w:sz w:val="20"/>
              </w:rPr>
            </w:pPr>
          </w:p>
        </w:tc>
        <w:tc>
          <w:tcPr>
            <w:tcW w:w="421" w:type="pct"/>
            <w:shd w:val="clear" w:color="auto" w:fill="FBD4B4" w:themeFill="accent6" w:themeFillTint="66"/>
          </w:tcPr>
          <w:p w14:paraId="29FEADCB"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2A5E04D0" w14:textId="77777777" w:rsidR="00AE47F2" w:rsidRPr="00D93ADB" w:rsidRDefault="00AE47F2" w:rsidP="004750DD">
            <w:pPr>
              <w:spacing w:after="0" w:line="240" w:lineRule="auto"/>
              <w:jc w:val="center"/>
              <w:rPr>
                <w:rFonts w:ascii="Arial Narrow" w:hAnsi="Arial Narrow"/>
                <w:sz w:val="20"/>
              </w:rPr>
            </w:pPr>
          </w:p>
        </w:tc>
        <w:tc>
          <w:tcPr>
            <w:tcW w:w="374" w:type="pct"/>
            <w:shd w:val="clear" w:color="auto" w:fill="FBD4B4" w:themeFill="accent6" w:themeFillTint="66"/>
          </w:tcPr>
          <w:p w14:paraId="73EB5EA6" w14:textId="77777777" w:rsidR="00AE47F2" w:rsidRPr="00D93ADB" w:rsidRDefault="00AE47F2" w:rsidP="004750DD">
            <w:pPr>
              <w:spacing w:after="0" w:line="240" w:lineRule="auto"/>
              <w:jc w:val="center"/>
              <w:rPr>
                <w:rFonts w:ascii="Arial Narrow" w:hAnsi="Arial Narrow"/>
                <w:sz w:val="20"/>
              </w:rPr>
            </w:pPr>
          </w:p>
        </w:tc>
        <w:tc>
          <w:tcPr>
            <w:tcW w:w="370" w:type="pct"/>
            <w:shd w:val="clear" w:color="auto" w:fill="FBD4B4" w:themeFill="accent6" w:themeFillTint="66"/>
          </w:tcPr>
          <w:p w14:paraId="279B0443" w14:textId="77777777" w:rsidR="00AE47F2" w:rsidRPr="00D93ADB" w:rsidRDefault="00AE47F2" w:rsidP="004750DD">
            <w:pPr>
              <w:spacing w:after="0" w:line="240" w:lineRule="auto"/>
              <w:jc w:val="center"/>
              <w:rPr>
                <w:rFonts w:ascii="Arial Narrow" w:hAnsi="Arial Narrow"/>
                <w:sz w:val="20"/>
              </w:rPr>
            </w:pPr>
          </w:p>
        </w:tc>
      </w:tr>
    </w:tbl>
    <w:p w14:paraId="5B1B1A18" w14:textId="77777777" w:rsidR="00D563AE" w:rsidRDefault="00D563AE" w:rsidP="00AA2F0C">
      <w:pPr>
        <w:pStyle w:val="Tablefootnote"/>
      </w:pPr>
      <w:r>
        <w:t xml:space="preserve">ER = Oestrogen receptor; HER2 = human epidermal growth factor receptor 2; FFPE = formalin-fixed, paraffin embedded; IHC = immunohistochemistry </w:t>
      </w:r>
    </w:p>
    <w:p w14:paraId="39C4EFF3" w14:textId="77777777" w:rsidR="00C04293" w:rsidRDefault="00C04293" w:rsidP="00AA2F0C">
      <w:pPr>
        <w:pStyle w:val="Tablefootnote"/>
        <w:rPr>
          <w:sz w:val="24"/>
          <w:szCs w:val="24"/>
        </w:rPr>
      </w:pPr>
      <w:r w:rsidRPr="00D415F1">
        <w:t>* Include costs relating to both the standard and extended safety net.</w:t>
      </w:r>
    </w:p>
    <w:p w14:paraId="53360B6D" w14:textId="77777777" w:rsidR="00793D90" w:rsidRDefault="00793D90" w:rsidP="008B5AB2">
      <w:pPr>
        <w:rPr>
          <w:sz w:val="24"/>
          <w:szCs w:val="24"/>
        </w:rPr>
      </w:pPr>
    </w:p>
    <w:p w14:paraId="5B613FBE" w14:textId="77777777" w:rsidR="00793D90" w:rsidRDefault="00793D90" w:rsidP="008B5AB2">
      <w:pPr>
        <w:rPr>
          <w:sz w:val="24"/>
          <w:szCs w:val="24"/>
        </w:rPr>
      </w:pPr>
    </w:p>
    <w:p w14:paraId="3CD7527C" w14:textId="77777777" w:rsidR="00251A97" w:rsidRDefault="00251A97" w:rsidP="0081141A">
      <w:pPr>
        <w:pStyle w:val="EndNoteBibliography"/>
        <w:rPr>
          <w:sz w:val="24"/>
          <w:szCs w:val="24"/>
        </w:rPr>
        <w:sectPr w:rsidR="00251A97" w:rsidSect="00251A97">
          <w:pgSz w:w="16838" w:h="11906" w:orient="landscape"/>
          <w:pgMar w:top="1418" w:right="1440" w:bottom="1440" w:left="1440" w:header="709" w:footer="709" w:gutter="0"/>
          <w:cols w:space="708"/>
          <w:docGrid w:linePitch="360"/>
        </w:sectPr>
      </w:pPr>
    </w:p>
    <w:p w14:paraId="0B8702A1" w14:textId="77777777" w:rsidR="00BB20E6" w:rsidRPr="00BB20E6" w:rsidRDefault="00F922E3" w:rsidP="0081471D">
      <w:pPr>
        <w:pStyle w:val="Heading1"/>
        <w:numPr>
          <w:ilvl w:val="0"/>
          <w:numId w:val="0"/>
        </w:numPr>
      </w:pPr>
      <w:r w:rsidRPr="00BB20E6">
        <w:lastRenderedPageBreak/>
        <w:t>References</w:t>
      </w:r>
    </w:p>
    <w:p w14:paraId="561C9769" w14:textId="77777777" w:rsidR="009558F1" w:rsidRPr="009558F1" w:rsidRDefault="00793D90" w:rsidP="009558F1">
      <w:pPr>
        <w:pStyle w:val="EndNoteBibliography"/>
      </w:pPr>
      <w:r>
        <w:rPr>
          <w:sz w:val="24"/>
          <w:szCs w:val="24"/>
        </w:rPr>
        <w:fldChar w:fldCharType="begin"/>
      </w:r>
      <w:r>
        <w:rPr>
          <w:sz w:val="24"/>
          <w:szCs w:val="24"/>
        </w:rPr>
        <w:instrText xml:space="preserve"> ADDIN EN.REFLIST </w:instrText>
      </w:r>
      <w:r>
        <w:rPr>
          <w:sz w:val="24"/>
          <w:szCs w:val="24"/>
        </w:rPr>
        <w:fldChar w:fldCharType="separate"/>
      </w:r>
      <w:bookmarkStart w:id="12" w:name="_ENREF_1"/>
      <w:r w:rsidR="009558F1" w:rsidRPr="009558F1">
        <w:t xml:space="preserve">AIHW 2012, </w:t>
      </w:r>
      <w:r w:rsidR="009558F1" w:rsidRPr="009558F1">
        <w:rPr>
          <w:i/>
        </w:rPr>
        <w:t>Breast cancer in Australia: an overview</w:t>
      </w:r>
      <w:r w:rsidR="009558F1" w:rsidRPr="009558F1">
        <w:t>,  Cancer series no. 71. Cat. no. CAN 67, AIHW, Canberra.</w:t>
      </w:r>
    </w:p>
    <w:bookmarkEnd w:id="12"/>
    <w:p w14:paraId="136C878D" w14:textId="77777777" w:rsidR="009558F1" w:rsidRPr="009558F1" w:rsidRDefault="009558F1" w:rsidP="009558F1">
      <w:pPr>
        <w:pStyle w:val="EndNoteBibliography"/>
        <w:spacing w:after="0"/>
      </w:pPr>
    </w:p>
    <w:p w14:paraId="1457ACE0" w14:textId="77777777" w:rsidR="009558F1" w:rsidRPr="009558F1" w:rsidRDefault="009558F1" w:rsidP="009558F1">
      <w:pPr>
        <w:pStyle w:val="EndNoteBibliography"/>
      </w:pPr>
      <w:bookmarkStart w:id="13" w:name="_ENREF_2"/>
      <w:r w:rsidRPr="009558F1">
        <w:t xml:space="preserve">AIHW 2015, </w:t>
      </w:r>
      <w:r w:rsidRPr="009558F1">
        <w:rPr>
          <w:i/>
        </w:rPr>
        <w:t>Australian Cancer Incidence and Mortality (ACIM) Books - Breast cancer for Australia (ICD10 C50)</w:t>
      </w:r>
      <w:r w:rsidRPr="009558F1">
        <w:t>.</w:t>
      </w:r>
    </w:p>
    <w:bookmarkEnd w:id="13"/>
    <w:p w14:paraId="6189E9FC" w14:textId="77777777" w:rsidR="009558F1" w:rsidRPr="009558F1" w:rsidRDefault="009558F1" w:rsidP="009558F1">
      <w:pPr>
        <w:pStyle w:val="EndNoteBibliography"/>
        <w:spacing w:after="0"/>
      </w:pPr>
    </w:p>
    <w:p w14:paraId="51B5C2D9" w14:textId="77777777" w:rsidR="009558F1" w:rsidRPr="009558F1" w:rsidRDefault="009558F1" w:rsidP="009558F1">
      <w:pPr>
        <w:pStyle w:val="EndNoteBibliography"/>
      </w:pPr>
      <w:bookmarkStart w:id="14" w:name="_ENREF_3"/>
      <w:r w:rsidRPr="009558F1">
        <w:t xml:space="preserve">AJCC 2012, </w:t>
      </w:r>
      <w:r w:rsidRPr="009558F1">
        <w:rPr>
          <w:i/>
        </w:rPr>
        <w:t>Cancer Staging Atlas</w:t>
      </w:r>
      <w:r w:rsidRPr="009558F1">
        <w:t>, Springer.</w:t>
      </w:r>
    </w:p>
    <w:bookmarkEnd w:id="14"/>
    <w:p w14:paraId="4B9C3AA2" w14:textId="77777777" w:rsidR="009558F1" w:rsidRPr="009558F1" w:rsidRDefault="009558F1" w:rsidP="009558F1">
      <w:pPr>
        <w:pStyle w:val="EndNoteBibliography"/>
        <w:spacing w:after="0"/>
      </w:pPr>
    </w:p>
    <w:p w14:paraId="3FCE423B" w14:textId="77777777" w:rsidR="009558F1" w:rsidRPr="009558F1" w:rsidRDefault="009558F1" w:rsidP="009558F1">
      <w:pPr>
        <w:pStyle w:val="EndNoteBibliography"/>
      </w:pPr>
      <w:bookmarkStart w:id="15" w:name="_ENREF_4"/>
      <w:r w:rsidRPr="009558F1">
        <w:t xml:space="preserve">Brase JC, KR, Petry C, Denkert C, Schmidt M, 2013, 'From High-Throughput Microarray-Based Screening to Clinical Application: The Development of a Second Generation Multigene Test for Breast Cancer Prognosis', </w:t>
      </w:r>
      <w:r w:rsidRPr="009558F1">
        <w:rPr>
          <w:i/>
        </w:rPr>
        <w:t>Open Access</w:t>
      </w:r>
      <w:r w:rsidRPr="009558F1">
        <w:t>, vol. Microarrays, no. 2, pp. 243-264.</w:t>
      </w:r>
    </w:p>
    <w:bookmarkEnd w:id="15"/>
    <w:p w14:paraId="48BF2488" w14:textId="77777777" w:rsidR="009558F1" w:rsidRPr="009558F1" w:rsidRDefault="009558F1" w:rsidP="009558F1">
      <w:pPr>
        <w:pStyle w:val="EndNoteBibliography"/>
        <w:spacing w:after="0"/>
      </w:pPr>
    </w:p>
    <w:p w14:paraId="7CCB72F8" w14:textId="7B87D7FF" w:rsidR="009558F1" w:rsidRPr="009558F1" w:rsidRDefault="009558F1" w:rsidP="009558F1">
      <w:pPr>
        <w:pStyle w:val="EndNoteBibliography"/>
      </w:pPr>
      <w:bookmarkStart w:id="16" w:name="_ENREF_5"/>
      <w:r w:rsidRPr="009558F1">
        <w:t>Cancer Australia 2015, 'Breast cancer statistics', Australian Government, &lt;</w:t>
      </w:r>
      <w:hyperlink r:id="rId21" w:history="1">
        <w:r w:rsidR="00AD280B">
          <w:rPr>
            <w:rStyle w:val="Hyperlink"/>
          </w:rPr>
          <w:t>Cancer Australia 2015, 'Breast cancer statistics'</w:t>
        </w:r>
      </w:hyperlink>
      <w:r w:rsidRPr="009558F1">
        <w:t>.</w:t>
      </w:r>
    </w:p>
    <w:bookmarkEnd w:id="16"/>
    <w:p w14:paraId="2A8843F6" w14:textId="77777777" w:rsidR="009558F1" w:rsidRPr="009558F1" w:rsidRDefault="009558F1" w:rsidP="009558F1">
      <w:pPr>
        <w:pStyle w:val="EndNoteBibliography"/>
        <w:spacing w:after="0"/>
      </w:pPr>
    </w:p>
    <w:p w14:paraId="62A548B0" w14:textId="77777777" w:rsidR="009558F1" w:rsidRPr="009558F1" w:rsidRDefault="009558F1" w:rsidP="009558F1">
      <w:pPr>
        <w:pStyle w:val="EndNoteBibliography"/>
      </w:pPr>
      <w:bookmarkStart w:id="17" w:name="_ENREF_6"/>
      <w:r w:rsidRPr="009558F1">
        <w:t xml:space="preserve">Coates, AS, Winer, EP, Goldhirsch, A, Gelber, RD, Gnant, M, Piccart-Gebhart, M, Thurlimann, B &amp; Senn, HJ 2015, 'Tailoring therapies - improving the management of early breast cancer: St GallenInternational Expert Consensus on the Primary Therapy of Early Breast Cancer 2015', </w:t>
      </w:r>
      <w:r w:rsidRPr="009558F1">
        <w:rPr>
          <w:i/>
        </w:rPr>
        <w:t>Ann Oncol</w:t>
      </w:r>
      <w:r w:rsidRPr="009558F1">
        <w:t>, May 4.</w:t>
      </w:r>
    </w:p>
    <w:bookmarkEnd w:id="17"/>
    <w:p w14:paraId="0031F9EA" w14:textId="77777777" w:rsidR="009558F1" w:rsidRPr="009558F1" w:rsidRDefault="009558F1" w:rsidP="009558F1">
      <w:pPr>
        <w:pStyle w:val="EndNoteBibliography"/>
        <w:spacing w:after="0"/>
      </w:pPr>
    </w:p>
    <w:p w14:paraId="4D9B52F7" w14:textId="77777777" w:rsidR="009558F1" w:rsidRPr="009558F1" w:rsidRDefault="009558F1" w:rsidP="009558F1">
      <w:pPr>
        <w:pStyle w:val="EndNoteBibliography"/>
      </w:pPr>
      <w:bookmarkStart w:id="18" w:name="_ENREF_7"/>
      <w:r w:rsidRPr="009558F1">
        <w:t xml:space="preserve">Cobain EF &amp; Hayes DF 2015, 'Indications for prognostic gene expression profiling in early breast cancer', </w:t>
      </w:r>
      <w:r w:rsidRPr="009558F1">
        <w:rPr>
          <w:i/>
        </w:rPr>
        <w:t>Curr Treat Options Oncol</w:t>
      </w:r>
      <w:r w:rsidRPr="009558F1">
        <w:t>, vol. 16, no. 5, May, p. 340.</w:t>
      </w:r>
    </w:p>
    <w:bookmarkEnd w:id="18"/>
    <w:p w14:paraId="2E7C7BD4" w14:textId="77777777" w:rsidR="009558F1" w:rsidRPr="009558F1" w:rsidRDefault="009558F1" w:rsidP="009558F1">
      <w:pPr>
        <w:pStyle w:val="EndNoteBibliography"/>
        <w:spacing w:after="0"/>
      </w:pPr>
    </w:p>
    <w:p w14:paraId="4DECC8A8" w14:textId="77777777" w:rsidR="009558F1" w:rsidRPr="009558F1" w:rsidRDefault="009558F1" w:rsidP="009558F1">
      <w:pPr>
        <w:pStyle w:val="EndNoteBibliography"/>
      </w:pPr>
      <w:bookmarkStart w:id="19" w:name="_ENREF_8"/>
      <w:r w:rsidRPr="009558F1">
        <w:t xml:space="preserve">Dubsky, P, Filipits, M, Jakesz, R, Rudas, M, Singer, CF, Greil, R, Dietze, O, Luisser, I, Klug, E, Sedivy, R, Bachner, M, Mayr, D, Schmidt, M, Gehrmann, MC, Petry, C, Weber, KE, Kronenwett, R, Brase, JC &amp; Gnant, M 2013, 'EndoPredict improves the prognostic classification derived from common clinical guidelines in ER-positive, HER2-negative early breast cancer', </w:t>
      </w:r>
      <w:r w:rsidRPr="009558F1">
        <w:rPr>
          <w:i/>
        </w:rPr>
        <w:t>Ann Oncol</w:t>
      </w:r>
      <w:r w:rsidRPr="009558F1">
        <w:t>, vol. 24, no. 3, Mar, pp. 640-647.</w:t>
      </w:r>
    </w:p>
    <w:bookmarkEnd w:id="19"/>
    <w:p w14:paraId="5350F43C" w14:textId="77777777" w:rsidR="009558F1" w:rsidRPr="009558F1" w:rsidRDefault="009558F1" w:rsidP="009558F1">
      <w:pPr>
        <w:pStyle w:val="EndNoteBibliography"/>
        <w:spacing w:after="0"/>
      </w:pPr>
    </w:p>
    <w:p w14:paraId="720EB353" w14:textId="77777777" w:rsidR="009558F1" w:rsidRPr="009558F1" w:rsidRDefault="009558F1" w:rsidP="009558F1">
      <w:pPr>
        <w:pStyle w:val="EndNoteBibliography"/>
      </w:pPr>
      <w:bookmarkStart w:id="20" w:name="_ENREF_9"/>
      <w:r w:rsidRPr="009558F1">
        <w:t xml:space="preserve">Elston, CW &amp; Ellis, IO 2002, 'Pathological prognostic factors in breast cancer. I. The value of histological grade in breast cancer: experience from a large study with long-term follow-up', </w:t>
      </w:r>
      <w:r w:rsidRPr="009558F1">
        <w:rPr>
          <w:i/>
        </w:rPr>
        <w:t>Histopathology</w:t>
      </w:r>
      <w:r w:rsidRPr="009558F1">
        <w:t>, vol. 41, no. 3A, Sep, pp. 154-161.</w:t>
      </w:r>
    </w:p>
    <w:bookmarkEnd w:id="20"/>
    <w:p w14:paraId="2F282A1E" w14:textId="77777777" w:rsidR="009558F1" w:rsidRPr="009558F1" w:rsidRDefault="009558F1" w:rsidP="009558F1">
      <w:pPr>
        <w:pStyle w:val="EndNoteBibliography"/>
        <w:spacing w:after="0"/>
      </w:pPr>
    </w:p>
    <w:p w14:paraId="27599F81" w14:textId="77777777" w:rsidR="009558F1" w:rsidRPr="009558F1" w:rsidRDefault="009558F1" w:rsidP="009558F1">
      <w:pPr>
        <w:pStyle w:val="EndNoteBibliography"/>
      </w:pPr>
      <w:bookmarkStart w:id="21" w:name="_ENREF_10"/>
      <w:r w:rsidRPr="009558F1">
        <w:t xml:space="preserve">Filipits, M, Rudas, M, Jakesz, R, Dubsky, P, Fitzal, F, Singer, CF, Dietze, O, Greil, R, Jelen, A, Sevelda, P, Freibauer, C, Müller, V, Jänicke, F, Schmidt, M, Kölbl, H, Rody, A, Kaufmann, M, Schroth, W, Brauch, H, Schwab, M, Fritz, P, Weber, KE, Feder, IS, Hennig, G, Kronenwett, R, Gehrmann, M &amp; Gnant, M 2011, 'A New Molecular Predictor of Distant Recurrence in ER-Positive, HER2-Negative Breast Cancer Adds Independent Information to Conventional Clinical Risk Factors', </w:t>
      </w:r>
      <w:r w:rsidRPr="009558F1">
        <w:rPr>
          <w:i/>
        </w:rPr>
        <w:t>Clinical Cancer Research</w:t>
      </w:r>
      <w:r w:rsidRPr="009558F1">
        <w:t>, vol. 17, no. 1</w:t>
      </w:r>
      <w:bookmarkStart w:id="22" w:name="_GoBack"/>
      <w:bookmarkEnd w:id="22"/>
      <w:r w:rsidRPr="009558F1">
        <w:t>8, September 15, 2011, pp. 6012-6020.</w:t>
      </w:r>
    </w:p>
    <w:bookmarkEnd w:id="21"/>
    <w:p w14:paraId="6C426583" w14:textId="77777777" w:rsidR="009558F1" w:rsidRPr="009558F1" w:rsidRDefault="009558F1" w:rsidP="009558F1">
      <w:pPr>
        <w:pStyle w:val="EndNoteBibliography"/>
        <w:spacing w:after="0"/>
      </w:pPr>
    </w:p>
    <w:p w14:paraId="28C9FF1B" w14:textId="77777777" w:rsidR="009558F1" w:rsidRPr="009558F1" w:rsidRDefault="009558F1" w:rsidP="009558F1">
      <w:pPr>
        <w:pStyle w:val="EndNoteBibliography"/>
      </w:pPr>
      <w:bookmarkStart w:id="23" w:name="_ENREF_11"/>
      <w:r w:rsidRPr="009558F1">
        <w:t xml:space="preserve">Kronenwett R 2014, </w:t>
      </w:r>
      <w:r w:rsidRPr="009558F1">
        <w:rPr>
          <w:i/>
        </w:rPr>
        <w:t>Health Tecnology Assessment (HTA) forEndoPredict</w:t>
      </w:r>
      <w:r w:rsidRPr="009558F1">
        <w:t>, Sividon Diagnostics.</w:t>
      </w:r>
    </w:p>
    <w:bookmarkEnd w:id="23"/>
    <w:p w14:paraId="57772444" w14:textId="77777777" w:rsidR="009558F1" w:rsidRPr="009558F1" w:rsidRDefault="009558F1" w:rsidP="009558F1">
      <w:pPr>
        <w:pStyle w:val="EndNoteBibliography"/>
        <w:spacing w:after="0"/>
      </w:pPr>
    </w:p>
    <w:p w14:paraId="12178E90" w14:textId="77777777" w:rsidR="009558F1" w:rsidRPr="009558F1" w:rsidRDefault="009558F1" w:rsidP="009558F1">
      <w:pPr>
        <w:pStyle w:val="EndNoteBibliography"/>
      </w:pPr>
      <w:bookmarkStart w:id="24" w:name="_ENREF_12"/>
      <w:r w:rsidRPr="009558F1">
        <w:t xml:space="preserve">Lin, JS, Thompson, M, Goddard, KA, Piper, MA, Heneghan, C &amp; Whitlock, EP 2012, 'Evaluating genomic tests from bench to bedside: a practical framework', </w:t>
      </w:r>
      <w:r w:rsidRPr="009558F1">
        <w:rPr>
          <w:i/>
        </w:rPr>
        <w:t>BMC Med Inform Decis Mak</w:t>
      </w:r>
      <w:r w:rsidRPr="009558F1">
        <w:t>, vol. 12, p. 117.</w:t>
      </w:r>
    </w:p>
    <w:bookmarkEnd w:id="24"/>
    <w:p w14:paraId="190FCDF4" w14:textId="77777777" w:rsidR="009558F1" w:rsidRPr="009558F1" w:rsidRDefault="009558F1" w:rsidP="009558F1">
      <w:pPr>
        <w:pStyle w:val="EndNoteBibliography"/>
        <w:spacing w:after="0"/>
      </w:pPr>
    </w:p>
    <w:p w14:paraId="107F6E46" w14:textId="77777777" w:rsidR="009558F1" w:rsidRPr="009558F1" w:rsidRDefault="009558F1" w:rsidP="009558F1">
      <w:pPr>
        <w:pStyle w:val="EndNoteBibliography"/>
      </w:pPr>
      <w:bookmarkStart w:id="25" w:name="_ENREF_13"/>
      <w:r w:rsidRPr="009558F1">
        <w:t xml:space="preserve">Muller, BM, Keil, E, Lehmann, A, Winzer, KJ, Richter-Ehrenstein, C, Prinzler, J, Bangemann, N, Reles, A, Stadie, S, Schoenegg, W, Eucker, J, Schmidt, M, Lippek, F, Johrens, K, Pahl, S, Sinn, BV, Budczies, J, Dietel, M &amp; Denkert, C 2013, 'The EndoPredict Gene-Expression Assay in Clinical Practice - Performance and Impact on Clinical Decisions', </w:t>
      </w:r>
      <w:r w:rsidRPr="009558F1">
        <w:rPr>
          <w:i/>
        </w:rPr>
        <w:t>PLoS One</w:t>
      </w:r>
      <w:r w:rsidRPr="009558F1">
        <w:t>, vol. 8, no. 6, p. e68252.</w:t>
      </w:r>
    </w:p>
    <w:bookmarkEnd w:id="25"/>
    <w:p w14:paraId="008BE69A" w14:textId="77777777" w:rsidR="009558F1" w:rsidRPr="009558F1" w:rsidRDefault="009558F1" w:rsidP="009558F1">
      <w:pPr>
        <w:pStyle w:val="EndNoteBibliography"/>
        <w:spacing w:after="0"/>
      </w:pPr>
    </w:p>
    <w:p w14:paraId="63506E5E" w14:textId="77777777" w:rsidR="009558F1" w:rsidRPr="009558F1" w:rsidRDefault="009558F1" w:rsidP="009558F1">
      <w:pPr>
        <w:pStyle w:val="EndNoteBibliography"/>
      </w:pPr>
      <w:bookmarkStart w:id="26" w:name="_ENREF_14"/>
      <w:r w:rsidRPr="009558F1">
        <w:t xml:space="preserve">NCCN 2015, </w:t>
      </w:r>
      <w:r w:rsidRPr="009558F1">
        <w:rPr>
          <w:i/>
        </w:rPr>
        <w:t>Breast Cancer</w:t>
      </w:r>
      <w:r w:rsidRPr="009558F1">
        <w:t>,  NCCN Clinical Practice Guidelines in Oncology National Comprehensive Cancer Network.</w:t>
      </w:r>
    </w:p>
    <w:bookmarkEnd w:id="26"/>
    <w:p w14:paraId="61603637" w14:textId="77777777" w:rsidR="009558F1" w:rsidRPr="009558F1" w:rsidRDefault="009558F1" w:rsidP="009558F1">
      <w:pPr>
        <w:pStyle w:val="EndNoteBibliography"/>
        <w:spacing w:after="0"/>
      </w:pPr>
    </w:p>
    <w:p w14:paraId="5E091886" w14:textId="77777777" w:rsidR="009558F1" w:rsidRPr="009558F1" w:rsidRDefault="009558F1" w:rsidP="009558F1">
      <w:pPr>
        <w:pStyle w:val="EndNoteBibliography"/>
      </w:pPr>
      <w:bookmarkStart w:id="27" w:name="_ENREF_15"/>
      <w:r w:rsidRPr="009558F1">
        <w:t xml:space="preserve">NPAAC 2013a, </w:t>
      </w:r>
      <w:r w:rsidRPr="009558F1">
        <w:rPr>
          <w:i/>
        </w:rPr>
        <w:t>Requirements for medical pathology services</w:t>
      </w:r>
      <w:r w:rsidRPr="009558F1">
        <w:t>.</w:t>
      </w:r>
    </w:p>
    <w:bookmarkEnd w:id="27"/>
    <w:p w14:paraId="4DD107C8" w14:textId="77777777" w:rsidR="009558F1" w:rsidRPr="009558F1" w:rsidRDefault="009558F1" w:rsidP="009558F1">
      <w:pPr>
        <w:pStyle w:val="EndNoteBibliography"/>
        <w:spacing w:after="0"/>
      </w:pPr>
    </w:p>
    <w:p w14:paraId="782C6DED" w14:textId="77777777" w:rsidR="009558F1" w:rsidRPr="009558F1" w:rsidRDefault="009558F1" w:rsidP="009558F1">
      <w:pPr>
        <w:pStyle w:val="EndNoteBibliography"/>
      </w:pPr>
      <w:bookmarkStart w:id="28" w:name="_ENREF_16"/>
      <w:r w:rsidRPr="009558F1">
        <w:t xml:space="preserve">NPAAC 2013b, </w:t>
      </w:r>
      <w:r w:rsidRPr="009558F1">
        <w:rPr>
          <w:i/>
        </w:rPr>
        <w:t>Requirements for medical testing of human nucleic acids</w:t>
      </w:r>
      <w:r w:rsidRPr="009558F1">
        <w:t>.</w:t>
      </w:r>
    </w:p>
    <w:bookmarkEnd w:id="28"/>
    <w:p w14:paraId="2AF855B8" w14:textId="77777777" w:rsidR="009558F1" w:rsidRPr="009558F1" w:rsidRDefault="009558F1" w:rsidP="009558F1">
      <w:pPr>
        <w:pStyle w:val="EndNoteBibliography"/>
        <w:spacing w:after="0"/>
      </w:pPr>
    </w:p>
    <w:p w14:paraId="3BA61C91" w14:textId="77777777" w:rsidR="009558F1" w:rsidRPr="009558F1" w:rsidRDefault="009558F1" w:rsidP="009558F1">
      <w:pPr>
        <w:pStyle w:val="EndNoteBibliography"/>
      </w:pPr>
      <w:bookmarkStart w:id="29" w:name="_ENREF_17"/>
      <w:r w:rsidRPr="009558F1">
        <w:t xml:space="preserve">Onitilo, AA, Engel, JM, Greenlee, RT &amp; Mukesh, BN 2009, 'Breast Cancer Subtypes Based on ER/PR and Her2 Expression: Comparison of Clinicopathologic Features and Survival', </w:t>
      </w:r>
      <w:r w:rsidRPr="009558F1">
        <w:rPr>
          <w:i/>
        </w:rPr>
        <w:t>Clinical Medicine &amp; Research</w:t>
      </w:r>
      <w:r w:rsidRPr="009558F1">
        <w:t>, vol. 7, no. 1-2, June 1, 2009, pp. 4-13.</w:t>
      </w:r>
    </w:p>
    <w:bookmarkEnd w:id="29"/>
    <w:p w14:paraId="7624C996" w14:textId="77777777" w:rsidR="009558F1" w:rsidRPr="009558F1" w:rsidRDefault="009558F1" w:rsidP="009558F1">
      <w:pPr>
        <w:pStyle w:val="EndNoteBibliography"/>
        <w:spacing w:after="0"/>
      </w:pPr>
    </w:p>
    <w:p w14:paraId="2CF2D15F" w14:textId="77777777" w:rsidR="009558F1" w:rsidRPr="009558F1" w:rsidRDefault="009558F1" w:rsidP="009558F1">
      <w:pPr>
        <w:pStyle w:val="EndNoteBibliography"/>
      </w:pPr>
      <w:bookmarkStart w:id="30" w:name="_ENREF_18"/>
      <w:r w:rsidRPr="009558F1">
        <w:t xml:space="preserve">Rossi, S, Basso, M, Strippoli, A, Dadduzio, V, Cerchiaro, E, Barile, R, D'Argento, E, Cassano, A, Schinzari, G &amp; Barone, C 2015, 'Hormone Receptor Status and HER2 Expression in Primary Breast Cancer Compared With Synchronous Axillary Metastases or Recurrent Metastatic Disease', </w:t>
      </w:r>
      <w:r w:rsidRPr="009558F1">
        <w:rPr>
          <w:i/>
        </w:rPr>
        <w:t>Clin Breast Cancer</w:t>
      </w:r>
      <w:r w:rsidRPr="009558F1">
        <w:t>, Mar 25.</w:t>
      </w:r>
    </w:p>
    <w:bookmarkEnd w:id="30"/>
    <w:p w14:paraId="72379E45" w14:textId="77777777" w:rsidR="009558F1" w:rsidRPr="009558F1" w:rsidRDefault="009558F1" w:rsidP="009558F1">
      <w:pPr>
        <w:pStyle w:val="EndNoteBibliography"/>
        <w:spacing w:after="0"/>
      </w:pPr>
    </w:p>
    <w:p w14:paraId="0482C338" w14:textId="77777777" w:rsidR="009558F1" w:rsidRPr="009558F1" w:rsidRDefault="009558F1" w:rsidP="009558F1">
      <w:pPr>
        <w:pStyle w:val="EndNoteBibliography"/>
      </w:pPr>
      <w:bookmarkStart w:id="31" w:name="_ENREF_19"/>
      <w:r w:rsidRPr="009558F1">
        <w:t xml:space="preserve">Voduc, KD, Cheang, MCU, Tyldesley, S, Gelmon, K, Nielsen, TO &amp; Kennecke, H 2010, 'Breast Cancer Subtypes and the Risk of Local and Regional Relapse', </w:t>
      </w:r>
      <w:r w:rsidRPr="009558F1">
        <w:rPr>
          <w:i/>
        </w:rPr>
        <w:t>Journal of Clinical Oncology</w:t>
      </w:r>
      <w:r w:rsidRPr="009558F1">
        <w:t>, vol. 28, no. 10, April 1, 2010, pp. 1684-1691.</w:t>
      </w:r>
    </w:p>
    <w:bookmarkEnd w:id="31"/>
    <w:p w14:paraId="260F9262" w14:textId="77777777" w:rsidR="009558F1" w:rsidRPr="009558F1" w:rsidRDefault="009558F1" w:rsidP="009558F1">
      <w:pPr>
        <w:pStyle w:val="EndNoteBibliography"/>
        <w:spacing w:after="0"/>
      </w:pPr>
    </w:p>
    <w:p w14:paraId="2043B699" w14:textId="77777777" w:rsidR="009558F1" w:rsidRPr="009558F1" w:rsidRDefault="009558F1" w:rsidP="009558F1">
      <w:pPr>
        <w:pStyle w:val="EndNoteBibliography"/>
      </w:pPr>
      <w:bookmarkStart w:id="32" w:name="_ENREF_20"/>
      <w:r w:rsidRPr="009558F1">
        <w:t xml:space="preserve">Wang-Lopez, Q, Chalabi, N, Abrial, C, Radosevic-Robin, N, Durando, X, Mouret-Reynier, MA, Benmammar, KE, Kullab, S, Bahadoor, M, Chollet, P, Penault-Llorca, F &amp; Nabholtz, JM 2015, 'Can pathologic complete response (pCR) be used as a surrogate marker of survival after neoadjuvant therapy for breast cancer?', </w:t>
      </w:r>
      <w:r w:rsidRPr="009558F1">
        <w:rPr>
          <w:i/>
        </w:rPr>
        <w:t>Crit Rev Oncol Hematol</w:t>
      </w:r>
      <w:r w:rsidRPr="009558F1">
        <w:t>, Mar 4.</w:t>
      </w:r>
    </w:p>
    <w:bookmarkEnd w:id="32"/>
    <w:p w14:paraId="5F377F8F" w14:textId="77777777" w:rsidR="009558F1" w:rsidRPr="009558F1" w:rsidRDefault="009558F1" w:rsidP="009558F1">
      <w:pPr>
        <w:pStyle w:val="EndNoteBibliography"/>
        <w:spacing w:after="0"/>
      </w:pPr>
    </w:p>
    <w:p w14:paraId="19D516B1" w14:textId="77777777" w:rsidR="009558F1" w:rsidRPr="009558F1" w:rsidRDefault="009558F1" w:rsidP="009558F1">
      <w:pPr>
        <w:pStyle w:val="EndNoteBibliography"/>
      </w:pPr>
      <w:bookmarkStart w:id="33" w:name="_ENREF_21"/>
      <w:r w:rsidRPr="009558F1">
        <w:t xml:space="preserve">Ward, S, Scope, A, Rafia, R, Pandor, A, Harnan, S, Evans, P &amp; Wyld, L 2013, 'Gene expression profiling and expanded immunohistochemistry tests to guide the use of adjuvant chemotherapy in breast cancer management: a systematic review and cost-effectiveness analysis', </w:t>
      </w:r>
      <w:r w:rsidRPr="009558F1">
        <w:rPr>
          <w:i/>
        </w:rPr>
        <w:t>Health Technol Assess</w:t>
      </w:r>
      <w:r w:rsidRPr="009558F1">
        <w:t>, vol. 17, no. 44, Oct, pp. 1-302.</w:t>
      </w:r>
    </w:p>
    <w:bookmarkEnd w:id="33"/>
    <w:p w14:paraId="50D6A329" w14:textId="77777777" w:rsidR="009558F1" w:rsidRPr="009558F1" w:rsidRDefault="009558F1" w:rsidP="009558F1">
      <w:pPr>
        <w:pStyle w:val="EndNoteBibliography"/>
      </w:pPr>
    </w:p>
    <w:p w14:paraId="2B0104CB" w14:textId="152AD287" w:rsidR="00C04293" w:rsidRPr="00D415F1" w:rsidRDefault="00793D90" w:rsidP="008B5AB2">
      <w:pPr>
        <w:rPr>
          <w:sz w:val="24"/>
          <w:szCs w:val="24"/>
        </w:rPr>
      </w:pPr>
      <w:r>
        <w:rPr>
          <w:sz w:val="24"/>
          <w:szCs w:val="24"/>
        </w:rPr>
        <w:fldChar w:fldCharType="end"/>
      </w:r>
    </w:p>
    <w:sectPr w:rsidR="00C04293" w:rsidRPr="00D415F1" w:rsidSect="00251A97">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564F5" w14:textId="77777777" w:rsidR="00EE4292" w:rsidRDefault="00EE4292" w:rsidP="008B5AB2">
      <w:pPr>
        <w:spacing w:after="0" w:line="240" w:lineRule="auto"/>
      </w:pPr>
      <w:r>
        <w:separator/>
      </w:r>
    </w:p>
  </w:endnote>
  <w:endnote w:type="continuationSeparator" w:id="0">
    <w:p w14:paraId="57F9D47E" w14:textId="77777777" w:rsidR="00EE4292" w:rsidRDefault="00EE4292" w:rsidP="008B5AB2">
      <w:pPr>
        <w:spacing w:after="0" w:line="240" w:lineRule="auto"/>
      </w:pPr>
      <w:r>
        <w:continuationSeparator/>
      </w:r>
    </w:p>
  </w:endnote>
  <w:endnote w:type="continuationNotice" w:id="1">
    <w:p w14:paraId="5C0A5C5A" w14:textId="77777777" w:rsidR="00EE4292" w:rsidRDefault="00EE4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2BF2" w14:textId="77777777" w:rsidR="00B27756" w:rsidRDefault="00B27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09937"/>
      <w:docPartObj>
        <w:docPartGallery w:val="Page Numbers (Bottom of Page)"/>
        <w:docPartUnique/>
      </w:docPartObj>
    </w:sdtPr>
    <w:sdtEndPr>
      <w:rPr>
        <w:noProof/>
      </w:rPr>
    </w:sdtEndPr>
    <w:sdtContent>
      <w:p w14:paraId="288585C1" w14:textId="49C535C8" w:rsidR="00B27756" w:rsidRDefault="00B27756">
        <w:pPr>
          <w:pStyle w:val="Footer"/>
          <w:jc w:val="right"/>
        </w:pPr>
        <w:r>
          <w:fldChar w:fldCharType="begin"/>
        </w:r>
        <w:r>
          <w:instrText xml:space="preserve"> PAGE   \* MERGEFORMAT </w:instrText>
        </w:r>
        <w:r>
          <w:fldChar w:fldCharType="separate"/>
        </w:r>
        <w:r w:rsidR="00AD280B">
          <w:rPr>
            <w:noProof/>
          </w:rPr>
          <w:t>28</w:t>
        </w:r>
        <w:r>
          <w:rPr>
            <w:noProof/>
          </w:rPr>
          <w:fldChar w:fldCharType="end"/>
        </w:r>
      </w:p>
    </w:sdtContent>
  </w:sdt>
  <w:p w14:paraId="57F503BF" w14:textId="77777777" w:rsidR="00B27756" w:rsidRDefault="00B27756" w:rsidP="00350CD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A736E" w14:textId="77777777" w:rsidR="00B27756" w:rsidRDefault="00B27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3F4D3" w14:textId="77777777" w:rsidR="00EE4292" w:rsidRDefault="00EE4292" w:rsidP="008B5AB2">
      <w:pPr>
        <w:spacing w:after="0" w:line="240" w:lineRule="auto"/>
      </w:pPr>
      <w:r>
        <w:separator/>
      </w:r>
    </w:p>
  </w:footnote>
  <w:footnote w:type="continuationSeparator" w:id="0">
    <w:p w14:paraId="70272F38" w14:textId="77777777" w:rsidR="00EE4292" w:rsidRDefault="00EE4292" w:rsidP="008B5AB2">
      <w:pPr>
        <w:spacing w:after="0" w:line="240" w:lineRule="auto"/>
      </w:pPr>
      <w:r>
        <w:continuationSeparator/>
      </w:r>
    </w:p>
  </w:footnote>
  <w:footnote w:type="continuationNotice" w:id="1">
    <w:p w14:paraId="2CC00166" w14:textId="77777777" w:rsidR="00EE4292" w:rsidRDefault="00EE4292">
      <w:pPr>
        <w:spacing w:after="0" w:line="240" w:lineRule="auto"/>
      </w:pPr>
    </w:p>
  </w:footnote>
  <w:footnote w:id="2">
    <w:p w14:paraId="62C7D501" w14:textId="3F5E0E67" w:rsidR="00B27756" w:rsidRDefault="00B27756">
      <w:pPr>
        <w:pStyle w:val="FootnoteText"/>
      </w:pPr>
      <w:r>
        <w:rPr>
          <w:rStyle w:val="FootnoteReference"/>
        </w:rPr>
        <w:footnoteRef/>
      </w:r>
      <w:r>
        <w:t xml:space="preserve"> </w:t>
      </w:r>
      <w:r w:rsidRPr="001F7F0A">
        <w:t>ER</w:t>
      </w:r>
      <w:r>
        <w:t>+ve = tumours testing positive for expression of oestrogen receptor and either positive or negative for expression of progesterone receptor</w:t>
      </w:r>
      <w:r w:rsidRPr="001F7F0A">
        <w:t>; HER2</w:t>
      </w:r>
      <w:r>
        <w:t xml:space="preserve">-ve </w:t>
      </w:r>
      <w:r w:rsidRPr="001F7F0A">
        <w:t xml:space="preserve">= </w:t>
      </w:r>
      <w:r>
        <w:t xml:space="preserve">tumours testing negative for expression of </w:t>
      </w:r>
      <w:r w:rsidRPr="001F7F0A">
        <w:t>human epidermal growth factor receptor 2 oncogene</w:t>
      </w:r>
    </w:p>
  </w:footnote>
  <w:footnote w:id="3">
    <w:p w14:paraId="38CA2AAC" w14:textId="00166C7A" w:rsidR="00B27756" w:rsidRDefault="00B27756">
      <w:pPr>
        <w:pStyle w:val="FootnoteText"/>
      </w:pPr>
      <w:r>
        <w:rPr>
          <w:rStyle w:val="FootnoteReference"/>
        </w:rPr>
        <w:footnoteRef/>
      </w:r>
      <w:r>
        <w:t xml:space="preserve"> PASC has advised that the evaluation should provide evidence that there is a fixed definition of the </w:t>
      </w:r>
      <w:proofErr w:type="spellStart"/>
      <w:r>
        <w:t>EndoPredict</w:t>
      </w:r>
      <w:proofErr w:type="spellEnd"/>
      <w:r>
        <w:t>® package that has not changed significantly overtime since the discovery sample, to ensure that the same package has been used in clinical trials, subsequent validation sample and will be used in regular clinical practice.</w:t>
      </w:r>
    </w:p>
  </w:footnote>
  <w:footnote w:id="4">
    <w:p w14:paraId="27438000" w14:textId="6CB786D6" w:rsidR="00B27756" w:rsidRDefault="00B27756">
      <w:pPr>
        <w:pStyle w:val="FootnoteText"/>
      </w:pPr>
      <w:r>
        <w:rPr>
          <w:rStyle w:val="FootnoteReference"/>
        </w:rPr>
        <w:footnoteRef/>
      </w:r>
      <w:r>
        <w:t xml:space="preserve"> </w:t>
      </w:r>
      <w:proofErr w:type="spellStart"/>
      <w:r>
        <w:t>Sividon</w:t>
      </w:r>
      <w:proofErr w:type="spellEnd"/>
      <w:r>
        <w:t xml:space="preserve"> online tool available at the link:  </w:t>
      </w:r>
      <w:hyperlink r:id="rId1" w:history="1">
        <w:proofErr w:type="spellStart"/>
        <w:r>
          <w:rPr>
            <w:rStyle w:val="Hyperlink"/>
          </w:rPr>
          <w:t>EndoPredict</w:t>
        </w:r>
        <w:proofErr w:type="spellEnd"/>
        <w:r>
          <w:rPr>
            <w:rStyle w:val="Hyperlink"/>
          </w:rPr>
          <w:t xml:space="preserve"> online tool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F1C0" w14:textId="0213699F" w:rsidR="00B27756" w:rsidRDefault="00B014CB">
    <w:pPr>
      <w:pStyle w:val="Header"/>
    </w:pPr>
    <w:r>
      <w:rPr>
        <w:noProof/>
      </w:rPr>
      <w:pict w14:anchorId="1594A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86001"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C3B9C" w14:textId="4150B024" w:rsidR="00B27756" w:rsidRDefault="00B014CB">
    <w:pPr>
      <w:pStyle w:val="Header"/>
    </w:pPr>
    <w:r>
      <w:rPr>
        <w:noProof/>
      </w:rPr>
      <w:pict w14:anchorId="17480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86002"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CEA9" w14:textId="5791B208" w:rsidR="00B27756" w:rsidRDefault="00B014CB">
    <w:pPr>
      <w:pStyle w:val="Header"/>
    </w:pPr>
    <w:r>
      <w:rPr>
        <w:noProof/>
      </w:rPr>
      <w:pict w14:anchorId="718D5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86000"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CDB"/>
    <w:multiLevelType w:val="hybridMultilevel"/>
    <w:tmpl w:val="BFBC2B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6857CB"/>
    <w:multiLevelType w:val="hybridMultilevel"/>
    <w:tmpl w:val="9432E25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nsid w:val="09B16A34"/>
    <w:multiLevelType w:val="hybridMultilevel"/>
    <w:tmpl w:val="0D0A935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D3491F"/>
    <w:multiLevelType w:val="hybridMultilevel"/>
    <w:tmpl w:val="4B1CC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DD578C"/>
    <w:multiLevelType w:val="hybridMultilevel"/>
    <w:tmpl w:val="C32ACAB6"/>
    <w:lvl w:ilvl="0" w:tplc="A45CD7E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nsid w:val="1798536F"/>
    <w:multiLevelType w:val="hybridMultilevel"/>
    <w:tmpl w:val="59441F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8051AD"/>
    <w:multiLevelType w:val="hybridMultilevel"/>
    <w:tmpl w:val="4F5CE4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261530BB"/>
    <w:multiLevelType w:val="hybridMultilevel"/>
    <w:tmpl w:val="CF405B16"/>
    <w:lvl w:ilvl="0" w:tplc="23B680D4">
      <w:numFmt w:val="bullet"/>
      <w:lvlText w:val="-"/>
      <w:lvlJc w:val="left"/>
      <w:pPr>
        <w:ind w:left="720" w:hanging="360"/>
      </w:pPr>
      <w:rPr>
        <w:rFonts w:ascii="Arial" w:eastAsia="Calibri" w:hAnsi="Arial" w:cs="Arial" w:hint="default"/>
        <w:color w:val="1F49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6570343"/>
    <w:multiLevelType w:val="hybridMultilevel"/>
    <w:tmpl w:val="F9B2B448"/>
    <w:lvl w:ilvl="0" w:tplc="BDC4C3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9">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0">
    <w:nsid w:val="36F33D4E"/>
    <w:multiLevelType w:val="hybridMultilevel"/>
    <w:tmpl w:val="14C08854"/>
    <w:lvl w:ilvl="0" w:tplc="86C232E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2">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nsid w:val="37981154"/>
    <w:multiLevelType w:val="hybridMultilevel"/>
    <w:tmpl w:val="C2CC93B2"/>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4">
    <w:nsid w:val="405A7729"/>
    <w:multiLevelType w:val="hybridMultilevel"/>
    <w:tmpl w:val="20188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AB3B7B"/>
    <w:multiLevelType w:val="hybridMultilevel"/>
    <w:tmpl w:val="62B4EB24"/>
    <w:lvl w:ilvl="0" w:tplc="8D0A4472">
      <w:start w:val="1"/>
      <w:numFmt w:val="decimal"/>
      <w:lvlText w:val="%1)"/>
      <w:lvlJc w:val="left"/>
      <w:pPr>
        <w:ind w:left="360" w:hanging="360"/>
      </w:pPr>
      <w:rPr>
        <w:rFonts w:hint="default"/>
        <w:b/>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9">
    <w:nsid w:val="514D4164"/>
    <w:multiLevelType w:val="hybridMultilevel"/>
    <w:tmpl w:val="DB4C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6F56AC"/>
    <w:multiLevelType w:val="hybridMultilevel"/>
    <w:tmpl w:val="ABE85C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2">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3">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B6C7BC7"/>
    <w:multiLevelType w:val="hybridMultilevel"/>
    <w:tmpl w:val="6554AB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F16055"/>
    <w:multiLevelType w:val="hybridMultilevel"/>
    <w:tmpl w:val="D26E3E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4060464"/>
    <w:multiLevelType w:val="hybridMultilevel"/>
    <w:tmpl w:val="5098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9">
    <w:nsid w:val="690C39B8"/>
    <w:multiLevelType w:val="hybridMultilevel"/>
    <w:tmpl w:val="AC8ADF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nsid w:val="6B8807FE"/>
    <w:multiLevelType w:val="hybridMultilevel"/>
    <w:tmpl w:val="9BEAE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DF52D2"/>
    <w:multiLevelType w:val="hybridMultilevel"/>
    <w:tmpl w:val="86142C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446B61"/>
    <w:multiLevelType w:val="hybridMultilevel"/>
    <w:tmpl w:val="4D9232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nsid w:val="7E5013FC"/>
    <w:multiLevelType w:val="hybridMultilevel"/>
    <w:tmpl w:val="DBA84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5"/>
  </w:num>
  <w:num w:numId="4">
    <w:abstractNumId w:val="25"/>
  </w:num>
  <w:num w:numId="5">
    <w:abstractNumId w:val="6"/>
  </w:num>
  <w:num w:numId="6">
    <w:abstractNumId w:val="12"/>
  </w:num>
  <w:num w:numId="7">
    <w:abstractNumId w:val="19"/>
  </w:num>
  <w:num w:numId="8">
    <w:abstractNumId w:val="4"/>
  </w:num>
  <w:num w:numId="9">
    <w:abstractNumId w:val="31"/>
  </w:num>
  <w:num w:numId="10">
    <w:abstractNumId w:val="1"/>
  </w:num>
  <w:num w:numId="11">
    <w:abstractNumId w:val="26"/>
  </w:num>
  <w:num w:numId="12">
    <w:abstractNumId w:val="10"/>
  </w:num>
  <w:num w:numId="13">
    <w:abstractNumId w:val="37"/>
  </w:num>
  <w:num w:numId="14">
    <w:abstractNumId w:val="18"/>
  </w:num>
  <w:num w:numId="15">
    <w:abstractNumId w:val="43"/>
  </w:num>
  <w:num w:numId="16">
    <w:abstractNumId w:val="17"/>
  </w:num>
  <w:num w:numId="17">
    <w:abstractNumId w:val="3"/>
  </w:num>
  <w:num w:numId="18">
    <w:abstractNumId w:val="32"/>
  </w:num>
  <w:num w:numId="19">
    <w:abstractNumId w:val="33"/>
  </w:num>
  <w:num w:numId="20">
    <w:abstractNumId w:val="21"/>
  </w:num>
  <w:num w:numId="21">
    <w:abstractNumId w:val="44"/>
  </w:num>
  <w:num w:numId="22">
    <w:abstractNumId w:val="42"/>
  </w:num>
  <w:num w:numId="23">
    <w:abstractNumId w:val="13"/>
  </w:num>
  <w:num w:numId="24">
    <w:abstractNumId w:val="38"/>
  </w:num>
  <w:num w:numId="25">
    <w:abstractNumId w:val="40"/>
  </w:num>
  <w:num w:numId="26">
    <w:abstractNumId w:val="27"/>
  </w:num>
  <w:num w:numId="27">
    <w:abstractNumId w:val="7"/>
  </w:num>
  <w:num w:numId="28">
    <w:abstractNumId w:val="20"/>
  </w:num>
  <w:num w:numId="29">
    <w:abstractNumId w:val="23"/>
  </w:num>
  <w:num w:numId="30">
    <w:abstractNumId w:val="35"/>
  </w:num>
  <w:num w:numId="31">
    <w:abstractNumId w:val="39"/>
  </w:num>
  <w:num w:numId="32">
    <w:abstractNumId w:val="14"/>
  </w:num>
  <w:num w:numId="33">
    <w:abstractNumId w:val="41"/>
  </w:num>
  <w:num w:numId="34">
    <w:abstractNumId w:val="48"/>
  </w:num>
  <w:num w:numId="35">
    <w:abstractNumId w:val="29"/>
  </w:num>
  <w:num w:numId="36">
    <w:abstractNumId w:val="0"/>
  </w:num>
  <w:num w:numId="37">
    <w:abstractNumId w:val="16"/>
  </w:num>
  <w:num w:numId="38">
    <w:abstractNumId w:val="36"/>
  </w:num>
  <w:num w:numId="39">
    <w:abstractNumId w:val="8"/>
  </w:num>
  <w:num w:numId="40">
    <w:abstractNumId w:val="9"/>
  </w:num>
  <w:num w:numId="41">
    <w:abstractNumId w:val="46"/>
  </w:num>
  <w:num w:numId="42">
    <w:abstractNumId w:val="24"/>
  </w:num>
  <w:num w:numId="43">
    <w:abstractNumId w:val="16"/>
    <w:lvlOverride w:ilvl="0">
      <w:startOverride w:val="1"/>
    </w:lvlOverride>
  </w:num>
  <w:num w:numId="44">
    <w:abstractNumId w:val="11"/>
  </w:num>
  <w:num w:numId="45">
    <w:abstractNumId w:val="2"/>
  </w:num>
  <w:num w:numId="46">
    <w:abstractNumId w:val="30"/>
  </w:num>
  <w:num w:numId="47">
    <w:abstractNumId w:val="47"/>
  </w:num>
  <w:num w:numId="48">
    <w:abstractNumId w:val="1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Milverton">
    <w15:presenceInfo w15:providerId="AD" w15:userId="S-1-5-21-1390582872-192029990-4074164785-63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5tx9dwxpspefue5z9u50zawssazp090290s&quot;&gt;Nov 2015 update&lt;record-ids&gt;&lt;item&gt;1507&lt;/item&gt;&lt;/record-ids&gt;&lt;/item&gt;&lt;/Libraries&gt;"/>
  </w:docVars>
  <w:rsids>
    <w:rsidRoot w:val="008B5AB2"/>
    <w:rsid w:val="00000050"/>
    <w:rsid w:val="00002AC7"/>
    <w:rsid w:val="00003068"/>
    <w:rsid w:val="000045BE"/>
    <w:rsid w:val="00004898"/>
    <w:rsid w:val="00005108"/>
    <w:rsid w:val="00005FF6"/>
    <w:rsid w:val="000069EF"/>
    <w:rsid w:val="00006C67"/>
    <w:rsid w:val="00007DD4"/>
    <w:rsid w:val="00007F12"/>
    <w:rsid w:val="00010981"/>
    <w:rsid w:val="00015893"/>
    <w:rsid w:val="0001661B"/>
    <w:rsid w:val="00020F0B"/>
    <w:rsid w:val="00023491"/>
    <w:rsid w:val="00030328"/>
    <w:rsid w:val="00032D00"/>
    <w:rsid w:val="00033C5E"/>
    <w:rsid w:val="0003512C"/>
    <w:rsid w:val="00040FE8"/>
    <w:rsid w:val="000420FF"/>
    <w:rsid w:val="00042A2F"/>
    <w:rsid w:val="00042C60"/>
    <w:rsid w:val="00044331"/>
    <w:rsid w:val="00045575"/>
    <w:rsid w:val="0004607E"/>
    <w:rsid w:val="00046A1C"/>
    <w:rsid w:val="000471F4"/>
    <w:rsid w:val="00052ED6"/>
    <w:rsid w:val="0005729E"/>
    <w:rsid w:val="0006004F"/>
    <w:rsid w:val="00061967"/>
    <w:rsid w:val="00061AB9"/>
    <w:rsid w:val="000630CB"/>
    <w:rsid w:val="00063C96"/>
    <w:rsid w:val="00065D43"/>
    <w:rsid w:val="0007206F"/>
    <w:rsid w:val="000724BB"/>
    <w:rsid w:val="0007324B"/>
    <w:rsid w:val="00073686"/>
    <w:rsid w:val="00074A59"/>
    <w:rsid w:val="000765CB"/>
    <w:rsid w:val="00077354"/>
    <w:rsid w:val="00077A21"/>
    <w:rsid w:val="00081148"/>
    <w:rsid w:val="0008276A"/>
    <w:rsid w:val="00082AD9"/>
    <w:rsid w:val="00083829"/>
    <w:rsid w:val="0008597B"/>
    <w:rsid w:val="0008629C"/>
    <w:rsid w:val="0008769C"/>
    <w:rsid w:val="00090151"/>
    <w:rsid w:val="00090B7A"/>
    <w:rsid w:val="00090E4E"/>
    <w:rsid w:val="000912A3"/>
    <w:rsid w:val="000954CA"/>
    <w:rsid w:val="000A251F"/>
    <w:rsid w:val="000A3915"/>
    <w:rsid w:val="000A6203"/>
    <w:rsid w:val="000B0391"/>
    <w:rsid w:val="000B12E4"/>
    <w:rsid w:val="000B3B93"/>
    <w:rsid w:val="000B65D8"/>
    <w:rsid w:val="000B68ED"/>
    <w:rsid w:val="000B6FE8"/>
    <w:rsid w:val="000C0052"/>
    <w:rsid w:val="000C00CF"/>
    <w:rsid w:val="000C017C"/>
    <w:rsid w:val="000C13D1"/>
    <w:rsid w:val="000C14AB"/>
    <w:rsid w:val="000C1F21"/>
    <w:rsid w:val="000C5EB3"/>
    <w:rsid w:val="000C6F84"/>
    <w:rsid w:val="000D2920"/>
    <w:rsid w:val="000D3536"/>
    <w:rsid w:val="000D3949"/>
    <w:rsid w:val="000D3C9B"/>
    <w:rsid w:val="000D52E5"/>
    <w:rsid w:val="000D5304"/>
    <w:rsid w:val="000E28D7"/>
    <w:rsid w:val="000E3A46"/>
    <w:rsid w:val="000E469E"/>
    <w:rsid w:val="000E60EB"/>
    <w:rsid w:val="000F04A6"/>
    <w:rsid w:val="000F24C6"/>
    <w:rsid w:val="000F2931"/>
    <w:rsid w:val="000F468C"/>
    <w:rsid w:val="000F5182"/>
    <w:rsid w:val="000F59A6"/>
    <w:rsid w:val="000F7BA3"/>
    <w:rsid w:val="001043A8"/>
    <w:rsid w:val="00105065"/>
    <w:rsid w:val="00105D62"/>
    <w:rsid w:val="00110F06"/>
    <w:rsid w:val="00111C83"/>
    <w:rsid w:val="0011252A"/>
    <w:rsid w:val="00115346"/>
    <w:rsid w:val="00115FEB"/>
    <w:rsid w:val="001176C1"/>
    <w:rsid w:val="001176E4"/>
    <w:rsid w:val="00121724"/>
    <w:rsid w:val="00121DD8"/>
    <w:rsid w:val="0012453B"/>
    <w:rsid w:val="00124B06"/>
    <w:rsid w:val="00124F0B"/>
    <w:rsid w:val="00126179"/>
    <w:rsid w:val="00126AE1"/>
    <w:rsid w:val="00126C2B"/>
    <w:rsid w:val="00126DA6"/>
    <w:rsid w:val="00130093"/>
    <w:rsid w:val="00130792"/>
    <w:rsid w:val="00131DE8"/>
    <w:rsid w:val="00135819"/>
    <w:rsid w:val="00135895"/>
    <w:rsid w:val="00137946"/>
    <w:rsid w:val="00137EDF"/>
    <w:rsid w:val="00141A53"/>
    <w:rsid w:val="0014249D"/>
    <w:rsid w:val="00142A57"/>
    <w:rsid w:val="00145590"/>
    <w:rsid w:val="001455EF"/>
    <w:rsid w:val="001469B8"/>
    <w:rsid w:val="00146A06"/>
    <w:rsid w:val="00152A39"/>
    <w:rsid w:val="00154406"/>
    <w:rsid w:val="00156120"/>
    <w:rsid w:val="001577D8"/>
    <w:rsid w:val="00160FFD"/>
    <w:rsid w:val="001615D4"/>
    <w:rsid w:val="001616E7"/>
    <w:rsid w:val="00170512"/>
    <w:rsid w:val="0017081F"/>
    <w:rsid w:val="00172C66"/>
    <w:rsid w:val="00173EFF"/>
    <w:rsid w:val="00175F40"/>
    <w:rsid w:val="001805F5"/>
    <w:rsid w:val="0018109F"/>
    <w:rsid w:val="0018393E"/>
    <w:rsid w:val="00184349"/>
    <w:rsid w:val="00184EAE"/>
    <w:rsid w:val="001868D1"/>
    <w:rsid w:val="00187DA9"/>
    <w:rsid w:val="00190B99"/>
    <w:rsid w:val="00190C21"/>
    <w:rsid w:val="00190DDC"/>
    <w:rsid w:val="0019246C"/>
    <w:rsid w:val="00192F8F"/>
    <w:rsid w:val="00194CAF"/>
    <w:rsid w:val="00194FCC"/>
    <w:rsid w:val="00195E57"/>
    <w:rsid w:val="001A0017"/>
    <w:rsid w:val="001A0074"/>
    <w:rsid w:val="001A352E"/>
    <w:rsid w:val="001B03E9"/>
    <w:rsid w:val="001B0939"/>
    <w:rsid w:val="001B143F"/>
    <w:rsid w:val="001B1BE8"/>
    <w:rsid w:val="001B27ED"/>
    <w:rsid w:val="001B3F39"/>
    <w:rsid w:val="001B4125"/>
    <w:rsid w:val="001B49AE"/>
    <w:rsid w:val="001B6753"/>
    <w:rsid w:val="001B72FB"/>
    <w:rsid w:val="001B74F5"/>
    <w:rsid w:val="001B78A3"/>
    <w:rsid w:val="001C26DB"/>
    <w:rsid w:val="001C2E22"/>
    <w:rsid w:val="001C3123"/>
    <w:rsid w:val="001C6178"/>
    <w:rsid w:val="001C79D6"/>
    <w:rsid w:val="001D01D2"/>
    <w:rsid w:val="001D028A"/>
    <w:rsid w:val="001D1575"/>
    <w:rsid w:val="001D2474"/>
    <w:rsid w:val="001D2D33"/>
    <w:rsid w:val="001D32E5"/>
    <w:rsid w:val="001D3616"/>
    <w:rsid w:val="001D3CDC"/>
    <w:rsid w:val="001D4873"/>
    <w:rsid w:val="001E0689"/>
    <w:rsid w:val="001E370D"/>
    <w:rsid w:val="001E41A7"/>
    <w:rsid w:val="001E480C"/>
    <w:rsid w:val="001E54E4"/>
    <w:rsid w:val="001E559E"/>
    <w:rsid w:val="001E592A"/>
    <w:rsid w:val="001F0DDB"/>
    <w:rsid w:val="001F15E8"/>
    <w:rsid w:val="001F7F0A"/>
    <w:rsid w:val="002002B0"/>
    <w:rsid w:val="0020041D"/>
    <w:rsid w:val="002032D9"/>
    <w:rsid w:val="00205CEB"/>
    <w:rsid w:val="00206D12"/>
    <w:rsid w:val="0020744B"/>
    <w:rsid w:val="0021069A"/>
    <w:rsid w:val="00210CE3"/>
    <w:rsid w:val="00210EDE"/>
    <w:rsid w:val="002158B6"/>
    <w:rsid w:val="00216A18"/>
    <w:rsid w:val="002205B0"/>
    <w:rsid w:val="00221EEC"/>
    <w:rsid w:val="002238C6"/>
    <w:rsid w:val="00223B18"/>
    <w:rsid w:val="00227109"/>
    <w:rsid w:val="0023032E"/>
    <w:rsid w:val="002317EA"/>
    <w:rsid w:val="00234AC4"/>
    <w:rsid w:val="0023502A"/>
    <w:rsid w:val="0023551F"/>
    <w:rsid w:val="00235FF8"/>
    <w:rsid w:val="00237128"/>
    <w:rsid w:val="00240E62"/>
    <w:rsid w:val="00241102"/>
    <w:rsid w:val="00243F25"/>
    <w:rsid w:val="00246DB2"/>
    <w:rsid w:val="00246FE0"/>
    <w:rsid w:val="00247971"/>
    <w:rsid w:val="00247C3B"/>
    <w:rsid w:val="0025099A"/>
    <w:rsid w:val="00250F96"/>
    <w:rsid w:val="0025172F"/>
    <w:rsid w:val="00251A97"/>
    <w:rsid w:val="002527A6"/>
    <w:rsid w:val="00252C6E"/>
    <w:rsid w:val="0025405B"/>
    <w:rsid w:val="00256711"/>
    <w:rsid w:val="00256CF7"/>
    <w:rsid w:val="002606F0"/>
    <w:rsid w:val="00262707"/>
    <w:rsid w:val="0026294C"/>
    <w:rsid w:val="0026512F"/>
    <w:rsid w:val="0026520B"/>
    <w:rsid w:val="00265618"/>
    <w:rsid w:val="002671E6"/>
    <w:rsid w:val="002739A6"/>
    <w:rsid w:val="0027603B"/>
    <w:rsid w:val="00280005"/>
    <w:rsid w:val="0028032F"/>
    <w:rsid w:val="00281021"/>
    <w:rsid w:val="002828C4"/>
    <w:rsid w:val="002854CF"/>
    <w:rsid w:val="002863F0"/>
    <w:rsid w:val="002864FD"/>
    <w:rsid w:val="0028660C"/>
    <w:rsid w:val="00287519"/>
    <w:rsid w:val="0029187D"/>
    <w:rsid w:val="00291F53"/>
    <w:rsid w:val="002947A7"/>
    <w:rsid w:val="002962AE"/>
    <w:rsid w:val="0029709C"/>
    <w:rsid w:val="002A0544"/>
    <w:rsid w:val="002A073D"/>
    <w:rsid w:val="002A0905"/>
    <w:rsid w:val="002A1BF6"/>
    <w:rsid w:val="002A20A7"/>
    <w:rsid w:val="002A4292"/>
    <w:rsid w:val="002A4DAD"/>
    <w:rsid w:val="002A523F"/>
    <w:rsid w:val="002A5663"/>
    <w:rsid w:val="002A72F7"/>
    <w:rsid w:val="002B0852"/>
    <w:rsid w:val="002B206D"/>
    <w:rsid w:val="002B5186"/>
    <w:rsid w:val="002B56B7"/>
    <w:rsid w:val="002B5AC8"/>
    <w:rsid w:val="002B7C2F"/>
    <w:rsid w:val="002B7E6E"/>
    <w:rsid w:val="002C06E9"/>
    <w:rsid w:val="002C42A7"/>
    <w:rsid w:val="002C6193"/>
    <w:rsid w:val="002C75AC"/>
    <w:rsid w:val="002C7875"/>
    <w:rsid w:val="002D085B"/>
    <w:rsid w:val="002D18E5"/>
    <w:rsid w:val="002D20D4"/>
    <w:rsid w:val="002D2E84"/>
    <w:rsid w:val="002D4832"/>
    <w:rsid w:val="002D5177"/>
    <w:rsid w:val="002D63A5"/>
    <w:rsid w:val="002D76BB"/>
    <w:rsid w:val="002E0BBE"/>
    <w:rsid w:val="002E2827"/>
    <w:rsid w:val="002E6531"/>
    <w:rsid w:val="002E7F23"/>
    <w:rsid w:val="002F1C03"/>
    <w:rsid w:val="002F2035"/>
    <w:rsid w:val="002F2656"/>
    <w:rsid w:val="002F3955"/>
    <w:rsid w:val="002F3AF4"/>
    <w:rsid w:val="002F3F97"/>
    <w:rsid w:val="002F5050"/>
    <w:rsid w:val="002F6A74"/>
    <w:rsid w:val="002F75DD"/>
    <w:rsid w:val="002F7E32"/>
    <w:rsid w:val="00300B2D"/>
    <w:rsid w:val="00300B5A"/>
    <w:rsid w:val="00302F2C"/>
    <w:rsid w:val="003036CB"/>
    <w:rsid w:val="00303AA1"/>
    <w:rsid w:val="00305DAD"/>
    <w:rsid w:val="00306BE2"/>
    <w:rsid w:val="00306F3E"/>
    <w:rsid w:val="003103BF"/>
    <w:rsid w:val="0031129E"/>
    <w:rsid w:val="00311D24"/>
    <w:rsid w:val="003127B7"/>
    <w:rsid w:val="00315F82"/>
    <w:rsid w:val="00320917"/>
    <w:rsid w:val="003212E6"/>
    <w:rsid w:val="00321894"/>
    <w:rsid w:val="00325ADE"/>
    <w:rsid w:val="0033291C"/>
    <w:rsid w:val="00332E4F"/>
    <w:rsid w:val="00333233"/>
    <w:rsid w:val="0033355D"/>
    <w:rsid w:val="0033435B"/>
    <w:rsid w:val="00334F4A"/>
    <w:rsid w:val="00340267"/>
    <w:rsid w:val="00340999"/>
    <w:rsid w:val="00340AD5"/>
    <w:rsid w:val="00340F13"/>
    <w:rsid w:val="003437BB"/>
    <w:rsid w:val="00344EED"/>
    <w:rsid w:val="00345089"/>
    <w:rsid w:val="00345B31"/>
    <w:rsid w:val="00346514"/>
    <w:rsid w:val="003473C5"/>
    <w:rsid w:val="00350730"/>
    <w:rsid w:val="00350C8D"/>
    <w:rsid w:val="00350CD6"/>
    <w:rsid w:val="00352DB3"/>
    <w:rsid w:val="00353F73"/>
    <w:rsid w:val="00355630"/>
    <w:rsid w:val="0036064A"/>
    <w:rsid w:val="00362DC4"/>
    <w:rsid w:val="0036427B"/>
    <w:rsid w:val="00367231"/>
    <w:rsid w:val="00367B60"/>
    <w:rsid w:val="00370AB7"/>
    <w:rsid w:val="00371D84"/>
    <w:rsid w:val="00373911"/>
    <w:rsid w:val="00374963"/>
    <w:rsid w:val="00377C99"/>
    <w:rsid w:val="00381D43"/>
    <w:rsid w:val="0038299D"/>
    <w:rsid w:val="00383806"/>
    <w:rsid w:val="00387022"/>
    <w:rsid w:val="00390357"/>
    <w:rsid w:val="0039069D"/>
    <w:rsid w:val="00390B58"/>
    <w:rsid w:val="003944C0"/>
    <w:rsid w:val="003972F2"/>
    <w:rsid w:val="00397DCB"/>
    <w:rsid w:val="003A1918"/>
    <w:rsid w:val="003A19A0"/>
    <w:rsid w:val="003A1A1E"/>
    <w:rsid w:val="003A412D"/>
    <w:rsid w:val="003A4BEE"/>
    <w:rsid w:val="003A50DC"/>
    <w:rsid w:val="003A68BF"/>
    <w:rsid w:val="003B05B0"/>
    <w:rsid w:val="003B080C"/>
    <w:rsid w:val="003B0985"/>
    <w:rsid w:val="003B4C68"/>
    <w:rsid w:val="003B4F07"/>
    <w:rsid w:val="003B5AE6"/>
    <w:rsid w:val="003C357A"/>
    <w:rsid w:val="003C5B20"/>
    <w:rsid w:val="003C6755"/>
    <w:rsid w:val="003D062F"/>
    <w:rsid w:val="003D32EB"/>
    <w:rsid w:val="003D3EE2"/>
    <w:rsid w:val="003D3F3E"/>
    <w:rsid w:val="003E1116"/>
    <w:rsid w:val="003E1F3E"/>
    <w:rsid w:val="003E3232"/>
    <w:rsid w:val="003E3C08"/>
    <w:rsid w:val="003E440D"/>
    <w:rsid w:val="003E486A"/>
    <w:rsid w:val="003F002C"/>
    <w:rsid w:val="003F0788"/>
    <w:rsid w:val="003F2291"/>
    <w:rsid w:val="003F399E"/>
    <w:rsid w:val="003F3BA1"/>
    <w:rsid w:val="003F4412"/>
    <w:rsid w:val="003F62FB"/>
    <w:rsid w:val="003F6DA2"/>
    <w:rsid w:val="003F6F77"/>
    <w:rsid w:val="00402DCB"/>
    <w:rsid w:val="00404F5F"/>
    <w:rsid w:val="004054B4"/>
    <w:rsid w:val="00407325"/>
    <w:rsid w:val="004100A5"/>
    <w:rsid w:val="00410486"/>
    <w:rsid w:val="00410C7B"/>
    <w:rsid w:val="004173A3"/>
    <w:rsid w:val="00423C47"/>
    <w:rsid w:val="00424D97"/>
    <w:rsid w:val="00425079"/>
    <w:rsid w:val="004254B9"/>
    <w:rsid w:val="0042678B"/>
    <w:rsid w:val="00426D2C"/>
    <w:rsid w:val="00426D78"/>
    <w:rsid w:val="0043034D"/>
    <w:rsid w:val="004355AC"/>
    <w:rsid w:val="00437618"/>
    <w:rsid w:val="00440074"/>
    <w:rsid w:val="004402D9"/>
    <w:rsid w:val="004425DB"/>
    <w:rsid w:val="00445FFA"/>
    <w:rsid w:val="00454702"/>
    <w:rsid w:val="00457B5B"/>
    <w:rsid w:val="00457F7F"/>
    <w:rsid w:val="00460A46"/>
    <w:rsid w:val="00463260"/>
    <w:rsid w:val="004635A2"/>
    <w:rsid w:val="0046454D"/>
    <w:rsid w:val="00466522"/>
    <w:rsid w:val="00467B7C"/>
    <w:rsid w:val="00470DE4"/>
    <w:rsid w:val="00472096"/>
    <w:rsid w:val="0047251D"/>
    <w:rsid w:val="004725A4"/>
    <w:rsid w:val="00472F8A"/>
    <w:rsid w:val="00474B28"/>
    <w:rsid w:val="004750DD"/>
    <w:rsid w:val="0047532E"/>
    <w:rsid w:val="004761C0"/>
    <w:rsid w:val="00480251"/>
    <w:rsid w:val="00480ACA"/>
    <w:rsid w:val="00481999"/>
    <w:rsid w:val="00486821"/>
    <w:rsid w:val="0048697A"/>
    <w:rsid w:val="00486B85"/>
    <w:rsid w:val="0049145D"/>
    <w:rsid w:val="00493186"/>
    <w:rsid w:val="004939E8"/>
    <w:rsid w:val="00495A88"/>
    <w:rsid w:val="00495BBD"/>
    <w:rsid w:val="004960A8"/>
    <w:rsid w:val="00496FEC"/>
    <w:rsid w:val="00497B60"/>
    <w:rsid w:val="004A12F3"/>
    <w:rsid w:val="004A26F3"/>
    <w:rsid w:val="004A3589"/>
    <w:rsid w:val="004A383E"/>
    <w:rsid w:val="004A6005"/>
    <w:rsid w:val="004A6356"/>
    <w:rsid w:val="004A6367"/>
    <w:rsid w:val="004A673F"/>
    <w:rsid w:val="004B2A31"/>
    <w:rsid w:val="004B5805"/>
    <w:rsid w:val="004B637C"/>
    <w:rsid w:val="004C19AC"/>
    <w:rsid w:val="004C516C"/>
    <w:rsid w:val="004C5EFF"/>
    <w:rsid w:val="004C6149"/>
    <w:rsid w:val="004C6BA5"/>
    <w:rsid w:val="004C76BB"/>
    <w:rsid w:val="004D0B05"/>
    <w:rsid w:val="004D0B9B"/>
    <w:rsid w:val="004D35D3"/>
    <w:rsid w:val="004D3ADF"/>
    <w:rsid w:val="004D4C98"/>
    <w:rsid w:val="004D535A"/>
    <w:rsid w:val="004D5CF5"/>
    <w:rsid w:val="004E037B"/>
    <w:rsid w:val="004E2ECB"/>
    <w:rsid w:val="004E3A2E"/>
    <w:rsid w:val="004E557C"/>
    <w:rsid w:val="004E5890"/>
    <w:rsid w:val="004E6BE3"/>
    <w:rsid w:val="004F18E0"/>
    <w:rsid w:val="004F4DD1"/>
    <w:rsid w:val="004F4E72"/>
    <w:rsid w:val="004F5A6D"/>
    <w:rsid w:val="00500124"/>
    <w:rsid w:val="005010C0"/>
    <w:rsid w:val="00502718"/>
    <w:rsid w:val="00503FD7"/>
    <w:rsid w:val="005047B5"/>
    <w:rsid w:val="00505593"/>
    <w:rsid w:val="0050685C"/>
    <w:rsid w:val="00507350"/>
    <w:rsid w:val="0051072E"/>
    <w:rsid w:val="00510A2A"/>
    <w:rsid w:val="00510BAA"/>
    <w:rsid w:val="00511E4B"/>
    <w:rsid w:val="00515286"/>
    <w:rsid w:val="00516386"/>
    <w:rsid w:val="00516A5E"/>
    <w:rsid w:val="0052008E"/>
    <w:rsid w:val="00522CFB"/>
    <w:rsid w:val="00523639"/>
    <w:rsid w:val="00525749"/>
    <w:rsid w:val="005269F4"/>
    <w:rsid w:val="00526BFA"/>
    <w:rsid w:val="00526D1B"/>
    <w:rsid w:val="00526E7C"/>
    <w:rsid w:val="005270CA"/>
    <w:rsid w:val="00527EE8"/>
    <w:rsid w:val="005327A5"/>
    <w:rsid w:val="00533B8F"/>
    <w:rsid w:val="005355E5"/>
    <w:rsid w:val="00535A29"/>
    <w:rsid w:val="00540D92"/>
    <w:rsid w:val="00541B27"/>
    <w:rsid w:val="005449AB"/>
    <w:rsid w:val="00544B0D"/>
    <w:rsid w:val="0054538D"/>
    <w:rsid w:val="005462C5"/>
    <w:rsid w:val="00554554"/>
    <w:rsid w:val="005575F3"/>
    <w:rsid w:val="005612D0"/>
    <w:rsid w:val="00561649"/>
    <w:rsid w:val="00563ECA"/>
    <w:rsid w:val="0056494B"/>
    <w:rsid w:val="00566E94"/>
    <w:rsid w:val="00572F57"/>
    <w:rsid w:val="00573107"/>
    <w:rsid w:val="00580FA3"/>
    <w:rsid w:val="0058262C"/>
    <w:rsid w:val="00582C30"/>
    <w:rsid w:val="00583070"/>
    <w:rsid w:val="005833C0"/>
    <w:rsid w:val="00585392"/>
    <w:rsid w:val="00586FBD"/>
    <w:rsid w:val="00587893"/>
    <w:rsid w:val="005967B5"/>
    <w:rsid w:val="00596FC6"/>
    <w:rsid w:val="00597658"/>
    <w:rsid w:val="005A144B"/>
    <w:rsid w:val="005A1502"/>
    <w:rsid w:val="005A2351"/>
    <w:rsid w:val="005A2D11"/>
    <w:rsid w:val="005A495E"/>
    <w:rsid w:val="005A616C"/>
    <w:rsid w:val="005A66D8"/>
    <w:rsid w:val="005B0814"/>
    <w:rsid w:val="005B3B5A"/>
    <w:rsid w:val="005B4B85"/>
    <w:rsid w:val="005C0DEE"/>
    <w:rsid w:val="005C237C"/>
    <w:rsid w:val="005C3DA3"/>
    <w:rsid w:val="005C4CD5"/>
    <w:rsid w:val="005C555B"/>
    <w:rsid w:val="005C5FC4"/>
    <w:rsid w:val="005C67C3"/>
    <w:rsid w:val="005D16BE"/>
    <w:rsid w:val="005D326B"/>
    <w:rsid w:val="005D54EA"/>
    <w:rsid w:val="005D57F1"/>
    <w:rsid w:val="005D5B17"/>
    <w:rsid w:val="005D6103"/>
    <w:rsid w:val="005D68F4"/>
    <w:rsid w:val="005D774D"/>
    <w:rsid w:val="005E0E33"/>
    <w:rsid w:val="005E1ADB"/>
    <w:rsid w:val="005E55CC"/>
    <w:rsid w:val="005E6858"/>
    <w:rsid w:val="005F032C"/>
    <w:rsid w:val="005F42FA"/>
    <w:rsid w:val="005F5046"/>
    <w:rsid w:val="005F65E5"/>
    <w:rsid w:val="005F7C2C"/>
    <w:rsid w:val="006001FF"/>
    <w:rsid w:val="006023EB"/>
    <w:rsid w:val="006036B0"/>
    <w:rsid w:val="00604D53"/>
    <w:rsid w:val="00605469"/>
    <w:rsid w:val="006068FB"/>
    <w:rsid w:val="00606A82"/>
    <w:rsid w:val="00606ADF"/>
    <w:rsid w:val="00606EFB"/>
    <w:rsid w:val="00607A42"/>
    <w:rsid w:val="0061028A"/>
    <w:rsid w:val="00611231"/>
    <w:rsid w:val="0061279E"/>
    <w:rsid w:val="0061346D"/>
    <w:rsid w:val="0061593F"/>
    <w:rsid w:val="00615DAD"/>
    <w:rsid w:val="00617A13"/>
    <w:rsid w:val="00617D15"/>
    <w:rsid w:val="006206F6"/>
    <w:rsid w:val="0062082B"/>
    <w:rsid w:val="00621540"/>
    <w:rsid w:val="00621C65"/>
    <w:rsid w:val="00622B7C"/>
    <w:rsid w:val="00623530"/>
    <w:rsid w:val="00623E88"/>
    <w:rsid w:val="00627C5F"/>
    <w:rsid w:val="00630EA8"/>
    <w:rsid w:val="00631A4E"/>
    <w:rsid w:val="006324DE"/>
    <w:rsid w:val="00641FAB"/>
    <w:rsid w:val="006420D7"/>
    <w:rsid w:val="00642186"/>
    <w:rsid w:val="0064342D"/>
    <w:rsid w:val="00645034"/>
    <w:rsid w:val="006455A9"/>
    <w:rsid w:val="00645A19"/>
    <w:rsid w:val="006460D5"/>
    <w:rsid w:val="00650B8B"/>
    <w:rsid w:val="006519C5"/>
    <w:rsid w:val="0065283D"/>
    <w:rsid w:val="00655236"/>
    <w:rsid w:val="00657404"/>
    <w:rsid w:val="0066044E"/>
    <w:rsid w:val="00662CD6"/>
    <w:rsid w:val="00664B35"/>
    <w:rsid w:val="00667157"/>
    <w:rsid w:val="00667289"/>
    <w:rsid w:val="00670D39"/>
    <w:rsid w:val="006714C7"/>
    <w:rsid w:val="00671F2F"/>
    <w:rsid w:val="006726EC"/>
    <w:rsid w:val="006737E0"/>
    <w:rsid w:val="00675607"/>
    <w:rsid w:val="00677120"/>
    <w:rsid w:val="00677FE6"/>
    <w:rsid w:val="006801C5"/>
    <w:rsid w:val="006808BB"/>
    <w:rsid w:val="00680B36"/>
    <w:rsid w:val="00680C98"/>
    <w:rsid w:val="00680F27"/>
    <w:rsid w:val="006829CB"/>
    <w:rsid w:val="006833F6"/>
    <w:rsid w:val="006834F3"/>
    <w:rsid w:val="0068392E"/>
    <w:rsid w:val="00683E77"/>
    <w:rsid w:val="0068430B"/>
    <w:rsid w:val="0069018D"/>
    <w:rsid w:val="0069076C"/>
    <w:rsid w:val="006923FF"/>
    <w:rsid w:val="00694864"/>
    <w:rsid w:val="00695E51"/>
    <w:rsid w:val="00697EB0"/>
    <w:rsid w:val="006A0D59"/>
    <w:rsid w:val="006A4684"/>
    <w:rsid w:val="006A582C"/>
    <w:rsid w:val="006A7891"/>
    <w:rsid w:val="006B5164"/>
    <w:rsid w:val="006B576F"/>
    <w:rsid w:val="006B6D8E"/>
    <w:rsid w:val="006B6DAE"/>
    <w:rsid w:val="006B705C"/>
    <w:rsid w:val="006C16E5"/>
    <w:rsid w:val="006C4ED6"/>
    <w:rsid w:val="006C5706"/>
    <w:rsid w:val="006C75EF"/>
    <w:rsid w:val="006C7707"/>
    <w:rsid w:val="006C7BA6"/>
    <w:rsid w:val="006D1FB3"/>
    <w:rsid w:val="006D2336"/>
    <w:rsid w:val="006D3598"/>
    <w:rsid w:val="006D386E"/>
    <w:rsid w:val="006D39C7"/>
    <w:rsid w:val="006D4385"/>
    <w:rsid w:val="006D4E08"/>
    <w:rsid w:val="006D4EAE"/>
    <w:rsid w:val="006D779D"/>
    <w:rsid w:val="006E4D67"/>
    <w:rsid w:val="006E4D76"/>
    <w:rsid w:val="006E6D34"/>
    <w:rsid w:val="006F2A84"/>
    <w:rsid w:val="006F2E4D"/>
    <w:rsid w:val="006F506F"/>
    <w:rsid w:val="006F595B"/>
    <w:rsid w:val="00700955"/>
    <w:rsid w:val="00702D0F"/>
    <w:rsid w:val="00702F2C"/>
    <w:rsid w:val="00703516"/>
    <w:rsid w:val="0070758C"/>
    <w:rsid w:val="00707CF3"/>
    <w:rsid w:val="00711298"/>
    <w:rsid w:val="0071129A"/>
    <w:rsid w:val="00712B20"/>
    <w:rsid w:val="00716A7C"/>
    <w:rsid w:val="00717576"/>
    <w:rsid w:val="007217EB"/>
    <w:rsid w:val="00721825"/>
    <w:rsid w:val="00724FF5"/>
    <w:rsid w:val="00726654"/>
    <w:rsid w:val="00731AF3"/>
    <w:rsid w:val="00732394"/>
    <w:rsid w:val="00732725"/>
    <w:rsid w:val="00734138"/>
    <w:rsid w:val="007356E8"/>
    <w:rsid w:val="00741C4E"/>
    <w:rsid w:val="00744EA4"/>
    <w:rsid w:val="00745B2D"/>
    <w:rsid w:val="00746866"/>
    <w:rsid w:val="0074754B"/>
    <w:rsid w:val="00747B00"/>
    <w:rsid w:val="00753963"/>
    <w:rsid w:val="00754073"/>
    <w:rsid w:val="007548BA"/>
    <w:rsid w:val="00756071"/>
    <w:rsid w:val="007569ED"/>
    <w:rsid w:val="007578A6"/>
    <w:rsid w:val="00766226"/>
    <w:rsid w:val="00766FEA"/>
    <w:rsid w:val="00767347"/>
    <w:rsid w:val="0077090E"/>
    <w:rsid w:val="00772478"/>
    <w:rsid w:val="00772F21"/>
    <w:rsid w:val="00773D90"/>
    <w:rsid w:val="00774368"/>
    <w:rsid w:val="00775AE4"/>
    <w:rsid w:val="00775B7E"/>
    <w:rsid w:val="0077692B"/>
    <w:rsid w:val="00777341"/>
    <w:rsid w:val="007806CE"/>
    <w:rsid w:val="007827EF"/>
    <w:rsid w:val="0078395B"/>
    <w:rsid w:val="00785325"/>
    <w:rsid w:val="0078677E"/>
    <w:rsid w:val="00790DA4"/>
    <w:rsid w:val="00793C7D"/>
    <w:rsid w:val="00793D90"/>
    <w:rsid w:val="00795605"/>
    <w:rsid w:val="007969EE"/>
    <w:rsid w:val="00797652"/>
    <w:rsid w:val="007A0ADC"/>
    <w:rsid w:val="007A0DFF"/>
    <w:rsid w:val="007A0FF1"/>
    <w:rsid w:val="007A144D"/>
    <w:rsid w:val="007A18E7"/>
    <w:rsid w:val="007A241F"/>
    <w:rsid w:val="007A6E5F"/>
    <w:rsid w:val="007B1275"/>
    <w:rsid w:val="007B2383"/>
    <w:rsid w:val="007B4681"/>
    <w:rsid w:val="007B49DD"/>
    <w:rsid w:val="007B5C37"/>
    <w:rsid w:val="007B6813"/>
    <w:rsid w:val="007C03AB"/>
    <w:rsid w:val="007C35A6"/>
    <w:rsid w:val="007C4588"/>
    <w:rsid w:val="007C5458"/>
    <w:rsid w:val="007C5E86"/>
    <w:rsid w:val="007C666C"/>
    <w:rsid w:val="007C7B4D"/>
    <w:rsid w:val="007D062F"/>
    <w:rsid w:val="007D0FB5"/>
    <w:rsid w:val="007D3BD0"/>
    <w:rsid w:val="007D7FCC"/>
    <w:rsid w:val="007E03F7"/>
    <w:rsid w:val="007E1130"/>
    <w:rsid w:val="007E2951"/>
    <w:rsid w:val="007E37AF"/>
    <w:rsid w:val="007E526F"/>
    <w:rsid w:val="007F253D"/>
    <w:rsid w:val="007F3A76"/>
    <w:rsid w:val="007F6029"/>
    <w:rsid w:val="007F6058"/>
    <w:rsid w:val="007F6607"/>
    <w:rsid w:val="008014CF"/>
    <w:rsid w:val="00802CB0"/>
    <w:rsid w:val="00803257"/>
    <w:rsid w:val="00803783"/>
    <w:rsid w:val="00803D54"/>
    <w:rsid w:val="00804811"/>
    <w:rsid w:val="00805A97"/>
    <w:rsid w:val="008112AC"/>
    <w:rsid w:val="0081141A"/>
    <w:rsid w:val="0081146C"/>
    <w:rsid w:val="008116B1"/>
    <w:rsid w:val="00813676"/>
    <w:rsid w:val="00813CA8"/>
    <w:rsid w:val="00813E3C"/>
    <w:rsid w:val="0081471D"/>
    <w:rsid w:val="0081571B"/>
    <w:rsid w:val="00816869"/>
    <w:rsid w:val="00820E77"/>
    <w:rsid w:val="008237D3"/>
    <w:rsid w:val="00823917"/>
    <w:rsid w:val="00826AAE"/>
    <w:rsid w:val="00827B0E"/>
    <w:rsid w:val="0083189E"/>
    <w:rsid w:val="00834815"/>
    <w:rsid w:val="008349DD"/>
    <w:rsid w:val="00836661"/>
    <w:rsid w:val="00843FAC"/>
    <w:rsid w:val="008448AF"/>
    <w:rsid w:val="008453B0"/>
    <w:rsid w:val="0085045C"/>
    <w:rsid w:val="00853386"/>
    <w:rsid w:val="00854637"/>
    <w:rsid w:val="00855139"/>
    <w:rsid w:val="00857E1A"/>
    <w:rsid w:val="0086103C"/>
    <w:rsid w:val="008617D0"/>
    <w:rsid w:val="00865F02"/>
    <w:rsid w:val="00867949"/>
    <w:rsid w:val="00867956"/>
    <w:rsid w:val="00867E6C"/>
    <w:rsid w:val="00867FA6"/>
    <w:rsid w:val="00870164"/>
    <w:rsid w:val="008712F4"/>
    <w:rsid w:val="0087653F"/>
    <w:rsid w:val="00880B29"/>
    <w:rsid w:val="008846B5"/>
    <w:rsid w:val="008859A8"/>
    <w:rsid w:val="00886F7A"/>
    <w:rsid w:val="00893660"/>
    <w:rsid w:val="008957A2"/>
    <w:rsid w:val="00895F2E"/>
    <w:rsid w:val="0089731A"/>
    <w:rsid w:val="008A34D3"/>
    <w:rsid w:val="008A38B1"/>
    <w:rsid w:val="008A795F"/>
    <w:rsid w:val="008A79CB"/>
    <w:rsid w:val="008B1510"/>
    <w:rsid w:val="008B333A"/>
    <w:rsid w:val="008B3730"/>
    <w:rsid w:val="008B46FD"/>
    <w:rsid w:val="008B590B"/>
    <w:rsid w:val="008B5AB2"/>
    <w:rsid w:val="008B613B"/>
    <w:rsid w:val="008B7D43"/>
    <w:rsid w:val="008C14C5"/>
    <w:rsid w:val="008C1F47"/>
    <w:rsid w:val="008C21F3"/>
    <w:rsid w:val="008C2FA9"/>
    <w:rsid w:val="008C4CE7"/>
    <w:rsid w:val="008C6FE8"/>
    <w:rsid w:val="008D04FB"/>
    <w:rsid w:val="008D259C"/>
    <w:rsid w:val="008E3616"/>
    <w:rsid w:val="008E3ED6"/>
    <w:rsid w:val="008E70B8"/>
    <w:rsid w:val="008E7E83"/>
    <w:rsid w:val="008F095F"/>
    <w:rsid w:val="008F28FE"/>
    <w:rsid w:val="008F385C"/>
    <w:rsid w:val="008F3D2A"/>
    <w:rsid w:val="008F4EBB"/>
    <w:rsid w:val="008F7D34"/>
    <w:rsid w:val="0090135B"/>
    <w:rsid w:val="009024AE"/>
    <w:rsid w:val="0090490C"/>
    <w:rsid w:val="0090548D"/>
    <w:rsid w:val="00905B60"/>
    <w:rsid w:val="00906A7C"/>
    <w:rsid w:val="00910E50"/>
    <w:rsid w:val="00912D07"/>
    <w:rsid w:val="00913162"/>
    <w:rsid w:val="009155C9"/>
    <w:rsid w:val="00917246"/>
    <w:rsid w:val="00921571"/>
    <w:rsid w:val="009219C4"/>
    <w:rsid w:val="009224F5"/>
    <w:rsid w:val="0092298E"/>
    <w:rsid w:val="00922F3A"/>
    <w:rsid w:val="00923942"/>
    <w:rsid w:val="00923F9D"/>
    <w:rsid w:val="009247C6"/>
    <w:rsid w:val="009256D9"/>
    <w:rsid w:val="009258D2"/>
    <w:rsid w:val="0092612E"/>
    <w:rsid w:val="00931028"/>
    <w:rsid w:val="00931BA3"/>
    <w:rsid w:val="0093381D"/>
    <w:rsid w:val="00934B90"/>
    <w:rsid w:val="0093580B"/>
    <w:rsid w:val="009376BD"/>
    <w:rsid w:val="00937CCA"/>
    <w:rsid w:val="00940FCB"/>
    <w:rsid w:val="009411D9"/>
    <w:rsid w:val="00943C60"/>
    <w:rsid w:val="00946D07"/>
    <w:rsid w:val="00947565"/>
    <w:rsid w:val="009506D2"/>
    <w:rsid w:val="0095142C"/>
    <w:rsid w:val="009524B2"/>
    <w:rsid w:val="0095251B"/>
    <w:rsid w:val="009530B7"/>
    <w:rsid w:val="00953A5A"/>
    <w:rsid w:val="009548F6"/>
    <w:rsid w:val="00954D0C"/>
    <w:rsid w:val="009558F1"/>
    <w:rsid w:val="00957D4B"/>
    <w:rsid w:val="009625A3"/>
    <w:rsid w:val="00963102"/>
    <w:rsid w:val="0096443B"/>
    <w:rsid w:val="00964DBA"/>
    <w:rsid w:val="00966A4C"/>
    <w:rsid w:val="009715D6"/>
    <w:rsid w:val="009727DD"/>
    <w:rsid w:val="00973167"/>
    <w:rsid w:val="009743C3"/>
    <w:rsid w:val="009761BF"/>
    <w:rsid w:val="009779E5"/>
    <w:rsid w:val="00977B87"/>
    <w:rsid w:val="0098097D"/>
    <w:rsid w:val="00982924"/>
    <w:rsid w:val="009862B2"/>
    <w:rsid w:val="00986D9C"/>
    <w:rsid w:val="00991191"/>
    <w:rsid w:val="00991B6F"/>
    <w:rsid w:val="00995323"/>
    <w:rsid w:val="00995A1F"/>
    <w:rsid w:val="009966B7"/>
    <w:rsid w:val="009A3DA9"/>
    <w:rsid w:val="009A4617"/>
    <w:rsid w:val="009A5175"/>
    <w:rsid w:val="009A5EFC"/>
    <w:rsid w:val="009A6324"/>
    <w:rsid w:val="009A6A4E"/>
    <w:rsid w:val="009A73F9"/>
    <w:rsid w:val="009B2CF1"/>
    <w:rsid w:val="009B40D8"/>
    <w:rsid w:val="009B5705"/>
    <w:rsid w:val="009B62B7"/>
    <w:rsid w:val="009B7CC9"/>
    <w:rsid w:val="009B7FC3"/>
    <w:rsid w:val="009C3816"/>
    <w:rsid w:val="009C3F66"/>
    <w:rsid w:val="009C5BC0"/>
    <w:rsid w:val="009D0966"/>
    <w:rsid w:val="009D17D3"/>
    <w:rsid w:val="009D4252"/>
    <w:rsid w:val="009D4FB8"/>
    <w:rsid w:val="009D5426"/>
    <w:rsid w:val="009D55C3"/>
    <w:rsid w:val="009D6355"/>
    <w:rsid w:val="009D6948"/>
    <w:rsid w:val="009D7533"/>
    <w:rsid w:val="009E128F"/>
    <w:rsid w:val="009E26D6"/>
    <w:rsid w:val="009E3068"/>
    <w:rsid w:val="009E31C3"/>
    <w:rsid w:val="009E3501"/>
    <w:rsid w:val="009E4167"/>
    <w:rsid w:val="009F02E6"/>
    <w:rsid w:val="009F086E"/>
    <w:rsid w:val="009F2407"/>
    <w:rsid w:val="009F280F"/>
    <w:rsid w:val="009F371A"/>
    <w:rsid w:val="009F4C52"/>
    <w:rsid w:val="009F5C7D"/>
    <w:rsid w:val="009F651E"/>
    <w:rsid w:val="009F7836"/>
    <w:rsid w:val="009F7FC8"/>
    <w:rsid w:val="00A00D33"/>
    <w:rsid w:val="00A0199F"/>
    <w:rsid w:val="00A0571B"/>
    <w:rsid w:val="00A11D2F"/>
    <w:rsid w:val="00A11DBA"/>
    <w:rsid w:val="00A128F8"/>
    <w:rsid w:val="00A1374A"/>
    <w:rsid w:val="00A154FB"/>
    <w:rsid w:val="00A20940"/>
    <w:rsid w:val="00A20F81"/>
    <w:rsid w:val="00A20FD5"/>
    <w:rsid w:val="00A22692"/>
    <w:rsid w:val="00A236C3"/>
    <w:rsid w:val="00A244ED"/>
    <w:rsid w:val="00A2511B"/>
    <w:rsid w:val="00A36293"/>
    <w:rsid w:val="00A376E5"/>
    <w:rsid w:val="00A404DA"/>
    <w:rsid w:val="00A4079B"/>
    <w:rsid w:val="00A44346"/>
    <w:rsid w:val="00A44931"/>
    <w:rsid w:val="00A44E8B"/>
    <w:rsid w:val="00A466AE"/>
    <w:rsid w:val="00A50A09"/>
    <w:rsid w:val="00A543B0"/>
    <w:rsid w:val="00A5455E"/>
    <w:rsid w:val="00A54D86"/>
    <w:rsid w:val="00A55B31"/>
    <w:rsid w:val="00A55ED6"/>
    <w:rsid w:val="00A56667"/>
    <w:rsid w:val="00A60B9B"/>
    <w:rsid w:val="00A62EB2"/>
    <w:rsid w:val="00A62F49"/>
    <w:rsid w:val="00A63F1C"/>
    <w:rsid w:val="00A643DA"/>
    <w:rsid w:val="00A64ED9"/>
    <w:rsid w:val="00A656A1"/>
    <w:rsid w:val="00A66FFC"/>
    <w:rsid w:val="00A71A97"/>
    <w:rsid w:val="00A77E2C"/>
    <w:rsid w:val="00A80369"/>
    <w:rsid w:val="00A81EDE"/>
    <w:rsid w:val="00A824B2"/>
    <w:rsid w:val="00A83E2F"/>
    <w:rsid w:val="00A83F22"/>
    <w:rsid w:val="00A8763A"/>
    <w:rsid w:val="00A91CC5"/>
    <w:rsid w:val="00A91CF6"/>
    <w:rsid w:val="00A9217E"/>
    <w:rsid w:val="00A92379"/>
    <w:rsid w:val="00A9246C"/>
    <w:rsid w:val="00A92BDA"/>
    <w:rsid w:val="00A932D8"/>
    <w:rsid w:val="00A93655"/>
    <w:rsid w:val="00A95A04"/>
    <w:rsid w:val="00AA14D2"/>
    <w:rsid w:val="00AA168B"/>
    <w:rsid w:val="00AA2F0C"/>
    <w:rsid w:val="00AB0441"/>
    <w:rsid w:val="00AB3B8E"/>
    <w:rsid w:val="00AB3BD7"/>
    <w:rsid w:val="00AB3FFA"/>
    <w:rsid w:val="00AB42E9"/>
    <w:rsid w:val="00AB6FFE"/>
    <w:rsid w:val="00AC00F6"/>
    <w:rsid w:val="00AC0339"/>
    <w:rsid w:val="00AC0D79"/>
    <w:rsid w:val="00AC216E"/>
    <w:rsid w:val="00AC4B6E"/>
    <w:rsid w:val="00AC7761"/>
    <w:rsid w:val="00AD280B"/>
    <w:rsid w:val="00AD31D4"/>
    <w:rsid w:val="00AD4241"/>
    <w:rsid w:val="00AD6DF5"/>
    <w:rsid w:val="00AD7839"/>
    <w:rsid w:val="00AE04D1"/>
    <w:rsid w:val="00AE13CD"/>
    <w:rsid w:val="00AE1419"/>
    <w:rsid w:val="00AE47F2"/>
    <w:rsid w:val="00AE4B9D"/>
    <w:rsid w:val="00AE586A"/>
    <w:rsid w:val="00AE59C1"/>
    <w:rsid w:val="00AF056C"/>
    <w:rsid w:val="00AF3169"/>
    <w:rsid w:val="00AF5F97"/>
    <w:rsid w:val="00B014CB"/>
    <w:rsid w:val="00B01C2F"/>
    <w:rsid w:val="00B02903"/>
    <w:rsid w:val="00B032BD"/>
    <w:rsid w:val="00B0346D"/>
    <w:rsid w:val="00B03935"/>
    <w:rsid w:val="00B11EF4"/>
    <w:rsid w:val="00B12047"/>
    <w:rsid w:val="00B12BCB"/>
    <w:rsid w:val="00B1688A"/>
    <w:rsid w:val="00B1736A"/>
    <w:rsid w:val="00B17370"/>
    <w:rsid w:val="00B17DA4"/>
    <w:rsid w:val="00B20C2F"/>
    <w:rsid w:val="00B21706"/>
    <w:rsid w:val="00B23223"/>
    <w:rsid w:val="00B24C84"/>
    <w:rsid w:val="00B250C4"/>
    <w:rsid w:val="00B25739"/>
    <w:rsid w:val="00B26BB3"/>
    <w:rsid w:val="00B27756"/>
    <w:rsid w:val="00B279F1"/>
    <w:rsid w:val="00B30CB2"/>
    <w:rsid w:val="00B3154F"/>
    <w:rsid w:val="00B339E5"/>
    <w:rsid w:val="00B33D3E"/>
    <w:rsid w:val="00B34234"/>
    <w:rsid w:val="00B37A4E"/>
    <w:rsid w:val="00B458AB"/>
    <w:rsid w:val="00B45AE2"/>
    <w:rsid w:val="00B46A13"/>
    <w:rsid w:val="00B505E4"/>
    <w:rsid w:val="00B518F1"/>
    <w:rsid w:val="00B52BF4"/>
    <w:rsid w:val="00B53D15"/>
    <w:rsid w:val="00B53DA2"/>
    <w:rsid w:val="00B57817"/>
    <w:rsid w:val="00B57ED5"/>
    <w:rsid w:val="00B631A1"/>
    <w:rsid w:val="00B6690C"/>
    <w:rsid w:val="00B676F3"/>
    <w:rsid w:val="00B67D7E"/>
    <w:rsid w:val="00B70B0A"/>
    <w:rsid w:val="00B70D27"/>
    <w:rsid w:val="00B715A4"/>
    <w:rsid w:val="00B73113"/>
    <w:rsid w:val="00B734FC"/>
    <w:rsid w:val="00B74E7E"/>
    <w:rsid w:val="00B76BA0"/>
    <w:rsid w:val="00B7795E"/>
    <w:rsid w:val="00B80F72"/>
    <w:rsid w:val="00B828A4"/>
    <w:rsid w:val="00B82DB0"/>
    <w:rsid w:val="00B83438"/>
    <w:rsid w:val="00B846CA"/>
    <w:rsid w:val="00B870C0"/>
    <w:rsid w:val="00B90AFA"/>
    <w:rsid w:val="00B91321"/>
    <w:rsid w:val="00B91483"/>
    <w:rsid w:val="00B914EF"/>
    <w:rsid w:val="00B923E9"/>
    <w:rsid w:val="00B9248B"/>
    <w:rsid w:val="00B92C4E"/>
    <w:rsid w:val="00B942AA"/>
    <w:rsid w:val="00B949A1"/>
    <w:rsid w:val="00B96472"/>
    <w:rsid w:val="00BA1498"/>
    <w:rsid w:val="00BA15AB"/>
    <w:rsid w:val="00BA1F6F"/>
    <w:rsid w:val="00BA3B7C"/>
    <w:rsid w:val="00BA526C"/>
    <w:rsid w:val="00BA7146"/>
    <w:rsid w:val="00BA720C"/>
    <w:rsid w:val="00BA7DFD"/>
    <w:rsid w:val="00BB0841"/>
    <w:rsid w:val="00BB20E6"/>
    <w:rsid w:val="00BB2174"/>
    <w:rsid w:val="00BC0212"/>
    <w:rsid w:val="00BC0503"/>
    <w:rsid w:val="00BC3E7C"/>
    <w:rsid w:val="00BC4EFE"/>
    <w:rsid w:val="00BC7BE8"/>
    <w:rsid w:val="00BC7C35"/>
    <w:rsid w:val="00BD1854"/>
    <w:rsid w:val="00BD512D"/>
    <w:rsid w:val="00BD5F28"/>
    <w:rsid w:val="00BD66C0"/>
    <w:rsid w:val="00BD78ED"/>
    <w:rsid w:val="00BE2386"/>
    <w:rsid w:val="00BE35C4"/>
    <w:rsid w:val="00BE4B09"/>
    <w:rsid w:val="00BE4CA8"/>
    <w:rsid w:val="00BE7107"/>
    <w:rsid w:val="00BE7B50"/>
    <w:rsid w:val="00BF0BE5"/>
    <w:rsid w:val="00BF2D09"/>
    <w:rsid w:val="00BF4C77"/>
    <w:rsid w:val="00C03B5D"/>
    <w:rsid w:val="00C04293"/>
    <w:rsid w:val="00C05FE9"/>
    <w:rsid w:val="00C06327"/>
    <w:rsid w:val="00C10038"/>
    <w:rsid w:val="00C10464"/>
    <w:rsid w:val="00C10B22"/>
    <w:rsid w:val="00C12A97"/>
    <w:rsid w:val="00C14B6B"/>
    <w:rsid w:val="00C1546F"/>
    <w:rsid w:val="00C155FE"/>
    <w:rsid w:val="00C16F43"/>
    <w:rsid w:val="00C1737C"/>
    <w:rsid w:val="00C2063C"/>
    <w:rsid w:val="00C245E7"/>
    <w:rsid w:val="00C270F6"/>
    <w:rsid w:val="00C27194"/>
    <w:rsid w:val="00C27598"/>
    <w:rsid w:val="00C3145D"/>
    <w:rsid w:val="00C32677"/>
    <w:rsid w:val="00C333C3"/>
    <w:rsid w:val="00C337B9"/>
    <w:rsid w:val="00C33F60"/>
    <w:rsid w:val="00C3421F"/>
    <w:rsid w:val="00C3423D"/>
    <w:rsid w:val="00C359E7"/>
    <w:rsid w:val="00C363EB"/>
    <w:rsid w:val="00C37121"/>
    <w:rsid w:val="00C3771C"/>
    <w:rsid w:val="00C50736"/>
    <w:rsid w:val="00C526DD"/>
    <w:rsid w:val="00C532EE"/>
    <w:rsid w:val="00C53441"/>
    <w:rsid w:val="00C5600F"/>
    <w:rsid w:val="00C5639F"/>
    <w:rsid w:val="00C577B3"/>
    <w:rsid w:val="00C60847"/>
    <w:rsid w:val="00C608DD"/>
    <w:rsid w:val="00C61073"/>
    <w:rsid w:val="00C61757"/>
    <w:rsid w:val="00C62688"/>
    <w:rsid w:val="00C62BDC"/>
    <w:rsid w:val="00C63A04"/>
    <w:rsid w:val="00C63A67"/>
    <w:rsid w:val="00C63B3A"/>
    <w:rsid w:val="00C64049"/>
    <w:rsid w:val="00C66262"/>
    <w:rsid w:val="00C6641D"/>
    <w:rsid w:val="00C71FD8"/>
    <w:rsid w:val="00C736F0"/>
    <w:rsid w:val="00C73B94"/>
    <w:rsid w:val="00C73FA1"/>
    <w:rsid w:val="00C80F13"/>
    <w:rsid w:val="00C82B54"/>
    <w:rsid w:val="00C83B10"/>
    <w:rsid w:val="00C83D40"/>
    <w:rsid w:val="00C912DB"/>
    <w:rsid w:val="00C914E0"/>
    <w:rsid w:val="00C91848"/>
    <w:rsid w:val="00C92FA1"/>
    <w:rsid w:val="00C93B2A"/>
    <w:rsid w:val="00C94734"/>
    <w:rsid w:val="00C95972"/>
    <w:rsid w:val="00CA110F"/>
    <w:rsid w:val="00CA2BE4"/>
    <w:rsid w:val="00CA311E"/>
    <w:rsid w:val="00CA3CE8"/>
    <w:rsid w:val="00CA4B8E"/>
    <w:rsid w:val="00CA4C7F"/>
    <w:rsid w:val="00CA4F57"/>
    <w:rsid w:val="00CA6997"/>
    <w:rsid w:val="00CA6B7C"/>
    <w:rsid w:val="00CA6C46"/>
    <w:rsid w:val="00CA73E1"/>
    <w:rsid w:val="00CB05AF"/>
    <w:rsid w:val="00CB0CEA"/>
    <w:rsid w:val="00CB17DF"/>
    <w:rsid w:val="00CB1DD9"/>
    <w:rsid w:val="00CB58BF"/>
    <w:rsid w:val="00CB5E38"/>
    <w:rsid w:val="00CC063B"/>
    <w:rsid w:val="00CC0C4F"/>
    <w:rsid w:val="00CC11EB"/>
    <w:rsid w:val="00CC61F2"/>
    <w:rsid w:val="00CC6D59"/>
    <w:rsid w:val="00CC7B1A"/>
    <w:rsid w:val="00CC7D17"/>
    <w:rsid w:val="00CD1B4F"/>
    <w:rsid w:val="00CD1BDC"/>
    <w:rsid w:val="00CD2A1D"/>
    <w:rsid w:val="00CD3AA6"/>
    <w:rsid w:val="00CD53BE"/>
    <w:rsid w:val="00CD5F92"/>
    <w:rsid w:val="00CE02B0"/>
    <w:rsid w:val="00CE02BB"/>
    <w:rsid w:val="00CE3134"/>
    <w:rsid w:val="00CE47DF"/>
    <w:rsid w:val="00CE6281"/>
    <w:rsid w:val="00CE7541"/>
    <w:rsid w:val="00CE7BFA"/>
    <w:rsid w:val="00CF1FDE"/>
    <w:rsid w:val="00CF258E"/>
    <w:rsid w:val="00CF3762"/>
    <w:rsid w:val="00CF3EDB"/>
    <w:rsid w:val="00CF40D1"/>
    <w:rsid w:val="00CF4E00"/>
    <w:rsid w:val="00CF51C8"/>
    <w:rsid w:val="00CF5FDB"/>
    <w:rsid w:val="00CF7BB1"/>
    <w:rsid w:val="00D03910"/>
    <w:rsid w:val="00D048C1"/>
    <w:rsid w:val="00D118E3"/>
    <w:rsid w:val="00D122A2"/>
    <w:rsid w:val="00D12E54"/>
    <w:rsid w:val="00D14A09"/>
    <w:rsid w:val="00D168F8"/>
    <w:rsid w:val="00D16C61"/>
    <w:rsid w:val="00D17510"/>
    <w:rsid w:val="00D27B3D"/>
    <w:rsid w:val="00D30702"/>
    <w:rsid w:val="00D324D1"/>
    <w:rsid w:val="00D32A95"/>
    <w:rsid w:val="00D33461"/>
    <w:rsid w:val="00D34518"/>
    <w:rsid w:val="00D36125"/>
    <w:rsid w:val="00D365EB"/>
    <w:rsid w:val="00D37964"/>
    <w:rsid w:val="00D40B67"/>
    <w:rsid w:val="00D41451"/>
    <w:rsid w:val="00D415F1"/>
    <w:rsid w:val="00D423C2"/>
    <w:rsid w:val="00D42EC6"/>
    <w:rsid w:val="00D43804"/>
    <w:rsid w:val="00D43E8A"/>
    <w:rsid w:val="00D445CB"/>
    <w:rsid w:val="00D44A51"/>
    <w:rsid w:val="00D4586F"/>
    <w:rsid w:val="00D46C80"/>
    <w:rsid w:val="00D46D99"/>
    <w:rsid w:val="00D47EE2"/>
    <w:rsid w:val="00D47F5F"/>
    <w:rsid w:val="00D50C74"/>
    <w:rsid w:val="00D51214"/>
    <w:rsid w:val="00D531F0"/>
    <w:rsid w:val="00D563AE"/>
    <w:rsid w:val="00D56C8D"/>
    <w:rsid w:val="00D56DB1"/>
    <w:rsid w:val="00D604B4"/>
    <w:rsid w:val="00D60D0E"/>
    <w:rsid w:val="00D6230E"/>
    <w:rsid w:val="00D64092"/>
    <w:rsid w:val="00D74C68"/>
    <w:rsid w:val="00D74FF0"/>
    <w:rsid w:val="00D77746"/>
    <w:rsid w:val="00D77816"/>
    <w:rsid w:val="00D77FBC"/>
    <w:rsid w:val="00D82B54"/>
    <w:rsid w:val="00D90D8F"/>
    <w:rsid w:val="00D91371"/>
    <w:rsid w:val="00D915DE"/>
    <w:rsid w:val="00D927CF"/>
    <w:rsid w:val="00D93ADB"/>
    <w:rsid w:val="00DA0CE7"/>
    <w:rsid w:val="00DA7281"/>
    <w:rsid w:val="00DA73A3"/>
    <w:rsid w:val="00DB0174"/>
    <w:rsid w:val="00DB120D"/>
    <w:rsid w:val="00DB1C89"/>
    <w:rsid w:val="00DB7AD0"/>
    <w:rsid w:val="00DC0353"/>
    <w:rsid w:val="00DC3F2E"/>
    <w:rsid w:val="00DC6377"/>
    <w:rsid w:val="00DD0352"/>
    <w:rsid w:val="00DD087B"/>
    <w:rsid w:val="00DD0C72"/>
    <w:rsid w:val="00DD23C7"/>
    <w:rsid w:val="00DD4759"/>
    <w:rsid w:val="00DD5FF5"/>
    <w:rsid w:val="00DD6679"/>
    <w:rsid w:val="00DD790E"/>
    <w:rsid w:val="00DE100B"/>
    <w:rsid w:val="00DE2CB8"/>
    <w:rsid w:val="00DE34AC"/>
    <w:rsid w:val="00DE5FF8"/>
    <w:rsid w:val="00DE6029"/>
    <w:rsid w:val="00DE6F18"/>
    <w:rsid w:val="00DE748A"/>
    <w:rsid w:val="00DF0015"/>
    <w:rsid w:val="00DF1ACE"/>
    <w:rsid w:val="00DF35AF"/>
    <w:rsid w:val="00DF7181"/>
    <w:rsid w:val="00DF7C4A"/>
    <w:rsid w:val="00E00267"/>
    <w:rsid w:val="00E02AB9"/>
    <w:rsid w:val="00E02AED"/>
    <w:rsid w:val="00E0397A"/>
    <w:rsid w:val="00E05F08"/>
    <w:rsid w:val="00E07253"/>
    <w:rsid w:val="00E0788F"/>
    <w:rsid w:val="00E124EE"/>
    <w:rsid w:val="00E12B34"/>
    <w:rsid w:val="00E17097"/>
    <w:rsid w:val="00E20CF8"/>
    <w:rsid w:val="00E22216"/>
    <w:rsid w:val="00E22D04"/>
    <w:rsid w:val="00E22E4F"/>
    <w:rsid w:val="00E23B46"/>
    <w:rsid w:val="00E2433B"/>
    <w:rsid w:val="00E25615"/>
    <w:rsid w:val="00E30108"/>
    <w:rsid w:val="00E32AD3"/>
    <w:rsid w:val="00E3338D"/>
    <w:rsid w:val="00E35C49"/>
    <w:rsid w:val="00E366A7"/>
    <w:rsid w:val="00E40B27"/>
    <w:rsid w:val="00E4193E"/>
    <w:rsid w:val="00E4477F"/>
    <w:rsid w:val="00E4782E"/>
    <w:rsid w:val="00E50031"/>
    <w:rsid w:val="00E529B6"/>
    <w:rsid w:val="00E5608B"/>
    <w:rsid w:val="00E56901"/>
    <w:rsid w:val="00E57B5C"/>
    <w:rsid w:val="00E601C1"/>
    <w:rsid w:val="00E6106D"/>
    <w:rsid w:val="00E61A55"/>
    <w:rsid w:val="00E61CBA"/>
    <w:rsid w:val="00E640E6"/>
    <w:rsid w:val="00E6646B"/>
    <w:rsid w:val="00E67A9E"/>
    <w:rsid w:val="00E714F2"/>
    <w:rsid w:val="00E719A5"/>
    <w:rsid w:val="00E74F17"/>
    <w:rsid w:val="00E753CD"/>
    <w:rsid w:val="00E75531"/>
    <w:rsid w:val="00E76065"/>
    <w:rsid w:val="00E77035"/>
    <w:rsid w:val="00E77B7D"/>
    <w:rsid w:val="00E85EA0"/>
    <w:rsid w:val="00E91726"/>
    <w:rsid w:val="00E92580"/>
    <w:rsid w:val="00E9270C"/>
    <w:rsid w:val="00EA0892"/>
    <w:rsid w:val="00EA2B17"/>
    <w:rsid w:val="00EA2EEC"/>
    <w:rsid w:val="00EA35D4"/>
    <w:rsid w:val="00EA43CA"/>
    <w:rsid w:val="00EA5DC0"/>
    <w:rsid w:val="00EA65B5"/>
    <w:rsid w:val="00EB1065"/>
    <w:rsid w:val="00EB5222"/>
    <w:rsid w:val="00EB729C"/>
    <w:rsid w:val="00EB7866"/>
    <w:rsid w:val="00EC0190"/>
    <w:rsid w:val="00EC0B94"/>
    <w:rsid w:val="00EC1F16"/>
    <w:rsid w:val="00EC4B8E"/>
    <w:rsid w:val="00EC7668"/>
    <w:rsid w:val="00ED0F2C"/>
    <w:rsid w:val="00ED139B"/>
    <w:rsid w:val="00ED29D8"/>
    <w:rsid w:val="00ED36A6"/>
    <w:rsid w:val="00ED3ACE"/>
    <w:rsid w:val="00ED40F7"/>
    <w:rsid w:val="00ED7577"/>
    <w:rsid w:val="00EE109B"/>
    <w:rsid w:val="00EE3C29"/>
    <w:rsid w:val="00EE4292"/>
    <w:rsid w:val="00EE5057"/>
    <w:rsid w:val="00EE62E5"/>
    <w:rsid w:val="00EF1B12"/>
    <w:rsid w:val="00EF1FCA"/>
    <w:rsid w:val="00EF2153"/>
    <w:rsid w:val="00EF5410"/>
    <w:rsid w:val="00EF5C3A"/>
    <w:rsid w:val="00F009F0"/>
    <w:rsid w:val="00F00AEC"/>
    <w:rsid w:val="00F00DBC"/>
    <w:rsid w:val="00F0330E"/>
    <w:rsid w:val="00F071A4"/>
    <w:rsid w:val="00F114EC"/>
    <w:rsid w:val="00F14527"/>
    <w:rsid w:val="00F15F66"/>
    <w:rsid w:val="00F17BD4"/>
    <w:rsid w:val="00F20C24"/>
    <w:rsid w:val="00F224B2"/>
    <w:rsid w:val="00F23015"/>
    <w:rsid w:val="00F24304"/>
    <w:rsid w:val="00F2601E"/>
    <w:rsid w:val="00F3416B"/>
    <w:rsid w:val="00F351CA"/>
    <w:rsid w:val="00F35581"/>
    <w:rsid w:val="00F355D4"/>
    <w:rsid w:val="00F37AC0"/>
    <w:rsid w:val="00F414AD"/>
    <w:rsid w:val="00F43E5A"/>
    <w:rsid w:val="00F47219"/>
    <w:rsid w:val="00F47F61"/>
    <w:rsid w:val="00F52461"/>
    <w:rsid w:val="00F52DD4"/>
    <w:rsid w:val="00F52FD2"/>
    <w:rsid w:val="00F53E4A"/>
    <w:rsid w:val="00F54C81"/>
    <w:rsid w:val="00F55D11"/>
    <w:rsid w:val="00F570C0"/>
    <w:rsid w:val="00F65790"/>
    <w:rsid w:val="00F65A69"/>
    <w:rsid w:val="00F6703D"/>
    <w:rsid w:val="00F67D91"/>
    <w:rsid w:val="00F71433"/>
    <w:rsid w:val="00F716C9"/>
    <w:rsid w:val="00F751CD"/>
    <w:rsid w:val="00F773C7"/>
    <w:rsid w:val="00F81131"/>
    <w:rsid w:val="00F83012"/>
    <w:rsid w:val="00F839D6"/>
    <w:rsid w:val="00F84A4C"/>
    <w:rsid w:val="00F84B73"/>
    <w:rsid w:val="00F84F4D"/>
    <w:rsid w:val="00F857E3"/>
    <w:rsid w:val="00F86DED"/>
    <w:rsid w:val="00F9025D"/>
    <w:rsid w:val="00F9069A"/>
    <w:rsid w:val="00F9113B"/>
    <w:rsid w:val="00F922E3"/>
    <w:rsid w:val="00F94420"/>
    <w:rsid w:val="00F959EA"/>
    <w:rsid w:val="00F95F6B"/>
    <w:rsid w:val="00F96527"/>
    <w:rsid w:val="00FA05FC"/>
    <w:rsid w:val="00FA1B42"/>
    <w:rsid w:val="00FA2086"/>
    <w:rsid w:val="00FA4159"/>
    <w:rsid w:val="00FA5589"/>
    <w:rsid w:val="00FA6B07"/>
    <w:rsid w:val="00FB4104"/>
    <w:rsid w:val="00FB5FF0"/>
    <w:rsid w:val="00FC02A4"/>
    <w:rsid w:val="00FC6006"/>
    <w:rsid w:val="00FC7DA8"/>
    <w:rsid w:val="00FD15C7"/>
    <w:rsid w:val="00FD19C6"/>
    <w:rsid w:val="00FD2566"/>
    <w:rsid w:val="00FD4C9D"/>
    <w:rsid w:val="00FD6266"/>
    <w:rsid w:val="00FE062F"/>
    <w:rsid w:val="00FE091F"/>
    <w:rsid w:val="00FE21BE"/>
    <w:rsid w:val="00FE2BA9"/>
    <w:rsid w:val="00FE30D7"/>
    <w:rsid w:val="00FE5033"/>
    <w:rsid w:val="00FE5D7B"/>
    <w:rsid w:val="00FE6030"/>
    <w:rsid w:val="00FE6E81"/>
    <w:rsid w:val="00FE7EDC"/>
    <w:rsid w:val="00FF2A01"/>
    <w:rsid w:val="00FF2E11"/>
    <w:rsid w:val="00FF434D"/>
    <w:rsid w:val="00FF57A2"/>
    <w:rsid w:val="00FF7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1F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10"/>
  </w:style>
  <w:style w:type="paragraph" w:styleId="Heading1">
    <w:name w:val="heading 1"/>
    <w:basedOn w:val="Normal"/>
    <w:next w:val="Normal"/>
    <w:link w:val="Heading1Char"/>
    <w:uiPriority w:val="9"/>
    <w:qFormat/>
    <w:rsid w:val="00005108"/>
    <w:pPr>
      <w:keepNext/>
      <w:keepLines/>
      <w:numPr>
        <w:numId w:val="37"/>
      </w:numPr>
      <w:spacing w:before="600" w:after="120"/>
      <w:ind w:left="36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F6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058"/>
    <w:pPr>
      <w:keepNext/>
      <w:keepLines/>
      <w:spacing w:before="320" w:after="12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2864FD"/>
    <w:pPr>
      <w:keepNext/>
      <w:keepLines/>
      <w:spacing w:before="120" w:after="1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FootnoteText">
    <w:name w:val="footnote text"/>
    <w:basedOn w:val="Normal"/>
    <w:link w:val="FootnoteTextChar"/>
    <w:uiPriority w:val="99"/>
    <w:semiHidden/>
    <w:unhideWhenUsed/>
    <w:rsid w:val="00774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368"/>
    <w:rPr>
      <w:sz w:val="20"/>
      <w:szCs w:val="20"/>
    </w:rPr>
  </w:style>
  <w:style w:type="character" w:styleId="FootnoteReference">
    <w:name w:val="footnote reference"/>
    <w:basedOn w:val="DefaultParagraphFont"/>
    <w:uiPriority w:val="99"/>
    <w:semiHidden/>
    <w:unhideWhenUsed/>
    <w:rsid w:val="00774368"/>
    <w:rPr>
      <w:vertAlign w:val="superscript"/>
    </w:rPr>
  </w:style>
  <w:style w:type="paragraph" w:customStyle="1" w:styleId="EndNoteBibliographyTitle">
    <w:name w:val="EndNote Bibliography Title"/>
    <w:basedOn w:val="Normal"/>
    <w:link w:val="EndNoteBibliographyTitleChar"/>
    <w:rsid w:val="00793D9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93D90"/>
    <w:rPr>
      <w:rFonts w:ascii="Calibri" w:hAnsi="Calibri"/>
      <w:noProof/>
      <w:lang w:val="en-US"/>
    </w:rPr>
  </w:style>
  <w:style w:type="paragraph" w:customStyle="1" w:styleId="EndNoteBibliography">
    <w:name w:val="EndNote Bibliography"/>
    <w:basedOn w:val="Normal"/>
    <w:link w:val="EndNoteBibliographyChar"/>
    <w:rsid w:val="00793D9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93D90"/>
    <w:rPr>
      <w:rFonts w:ascii="Calibri" w:hAnsi="Calibri"/>
      <w:noProof/>
      <w:lang w:val="en-US"/>
    </w:rPr>
  </w:style>
  <w:style w:type="table" w:customStyle="1" w:styleId="TableGrid1">
    <w:name w:val="Table Grid1"/>
    <w:basedOn w:val="TableNormal"/>
    <w:next w:val="TableGrid"/>
    <w:rsid w:val="00124B06"/>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761"/>
    <w:rPr>
      <w:sz w:val="16"/>
      <w:szCs w:val="16"/>
    </w:rPr>
  </w:style>
  <w:style w:type="paragraph" w:styleId="CommentText">
    <w:name w:val="annotation text"/>
    <w:basedOn w:val="Normal"/>
    <w:link w:val="CommentTextChar"/>
    <w:uiPriority w:val="99"/>
    <w:unhideWhenUsed/>
    <w:rsid w:val="00AC7761"/>
    <w:pPr>
      <w:spacing w:line="240" w:lineRule="auto"/>
    </w:pPr>
    <w:rPr>
      <w:sz w:val="20"/>
      <w:szCs w:val="20"/>
    </w:rPr>
  </w:style>
  <w:style w:type="character" w:customStyle="1" w:styleId="CommentTextChar">
    <w:name w:val="Comment Text Char"/>
    <w:basedOn w:val="DefaultParagraphFont"/>
    <w:link w:val="CommentText"/>
    <w:uiPriority w:val="99"/>
    <w:rsid w:val="00AC7761"/>
    <w:rPr>
      <w:sz w:val="20"/>
      <w:szCs w:val="20"/>
    </w:rPr>
  </w:style>
  <w:style w:type="paragraph" w:styleId="CommentSubject">
    <w:name w:val="annotation subject"/>
    <w:basedOn w:val="CommentText"/>
    <w:next w:val="CommentText"/>
    <w:link w:val="CommentSubjectChar"/>
    <w:uiPriority w:val="99"/>
    <w:semiHidden/>
    <w:unhideWhenUsed/>
    <w:rsid w:val="00AC7761"/>
    <w:rPr>
      <w:b/>
      <w:bCs/>
    </w:rPr>
  </w:style>
  <w:style w:type="character" w:customStyle="1" w:styleId="CommentSubjectChar">
    <w:name w:val="Comment Subject Char"/>
    <w:basedOn w:val="CommentTextChar"/>
    <w:link w:val="CommentSubject"/>
    <w:uiPriority w:val="99"/>
    <w:semiHidden/>
    <w:rsid w:val="00AC7761"/>
    <w:rPr>
      <w:b/>
      <w:bCs/>
      <w:sz w:val="20"/>
      <w:szCs w:val="20"/>
    </w:rPr>
  </w:style>
  <w:style w:type="character" w:styleId="FollowedHyperlink">
    <w:name w:val="FollowedHyperlink"/>
    <w:basedOn w:val="DefaultParagraphFont"/>
    <w:uiPriority w:val="99"/>
    <w:semiHidden/>
    <w:unhideWhenUsed/>
    <w:rsid w:val="00B20C2F"/>
    <w:rPr>
      <w:color w:val="800080" w:themeColor="followedHyperlink"/>
      <w:u w:val="single"/>
    </w:rPr>
  </w:style>
  <w:style w:type="character" w:customStyle="1" w:styleId="Heading1Char">
    <w:name w:val="Heading 1 Char"/>
    <w:basedOn w:val="DefaultParagraphFont"/>
    <w:link w:val="Heading1"/>
    <w:uiPriority w:val="9"/>
    <w:rsid w:val="00005108"/>
    <w:rPr>
      <w:rFonts w:eastAsiaTheme="majorEastAsia" w:cstheme="majorBidi"/>
      <w:b/>
      <w:bCs/>
      <w:color w:val="365F91" w:themeColor="accent1" w:themeShade="BF"/>
      <w:szCs w:val="28"/>
    </w:rPr>
  </w:style>
  <w:style w:type="paragraph" w:customStyle="1" w:styleId="Tableheading">
    <w:name w:val="Table heading"/>
    <w:basedOn w:val="Caption"/>
    <w:link w:val="TableheadingChar"/>
    <w:qFormat/>
    <w:rsid w:val="00AA2F0C"/>
    <w:pPr>
      <w:spacing w:before="120" w:after="160"/>
    </w:pPr>
  </w:style>
  <w:style w:type="paragraph" w:customStyle="1" w:styleId="Tablefootnote">
    <w:name w:val="Table footnote"/>
    <w:basedOn w:val="Normal"/>
    <w:link w:val="TablefootnoteChar"/>
    <w:qFormat/>
    <w:rsid w:val="0081471D"/>
    <w:pPr>
      <w:spacing w:after="0"/>
    </w:pPr>
    <w:rPr>
      <w:rFonts w:ascii="Arial Narrow" w:hAnsi="Arial Narrow"/>
      <w:sz w:val="16"/>
      <w:szCs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1471D"/>
    <w:rPr>
      <w:rFonts w:ascii="Arial Narrow" w:eastAsia="Times New Roman" w:hAnsi="Arial Narrow" w:cs="Tahoma"/>
      <w:b/>
      <w:sz w:val="20"/>
      <w:szCs w:val="20"/>
      <w:lang w:val="en-GB" w:eastAsia="ja-JP"/>
    </w:rPr>
  </w:style>
  <w:style w:type="character" w:customStyle="1" w:styleId="TableheadingChar">
    <w:name w:val="Table heading Char"/>
    <w:basedOn w:val="CaptionChar"/>
    <w:link w:val="Tableheading"/>
    <w:rsid w:val="00AA2F0C"/>
    <w:rPr>
      <w:rFonts w:ascii="Arial Narrow" w:eastAsia="Times New Roman" w:hAnsi="Arial Narrow" w:cs="Tahoma"/>
      <w:b/>
      <w:sz w:val="20"/>
      <w:szCs w:val="20"/>
      <w:lang w:val="en-GB" w:eastAsia="ja-JP"/>
    </w:rPr>
  </w:style>
  <w:style w:type="character" w:customStyle="1" w:styleId="TablefootnoteChar">
    <w:name w:val="Table footnote Char"/>
    <w:basedOn w:val="DefaultParagraphFont"/>
    <w:link w:val="Tablefootnote"/>
    <w:rsid w:val="0081471D"/>
    <w:rPr>
      <w:rFonts w:ascii="Arial Narrow" w:hAnsi="Arial Narrow"/>
      <w:sz w:val="16"/>
      <w:szCs w:val="16"/>
    </w:rPr>
  </w:style>
  <w:style w:type="paragraph" w:styleId="Revision">
    <w:name w:val="Revision"/>
    <w:hidden/>
    <w:uiPriority w:val="99"/>
    <w:semiHidden/>
    <w:rsid w:val="00A60B9B"/>
    <w:pPr>
      <w:spacing w:after="0" w:line="240" w:lineRule="auto"/>
    </w:pPr>
  </w:style>
  <w:style w:type="paragraph" w:styleId="Subtitle">
    <w:name w:val="Subtitle"/>
    <w:basedOn w:val="Normal"/>
    <w:next w:val="Normal"/>
    <w:link w:val="SubtitleChar"/>
    <w:uiPriority w:val="11"/>
    <w:qFormat/>
    <w:rsid w:val="005200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008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F6F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0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864F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42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4254B9"/>
    <w:rPr>
      <w:rFonts w:ascii="Courier New" w:eastAsia="Times New Roman" w:hAnsi="Courier New" w:cs="Courier New"/>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10"/>
  </w:style>
  <w:style w:type="paragraph" w:styleId="Heading1">
    <w:name w:val="heading 1"/>
    <w:basedOn w:val="Normal"/>
    <w:next w:val="Normal"/>
    <w:link w:val="Heading1Char"/>
    <w:uiPriority w:val="9"/>
    <w:qFormat/>
    <w:rsid w:val="00005108"/>
    <w:pPr>
      <w:keepNext/>
      <w:keepLines/>
      <w:numPr>
        <w:numId w:val="37"/>
      </w:numPr>
      <w:spacing w:before="600" w:after="120"/>
      <w:ind w:left="36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F6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058"/>
    <w:pPr>
      <w:keepNext/>
      <w:keepLines/>
      <w:spacing w:before="320" w:after="12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2864FD"/>
    <w:pPr>
      <w:keepNext/>
      <w:keepLines/>
      <w:spacing w:before="120" w:after="1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FootnoteText">
    <w:name w:val="footnote text"/>
    <w:basedOn w:val="Normal"/>
    <w:link w:val="FootnoteTextChar"/>
    <w:uiPriority w:val="99"/>
    <w:semiHidden/>
    <w:unhideWhenUsed/>
    <w:rsid w:val="00774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368"/>
    <w:rPr>
      <w:sz w:val="20"/>
      <w:szCs w:val="20"/>
    </w:rPr>
  </w:style>
  <w:style w:type="character" w:styleId="FootnoteReference">
    <w:name w:val="footnote reference"/>
    <w:basedOn w:val="DefaultParagraphFont"/>
    <w:uiPriority w:val="99"/>
    <w:semiHidden/>
    <w:unhideWhenUsed/>
    <w:rsid w:val="00774368"/>
    <w:rPr>
      <w:vertAlign w:val="superscript"/>
    </w:rPr>
  </w:style>
  <w:style w:type="paragraph" w:customStyle="1" w:styleId="EndNoteBibliographyTitle">
    <w:name w:val="EndNote Bibliography Title"/>
    <w:basedOn w:val="Normal"/>
    <w:link w:val="EndNoteBibliographyTitleChar"/>
    <w:rsid w:val="00793D9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93D90"/>
    <w:rPr>
      <w:rFonts w:ascii="Calibri" w:hAnsi="Calibri"/>
      <w:noProof/>
      <w:lang w:val="en-US"/>
    </w:rPr>
  </w:style>
  <w:style w:type="paragraph" w:customStyle="1" w:styleId="EndNoteBibliography">
    <w:name w:val="EndNote Bibliography"/>
    <w:basedOn w:val="Normal"/>
    <w:link w:val="EndNoteBibliographyChar"/>
    <w:rsid w:val="00793D9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93D90"/>
    <w:rPr>
      <w:rFonts w:ascii="Calibri" w:hAnsi="Calibri"/>
      <w:noProof/>
      <w:lang w:val="en-US"/>
    </w:rPr>
  </w:style>
  <w:style w:type="table" w:customStyle="1" w:styleId="TableGrid1">
    <w:name w:val="Table Grid1"/>
    <w:basedOn w:val="TableNormal"/>
    <w:next w:val="TableGrid"/>
    <w:rsid w:val="00124B06"/>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761"/>
    <w:rPr>
      <w:sz w:val="16"/>
      <w:szCs w:val="16"/>
    </w:rPr>
  </w:style>
  <w:style w:type="paragraph" w:styleId="CommentText">
    <w:name w:val="annotation text"/>
    <w:basedOn w:val="Normal"/>
    <w:link w:val="CommentTextChar"/>
    <w:uiPriority w:val="99"/>
    <w:unhideWhenUsed/>
    <w:rsid w:val="00AC7761"/>
    <w:pPr>
      <w:spacing w:line="240" w:lineRule="auto"/>
    </w:pPr>
    <w:rPr>
      <w:sz w:val="20"/>
      <w:szCs w:val="20"/>
    </w:rPr>
  </w:style>
  <w:style w:type="character" w:customStyle="1" w:styleId="CommentTextChar">
    <w:name w:val="Comment Text Char"/>
    <w:basedOn w:val="DefaultParagraphFont"/>
    <w:link w:val="CommentText"/>
    <w:uiPriority w:val="99"/>
    <w:rsid w:val="00AC7761"/>
    <w:rPr>
      <w:sz w:val="20"/>
      <w:szCs w:val="20"/>
    </w:rPr>
  </w:style>
  <w:style w:type="paragraph" w:styleId="CommentSubject">
    <w:name w:val="annotation subject"/>
    <w:basedOn w:val="CommentText"/>
    <w:next w:val="CommentText"/>
    <w:link w:val="CommentSubjectChar"/>
    <w:uiPriority w:val="99"/>
    <w:semiHidden/>
    <w:unhideWhenUsed/>
    <w:rsid w:val="00AC7761"/>
    <w:rPr>
      <w:b/>
      <w:bCs/>
    </w:rPr>
  </w:style>
  <w:style w:type="character" w:customStyle="1" w:styleId="CommentSubjectChar">
    <w:name w:val="Comment Subject Char"/>
    <w:basedOn w:val="CommentTextChar"/>
    <w:link w:val="CommentSubject"/>
    <w:uiPriority w:val="99"/>
    <w:semiHidden/>
    <w:rsid w:val="00AC7761"/>
    <w:rPr>
      <w:b/>
      <w:bCs/>
      <w:sz w:val="20"/>
      <w:szCs w:val="20"/>
    </w:rPr>
  </w:style>
  <w:style w:type="character" w:styleId="FollowedHyperlink">
    <w:name w:val="FollowedHyperlink"/>
    <w:basedOn w:val="DefaultParagraphFont"/>
    <w:uiPriority w:val="99"/>
    <w:semiHidden/>
    <w:unhideWhenUsed/>
    <w:rsid w:val="00B20C2F"/>
    <w:rPr>
      <w:color w:val="800080" w:themeColor="followedHyperlink"/>
      <w:u w:val="single"/>
    </w:rPr>
  </w:style>
  <w:style w:type="character" w:customStyle="1" w:styleId="Heading1Char">
    <w:name w:val="Heading 1 Char"/>
    <w:basedOn w:val="DefaultParagraphFont"/>
    <w:link w:val="Heading1"/>
    <w:uiPriority w:val="9"/>
    <w:rsid w:val="00005108"/>
    <w:rPr>
      <w:rFonts w:eastAsiaTheme="majorEastAsia" w:cstheme="majorBidi"/>
      <w:b/>
      <w:bCs/>
      <w:color w:val="365F91" w:themeColor="accent1" w:themeShade="BF"/>
      <w:szCs w:val="28"/>
    </w:rPr>
  </w:style>
  <w:style w:type="paragraph" w:customStyle="1" w:styleId="Tableheading">
    <w:name w:val="Table heading"/>
    <w:basedOn w:val="Caption"/>
    <w:link w:val="TableheadingChar"/>
    <w:qFormat/>
    <w:rsid w:val="00AA2F0C"/>
    <w:pPr>
      <w:spacing w:before="120" w:after="160"/>
    </w:pPr>
  </w:style>
  <w:style w:type="paragraph" w:customStyle="1" w:styleId="Tablefootnote">
    <w:name w:val="Table footnote"/>
    <w:basedOn w:val="Normal"/>
    <w:link w:val="TablefootnoteChar"/>
    <w:qFormat/>
    <w:rsid w:val="0081471D"/>
    <w:pPr>
      <w:spacing w:after="0"/>
    </w:pPr>
    <w:rPr>
      <w:rFonts w:ascii="Arial Narrow" w:hAnsi="Arial Narrow"/>
      <w:sz w:val="16"/>
      <w:szCs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1471D"/>
    <w:rPr>
      <w:rFonts w:ascii="Arial Narrow" w:eastAsia="Times New Roman" w:hAnsi="Arial Narrow" w:cs="Tahoma"/>
      <w:b/>
      <w:sz w:val="20"/>
      <w:szCs w:val="20"/>
      <w:lang w:val="en-GB" w:eastAsia="ja-JP"/>
    </w:rPr>
  </w:style>
  <w:style w:type="character" w:customStyle="1" w:styleId="TableheadingChar">
    <w:name w:val="Table heading Char"/>
    <w:basedOn w:val="CaptionChar"/>
    <w:link w:val="Tableheading"/>
    <w:rsid w:val="00AA2F0C"/>
    <w:rPr>
      <w:rFonts w:ascii="Arial Narrow" w:eastAsia="Times New Roman" w:hAnsi="Arial Narrow" w:cs="Tahoma"/>
      <w:b/>
      <w:sz w:val="20"/>
      <w:szCs w:val="20"/>
      <w:lang w:val="en-GB" w:eastAsia="ja-JP"/>
    </w:rPr>
  </w:style>
  <w:style w:type="character" w:customStyle="1" w:styleId="TablefootnoteChar">
    <w:name w:val="Table footnote Char"/>
    <w:basedOn w:val="DefaultParagraphFont"/>
    <w:link w:val="Tablefootnote"/>
    <w:rsid w:val="0081471D"/>
    <w:rPr>
      <w:rFonts w:ascii="Arial Narrow" w:hAnsi="Arial Narrow"/>
      <w:sz w:val="16"/>
      <w:szCs w:val="16"/>
    </w:rPr>
  </w:style>
  <w:style w:type="paragraph" w:styleId="Revision">
    <w:name w:val="Revision"/>
    <w:hidden/>
    <w:uiPriority w:val="99"/>
    <w:semiHidden/>
    <w:rsid w:val="00A60B9B"/>
    <w:pPr>
      <w:spacing w:after="0" w:line="240" w:lineRule="auto"/>
    </w:pPr>
  </w:style>
  <w:style w:type="paragraph" w:styleId="Subtitle">
    <w:name w:val="Subtitle"/>
    <w:basedOn w:val="Normal"/>
    <w:next w:val="Normal"/>
    <w:link w:val="SubtitleChar"/>
    <w:uiPriority w:val="11"/>
    <w:qFormat/>
    <w:rsid w:val="005200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008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F6F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0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864F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42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4254B9"/>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7066">
      <w:bodyDiv w:val="1"/>
      <w:marLeft w:val="0"/>
      <w:marRight w:val="0"/>
      <w:marTop w:val="0"/>
      <w:marBottom w:val="0"/>
      <w:divBdr>
        <w:top w:val="none" w:sz="0" w:space="0" w:color="auto"/>
        <w:left w:val="none" w:sz="0" w:space="0" w:color="auto"/>
        <w:bottom w:val="none" w:sz="0" w:space="0" w:color="auto"/>
        <w:right w:val="none" w:sz="0" w:space="0" w:color="auto"/>
      </w:divBdr>
    </w:div>
    <w:div w:id="373309734">
      <w:bodyDiv w:val="1"/>
      <w:marLeft w:val="0"/>
      <w:marRight w:val="0"/>
      <w:marTop w:val="0"/>
      <w:marBottom w:val="0"/>
      <w:divBdr>
        <w:top w:val="none" w:sz="0" w:space="0" w:color="auto"/>
        <w:left w:val="none" w:sz="0" w:space="0" w:color="auto"/>
        <w:bottom w:val="none" w:sz="0" w:space="0" w:color="auto"/>
        <w:right w:val="none" w:sz="0" w:space="0" w:color="auto"/>
      </w:divBdr>
    </w:div>
    <w:div w:id="390201693">
      <w:bodyDiv w:val="1"/>
      <w:marLeft w:val="0"/>
      <w:marRight w:val="0"/>
      <w:marTop w:val="0"/>
      <w:marBottom w:val="0"/>
      <w:divBdr>
        <w:top w:val="none" w:sz="0" w:space="0" w:color="auto"/>
        <w:left w:val="none" w:sz="0" w:space="0" w:color="auto"/>
        <w:bottom w:val="none" w:sz="0" w:space="0" w:color="auto"/>
        <w:right w:val="none" w:sz="0" w:space="0" w:color="auto"/>
      </w:divBdr>
    </w:div>
    <w:div w:id="724835021">
      <w:bodyDiv w:val="1"/>
      <w:marLeft w:val="0"/>
      <w:marRight w:val="0"/>
      <w:marTop w:val="0"/>
      <w:marBottom w:val="0"/>
      <w:divBdr>
        <w:top w:val="none" w:sz="0" w:space="0" w:color="auto"/>
        <w:left w:val="none" w:sz="0" w:space="0" w:color="auto"/>
        <w:bottom w:val="none" w:sz="0" w:space="0" w:color="auto"/>
        <w:right w:val="none" w:sz="0" w:space="0" w:color="auto"/>
      </w:divBdr>
    </w:div>
    <w:div w:id="848178133">
      <w:bodyDiv w:val="1"/>
      <w:marLeft w:val="0"/>
      <w:marRight w:val="0"/>
      <w:marTop w:val="0"/>
      <w:marBottom w:val="0"/>
      <w:divBdr>
        <w:top w:val="none" w:sz="0" w:space="0" w:color="auto"/>
        <w:left w:val="none" w:sz="0" w:space="0" w:color="auto"/>
        <w:bottom w:val="none" w:sz="0" w:space="0" w:color="auto"/>
        <w:right w:val="none" w:sz="0" w:space="0" w:color="auto"/>
      </w:divBdr>
    </w:div>
    <w:div w:id="1267150050">
      <w:bodyDiv w:val="1"/>
      <w:marLeft w:val="0"/>
      <w:marRight w:val="0"/>
      <w:marTop w:val="0"/>
      <w:marBottom w:val="0"/>
      <w:divBdr>
        <w:top w:val="none" w:sz="0" w:space="0" w:color="auto"/>
        <w:left w:val="none" w:sz="0" w:space="0" w:color="auto"/>
        <w:bottom w:val="none" w:sz="0" w:space="0" w:color="auto"/>
        <w:right w:val="none" w:sz="0" w:space="0" w:color="auto"/>
      </w:divBdr>
    </w:div>
    <w:div w:id="1403260304">
      <w:bodyDiv w:val="1"/>
      <w:marLeft w:val="0"/>
      <w:marRight w:val="0"/>
      <w:marTop w:val="0"/>
      <w:marBottom w:val="0"/>
      <w:divBdr>
        <w:top w:val="none" w:sz="0" w:space="0" w:color="auto"/>
        <w:left w:val="none" w:sz="0" w:space="0" w:color="auto"/>
        <w:bottom w:val="none" w:sz="0" w:space="0" w:color="auto"/>
        <w:right w:val="none" w:sz="0" w:space="0" w:color="auto"/>
      </w:divBdr>
    </w:div>
    <w:div w:id="16523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anceraustralia.gov.au/affected-cancer/cancer-types/breast-cancer/breast-cancer-statistics%3e"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mc/articles/PMC2931080/pdf/brc0003-0082.pdf"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annonc.oxfordjournals.org/content/26/suppl_5/v8.lon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ccn.org/professionals/physician_gls/pdf/breast.pdf"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ndopredict.com/endopredicten/principle.html?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99B4-843A-40FE-958C-6EF9C707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13712</Words>
  <Characters>78163</Characters>
  <Application>Microsoft Office Word</Application>
  <DocSecurity>0</DocSecurity>
  <Lines>651</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Dept Health And Ageing</Company>
  <LinksUpToDate>false</LinksUpToDate>
  <CharactersWithSpaces>91692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Hart Amanda</cp:lastModifiedBy>
  <cp:revision>5</cp:revision>
  <cp:lastPrinted>2015-10-12T00:53:00Z</cp:lastPrinted>
  <dcterms:created xsi:type="dcterms:W3CDTF">2016-02-22T02:27:00Z</dcterms:created>
  <dcterms:modified xsi:type="dcterms:W3CDTF">2016-02-29T04:53:00Z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