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9299" w14:textId="77777777" w:rsidR="00BC1364" w:rsidRPr="00707064" w:rsidRDefault="00C67DD2" w:rsidP="00986DF6">
      <w:pPr>
        <w:jc w:val="center"/>
        <w:rPr>
          <w:b/>
          <w:i/>
          <w:szCs w:val="24"/>
          <w:highlight w:val="yellow"/>
        </w:rPr>
      </w:pPr>
      <w:r>
        <w:rPr>
          <w:rFonts w:ascii="Arial" w:hAnsi="Arial" w:cs="Arial"/>
          <w:b/>
          <w:noProof/>
          <w:color w:val="000080"/>
          <w:sz w:val="28"/>
          <w:szCs w:val="28"/>
        </w:rPr>
        <w:drawing>
          <wp:inline distT="0" distB="0" distL="0" distR="0" wp14:anchorId="102F4AC1" wp14:editId="01538CC2">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FEADB29" w14:textId="77777777" w:rsidR="00BC1364" w:rsidRPr="008D5885" w:rsidRDefault="00BC1364" w:rsidP="00986DF6"/>
    <w:p w14:paraId="2FE69D18" w14:textId="77777777" w:rsidR="00C67DD2" w:rsidRPr="008D5885" w:rsidRDefault="00C67DD2" w:rsidP="00986DF6"/>
    <w:p w14:paraId="3D257C75" w14:textId="77777777" w:rsidR="00BC1364" w:rsidRPr="007B32D1" w:rsidRDefault="00BF479B" w:rsidP="00986DF6">
      <w:pPr>
        <w:jc w:val="center"/>
        <w:rPr>
          <w:rFonts w:ascii="Arial" w:hAnsi="Arial" w:cs="Arial"/>
          <w:b/>
          <w:bCs/>
          <w:color w:val="000080"/>
          <w:sz w:val="36"/>
          <w:szCs w:val="36"/>
        </w:rPr>
      </w:pPr>
      <w:r>
        <w:rPr>
          <w:rFonts w:ascii="Arial" w:hAnsi="Arial" w:cs="Arial"/>
          <w:b/>
          <w:bCs/>
          <w:color w:val="000080"/>
          <w:sz w:val="36"/>
          <w:szCs w:val="36"/>
        </w:rPr>
        <w:t>Public Summary Document</w:t>
      </w:r>
    </w:p>
    <w:p w14:paraId="62246D11" w14:textId="77777777" w:rsidR="00BC1364" w:rsidRPr="007B32D1" w:rsidRDefault="00BC1364" w:rsidP="00986DF6"/>
    <w:p w14:paraId="2A7919D7" w14:textId="77777777" w:rsidR="001C3619" w:rsidRPr="001C3619" w:rsidRDefault="00BC1364" w:rsidP="00986DF6">
      <w:pPr>
        <w:jc w:val="center"/>
        <w:rPr>
          <w:rFonts w:ascii="Arial" w:hAnsi="Arial" w:cs="Arial"/>
          <w:b/>
          <w:bCs/>
          <w:i/>
          <w:color w:val="000080"/>
          <w:sz w:val="28"/>
          <w:szCs w:val="28"/>
        </w:rPr>
      </w:pPr>
      <w:r w:rsidRPr="007B32D1">
        <w:rPr>
          <w:rFonts w:ascii="Arial" w:hAnsi="Arial" w:cs="Arial"/>
          <w:b/>
          <w:bCs/>
          <w:i/>
          <w:color w:val="000080"/>
          <w:sz w:val="28"/>
          <w:szCs w:val="28"/>
        </w:rPr>
        <w:t>Application</w:t>
      </w:r>
      <w:r w:rsidR="001C3619">
        <w:rPr>
          <w:rFonts w:ascii="Arial" w:hAnsi="Arial" w:cs="Arial"/>
          <w:b/>
          <w:bCs/>
          <w:i/>
          <w:color w:val="000080"/>
          <w:sz w:val="28"/>
          <w:szCs w:val="28"/>
        </w:rPr>
        <w:t xml:space="preserve"> 1313</w:t>
      </w:r>
      <w:r w:rsidRPr="007B32D1">
        <w:rPr>
          <w:rFonts w:ascii="Arial" w:hAnsi="Arial" w:cs="Arial"/>
          <w:b/>
          <w:bCs/>
          <w:i/>
          <w:color w:val="000080"/>
          <w:sz w:val="28"/>
          <w:szCs w:val="28"/>
        </w:rPr>
        <w:t xml:space="preserve"> – </w:t>
      </w:r>
      <w:bookmarkStart w:id="0" w:name="_Toc386092518"/>
      <w:bookmarkStart w:id="1" w:name="_Toc386092586"/>
      <w:bookmarkStart w:id="2" w:name="_Toc386093156"/>
      <w:r w:rsidR="001C3619" w:rsidRPr="001C3619">
        <w:rPr>
          <w:rFonts w:ascii="Arial" w:hAnsi="Arial" w:cs="Arial"/>
          <w:b/>
          <w:bCs/>
          <w:i/>
          <w:color w:val="000080"/>
          <w:sz w:val="28"/>
          <w:szCs w:val="28"/>
        </w:rPr>
        <w:t>Bone mineral density analyses using Dual Energy X-ray Absorptiometry (DXA) in breast cancer patients receiving aromatase inhibitor treatment</w:t>
      </w:r>
      <w:bookmarkEnd w:id="0"/>
      <w:bookmarkEnd w:id="1"/>
      <w:bookmarkEnd w:id="2"/>
    </w:p>
    <w:p w14:paraId="02E11FD5" w14:textId="77777777" w:rsidR="00BC1364" w:rsidRDefault="00BC1364" w:rsidP="00986DF6">
      <w:pPr>
        <w:jc w:val="center"/>
        <w:rPr>
          <w:szCs w:val="24"/>
        </w:rPr>
      </w:pPr>
    </w:p>
    <w:p w14:paraId="118ECFE0" w14:textId="77777777" w:rsidR="00BC1364" w:rsidRPr="00707064" w:rsidRDefault="00BC1364" w:rsidP="00986DF6">
      <w:pPr>
        <w:tabs>
          <w:tab w:val="left" w:pos="3600"/>
        </w:tabs>
        <w:ind w:left="3600" w:hanging="3600"/>
        <w:rPr>
          <w:szCs w:val="24"/>
        </w:rPr>
      </w:pPr>
    </w:p>
    <w:p w14:paraId="2EC97F46" w14:textId="77777777" w:rsidR="00BC1364" w:rsidRPr="00D90A38" w:rsidRDefault="001C3619" w:rsidP="00986DF6">
      <w:pPr>
        <w:ind w:left="3600" w:hanging="3600"/>
        <w:rPr>
          <w:rFonts w:ascii="Arial" w:hAnsi="Arial" w:cs="Arial"/>
          <w:b/>
          <w:szCs w:val="24"/>
        </w:rPr>
      </w:pPr>
      <w:r>
        <w:rPr>
          <w:rFonts w:ascii="Arial" w:hAnsi="Arial" w:cs="Arial"/>
          <w:b/>
          <w:szCs w:val="24"/>
        </w:rPr>
        <w:t>Applicant/s:</w:t>
      </w:r>
      <w:r>
        <w:rPr>
          <w:rFonts w:ascii="Arial" w:hAnsi="Arial" w:cs="Arial"/>
          <w:b/>
          <w:szCs w:val="24"/>
        </w:rPr>
        <w:tab/>
        <w:t>Australian and New Zealand Bone Mineral Society</w:t>
      </w:r>
    </w:p>
    <w:p w14:paraId="03246212" w14:textId="77777777" w:rsidR="00BC1364" w:rsidRPr="00D90A38" w:rsidRDefault="00BC1364" w:rsidP="00986DF6">
      <w:pPr>
        <w:tabs>
          <w:tab w:val="left" w:pos="2265"/>
          <w:tab w:val="left" w:pos="3420"/>
          <w:tab w:val="left" w:pos="4320"/>
        </w:tabs>
        <w:rPr>
          <w:rFonts w:ascii="Arial" w:hAnsi="Arial" w:cs="Arial"/>
          <w:b/>
        </w:rPr>
      </w:pPr>
    </w:p>
    <w:p w14:paraId="25D30483" w14:textId="77777777" w:rsidR="00BC1364" w:rsidRPr="00D90A38" w:rsidRDefault="00BC1364" w:rsidP="00986DF6">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3D4CBF">
        <w:rPr>
          <w:rFonts w:ascii="Arial" w:hAnsi="Arial" w:cs="Arial"/>
          <w:b/>
          <w:szCs w:val="24"/>
        </w:rPr>
        <w:t>MSAC 62</w:t>
      </w:r>
      <w:r w:rsidR="003D4CBF" w:rsidRPr="003D4CBF">
        <w:rPr>
          <w:rFonts w:ascii="Arial" w:hAnsi="Arial" w:cs="Arial"/>
          <w:b/>
          <w:szCs w:val="24"/>
          <w:vertAlign w:val="superscript"/>
        </w:rPr>
        <w:t>nd</w:t>
      </w:r>
      <w:r w:rsidR="003D4CBF">
        <w:rPr>
          <w:rFonts w:ascii="Arial" w:hAnsi="Arial" w:cs="Arial"/>
          <w:b/>
          <w:szCs w:val="24"/>
        </w:rPr>
        <w:t xml:space="preserve"> </w:t>
      </w:r>
      <w:r w:rsidRPr="00D90A38">
        <w:rPr>
          <w:rFonts w:ascii="Arial" w:hAnsi="Arial" w:cs="Arial"/>
          <w:b/>
          <w:szCs w:val="24"/>
        </w:rPr>
        <w:t xml:space="preserve">Meeting, </w:t>
      </w:r>
      <w:r w:rsidR="003D4CBF">
        <w:rPr>
          <w:rFonts w:ascii="Arial" w:hAnsi="Arial" w:cs="Arial"/>
          <w:b/>
          <w:szCs w:val="24"/>
        </w:rPr>
        <w:t>26-28 November 2014</w:t>
      </w:r>
    </w:p>
    <w:p w14:paraId="2B60E35F" w14:textId="77777777" w:rsidR="00BC1364" w:rsidRDefault="00BC1364" w:rsidP="00986DF6">
      <w:pPr>
        <w:rPr>
          <w:szCs w:val="24"/>
        </w:rPr>
      </w:pPr>
    </w:p>
    <w:p w14:paraId="3EFF6C75" w14:textId="3BEE041A" w:rsidR="0041758C" w:rsidRDefault="006A0D97" w:rsidP="00986DF6">
      <w:pPr>
        <w:rPr>
          <w:szCs w:val="24"/>
        </w:rPr>
      </w:pPr>
      <w:r>
        <w:rPr>
          <w:szCs w:val="24"/>
        </w:rPr>
        <w:t xml:space="preserve">Context for decision: MSAC makes its advice in accordance with its Terms of Reference, see at </w:t>
      </w:r>
      <w:hyperlink r:id="rId9" w:tooltip="link to MSAC website" w:history="1">
        <w:r w:rsidRPr="000A74FE">
          <w:rPr>
            <w:rStyle w:val="Hyperlink"/>
            <w:szCs w:val="24"/>
          </w:rPr>
          <w:t>www.msac.gov.au</w:t>
        </w:r>
      </w:hyperlink>
    </w:p>
    <w:p w14:paraId="67F0A024" w14:textId="77777777" w:rsidR="0041758C" w:rsidRDefault="0041758C" w:rsidP="00986DF6">
      <w:pPr>
        <w:rPr>
          <w:szCs w:val="24"/>
        </w:rPr>
      </w:pPr>
    </w:p>
    <w:p w14:paraId="153C648A" w14:textId="77777777" w:rsidR="00F41812" w:rsidRDefault="00F41812" w:rsidP="00986DF6">
      <w:pPr>
        <w:rPr>
          <w:szCs w:val="24"/>
        </w:rPr>
      </w:pPr>
    </w:p>
    <w:p w14:paraId="48E9C558" w14:textId="77777777" w:rsidR="003D7F29" w:rsidRPr="00D90A38" w:rsidRDefault="003D7F29" w:rsidP="00986DF6">
      <w:pPr>
        <w:pStyle w:val="Heading1"/>
        <w:numPr>
          <w:ilvl w:val="0"/>
          <w:numId w:val="23"/>
        </w:numPr>
        <w:ind w:hanging="720"/>
      </w:pPr>
      <w:r w:rsidRPr="00D90A38">
        <w:t>Purpose of application</w:t>
      </w:r>
      <w:r w:rsidR="00822C7E">
        <w:t xml:space="preserve"> and links to other applications</w:t>
      </w:r>
    </w:p>
    <w:p w14:paraId="4B44982F" w14:textId="77777777" w:rsidR="003D7F29" w:rsidRPr="00F35134" w:rsidRDefault="003D7F29" w:rsidP="00986DF6">
      <w:pPr>
        <w:tabs>
          <w:tab w:val="left" w:pos="720"/>
          <w:tab w:val="left" w:pos="1140"/>
        </w:tabs>
        <w:ind w:left="720"/>
        <w:rPr>
          <w:b/>
          <w:bCs/>
          <w:szCs w:val="24"/>
        </w:rPr>
      </w:pPr>
    </w:p>
    <w:p w14:paraId="218F2D66" w14:textId="77777777" w:rsidR="00986DF6" w:rsidRDefault="00986DF6" w:rsidP="00986DF6">
      <w:pPr>
        <w:tabs>
          <w:tab w:val="left" w:pos="720"/>
          <w:tab w:val="left" w:pos="1140"/>
        </w:tabs>
        <w:rPr>
          <w:szCs w:val="24"/>
        </w:rPr>
      </w:pPr>
      <w:r>
        <w:rPr>
          <w:szCs w:val="24"/>
        </w:rPr>
        <w:t xml:space="preserve">An application requesting MBS listing </w:t>
      </w:r>
      <w:r>
        <w:t>of</w:t>
      </w:r>
      <w:r w:rsidRPr="00A67624">
        <w:t xml:space="preserve"> </w:t>
      </w:r>
      <w:r>
        <w:t>bone densitometry d</w:t>
      </w:r>
      <w:r w:rsidRPr="00A67624">
        <w:t>ual energy X-ray absorptiometry</w:t>
      </w:r>
      <w:r>
        <w:t xml:space="preserve"> (DXA) for post-menopausal women with early stage breast cancer who receive, or are being considered for, treatmen</w:t>
      </w:r>
      <w:r w:rsidR="003503A9">
        <w:t>t with aromatase inhibitors</w:t>
      </w:r>
      <w:r>
        <w:t xml:space="preserve">, </w:t>
      </w:r>
      <w:r>
        <w:rPr>
          <w:szCs w:val="24"/>
        </w:rPr>
        <w:t xml:space="preserve">was received from the </w:t>
      </w:r>
      <w:r w:rsidRPr="00C321D6">
        <w:t>Australian and New Zealand Bone and Mineral Society</w:t>
      </w:r>
      <w:r>
        <w:rPr>
          <w:szCs w:val="24"/>
        </w:rPr>
        <w:t xml:space="preserve"> (</w:t>
      </w:r>
      <w:r>
        <w:t xml:space="preserve">ANZBMS) </w:t>
      </w:r>
      <w:r>
        <w:rPr>
          <w:szCs w:val="24"/>
        </w:rPr>
        <w:t>by the Department of Health in June 2011.</w:t>
      </w:r>
    </w:p>
    <w:p w14:paraId="6F0288C7" w14:textId="7F2F2146" w:rsidR="00986DF6" w:rsidRDefault="00986DF6" w:rsidP="00986DF6"/>
    <w:p w14:paraId="4F4624EA" w14:textId="77777777" w:rsidR="00E977EE" w:rsidRDefault="00E977EE" w:rsidP="00986DF6">
      <w:pPr>
        <w:pStyle w:val="Heading1"/>
        <w:numPr>
          <w:ilvl w:val="0"/>
          <w:numId w:val="23"/>
        </w:numPr>
        <w:ind w:hanging="720"/>
      </w:pPr>
      <w:r w:rsidRPr="008D5885">
        <w:t>MSAC’s advice to the Minister</w:t>
      </w:r>
    </w:p>
    <w:p w14:paraId="51031121" w14:textId="77777777" w:rsidR="00E977EE" w:rsidRDefault="00E977EE" w:rsidP="00986DF6">
      <w:pPr>
        <w:tabs>
          <w:tab w:val="left" w:pos="720"/>
        </w:tabs>
        <w:ind w:left="709" w:hanging="709"/>
        <w:rPr>
          <w:b/>
          <w:szCs w:val="24"/>
        </w:rPr>
      </w:pPr>
    </w:p>
    <w:p w14:paraId="7DB4FCF2" w14:textId="77777777" w:rsidR="004E3CCD" w:rsidRDefault="004E3CCD" w:rsidP="004E3CCD">
      <w:r>
        <w:t>After considering the available evidence in relation to safety, clinical effectiveness and cost-effectiveness, MSAC deferred the application to seek further external evaluation of the economic modelling, especially of the estimates of elevated fracture risks and prescription drug costs.</w:t>
      </w:r>
    </w:p>
    <w:p w14:paraId="2358C794" w14:textId="77777777" w:rsidR="004E3CCD" w:rsidRDefault="004E3CCD" w:rsidP="004E3CCD"/>
    <w:p w14:paraId="1FED2F64" w14:textId="422DD86E" w:rsidR="004E3CCD" w:rsidRDefault="004E3CCD" w:rsidP="004E3CCD">
      <w:r>
        <w:t xml:space="preserve">MSAC also noted that there is currently no corresponding application for PBS listing of any anti-resorptive agent </w:t>
      </w:r>
      <w:r w:rsidR="00FB2633">
        <w:t>for</w:t>
      </w:r>
      <w:r>
        <w:t xml:space="preserve"> osteoporosis in the context of </w:t>
      </w:r>
      <w:r w:rsidR="00FB2633">
        <w:t xml:space="preserve">patients </w:t>
      </w:r>
      <w:r>
        <w:t>using an aromatase inhibitor, and requested that PBAC be approached to consider how best to assess this co-dependency.</w:t>
      </w:r>
    </w:p>
    <w:p w14:paraId="693FD2C3" w14:textId="77777777" w:rsidR="004E3CCD" w:rsidRDefault="004E3CCD" w:rsidP="004E3CCD"/>
    <w:p w14:paraId="50856EF6" w14:textId="77777777" w:rsidR="004E3CCD" w:rsidRDefault="004E3CCD" w:rsidP="004E3CCD">
      <w:r>
        <w:t>MSAC separately supported amending the current MBS items for BMD analysis to allow trained technicians to perform DXA scanning under the supervision of a medical practitioner. MSAC considered that this should also involve a fee review of these items.</w:t>
      </w:r>
    </w:p>
    <w:p w14:paraId="5FC1BB7B" w14:textId="77777777" w:rsidR="00AB2AC1" w:rsidRPr="00F93291" w:rsidRDefault="00AB2AC1" w:rsidP="004E3CCD"/>
    <w:p w14:paraId="29FEB154" w14:textId="77777777" w:rsidR="00550354" w:rsidRDefault="00550354" w:rsidP="00986DF6">
      <w:pPr>
        <w:pStyle w:val="Heading1"/>
        <w:numPr>
          <w:ilvl w:val="0"/>
          <w:numId w:val="23"/>
        </w:numPr>
        <w:ind w:hanging="720"/>
      </w:pPr>
      <w:r w:rsidRPr="008D5885">
        <w:t>Summary of consideration and rationale for MSAC’s advice</w:t>
      </w:r>
      <w:r w:rsidRPr="00707064">
        <w:t xml:space="preserve"> </w:t>
      </w:r>
    </w:p>
    <w:p w14:paraId="2AE5B4D0" w14:textId="77777777" w:rsidR="00550354" w:rsidRDefault="00550354" w:rsidP="00986DF6">
      <w:pPr>
        <w:rPr>
          <w:szCs w:val="24"/>
        </w:rPr>
      </w:pPr>
    </w:p>
    <w:p w14:paraId="49566C79" w14:textId="77777777" w:rsidR="004E3CCD" w:rsidRDefault="004E3CCD" w:rsidP="004E3CCD">
      <w:r>
        <w:t xml:space="preserve">MSAC noted that the application was for MBS listing of bone densitometry dual energy X-ray absorptiometry (DXA) for post-menopausal women with early stage breast cancer who </w:t>
      </w:r>
      <w:r>
        <w:lastRenderedPageBreak/>
        <w:t>receive, or are being considered for, treatment with aromatase inhibitors (AIs). Eight studies (two high, four medium, two poor quality) investigating risk of minimal trauma fracture in women taking AIs concluded that women taking AIs for breast cancer have reduced BMD and increased risk of fractures. As summarised by Amir et al, 2011, this evidence suggested a relative risk of 1.5 of fracture reported as an adverse event following an AI compared with tamoxifen, and that 46 patients need to be treated up to five years with an AI for each additional fracture reported.</w:t>
      </w:r>
    </w:p>
    <w:p w14:paraId="138C40CA" w14:textId="77777777" w:rsidR="004E3CCD" w:rsidRDefault="004E3CCD" w:rsidP="004E3CCD"/>
    <w:p w14:paraId="069E4F44" w14:textId="3A361292" w:rsidR="004E3CCD" w:rsidRDefault="004E3CCD" w:rsidP="004E3CCD">
      <w:r>
        <w:t xml:space="preserve">MSAC noted that this increased risk of fractures was biologically plausible given the mechanism of action of the AIs, which </w:t>
      </w:r>
      <w:r w:rsidR="00057E72">
        <w:t xml:space="preserve">in post-menopausal women </w:t>
      </w:r>
      <w:r>
        <w:t xml:space="preserve">act to </w:t>
      </w:r>
      <w:r w:rsidR="00B75EDC">
        <w:t>inhibit aromatase enzyme activity and thereby decre</w:t>
      </w:r>
      <w:r w:rsidR="00057E72">
        <w:t xml:space="preserve">ase endogenous oestrogen levels to below levels from natural menopause. </w:t>
      </w:r>
    </w:p>
    <w:p w14:paraId="02539AEE" w14:textId="77777777" w:rsidR="004E3CCD" w:rsidRDefault="004E3CCD" w:rsidP="004E3CCD"/>
    <w:p w14:paraId="5C6B4AEA" w14:textId="77777777" w:rsidR="004E3CCD" w:rsidRDefault="004E3CCD" w:rsidP="004E3CCD">
      <w:r>
        <w:t>MSAC noted that not requiring the existing highly trained personnel (specialists or consultant physicians) to provide the proposed intervention may lead to improved access, however there was concern about who would identify "appropriately trained" technicians.</w:t>
      </w:r>
    </w:p>
    <w:p w14:paraId="1B25E487" w14:textId="77777777" w:rsidR="004E3CCD" w:rsidRDefault="004E3CCD" w:rsidP="004E3CCD"/>
    <w:p w14:paraId="17BCE0A5" w14:textId="7763695B" w:rsidR="004E3CCD" w:rsidRDefault="004E3CCD" w:rsidP="004E3CCD">
      <w:r>
        <w:t>MSAC noted that the DXA threshold</w:t>
      </w:r>
      <w:r w:rsidR="00FB2633">
        <w:t>,</w:t>
      </w:r>
      <w:r>
        <w:t xml:space="preserve"> beyond which it was proposed</w:t>
      </w:r>
      <w:r w:rsidR="00FB2633">
        <w:t>,</w:t>
      </w:r>
      <w:r>
        <w:t xml:space="preserve"> that treatment with anti-resorptive therapy would be initiated was the standard definition of osteoporosis with a T-score below -2.5. This is consistent with the TGA-approved indications of these medicines. However, the frequency of re-testing in patients whose T-score is above -2.5 was more frequent (yearly) than in the proposed clinical management algorithm (one repeat DXA scan after two years and any subsequent DXA scans in limited circumstances).</w:t>
      </w:r>
    </w:p>
    <w:p w14:paraId="4402C600" w14:textId="77777777" w:rsidR="004E3CCD" w:rsidRDefault="004E3CCD" w:rsidP="004E3CCD"/>
    <w:p w14:paraId="3972C059" w14:textId="77777777" w:rsidR="004E3CCD" w:rsidRDefault="004E3CCD" w:rsidP="004E3CCD">
      <w:r>
        <w:t>MSAC noted that the comparator for this intervention was standard clinical assessment involving the use of existing fracture risk assessment tools, vitamin D testing, with lifestyle and dietary advice in the absence of DXA.</w:t>
      </w:r>
    </w:p>
    <w:p w14:paraId="0249E1B7" w14:textId="77777777" w:rsidR="004E3CCD" w:rsidRDefault="004E3CCD" w:rsidP="004E3CCD"/>
    <w:p w14:paraId="6764D29D" w14:textId="77777777" w:rsidR="004E3CCD" w:rsidRDefault="004E3CCD" w:rsidP="004E3CCD">
      <w:r>
        <w:t>MSAC noted that there were no studies that assessed the safety of DXA scans in the population of interest. However, DXA in general, is a widely used technique that is considered to be safe, being non-invasive, and using low levels of radiation, the equivalent of two to four days of background radiation.</w:t>
      </w:r>
    </w:p>
    <w:p w14:paraId="21F0C687" w14:textId="77777777" w:rsidR="004E3CCD" w:rsidRDefault="004E3CCD" w:rsidP="004E3CCD"/>
    <w:p w14:paraId="2CFCEC54" w14:textId="47733E6F" w:rsidR="004E3CCD" w:rsidRDefault="004E3CCD" w:rsidP="004E3CCD">
      <w:r>
        <w:t xml:space="preserve">MSAC noted the view of ESC </w:t>
      </w:r>
      <w:r w:rsidR="001E776B">
        <w:t xml:space="preserve">that </w:t>
      </w:r>
      <w:r>
        <w:t>DXA is the reference standard for measuring bone density, but there was limited information on DXA performance in the assessment report. It is reported in a previous assessment (Hailey et al, 1998) to be a high precision method of measuring BMD (the standard basis for diagnosing osteoporosis with respect to a T-score), but its performance in predicting fracture risk is less impressive, whether considered in isolation or combined with other risk factors in an algorithm such as the fracture risk assessment tool (FRAX</w:t>
      </w:r>
      <w:r w:rsidRPr="0037715A">
        <w:rPr>
          <w:vertAlign w:val="superscript"/>
        </w:rPr>
        <w:t>®</w:t>
      </w:r>
      <w:r>
        <w:t>) developed for online use by the World Health Organisation.</w:t>
      </w:r>
    </w:p>
    <w:p w14:paraId="7E0330B2" w14:textId="77777777" w:rsidR="004E3CCD" w:rsidRDefault="004E3CCD" w:rsidP="004E3CCD"/>
    <w:p w14:paraId="5B70293A" w14:textId="46672BF0" w:rsidR="004E3CCD" w:rsidRDefault="004E3CCD" w:rsidP="004E3CCD">
      <w:r>
        <w:t>MSAC expressed concern with the standard of the comparative effectiveness data for anti-resorptive therapy included in the assessment report. This was based on 13 medium quality studies and 1 poor quality study (12 randomised trials, one nonrandomised comparative study, and one meta-analysis) investigating treatments to increase BMD for women taking AIs. MSAC agreed with its ESC that the systematic review and meta-analysis conducted for the assessment report contained insufficient</w:t>
      </w:r>
      <w:r w:rsidR="00FB2633">
        <w:t>,</w:t>
      </w:r>
      <w:r>
        <w:t xml:space="preserve"> poorly described methods and </w:t>
      </w:r>
      <w:r w:rsidR="00FB2633">
        <w:t xml:space="preserve">was </w:t>
      </w:r>
      <w:r>
        <w:t xml:space="preserve">difficult to interpret results. </w:t>
      </w:r>
      <w:r w:rsidR="001133AA">
        <w:t>In particular, the meta-analyses of mean differences in % change in BMD for lumbar spine and for total hip were reported as standardised mean differences, without reference to the absolute scaling of this change. Hence, the actual BMD change and its clinical meaning are unstated, and this hinders any assessment of the size of the reported benefit on BMD</w:t>
      </w:r>
      <w:r>
        <w:t xml:space="preserve">. The economic evaluation presented in the assessment report relied on an </w:t>
      </w:r>
      <w:r>
        <w:lastRenderedPageBreak/>
        <w:t>unweighted mean rate ratio for fracture of 0.66 comparing patients on AIs with and without anti-resorptive therapy (or between immediate and delayed anti-resorptive therapy) based on three studies (</w:t>
      </w:r>
      <w:proofErr w:type="spellStart"/>
      <w:r>
        <w:t>Brufsky</w:t>
      </w:r>
      <w:proofErr w:type="spellEnd"/>
      <w:r>
        <w:t xml:space="preserve"> 2012, </w:t>
      </w:r>
      <w:proofErr w:type="spellStart"/>
      <w:r>
        <w:t>Llombart</w:t>
      </w:r>
      <w:proofErr w:type="spellEnd"/>
      <w:r>
        <w:t>, 2012 and Coleman, 2013). Although none of these studies demonstrated a statistically significant reduction of fracture with anti-resorptive therapy, this might be a false negative result due to the studies being under-powered to assess fracture risk.</w:t>
      </w:r>
    </w:p>
    <w:p w14:paraId="78EA8CFA" w14:textId="77777777" w:rsidR="004E3CCD" w:rsidRDefault="004E3CCD" w:rsidP="004E3CCD"/>
    <w:p w14:paraId="592F5D23" w14:textId="6C3C98DB" w:rsidR="004E3CCD" w:rsidRDefault="004E3CCD" w:rsidP="004E3CCD">
      <w:r>
        <w:t>MSAC also expressed concern that the use of an</w:t>
      </w:r>
      <w:r w:rsidR="00E9470A">
        <w:t>t</w:t>
      </w:r>
      <w:r>
        <w:t>i-resorptive therapy was associated with harms as well as benefits according to a summary of common adverse events for women taking an AI, which reported increased rates of events such as arthralgia, myalgia, hot flushes and fever for women also receiving BMD management compared with those who did not. The balance of benefits and harms for BMD management was not fully assessed in either the clinical or economic evaluation.</w:t>
      </w:r>
    </w:p>
    <w:p w14:paraId="0914ED8C" w14:textId="77777777" w:rsidR="004E3CCD" w:rsidRDefault="004E3CCD" w:rsidP="004E3CCD"/>
    <w:p w14:paraId="02E9C192" w14:textId="77777777" w:rsidR="004E3CCD" w:rsidRDefault="004E3CCD" w:rsidP="004E3CCD">
      <w:r>
        <w:t>A cost-utility analysis was undertaken on the basis that the evidence showed that DXA together with the use of anti-resorptive therapy in women assessed to have osteoporosis was superior to standard clinical assessment for reversing bone loss and reducing fracture in women taking AIs. MSAC expressed concerns about the economic model, the assumptions made and the validity of the modelled estimates of cost-effectiveness, noting that:</w:t>
      </w:r>
    </w:p>
    <w:p w14:paraId="5CB3A9DF" w14:textId="77777777" w:rsidR="004E3CCD" w:rsidRDefault="004E3CCD" w:rsidP="004E3CCD">
      <w:pPr>
        <w:pStyle w:val="ListParagraph"/>
        <w:numPr>
          <w:ilvl w:val="0"/>
          <w:numId w:val="31"/>
        </w:numPr>
      </w:pPr>
      <w:r>
        <w:t>The relative risk of fracture due to osteoporosis compared with no osteoporosis was estimated by extrapolating the relative risk of fracture per standard deviation decrease in BMD estimated in the systematic review by Marshall et al (1996). The base case relative risk was 3.75 (with a narrow range of 3.50 - 4.00 used for the sensitivity analysis), which MSAC noted to be greater than the observed relative risk of 1.5 for fracture due to receiving AI compared to not receiving AI;</w:t>
      </w:r>
    </w:p>
    <w:p w14:paraId="7388B3D1" w14:textId="77777777" w:rsidR="004E3CCD" w:rsidRDefault="004E3CCD" w:rsidP="004E3CCD">
      <w:pPr>
        <w:pStyle w:val="ListParagraph"/>
        <w:numPr>
          <w:ilvl w:val="0"/>
          <w:numId w:val="31"/>
        </w:numPr>
      </w:pPr>
      <w:r>
        <w:t>It was assumed all minimal trauma fractures would result in hospitalisation with an annual cost of $11,974 (likely to be an overestimate);</w:t>
      </w:r>
    </w:p>
    <w:p w14:paraId="5E6747AB" w14:textId="77777777" w:rsidR="004E3CCD" w:rsidRDefault="004E3CCD" w:rsidP="004E3CCD">
      <w:pPr>
        <w:pStyle w:val="ListParagraph"/>
        <w:numPr>
          <w:ilvl w:val="0"/>
          <w:numId w:val="31"/>
        </w:numPr>
      </w:pPr>
      <w:r>
        <w:t>The model estimated increases in overall survival for women taking anti-resorptive agents compared to those who did not.</w:t>
      </w:r>
    </w:p>
    <w:p w14:paraId="3B3556F2" w14:textId="77777777" w:rsidR="004E3CCD" w:rsidRDefault="004E3CCD" w:rsidP="004E3CCD">
      <w:pPr>
        <w:pStyle w:val="ListParagraph"/>
        <w:numPr>
          <w:ilvl w:val="0"/>
          <w:numId w:val="31"/>
        </w:numPr>
      </w:pPr>
      <w:r>
        <w:t>A minor problem included the assumption that zoledronic acid was administered twice a year.</w:t>
      </w:r>
    </w:p>
    <w:p w14:paraId="08554401" w14:textId="77777777" w:rsidR="004E3CCD" w:rsidRDefault="004E3CCD" w:rsidP="004E3CCD"/>
    <w:p w14:paraId="4A1E95C8" w14:textId="77777777" w:rsidR="004E3CCD" w:rsidRDefault="004E3CCD" w:rsidP="004E3CCD">
      <w:r>
        <w:t>Overall, MSAC considered that the resulting incremental cost-effectiveness ratio was likely underestimated. MSAC noted that PBS subsidy of anti-</w:t>
      </w:r>
      <w:proofErr w:type="spellStart"/>
      <w:r>
        <w:t>resorptives</w:t>
      </w:r>
      <w:proofErr w:type="spellEnd"/>
      <w:r>
        <w:t xml:space="preserve"> has been limited to patients at risk of fracture greater than that predicted by having osteoporosis defined solely by a T-score less than -2.5, which suggests a need to calibrate the model results from the assessment report with models accepts as the basis of PBAC decision-making. However, MSAC also noted that with recent price reductions for PBS-listed anti-resorptive therapy, some are now below the co-payment for general beneficiaries. MSAC sought advice on whether an anti-resorptive therapy sponsor could be found to confirm pricing and supply of its product for use in patients who both take AIs and have osteoporosis as defined by a T-score less than -2.5, or whether a case could be made that PBS subsidy would not be important for most of this eligible population given current pricing. Either way, the case of DXA testing of patients who take AIs does not need to be remade for MSAC beyond demonstrating a linked clinical utility argument to cost-effective anti-resorptive management of those shown to also have osteoporosis.</w:t>
      </w:r>
    </w:p>
    <w:p w14:paraId="1264F512" w14:textId="77777777" w:rsidR="004E3CCD" w:rsidRDefault="004E3CCD" w:rsidP="004E3CCD"/>
    <w:p w14:paraId="461A7E18" w14:textId="77777777" w:rsidR="004E3CCD" w:rsidRDefault="004E3CCD" w:rsidP="004E3CCD">
      <w:r>
        <w:t>MSAC noted that the costs to the MBS over 5 years were estimated to be $13.372 million for annual DXA scans and $10.203 million for two yearly scans.</w:t>
      </w:r>
    </w:p>
    <w:p w14:paraId="01642E4C" w14:textId="77777777" w:rsidR="004E3CCD" w:rsidRDefault="004E3CCD" w:rsidP="004E3CCD">
      <w:r>
        <w:t>MS</w:t>
      </w:r>
      <w:r w:rsidR="001C6803">
        <w:t>A</w:t>
      </w:r>
      <w:r>
        <w:t>C noted errors in the financial analysis including:</w:t>
      </w:r>
    </w:p>
    <w:p w14:paraId="7B50C956" w14:textId="2F1C109F" w:rsidR="004E3CCD" w:rsidRDefault="004E3CCD" w:rsidP="004E3CCD">
      <w:pPr>
        <w:pStyle w:val="ListParagraph"/>
        <w:numPr>
          <w:ilvl w:val="0"/>
          <w:numId w:val="32"/>
        </w:numPr>
      </w:pPr>
      <w:r>
        <w:t>Frequency of the DXA scans</w:t>
      </w:r>
      <w:r w:rsidR="00FB2633">
        <w:t>;</w:t>
      </w:r>
    </w:p>
    <w:p w14:paraId="6548DD21" w14:textId="62B67116" w:rsidR="004E3CCD" w:rsidRDefault="004E3CCD" w:rsidP="004E3CCD">
      <w:pPr>
        <w:pStyle w:val="ListParagraph"/>
        <w:numPr>
          <w:ilvl w:val="0"/>
          <w:numId w:val="32"/>
        </w:numPr>
      </w:pPr>
      <w:r>
        <w:lastRenderedPageBreak/>
        <w:t>Omission of the costs to the MBS for 2 general practitioner (GP) visits</w:t>
      </w:r>
      <w:r w:rsidR="00FB2633">
        <w:t>;</w:t>
      </w:r>
    </w:p>
    <w:p w14:paraId="37582E27" w14:textId="0C1D4438" w:rsidR="004E3CCD" w:rsidRDefault="004E3CCD" w:rsidP="004E3CCD">
      <w:pPr>
        <w:pStyle w:val="ListParagraph"/>
        <w:numPr>
          <w:ilvl w:val="0"/>
          <w:numId w:val="32"/>
        </w:numPr>
      </w:pPr>
      <w:r>
        <w:t>Co-payment for risedronate was ignored</w:t>
      </w:r>
      <w:r w:rsidR="00FB2633">
        <w:t>;</w:t>
      </w:r>
    </w:p>
    <w:p w14:paraId="4CEF6EFA" w14:textId="59CEC90C" w:rsidR="004E3CCD" w:rsidRDefault="004E3CCD" w:rsidP="004E3CCD">
      <w:pPr>
        <w:pStyle w:val="ListParagraph"/>
        <w:numPr>
          <w:ilvl w:val="0"/>
          <w:numId w:val="32"/>
        </w:numPr>
      </w:pPr>
      <w:r>
        <w:t>Eligibility for DXA scans via existing MBS items and for anti-resorptive therapies as currently listed on the PBS</w:t>
      </w:r>
      <w:r w:rsidR="00FB2633">
        <w:t>;</w:t>
      </w:r>
    </w:p>
    <w:p w14:paraId="18813A60" w14:textId="6D03ADBE" w:rsidR="004E3CCD" w:rsidRDefault="004E3CCD" w:rsidP="004E3CCD">
      <w:pPr>
        <w:pStyle w:val="ListParagraph"/>
        <w:numPr>
          <w:ilvl w:val="0"/>
          <w:numId w:val="32"/>
        </w:numPr>
      </w:pPr>
      <w:r>
        <w:t>Overestimation of assumed compliance to risedronate</w:t>
      </w:r>
      <w:r w:rsidR="00FB2633">
        <w:t>; and</w:t>
      </w:r>
    </w:p>
    <w:p w14:paraId="30A92847" w14:textId="77777777" w:rsidR="004E3CCD" w:rsidRDefault="004E3CCD" w:rsidP="004E3CCD">
      <w:pPr>
        <w:pStyle w:val="ListParagraph"/>
        <w:numPr>
          <w:ilvl w:val="0"/>
          <w:numId w:val="32"/>
        </w:numPr>
      </w:pPr>
      <w:r>
        <w:t>The effects of the safety net were not considered.</w:t>
      </w:r>
    </w:p>
    <w:p w14:paraId="647AF67F" w14:textId="77777777" w:rsidR="00550354" w:rsidRPr="00707064" w:rsidRDefault="00550354" w:rsidP="00986DF6">
      <w:pPr>
        <w:rPr>
          <w:szCs w:val="24"/>
        </w:rPr>
      </w:pPr>
    </w:p>
    <w:p w14:paraId="5C4F43A5" w14:textId="77777777" w:rsidR="00BC1364" w:rsidRPr="00D90A38" w:rsidRDefault="00BC1364" w:rsidP="00986DF6">
      <w:pPr>
        <w:pStyle w:val="Heading1"/>
        <w:numPr>
          <w:ilvl w:val="0"/>
          <w:numId w:val="23"/>
        </w:numPr>
        <w:ind w:hanging="720"/>
      </w:pPr>
      <w:r w:rsidRPr="00D90A38">
        <w:t>Background</w:t>
      </w:r>
    </w:p>
    <w:p w14:paraId="67E30527" w14:textId="77777777" w:rsidR="00BC1364" w:rsidRDefault="00BC1364" w:rsidP="00986DF6">
      <w:pPr>
        <w:rPr>
          <w:b/>
          <w:szCs w:val="24"/>
        </w:rPr>
      </w:pPr>
    </w:p>
    <w:p w14:paraId="0B499ECF" w14:textId="77777777" w:rsidR="00986DF6" w:rsidRDefault="00986DF6" w:rsidP="00986DF6">
      <w:pPr>
        <w:tabs>
          <w:tab w:val="left" w:pos="720"/>
          <w:tab w:val="left" w:pos="1140"/>
        </w:tabs>
      </w:pPr>
      <w:r w:rsidRPr="00817570">
        <w:rPr>
          <w:szCs w:val="24"/>
        </w:rPr>
        <w:t xml:space="preserve">MSAC has not previously considered </w:t>
      </w:r>
      <w:r>
        <w:t>BMD</w:t>
      </w:r>
      <w:r w:rsidRPr="00D94652">
        <w:t xml:space="preserve"> </w:t>
      </w:r>
      <w:r>
        <w:t>measurement</w:t>
      </w:r>
      <w:r w:rsidRPr="00D94652">
        <w:t xml:space="preserve"> using DXA in breast cancer patients receiving aromatase inhibitor treatment</w:t>
      </w:r>
      <w:r>
        <w:t>.</w:t>
      </w:r>
    </w:p>
    <w:p w14:paraId="225E256C" w14:textId="77777777" w:rsidR="00986DF6" w:rsidRDefault="00986DF6" w:rsidP="00986DF6"/>
    <w:p w14:paraId="10CE58E2" w14:textId="77777777" w:rsidR="00986DF6" w:rsidRPr="007B15AC" w:rsidRDefault="00986DF6" w:rsidP="00986DF6">
      <w:r w:rsidRPr="00BB029D">
        <w:t xml:space="preserve">DXA scanning is not currently funded for men and women below the age of 70 unless they suffer from certain pre-defined conditions. </w:t>
      </w:r>
      <w:r w:rsidR="003503A9">
        <w:t xml:space="preserve"> </w:t>
      </w:r>
      <w:r w:rsidRPr="00BB029D">
        <w:t xml:space="preserve">DXA scanning under the schedule is currently available to </w:t>
      </w:r>
      <w:r>
        <w:t xml:space="preserve">persons </w:t>
      </w:r>
      <w:r w:rsidRPr="00BB029D">
        <w:t>aged 70</w:t>
      </w:r>
      <w:r>
        <w:t xml:space="preserve"> and over (MBS item number 12323)</w:t>
      </w:r>
      <w:r w:rsidRPr="00BB029D">
        <w:t>, for people who have previously experienced a minimal trauma fracture and for those with one of several risk factors</w:t>
      </w:r>
      <w:r>
        <w:t xml:space="preserve"> for osteoporosis</w:t>
      </w:r>
      <w:r w:rsidRPr="00BB029D">
        <w:t xml:space="preserve"> including: prolonged corticosteroid use, hypogonadism, primary hyperparathyroidism, chronic liver disease, chronic renal disease, proven </w:t>
      </w:r>
      <w:proofErr w:type="spellStart"/>
      <w:r w:rsidRPr="00BB029D">
        <w:t>malabsorptive</w:t>
      </w:r>
      <w:proofErr w:type="spellEnd"/>
      <w:r w:rsidRPr="00BB029D">
        <w:t xml:space="preserve"> disorders, rheumatoid arthritis, or conditions associated with thyroxine excess</w:t>
      </w:r>
      <w:r>
        <w:t xml:space="preserve"> (MBS items 12306 to 12321)</w:t>
      </w:r>
      <w:r w:rsidRPr="00BB029D">
        <w:t>.</w:t>
      </w:r>
    </w:p>
    <w:p w14:paraId="573495DD" w14:textId="77777777" w:rsidR="00986DF6" w:rsidRDefault="00986DF6" w:rsidP="00986DF6"/>
    <w:p w14:paraId="17662F3B" w14:textId="77777777" w:rsidR="00986DF6" w:rsidRPr="00326B8B" w:rsidRDefault="00986DF6" w:rsidP="00986DF6">
      <w:r>
        <w:t>Quantitative computed tomography (QCT) is also listed on the MBS for measuring BMD, for mostly the same indications.</w:t>
      </w:r>
    </w:p>
    <w:p w14:paraId="462EAC25" w14:textId="77777777" w:rsidR="007B32D1" w:rsidRPr="007B32D1" w:rsidRDefault="007B32D1" w:rsidP="00986DF6"/>
    <w:p w14:paraId="078EECC0" w14:textId="77777777" w:rsidR="00BC1364" w:rsidRPr="00D90A38" w:rsidRDefault="00BC1364" w:rsidP="00986DF6">
      <w:pPr>
        <w:pStyle w:val="Heading1"/>
        <w:numPr>
          <w:ilvl w:val="0"/>
          <w:numId w:val="23"/>
        </w:numPr>
        <w:ind w:hanging="720"/>
      </w:pPr>
      <w:r w:rsidRPr="00D90A38">
        <w:t>Prerequisites to implementation of any funding advice</w:t>
      </w:r>
    </w:p>
    <w:p w14:paraId="111D250B" w14:textId="77777777" w:rsidR="00BC1364" w:rsidRPr="00707064" w:rsidRDefault="00BC1364" w:rsidP="00986DF6">
      <w:pPr>
        <w:tabs>
          <w:tab w:val="left" w:pos="720"/>
          <w:tab w:val="left" w:pos="1140"/>
        </w:tabs>
        <w:ind w:left="706"/>
        <w:rPr>
          <w:b/>
          <w:szCs w:val="24"/>
        </w:rPr>
      </w:pPr>
    </w:p>
    <w:p w14:paraId="2622DFAE" w14:textId="77777777" w:rsidR="00986DF6" w:rsidRDefault="00986DF6" w:rsidP="00986DF6">
      <w:r w:rsidRPr="00571D39">
        <w:t>DXA scanners are already approved for use in Australia through the TGA.</w:t>
      </w:r>
    </w:p>
    <w:p w14:paraId="22EBD108" w14:textId="77777777" w:rsidR="00986DF6" w:rsidRPr="00BB418D" w:rsidRDefault="00986DF6" w:rsidP="00986DF6">
      <w:pPr>
        <w:rPr>
          <w:szCs w:val="24"/>
        </w:rPr>
      </w:pPr>
    </w:p>
    <w:p w14:paraId="4BBEE9EF" w14:textId="77777777" w:rsidR="00986DF6" w:rsidRDefault="00986DF6" w:rsidP="00986DF6">
      <w:pPr>
        <w:rPr>
          <w:color w:val="000000"/>
          <w:sz w:val="20"/>
          <w:shd w:val="clear" w:color="auto" w:fill="FFFFFF"/>
        </w:rPr>
      </w:pPr>
      <w:r>
        <w:rPr>
          <w:shd w:val="clear" w:color="auto" w:fill="FFFFFF"/>
        </w:rPr>
        <w:t xml:space="preserve">Four DXA scanning machines </w:t>
      </w:r>
      <w:r w:rsidR="003940D5">
        <w:rPr>
          <w:shd w:val="clear" w:color="auto" w:fill="FFFFFF"/>
        </w:rPr>
        <w:t xml:space="preserve">are </w:t>
      </w:r>
      <w:r>
        <w:rPr>
          <w:shd w:val="clear" w:color="auto" w:fill="FFFFFF"/>
        </w:rPr>
        <w:t>currently used in Australia</w:t>
      </w:r>
      <w:r w:rsidR="003940D5">
        <w:rPr>
          <w:shd w:val="clear" w:color="auto" w:fill="FFFFFF"/>
        </w:rPr>
        <w:t xml:space="preserve">.  </w:t>
      </w:r>
      <w:r>
        <w:t>Operators and technicians of DXA scanners are required to have accreditation in Australia. The ANZBMS run</w:t>
      </w:r>
      <w:r w:rsidRPr="00B94AB7">
        <w:t xml:space="preserve"> courses which</w:t>
      </w:r>
      <w:r>
        <w:t>,</w:t>
      </w:r>
      <w:r w:rsidRPr="00B94AB7">
        <w:t xml:space="preserve"> upon completion</w:t>
      </w:r>
      <w:r>
        <w:t>,</w:t>
      </w:r>
      <w:r w:rsidRPr="00B94AB7">
        <w:t xml:space="preserve"> award participants with a Certificate of Completion in Clinical Bone Densitometry. </w:t>
      </w:r>
      <w:r w:rsidR="003503A9">
        <w:t xml:space="preserve"> </w:t>
      </w:r>
      <w:r w:rsidRPr="00B94AB7">
        <w:t>This satisfies the requirements of radiation safety legislation in most Australian states</w:t>
      </w:r>
      <w:r>
        <w:rPr>
          <w:color w:val="000000"/>
          <w:sz w:val="20"/>
          <w:shd w:val="clear" w:color="auto" w:fill="FFFFFF"/>
        </w:rPr>
        <w:t>.</w:t>
      </w:r>
    </w:p>
    <w:p w14:paraId="76216158" w14:textId="77777777" w:rsidR="00BC1364" w:rsidRPr="00707064" w:rsidRDefault="00BC1364" w:rsidP="00986DF6">
      <w:pPr>
        <w:tabs>
          <w:tab w:val="left" w:pos="720"/>
          <w:tab w:val="left" w:pos="1140"/>
        </w:tabs>
        <w:rPr>
          <w:color w:val="0070C0"/>
          <w:szCs w:val="24"/>
        </w:rPr>
      </w:pPr>
    </w:p>
    <w:p w14:paraId="79A05FE8" w14:textId="77777777" w:rsidR="00BC1364" w:rsidRPr="007B32D1" w:rsidRDefault="00BC1364" w:rsidP="00986DF6">
      <w:pPr>
        <w:pStyle w:val="Heading1"/>
        <w:numPr>
          <w:ilvl w:val="0"/>
          <w:numId w:val="23"/>
        </w:numPr>
        <w:ind w:hanging="720"/>
      </w:pPr>
      <w:r w:rsidRPr="007B32D1">
        <w:t>Proposal for public funding</w:t>
      </w:r>
    </w:p>
    <w:p w14:paraId="188C39B3" w14:textId="77777777" w:rsidR="00BC1364" w:rsidRDefault="00BC1364" w:rsidP="00986DF6">
      <w:pPr>
        <w:tabs>
          <w:tab w:val="left" w:pos="720"/>
          <w:tab w:val="left" w:pos="1140"/>
        </w:tabs>
        <w:rPr>
          <w:sz w:val="23"/>
          <w:szCs w:val="23"/>
        </w:rPr>
      </w:pPr>
    </w:p>
    <w:p w14:paraId="568E4997" w14:textId="77777777" w:rsidR="00794E81" w:rsidRPr="00711CB7" w:rsidRDefault="00794E81" w:rsidP="00794E81">
      <w:pPr>
        <w:rPr>
          <w:lang w:val="en-GB" w:eastAsia="ja-JP"/>
        </w:rPr>
      </w:pPr>
      <w:r>
        <w:t>DXA scanning is proposed by the application for post-menopausal women with early stage breast cancer who are being considered for, or are being treated with, aromatase inhibitors and who are not otherwise eligible for a DXA scan with no age restriction.</w:t>
      </w:r>
    </w:p>
    <w:p w14:paraId="2BA9FD39" w14:textId="77777777" w:rsidR="00794E81" w:rsidRDefault="00794E81" w:rsidP="00986DF6">
      <w:pPr>
        <w:tabs>
          <w:tab w:val="left" w:pos="720"/>
          <w:tab w:val="left" w:pos="1140"/>
        </w:tabs>
        <w:rPr>
          <w:szCs w:val="24"/>
        </w:rPr>
      </w:pPr>
    </w:p>
    <w:p w14:paraId="3364459B" w14:textId="77777777" w:rsidR="00986DF6" w:rsidRDefault="00986DF6" w:rsidP="00986DF6">
      <w:pPr>
        <w:tabs>
          <w:tab w:val="left" w:pos="720"/>
          <w:tab w:val="left" w:pos="1140"/>
        </w:tabs>
        <w:rPr>
          <w:szCs w:val="24"/>
        </w:rPr>
      </w:pPr>
      <w:r>
        <w:rPr>
          <w:szCs w:val="24"/>
        </w:rPr>
        <w:t>The application’s proposed MBS item, consistent with that specified in the DAP, is shown below.</w:t>
      </w:r>
    </w:p>
    <w:p w14:paraId="28CF133E" w14:textId="77777777" w:rsidR="00986DF6" w:rsidRDefault="00986DF6" w:rsidP="00986DF6"/>
    <w:tbl>
      <w:tblPr>
        <w:tblW w:w="0" w:type="auto"/>
        <w:tblInd w:w="108" w:type="dxa"/>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986DF6" w:rsidRPr="0024381D" w14:paraId="5082E9D7" w14:textId="77777777" w:rsidTr="00664AED">
        <w:tc>
          <w:tcPr>
            <w:tcW w:w="9134" w:type="dxa"/>
          </w:tcPr>
          <w:p w14:paraId="2B21F363" w14:textId="77777777" w:rsidR="00986DF6" w:rsidRPr="0024381D" w:rsidRDefault="00986DF6" w:rsidP="0024381D">
            <w:pPr>
              <w:pStyle w:val="TableText"/>
              <w:spacing w:before="0" w:after="0"/>
              <w:jc w:val="right"/>
              <w:rPr>
                <w:rFonts w:ascii="Arial" w:hAnsi="Arial" w:cs="Arial"/>
                <w:sz w:val="20"/>
                <w:lang w:eastAsia="ja-JP"/>
              </w:rPr>
            </w:pPr>
            <w:r w:rsidRPr="0024381D">
              <w:rPr>
                <w:rFonts w:ascii="Arial" w:hAnsi="Arial" w:cs="Arial"/>
                <w:sz w:val="20"/>
                <w:lang w:eastAsia="ja-JP"/>
              </w:rPr>
              <w:lastRenderedPageBreak/>
              <w:t>Category 2 – DIAGNOSTIC PROCEDURES AND INVESTIGATIONS, Bone Densitometry</w:t>
            </w:r>
          </w:p>
        </w:tc>
      </w:tr>
      <w:tr w:rsidR="00986DF6" w:rsidRPr="0024381D" w14:paraId="18CDB53D" w14:textId="77777777" w:rsidTr="00664AED">
        <w:tc>
          <w:tcPr>
            <w:tcW w:w="9134" w:type="dxa"/>
          </w:tcPr>
          <w:p w14:paraId="4951C4E2" w14:textId="77777777" w:rsidR="00986DF6" w:rsidRPr="0024381D" w:rsidRDefault="00986DF6" w:rsidP="00986DF6">
            <w:pPr>
              <w:pStyle w:val="TableText"/>
              <w:spacing w:before="0" w:after="0"/>
              <w:rPr>
                <w:rFonts w:ascii="Arial" w:hAnsi="Arial" w:cs="Arial"/>
                <w:sz w:val="20"/>
                <w:lang w:eastAsia="ja-JP"/>
              </w:rPr>
            </w:pPr>
            <w:r w:rsidRPr="0024381D">
              <w:rPr>
                <w:rFonts w:ascii="Arial" w:hAnsi="Arial" w:cs="Arial"/>
                <w:sz w:val="20"/>
                <w:lang w:eastAsia="ja-JP"/>
              </w:rPr>
              <w:t>MBS XXXXX</w:t>
            </w:r>
          </w:p>
          <w:p w14:paraId="60FADB88" w14:textId="77777777" w:rsidR="0024381D" w:rsidRDefault="0024381D" w:rsidP="00986DF6">
            <w:pPr>
              <w:pStyle w:val="TableText"/>
              <w:spacing w:before="0" w:after="0"/>
              <w:rPr>
                <w:rFonts w:ascii="Arial" w:hAnsi="Arial" w:cs="Arial"/>
                <w:sz w:val="20"/>
                <w:lang w:eastAsia="ja-JP"/>
              </w:rPr>
            </w:pPr>
          </w:p>
          <w:p w14:paraId="12C4CA8C" w14:textId="77777777" w:rsidR="00986DF6" w:rsidRPr="0024381D" w:rsidRDefault="00986DF6" w:rsidP="00986DF6">
            <w:pPr>
              <w:pStyle w:val="TableText"/>
              <w:spacing w:before="0" w:after="0"/>
              <w:rPr>
                <w:rFonts w:ascii="Arial" w:hAnsi="Arial" w:cs="Arial"/>
                <w:sz w:val="20"/>
                <w:lang w:eastAsia="ja-JP"/>
              </w:rPr>
            </w:pPr>
            <w:r w:rsidRPr="0024381D">
              <w:rPr>
                <w:rFonts w:ascii="Arial" w:hAnsi="Arial" w:cs="Arial"/>
                <w:sz w:val="20"/>
                <w:lang w:eastAsia="ja-JP"/>
              </w:rPr>
              <w:t xml:space="preserve">Bone densitometry (performed by a specialist or consultant physician where the patient is referred by another medical practitioner), using </w:t>
            </w:r>
            <w:r w:rsidRPr="0024381D">
              <w:rPr>
                <w:rFonts w:ascii="Arial" w:hAnsi="Arial" w:cs="Arial"/>
                <w:b/>
                <w:sz w:val="20"/>
                <w:lang w:eastAsia="ja-JP"/>
              </w:rPr>
              <w:t>dual energy X-ray absorptiometry</w:t>
            </w:r>
            <w:r w:rsidRPr="0024381D">
              <w:rPr>
                <w:rFonts w:ascii="Arial" w:hAnsi="Arial" w:cs="Arial"/>
                <w:sz w:val="20"/>
                <w:lang w:eastAsia="ja-JP"/>
              </w:rPr>
              <w:t xml:space="preserve">, for the measurement of bone mineral density in </w:t>
            </w:r>
            <w:r w:rsidRPr="0024381D">
              <w:rPr>
                <w:rFonts w:ascii="Arial" w:hAnsi="Arial" w:cs="Arial"/>
                <w:b/>
                <w:sz w:val="20"/>
                <w:lang w:eastAsia="ja-JP"/>
              </w:rPr>
              <w:t>patients with breast cancer who are currently being treated with or are about to commence treatment with aromatase inhibitors</w:t>
            </w:r>
            <w:r w:rsidRPr="0024381D">
              <w:rPr>
                <w:rFonts w:ascii="Arial" w:hAnsi="Arial" w:cs="Arial"/>
                <w:sz w:val="20"/>
                <w:lang w:eastAsia="ja-JP"/>
              </w:rPr>
              <w:t>.</w:t>
            </w:r>
          </w:p>
          <w:p w14:paraId="229B240B" w14:textId="77777777" w:rsidR="00986DF6" w:rsidRPr="0024381D" w:rsidRDefault="00986DF6" w:rsidP="00986DF6">
            <w:pPr>
              <w:pStyle w:val="TableText"/>
              <w:spacing w:before="0" w:after="0"/>
              <w:rPr>
                <w:rFonts w:ascii="Arial" w:hAnsi="Arial" w:cs="Arial"/>
                <w:sz w:val="20"/>
                <w:lang w:eastAsia="ja-JP"/>
              </w:rPr>
            </w:pPr>
          </w:p>
          <w:p w14:paraId="34C282E7" w14:textId="77777777" w:rsidR="00986DF6" w:rsidRPr="0024381D" w:rsidRDefault="00986DF6" w:rsidP="00986DF6">
            <w:pPr>
              <w:pStyle w:val="TableText"/>
              <w:spacing w:before="0" w:after="0"/>
              <w:rPr>
                <w:rFonts w:ascii="Arial" w:hAnsi="Arial" w:cs="Arial"/>
                <w:sz w:val="20"/>
                <w:lang w:eastAsia="ja-JP"/>
              </w:rPr>
            </w:pPr>
            <w:r w:rsidRPr="0024381D">
              <w:rPr>
                <w:rFonts w:ascii="Arial" w:hAnsi="Arial" w:cs="Arial"/>
                <w:sz w:val="20"/>
                <w:lang w:eastAsia="ja-JP"/>
              </w:rPr>
              <w:t xml:space="preserve">Measurement of 2 or more sites – </w:t>
            </w:r>
            <w:r w:rsidRPr="0024381D">
              <w:rPr>
                <w:rFonts w:ascii="Arial" w:hAnsi="Arial" w:cs="Arial"/>
                <w:b/>
                <w:sz w:val="20"/>
                <w:lang w:eastAsia="ja-JP"/>
              </w:rPr>
              <w:t>1 service only in a period of 12 consecutive months</w:t>
            </w:r>
            <w:r w:rsidRPr="0024381D">
              <w:rPr>
                <w:rFonts w:ascii="Arial" w:hAnsi="Arial" w:cs="Arial"/>
                <w:sz w:val="20"/>
                <w:lang w:eastAsia="ja-JP"/>
              </w:rPr>
              <w:t xml:space="preserve"> - including interpretation and report; not being a service associated with a service to which item 12306, 12309, 12312, 12315, 12318, 12321 or 12323 applies </w:t>
            </w:r>
          </w:p>
          <w:p w14:paraId="2524A7A5" w14:textId="77777777" w:rsidR="0024381D" w:rsidRDefault="0024381D" w:rsidP="00986DF6">
            <w:pPr>
              <w:pStyle w:val="TableText"/>
              <w:spacing w:before="0" w:after="0"/>
              <w:rPr>
                <w:rFonts w:ascii="Arial" w:hAnsi="Arial" w:cs="Arial"/>
                <w:b/>
                <w:sz w:val="20"/>
                <w:lang w:eastAsia="ja-JP"/>
              </w:rPr>
            </w:pPr>
          </w:p>
          <w:p w14:paraId="0A40229C" w14:textId="77777777" w:rsidR="00986DF6" w:rsidRPr="0024381D" w:rsidRDefault="00986DF6" w:rsidP="00986DF6">
            <w:pPr>
              <w:pStyle w:val="TableText"/>
              <w:spacing w:before="0" w:after="0"/>
              <w:rPr>
                <w:rFonts w:ascii="Arial" w:hAnsi="Arial" w:cs="Arial"/>
                <w:color w:val="000000"/>
                <w:sz w:val="20"/>
                <w:lang w:eastAsia="ja-JP"/>
              </w:rPr>
            </w:pPr>
            <w:r w:rsidRPr="0024381D">
              <w:rPr>
                <w:rFonts w:ascii="Arial" w:hAnsi="Arial" w:cs="Arial"/>
                <w:b/>
                <w:sz w:val="20"/>
                <w:lang w:eastAsia="ja-JP"/>
              </w:rPr>
              <w:t>Fee:</w:t>
            </w:r>
            <w:r w:rsidRPr="0024381D">
              <w:rPr>
                <w:rFonts w:ascii="Arial" w:hAnsi="Arial" w:cs="Arial"/>
                <w:sz w:val="20"/>
                <w:lang w:eastAsia="ja-JP"/>
              </w:rPr>
              <w:t xml:space="preserve"> $102.40 </w:t>
            </w:r>
            <w:r w:rsidRPr="0024381D">
              <w:rPr>
                <w:rFonts w:ascii="Arial" w:hAnsi="Arial" w:cs="Arial"/>
                <w:b/>
                <w:sz w:val="20"/>
                <w:lang w:eastAsia="ja-JP"/>
              </w:rPr>
              <w:t>Benefit:</w:t>
            </w:r>
            <w:r w:rsidRPr="0024381D">
              <w:rPr>
                <w:rFonts w:ascii="Arial" w:hAnsi="Arial" w:cs="Arial"/>
                <w:sz w:val="20"/>
                <w:lang w:eastAsia="ja-JP"/>
              </w:rPr>
              <w:t xml:space="preserve"> 75% = $76.80   85% = $87.05</w:t>
            </w:r>
          </w:p>
          <w:p w14:paraId="597C80F4" w14:textId="77777777" w:rsidR="00986DF6" w:rsidRPr="0024381D" w:rsidRDefault="00986DF6" w:rsidP="00986DF6">
            <w:pPr>
              <w:pStyle w:val="TableText"/>
              <w:spacing w:before="0" w:after="0"/>
              <w:rPr>
                <w:rFonts w:ascii="Arial" w:hAnsi="Arial" w:cs="Arial"/>
                <w:sz w:val="20"/>
                <w:lang w:eastAsia="ja-JP"/>
              </w:rPr>
            </w:pPr>
          </w:p>
          <w:p w14:paraId="186BF905" w14:textId="77777777" w:rsidR="00986DF6" w:rsidRPr="0024381D" w:rsidRDefault="00986DF6" w:rsidP="00986DF6">
            <w:pPr>
              <w:pStyle w:val="TableText"/>
              <w:spacing w:before="0" w:after="0"/>
              <w:rPr>
                <w:rFonts w:ascii="Arial" w:hAnsi="Arial" w:cs="Arial"/>
                <w:sz w:val="20"/>
                <w:lang w:eastAsia="ja-JP"/>
              </w:rPr>
            </w:pPr>
            <w:r w:rsidRPr="0024381D">
              <w:rPr>
                <w:rFonts w:ascii="Arial" w:hAnsi="Arial" w:cs="Arial"/>
                <w:sz w:val="20"/>
                <w:lang w:eastAsia="ja-JP"/>
              </w:rPr>
              <w:t>[Relevant explanatory notes]</w:t>
            </w:r>
          </w:p>
          <w:p w14:paraId="013CE945" w14:textId="77777777" w:rsidR="00986DF6" w:rsidRPr="0024381D" w:rsidRDefault="00986DF6" w:rsidP="00986DF6">
            <w:pPr>
              <w:pStyle w:val="TableText"/>
              <w:spacing w:before="0" w:after="0"/>
              <w:rPr>
                <w:rFonts w:ascii="Arial" w:hAnsi="Arial" w:cs="Arial"/>
                <w:sz w:val="20"/>
                <w:lang w:eastAsia="ja-JP"/>
              </w:rPr>
            </w:pPr>
            <w:r w:rsidRPr="0024381D">
              <w:rPr>
                <w:rFonts w:ascii="Arial" w:hAnsi="Arial" w:cs="Arial"/>
                <w:sz w:val="20"/>
                <w:lang w:eastAsia="ja-JP"/>
              </w:rPr>
              <w:t>D1.27, Bone Densitometry – (Items 12306 to 12323)</w:t>
            </w:r>
          </w:p>
        </w:tc>
      </w:tr>
    </w:tbl>
    <w:p w14:paraId="26AEAF58" w14:textId="77777777" w:rsidR="00986DF6" w:rsidRDefault="00986DF6" w:rsidP="00986DF6">
      <w:pPr>
        <w:rPr>
          <w:lang w:val="en-GB" w:eastAsia="ja-JP"/>
        </w:rPr>
      </w:pPr>
    </w:p>
    <w:p w14:paraId="16897B35" w14:textId="77777777" w:rsidR="0024381D" w:rsidRPr="00882C44" w:rsidRDefault="0024381D" w:rsidP="0024381D">
      <w:pPr>
        <w:rPr>
          <w:lang w:val="en-GB" w:eastAsia="ja-JP"/>
        </w:rPr>
      </w:pPr>
      <w:r w:rsidRPr="00882C44">
        <w:rPr>
          <w:lang w:val="en-GB" w:eastAsia="ja-JP"/>
        </w:rPr>
        <w:t>The proposed item would be in addition to existing MBS items for DXA.</w:t>
      </w:r>
    </w:p>
    <w:p w14:paraId="33484CE0" w14:textId="77777777" w:rsidR="0024381D" w:rsidRDefault="0024381D" w:rsidP="00986DF6"/>
    <w:p w14:paraId="77B9FA70" w14:textId="77777777" w:rsidR="00986DF6" w:rsidRDefault="00986DF6" w:rsidP="00986DF6">
      <w:r w:rsidRPr="007F18C0">
        <w:t>Currently, no specific PBS-listed medic</w:t>
      </w:r>
      <w:r>
        <w:t>ine</w:t>
      </w:r>
      <w:r w:rsidRPr="007F18C0">
        <w:t xml:space="preserve"> is proposed for use in this population.</w:t>
      </w:r>
    </w:p>
    <w:p w14:paraId="34C980B4" w14:textId="77777777" w:rsidR="00986DF6" w:rsidRDefault="00986DF6" w:rsidP="00986DF6"/>
    <w:p w14:paraId="315B4BBD" w14:textId="77777777" w:rsidR="00986DF6" w:rsidRDefault="00986DF6" w:rsidP="00986DF6">
      <w:pPr>
        <w:tabs>
          <w:tab w:val="left" w:pos="720"/>
          <w:tab w:val="left" w:pos="1140"/>
        </w:tabs>
      </w:pPr>
      <w:r>
        <w:t xml:space="preserve">For patients with BMD T-scores ≤-2.5, repeat scans are already available through the existing MBS item 12306. </w:t>
      </w:r>
      <w:r w:rsidR="003503A9">
        <w:t xml:space="preserve"> </w:t>
      </w:r>
      <w:r>
        <w:t xml:space="preserve">At age 70 or greater, a patient is eligible for MBS item 12323. </w:t>
      </w:r>
      <w:r w:rsidR="003503A9">
        <w:t xml:space="preserve"> </w:t>
      </w:r>
      <w:r>
        <w:t>If a patient has undergone premature menopause as a consequence of breast cancer chemotherapy treatment and is under age 45, she is eligible for MBS item 12312.</w:t>
      </w:r>
    </w:p>
    <w:p w14:paraId="16755D0A" w14:textId="77777777" w:rsidR="00986DF6" w:rsidRPr="00BB418D" w:rsidRDefault="00986DF6" w:rsidP="00986DF6"/>
    <w:p w14:paraId="2F7F1822" w14:textId="77777777" w:rsidR="00986DF6" w:rsidRDefault="00986DF6" w:rsidP="00986DF6">
      <w:r>
        <w:t xml:space="preserve">Bone density scanning can be performed at any location which has both a DXA machine and qualified technician. </w:t>
      </w:r>
      <w:r w:rsidR="003503A9">
        <w:t xml:space="preserve"> </w:t>
      </w:r>
      <w:r>
        <w:t xml:space="preserve">A radiologist, nuclear medicine physician or other accredited specialist is required to perform the test and interpret the results. </w:t>
      </w:r>
      <w:r w:rsidR="003503A9">
        <w:t xml:space="preserve"> </w:t>
      </w:r>
      <w:r>
        <w:t xml:space="preserve">Communication of the results to the patient is facilitated through the patient’s referring practitioner. </w:t>
      </w:r>
    </w:p>
    <w:p w14:paraId="39CD9F7A" w14:textId="77777777" w:rsidR="003503A9" w:rsidRPr="00707064" w:rsidRDefault="003503A9" w:rsidP="00986DF6">
      <w:pPr>
        <w:tabs>
          <w:tab w:val="left" w:pos="720"/>
          <w:tab w:val="left" w:pos="1140"/>
        </w:tabs>
        <w:rPr>
          <w:color w:val="0070C0"/>
          <w:szCs w:val="24"/>
        </w:rPr>
      </w:pPr>
    </w:p>
    <w:p w14:paraId="206BDDF8" w14:textId="77777777" w:rsidR="00BC1364" w:rsidRPr="007B32D1" w:rsidRDefault="00BC1364" w:rsidP="00986DF6">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14:paraId="652F33FB" w14:textId="77777777" w:rsidR="00BC1364" w:rsidRDefault="00BC1364" w:rsidP="00986DF6">
      <w:pPr>
        <w:rPr>
          <w:b/>
          <w:szCs w:val="24"/>
        </w:rPr>
      </w:pPr>
    </w:p>
    <w:p w14:paraId="5EEA098F" w14:textId="77777777" w:rsidR="00986DF6" w:rsidRPr="00964D4A" w:rsidRDefault="00986DF6" w:rsidP="00986DF6">
      <w:pPr>
        <w:rPr>
          <w:szCs w:val="24"/>
        </w:rPr>
      </w:pPr>
      <w:r w:rsidRPr="00964D4A">
        <w:rPr>
          <w:szCs w:val="24"/>
        </w:rPr>
        <w:t xml:space="preserve">Public consultation submissions received were </w:t>
      </w:r>
      <w:r>
        <w:rPr>
          <w:szCs w:val="24"/>
        </w:rPr>
        <w:t xml:space="preserve">strongly </w:t>
      </w:r>
      <w:r w:rsidRPr="00964D4A">
        <w:rPr>
          <w:szCs w:val="24"/>
        </w:rPr>
        <w:t xml:space="preserve">supportive of the proposed </w:t>
      </w:r>
      <w:r>
        <w:rPr>
          <w:szCs w:val="24"/>
        </w:rPr>
        <w:t>intervention</w:t>
      </w:r>
      <w:r w:rsidRPr="00964D4A">
        <w:rPr>
          <w:szCs w:val="24"/>
        </w:rPr>
        <w:t xml:space="preserve">. </w:t>
      </w:r>
    </w:p>
    <w:p w14:paraId="537DA9EF" w14:textId="77777777" w:rsidR="00986DF6" w:rsidRDefault="00986DF6" w:rsidP="00986DF6"/>
    <w:p w14:paraId="16ED20C0" w14:textId="77777777" w:rsidR="00986DF6" w:rsidRDefault="00986DF6" w:rsidP="00986DF6">
      <w:r>
        <w:t xml:space="preserve">The Breast Cancer Network Australia reported survey results that suggest 30% </w:t>
      </w:r>
      <w:r w:rsidRPr="00EC7104">
        <w:t xml:space="preserve">of women </w:t>
      </w:r>
      <w:r>
        <w:t xml:space="preserve">taking aromatase inhibitors </w:t>
      </w:r>
      <w:r w:rsidRPr="00EC7104">
        <w:t xml:space="preserve">had a </w:t>
      </w:r>
      <w:r>
        <w:t>DXA scan</w:t>
      </w:r>
      <w:r w:rsidRPr="00EC7104">
        <w:t xml:space="preserve"> every</w:t>
      </w:r>
      <w:r>
        <w:t xml:space="preserve"> 12</w:t>
      </w:r>
      <w:r w:rsidRPr="00EC7104">
        <w:t xml:space="preserve"> months, and almost 30% every two years. </w:t>
      </w:r>
      <w:r w:rsidR="003503A9">
        <w:t xml:space="preserve"> </w:t>
      </w:r>
      <w:r w:rsidRPr="00EC7104">
        <w:t xml:space="preserve">Some women reported having up to six DXA </w:t>
      </w:r>
      <w:r>
        <w:t>scans</w:t>
      </w:r>
      <w:r w:rsidRPr="00EC7104">
        <w:t xml:space="preserve"> in conjunction with their aromatase inhibitor </w:t>
      </w:r>
      <w:r>
        <w:t>treatment, fully paid by the patient.</w:t>
      </w:r>
    </w:p>
    <w:p w14:paraId="220E20F2" w14:textId="77777777" w:rsidR="00986DF6" w:rsidRPr="001F6C4B" w:rsidRDefault="00986DF6" w:rsidP="00986DF6">
      <w:pPr>
        <w:rPr>
          <w:szCs w:val="24"/>
        </w:rPr>
      </w:pPr>
    </w:p>
    <w:p w14:paraId="1312AA6D" w14:textId="77777777" w:rsidR="00986DF6" w:rsidRDefault="00986DF6" w:rsidP="00986DF6">
      <w:pPr>
        <w:autoSpaceDE w:val="0"/>
        <w:autoSpaceDN w:val="0"/>
        <w:adjustRightInd w:val="0"/>
        <w:rPr>
          <w:rFonts w:eastAsiaTheme="minorHAnsi"/>
          <w:szCs w:val="24"/>
          <w:lang w:eastAsia="en-US"/>
        </w:rPr>
      </w:pPr>
      <w:r>
        <w:rPr>
          <w:szCs w:val="24"/>
        </w:rPr>
        <w:t>Public feedback also noted that there should be no age restriction detailed in the listing and that</w:t>
      </w:r>
      <w:r w:rsidRPr="001F6C4B">
        <w:rPr>
          <w:szCs w:val="24"/>
        </w:rPr>
        <w:t xml:space="preserve"> </w:t>
      </w:r>
      <w:r w:rsidRPr="001F6C4B">
        <w:rPr>
          <w:rFonts w:eastAsiaTheme="minorHAnsi"/>
          <w:szCs w:val="24"/>
          <w:lang w:eastAsia="en-US"/>
        </w:rPr>
        <w:t>the listed indication should be for women being considered for hormonal treatment of breast cancer.</w:t>
      </w:r>
    </w:p>
    <w:p w14:paraId="4E20C827" w14:textId="77777777" w:rsidR="00986DF6" w:rsidRDefault="00986DF6" w:rsidP="00986DF6">
      <w:pPr>
        <w:autoSpaceDE w:val="0"/>
        <w:autoSpaceDN w:val="0"/>
        <w:adjustRightInd w:val="0"/>
        <w:rPr>
          <w:rFonts w:eastAsiaTheme="minorHAnsi"/>
          <w:szCs w:val="24"/>
          <w:lang w:eastAsia="en-US"/>
        </w:rPr>
      </w:pPr>
    </w:p>
    <w:p w14:paraId="5AAB4E9E" w14:textId="77777777" w:rsidR="00986DF6" w:rsidRDefault="001C6803" w:rsidP="00986DF6">
      <w:r>
        <w:t>C</w:t>
      </w:r>
      <w:r w:rsidR="00986DF6">
        <w:t>onsumer representatives noted that the proposed treatment regimen may be disruptive and require travel and accommodation costs for consumers, with associated productivity, out of pocket and other financial costs.</w:t>
      </w:r>
    </w:p>
    <w:p w14:paraId="78F3E40E" w14:textId="77777777" w:rsidR="00986DF6" w:rsidRDefault="00986DF6" w:rsidP="00986DF6"/>
    <w:p w14:paraId="3F80D310" w14:textId="77777777" w:rsidR="00986DF6" w:rsidRDefault="00986DF6" w:rsidP="00986DF6">
      <w:r>
        <w:t xml:space="preserve">Consumer representatives also noted that the SBA does not demonstrate </w:t>
      </w:r>
      <w:r w:rsidR="00D672A9">
        <w:t xml:space="preserve">cost </w:t>
      </w:r>
      <w:r>
        <w:t>benefit from a consumer perspective and that the long term impact/benefit was not identified in the assessment report.</w:t>
      </w:r>
    </w:p>
    <w:p w14:paraId="4C2DEEE5" w14:textId="77777777" w:rsidR="00986DF6" w:rsidRDefault="00986DF6" w:rsidP="00986DF6"/>
    <w:p w14:paraId="1932981E" w14:textId="77777777" w:rsidR="00986DF6" w:rsidRDefault="00986DF6" w:rsidP="00986DF6">
      <w:r>
        <w:lastRenderedPageBreak/>
        <w:t xml:space="preserve">Consumer representatives questioned whether consumers would require repeat treatments of the proposed intervention and how early identification of osteoporosis would have a subsequent effect on one’s quality of life. </w:t>
      </w:r>
      <w:r w:rsidR="00794E81">
        <w:t xml:space="preserve"> </w:t>
      </w:r>
      <w:r>
        <w:t>Consumer representatives noted that these data were missing from the assessment report.</w:t>
      </w:r>
    </w:p>
    <w:p w14:paraId="450270F8" w14:textId="77777777" w:rsidR="00986DF6" w:rsidRDefault="00986DF6" w:rsidP="00986DF6"/>
    <w:p w14:paraId="09B4AB2B" w14:textId="77777777" w:rsidR="00986DF6" w:rsidRDefault="00986DF6" w:rsidP="00986DF6">
      <w:r>
        <w:t xml:space="preserve">Consumer representatives also noted that a person may need to balance the side effects of the proposed intervention with other tests and interventions and that, in some cases, a lifestyle intervention could be preferred. </w:t>
      </w:r>
    </w:p>
    <w:p w14:paraId="731758A0" w14:textId="77777777" w:rsidR="00986DF6" w:rsidRDefault="00986DF6" w:rsidP="00986DF6"/>
    <w:p w14:paraId="61AFE151" w14:textId="77777777" w:rsidR="00986DF6" w:rsidRDefault="00986DF6" w:rsidP="00986DF6">
      <w:r>
        <w:t xml:space="preserve">Consumer representatives noted that the DXA scan was easy to use and supported by some clinical and consumer groups, in particular the Breast Cancer Network of Australia – a strong consumer advocacy voice. </w:t>
      </w:r>
    </w:p>
    <w:p w14:paraId="3363CF8C" w14:textId="77777777" w:rsidR="00986DF6" w:rsidRPr="00C00B12" w:rsidRDefault="00986DF6" w:rsidP="00986DF6"/>
    <w:p w14:paraId="171DEFA6" w14:textId="77777777" w:rsidR="00BC1364" w:rsidRDefault="00BC1364" w:rsidP="00986DF6">
      <w:pPr>
        <w:pStyle w:val="Heading1"/>
        <w:numPr>
          <w:ilvl w:val="0"/>
          <w:numId w:val="23"/>
        </w:numPr>
        <w:ind w:hanging="720"/>
      </w:pPr>
      <w:r w:rsidRPr="00D90A38">
        <w:t>Proposed intervention’s place in clinical management</w:t>
      </w:r>
    </w:p>
    <w:p w14:paraId="727F7936" w14:textId="77777777" w:rsidR="00BC1364" w:rsidRDefault="00BC1364" w:rsidP="00986DF6">
      <w:pPr>
        <w:rPr>
          <w:color w:val="3366FF"/>
          <w:szCs w:val="24"/>
        </w:rPr>
      </w:pPr>
    </w:p>
    <w:p w14:paraId="1F59F884" w14:textId="40BDB7A8" w:rsidR="00794E81" w:rsidRPr="00BB418D" w:rsidRDefault="00794E81" w:rsidP="00794E81">
      <w:pPr>
        <w:tabs>
          <w:tab w:val="left" w:pos="720"/>
          <w:tab w:val="left" w:pos="1140"/>
        </w:tabs>
        <w:rPr>
          <w:szCs w:val="24"/>
        </w:rPr>
      </w:pPr>
      <w:r>
        <w:t xml:space="preserve">In hormone receptor-positive breast cancer, the proliferation of mammary carcinoma cells is dependent on oestrogen.  Common therapies for hormone receptor positive </w:t>
      </w:r>
      <w:r w:rsidR="001E776B">
        <w:t>post</w:t>
      </w:r>
      <w:r w:rsidR="006E0553">
        <w:t>-</w:t>
      </w:r>
      <w:r w:rsidR="001E776B">
        <w:t xml:space="preserve">menopausal </w:t>
      </w:r>
      <w:r>
        <w:t>breast cancer include aromatase inhibitors and tamoxifen.  The aromatase inhibitors have a negative impact on bone density due to the inhibition of overall oestrogen production within the body.</w:t>
      </w:r>
    </w:p>
    <w:p w14:paraId="599FA902" w14:textId="77777777" w:rsidR="00794E81" w:rsidRDefault="00794E81" w:rsidP="0024381D"/>
    <w:p w14:paraId="5D238F63" w14:textId="77777777" w:rsidR="0024381D" w:rsidRPr="00EF28F2" w:rsidRDefault="0024381D" w:rsidP="0024381D">
      <w:r>
        <w:t xml:space="preserve">DXA is a diagnostic procedure introduced into routine clinical practice as a method to measure bone mineral density (BMD). </w:t>
      </w:r>
      <w:r w:rsidR="003503A9">
        <w:t xml:space="preserve"> </w:t>
      </w:r>
      <w:r>
        <w:t xml:space="preserve">Clinicians use DXA to diagnose osteopenia and osteoporosis and appropriately treat individuals to prevent fractures. </w:t>
      </w:r>
      <w:r w:rsidR="00794E81">
        <w:t xml:space="preserve"> </w:t>
      </w:r>
      <w:r>
        <w:t xml:space="preserve">The DXA scan is used to generate a T-score, a comparison of a patient’s bone density to that of peak bone density for the patient’s gender and is the number of standard deviations above or below the normal young adult BMD gender-specific mean. </w:t>
      </w:r>
      <w:r w:rsidR="00794E81">
        <w:t xml:space="preserve"> </w:t>
      </w:r>
      <w:r>
        <w:t>BMD is often measured at the lumbar spine (L2-L4), total hip and femoral neck.</w:t>
      </w:r>
    </w:p>
    <w:p w14:paraId="3840A4C1" w14:textId="77777777" w:rsidR="003503A9" w:rsidRDefault="003503A9" w:rsidP="00986DF6"/>
    <w:p w14:paraId="22FD4726" w14:textId="77777777" w:rsidR="00794E81" w:rsidRDefault="00986DF6" w:rsidP="00986DF6">
      <w:r>
        <w:t xml:space="preserve">Figure 1 </w:t>
      </w:r>
      <w:proofErr w:type="gramStart"/>
      <w:r>
        <w:t>shows</w:t>
      </w:r>
      <w:proofErr w:type="gramEnd"/>
      <w:r>
        <w:t xml:space="preserve"> t</w:t>
      </w:r>
      <w:r w:rsidRPr="004A4622">
        <w:t xml:space="preserve">he </w:t>
      </w:r>
      <w:r>
        <w:t xml:space="preserve">clinical management </w:t>
      </w:r>
      <w:r w:rsidRPr="004A4622">
        <w:t xml:space="preserve">algorithm </w:t>
      </w:r>
      <w:r>
        <w:t xml:space="preserve">for the proposed new intervention which indicates that patients on aromatase inhibitors (AIs) would be assessed at baseline for osteoporosis. </w:t>
      </w:r>
    </w:p>
    <w:p w14:paraId="699F37C5" w14:textId="77777777" w:rsidR="00794E81" w:rsidRDefault="00794E81" w:rsidP="00986DF6"/>
    <w:p w14:paraId="1C2B7EE6" w14:textId="77777777" w:rsidR="00986DF6" w:rsidRPr="00C9782D" w:rsidRDefault="00986DF6" w:rsidP="00986DF6">
      <w:r>
        <w:t xml:space="preserve">If a patient has osteoporosis as determined by a BMD T-score ≤-2.5, she would start anti-resorptive therapy, or otherwise be </w:t>
      </w:r>
      <w:r w:rsidRPr="00B947DD">
        <w:t>re-tested after 2 years</w:t>
      </w:r>
      <w:r>
        <w:t xml:space="preserve">. </w:t>
      </w:r>
      <w:r w:rsidR="00794E81">
        <w:t xml:space="preserve"> </w:t>
      </w:r>
      <w:r>
        <w:t xml:space="preserve">If at this time the patient has osteoporosis, </w:t>
      </w:r>
      <w:r w:rsidR="00794E81">
        <w:t>they</w:t>
      </w:r>
      <w:r>
        <w:t xml:space="preserve"> would start anti-resorptive therapy or if not, would only receive a third DXA and/or anti-resorptive therapy if she develop skeletal metastases or premature menopause.  The</w:t>
      </w:r>
      <w:r w:rsidRPr="00C9782D">
        <w:t xml:space="preserve"> clinical evidence addressed the requirements of the agreed </w:t>
      </w:r>
      <w:r w:rsidR="00FF1AB2">
        <w:t>Protocol</w:t>
      </w:r>
      <w:r w:rsidRPr="00C9782D">
        <w:t>.</w:t>
      </w:r>
    </w:p>
    <w:p w14:paraId="4BAFFA79" w14:textId="77777777" w:rsidR="00986DF6" w:rsidRDefault="00986DF6" w:rsidP="00986DF6"/>
    <w:p w14:paraId="3A885ADD" w14:textId="60B749F6" w:rsidR="00A51253" w:rsidRDefault="00A51253" w:rsidP="00986DF6">
      <w:r>
        <w:t xml:space="preserve">The applicant stated in its </w:t>
      </w:r>
      <w:proofErr w:type="spellStart"/>
      <w:r>
        <w:t>preMSAC</w:t>
      </w:r>
      <w:proofErr w:type="spellEnd"/>
      <w:r>
        <w:t xml:space="preserve"> response that the algorithm below does not reflect the expert opinion of the society in regards to clinical testing for vitamin D</w:t>
      </w:r>
      <w:r w:rsidR="001D2D8B">
        <w:t>,</w:t>
      </w:r>
      <w:r>
        <w:t xml:space="preserve"> the effects of AI therapy on the skeleton</w:t>
      </w:r>
      <w:r w:rsidR="001D2D8B">
        <w:t xml:space="preserve"> and development of skeletal metastases</w:t>
      </w:r>
      <w:r>
        <w:t>.</w:t>
      </w:r>
      <w:r w:rsidR="001D2D8B">
        <w:t xml:space="preserve"> The applicant also noted that there appears to be no consensus on the frequency of BMD monitoring in AI treated patients. However, the management plan as per figure 1 is appropriate in an Australian setting.</w:t>
      </w:r>
    </w:p>
    <w:p w14:paraId="3928C149" w14:textId="77777777" w:rsidR="00986DF6" w:rsidRDefault="00986DF6" w:rsidP="00986DF6">
      <w:pPr>
        <w:pStyle w:val="Caption"/>
        <w:numPr>
          <w:ilvl w:val="0"/>
          <w:numId w:val="3"/>
        </w:numPr>
        <w:spacing w:after="0"/>
      </w:pPr>
      <w:r>
        <w:lastRenderedPageBreak/>
        <w:t>Figure 1:</w:t>
      </w:r>
      <w:r w:rsidRPr="000371CA">
        <w:t xml:space="preserve"> Proposed clinical management algorithm </w:t>
      </w:r>
      <w:r>
        <w:t>of breast cancer patients receiving aromatase inhibitor therapy</w:t>
      </w:r>
    </w:p>
    <w:p w14:paraId="6B8BD260" w14:textId="77777777" w:rsidR="00986DF6" w:rsidRPr="00740F21" w:rsidRDefault="00986DF6" w:rsidP="00986DF6">
      <w:pPr>
        <w:ind w:left="720"/>
        <w:rPr>
          <w:rFonts w:ascii="Cambria" w:hAnsi="Cambria"/>
          <w:b/>
          <w:bCs/>
          <w:color w:val="365F91"/>
          <w:sz w:val="28"/>
          <w:szCs w:val="28"/>
          <w:lang w:eastAsia="en-US"/>
        </w:rPr>
      </w:pPr>
      <w:r>
        <w:rPr>
          <w:noProof/>
        </w:rPr>
        <mc:AlternateContent>
          <mc:Choice Requires="wpc">
            <w:drawing>
              <wp:inline distT="0" distB="0" distL="0" distR="0" wp14:anchorId="7D4B9C41" wp14:editId="316B1F81">
                <wp:extent cx="5486400" cy="7766173"/>
                <wp:effectExtent l="0" t="0" r="0" b="25400"/>
                <wp:docPr id="134" name="Canvas 74" descr="Title: Figure 3 Proposed clinical management algorithm of breast cancer patients receiving aromatase inhibitor therapy - Description: Figure 3 Proposed clinical management algorithm of breast cancer patients receiving aromatase inhibitor therapy"/>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Text Box 4" descr="Figure 3 Proposed clinical management algorithm of breast cancer patients receiving aromatase inhibitor therapy" title="Figure 3 Proposed clinical management algorithm of breast cancer patients receiving aromatase inhibitor therapy"/>
                        <wps:cNvSpPr txBox="1">
                          <a:spLocks/>
                        </wps:cNvSpPr>
                        <wps:spPr bwMode="auto">
                          <a:xfrm>
                            <a:off x="1080800" y="35999"/>
                            <a:ext cx="2769400" cy="645306"/>
                          </a:xfrm>
                          <a:prstGeom prst="rect">
                            <a:avLst/>
                          </a:prstGeom>
                          <a:solidFill>
                            <a:srgbClr val="FFFFFF"/>
                          </a:solidFill>
                          <a:ln w="6350">
                            <a:solidFill>
                              <a:srgbClr val="000000"/>
                            </a:solidFill>
                            <a:miter lim="800000"/>
                            <a:headEnd/>
                            <a:tailEnd/>
                          </a:ln>
                        </wps:spPr>
                        <wps:txbx>
                          <w:txbxContent>
                            <w:p w14:paraId="255B3D4B" w14:textId="77777777" w:rsidR="00986DF6" w:rsidRPr="005E19F7" w:rsidRDefault="00986DF6" w:rsidP="00986DF6">
                              <w:pPr>
                                <w:pStyle w:val="NormalWeb"/>
                                <w:spacing w:before="0" w:beforeAutospacing="0" w:after="0" w:afterAutospacing="0" w:line="312" w:lineRule="auto"/>
                                <w:jc w:val="center"/>
                                <w:rPr>
                                  <w:rFonts w:ascii="Arial Narrow" w:hAnsi="Arial Narrow"/>
                                  <w:sz w:val="18"/>
                                  <w:szCs w:val="18"/>
                                </w:rPr>
                              </w:pPr>
                              <w:r w:rsidRPr="005E19F7">
                                <w:rPr>
                                  <w:rFonts w:ascii="Arial Narrow" w:eastAsia="SimSun" w:hAnsi="Arial Narrow" w:cs="Tahoma"/>
                                  <w:sz w:val="18"/>
                                  <w:szCs w:val="18"/>
                                </w:rPr>
                                <w:t>Women with hormone receptor positive breast cancer</w:t>
                              </w:r>
                            </w:p>
                            <w:p w14:paraId="384B2D0E" w14:textId="77777777" w:rsidR="00986DF6" w:rsidRPr="005E19F7" w:rsidRDefault="00986DF6" w:rsidP="00986DF6">
                              <w:pPr>
                                <w:pStyle w:val="NormalWeb"/>
                                <w:spacing w:before="0" w:beforeAutospacing="0" w:after="0" w:afterAutospacing="0" w:line="312" w:lineRule="auto"/>
                                <w:jc w:val="center"/>
                                <w:rPr>
                                  <w:rFonts w:ascii="Arial Narrow" w:hAnsi="Arial Narrow"/>
                                  <w:sz w:val="18"/>
                                  <w:szCs w:val="18"/>
                                </w:rPr>
                              </w:pPr>
                              <w:proofErr w:type="gramStart"/>
                              <w:r w:rsidRPr="005E19F7">
                                <w:rPr>
                                  <w:rFonts w:ascii="Arial Narrow" w:eastAsia="SimSun" w:hAnsi="Arial Narrow" w:cs="Tahoma"/>
                                  <w:sz w:val="18"/>
                                  <w:szCs w:val="18"/>
                                </w:rPr>
                                <w:t>taking</w:t>
                              </w:r>
                              <w:proofErr w:type="gramEnd"/>
                              <w:r w:rsidRPr="005E19F7">
                                <w:rPr>
                                  <w:rFonts w:ascii="Arial Narrow" w:eastAsia="SimSun" w:hAnsi="Arial Narrow" w:cs="Tahoma"/>
                                  <w:sz w:val="18"/>
                                  <w:szCs w:val="18"/>
                                </w:rPr>
                                <w:t xml:space="preserve"> Aromatase inhibitors, not otherwise eligible for DXA</w:t>
                              </w:r>
                            </w:p>
                          </w:txbxContent>
                        </wps:txbx>
                        <wps:bodyPr rot="0" vert="horz" wrap="square" lIns="91440" tIns="45720" rIns="91440" bIns="45720" anchor="ctr" anchorCtr="0" upright="1">
                          <a:noAutofit/>
                        </wps:bodyPr>
                      </wps:wsp>
                      <wps:wsp>
                        <wps:cNvPr id="92" name="Text Box 13"/>
                        <wps:cNvSpPr txBox="1">
                          <a:spLocks/>
                        </wps:cNvSpPr>
                        <wps:spPr bwMode="auto">
                          <a:xfrm>
                            <a:off x="1950400" y="2030818"/>
                            <a:ext cx="1176400" cy="448904"/>
                          </a:xfrm>
                          <a:prstGeom prst="rect">
                            <a:avLst/>
                          </a:prstGeom>
                          <a:solidFill>
                            <a:srgbClr val="FFFFFF"/>
                          </a:solidFill>
                          <a:ln w="6350">
                            <a:solidFill>
                              <a:srgbClr val="000000"/>
                            </a:solidFill>
                            <a:miter lim="800000"/>
                            <a:headEnd/>
                            <a:tailEnd/>
                          </a:ln>
                        </wps:spPr>
                        <wps:txbx>
                          <w:txbxContent>
                            <w:p w14:paraId="6BC70BEB"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Baseline BMD measurement</w:t>
                              </w:r>
                              <w:r>
                                <w:rPr>
                                  <w:rFonts w:ascii="Arial Narrow" w:eastAsia="SimSun" w:hAnsi="Arial Narrow" w:cs="Tahoma"/>
                                  <w:sz w:val="18"/>
                                  <w:szCs w:val="18"/>
                                </w:rPr>
                                <w:t xml:space="preserve"> by DXA</w:t>
                              </w:r>
                            </w:p>
                            <w:p w14:paraId="4E211887" w14:textId="77777777" w:rsidR="00986DF6" w:rsidRPr="005E19F7" w:rsidRDefault="00986DF6" w:rsidP="00986DF6">
                              <w:pPr>
                                <w:pStyle w:val="NormalWeb"/>
                                <w:spacing w:before="0" w:beforeAutospacing="0" w:after="240" w:afterAutospacing="0" w:line="312" w:lineRule="auto"/>
                                <w:jc w:val="both"/>
                                <w:rPr>
                                  <w:rFonts w:ascii="Arial Narrow" w:hAnsi="Arial Narrow"/>
                                  <w:sz w:val="18"/>
                                  <w:szCs w:val="18"/>
                                </w:rPr>
                              </w:pPr>
                              <w:r w:rsidRPr="005E19F7">
                                <w:rPr>
                                  <w:rFonts w:ascii="Arial Narrow" w:eastAsia="SimSun" w:hAnsi="Arial Narrow" w:cs="Tahoma"/>
                                  <w:sz w:val="18"/>
                                  <w:szCs w:val="18"/>
                                </w:rPr>
                                <w:t> </w:t>
                              </w:r>
                            </w:p>
                          </w:txbxContent>
                        </wps:txbx>
                        <wps:bodyPr rot="0" vert="horz" wrap="square" lIns="91440" tIns="45720" rIns="91440" bIns="45720" anchor="t" anchorCtr="0" upright="1">
                          <a:noAutofit/>
                        </wps:bodyPr>
                      </wps:wsp>
                      <wps:wsp>
                        <wps:cNvPr id="93" name="Text Box 14"/>
                        <wps:cNvSpPr txBox="1">
                          <a:spLocks/>
                        </wps:cNvSpPr>
                        <wps:spPr bwMode="auto">
                          <a:xfrm>
                            <a:off x="3200" y="2898626"/>
                            <a:ext cx="1144400" cy="561005"/>
                          </a:xfrm>
                          <a:prstGeom prst="rect">
                            <a:avLst/>
                          </a:prstGeom>
                          <a:solidFill>
                            <a:srgbClr val="FFFFFF"/>
                          </a:solidFill>
                          <a:ln w="6350">
                            <a:solidFill>
                              <a:srgbClr val="000000"/>
                            </a:solidFill>
                            <a:miter lim="800000"/>
                            <a:headEnd/>
                            <a:tailEnd/>
                          </a:ln>
                        </wps:spPr>
                        <wps:txbx>
                          <w:txbxContent>
                            <w:p w14:paraId="0D99CEE1"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 xml:space="preserve">T-score </w:t>
                              </w:r>
                              <w:r>
                                <w:rPr>
                                  <w:rFonts w:ascii="Arial Narrow" w:eastAsia="SimSun" w:hAnsi="Arial Narrow" w:cs="Tahoma"/>
                                  <w:sz w:val="18"/>
                                  <w:szCs w:val="18"/>
                                </w:rPr>
                                <w:t xml:space="preserve">≤ -2.5 </w:t>
                              </w:r>
                            </w:p>
                          </w:txbxContent>
                        </wps:txbx>
                        <wps:bodyPr rot="0" vert="horz" wrap="square" lIns="91440" tIns="45720" rIns="91440" bIns="45720" anchor="t" anchorCtr="0" upright="1">
                          <a:noAutofit/>
                        </wps:bodyPr>
                      </wps:wsp>
                      <wps:wsp>
                        <wps:cNvPr id="94" name="Text Box 15"/>
                        <wps:cNvSpPr txBox="1">
                          <a:spLocks/>
                        </wps:cNvSpPr>
                        <wps:spPr bwMode="auto">
                          <a:xfrm>
                            <a:off x="3696700" y="2886326"/>
                            <a:ext cx="1151600" cy="347903"/>
                          </a:xfrm>
                          <a:prstGeom prst="rect">
                            <a:avLst/>
                          </a:prstGeom>
                          <a:solidFill>
                            <a:srgbClr val="FFFFFF"/>
                          </a:solidFill>
                          <a:ln w="6350">
                            <a:solidFill>
                              <a:srgbClr val="000000"/>
                            </a:solidFill>
                            <a:miter lim="800000"/>
                            <a:headEnd/>
                            <a:tailEnd/>
                          </a:ln>
                        </wps:spPr>
                        <wps:txbx>
                          <w:txbxContent>
                            <w:p w14:paraId="4EEE4726"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T-score &gt;-2.5</w:t>
                              </w:r>
                            </w:p>
                          </w:txbxContent>
                        </wps:txbx>
                        <wps:bodyPr rot="0" vert="horz" wrap="square" lIns="91440" tIns="45720" rIns="91440" bIns="45720" anchor="t" anchorCtr="0" upright="1">
                          <a:noAutofit/>
                        </wps:bodyPr>
                      </wps:wsp>
                      <wps:wsp>
                        <wps:cNvPr id="95" name="Text Box 17"/>
                        <wps:cNvSpPr txBox="1">
                          <a:spLocks/>
                        </wps:cNvSpPr>
                        <wps:spPr bwMode="auto">
                          <a:xfrm>
                            <a:off x="2003500" y="1489412"/>
                            <a:ext cx="1123300" cy="389804"/>
                          </a:xfrm>
                          <a:prstGeom prst="rect">
                            <a:avLst/>
                          </a:prstGeom>
                          <a:solidFill>
                            <a:srgbClr val="FFFFFF"/>
                          </a:solidFill>
                          <a:ln w="6350">
                            <a:solidFill>
                              <a:srgbClr val="000000"/>
                            </a:solidFill>
                            <a:miter lim="800000"/>
                            <a:headEnd/>
                            <a:tailEnd/>
                          </a:ln>
                        </wps:spPr>
                        <wps:txbx>
                          <w:txbxContent>
                            <w:p w14:paraId="0D13547B" w14:textId="77777777" w:rsidR="00986DF6" w:rsidRPr="00A9755F" w:rsidRDefault="00986DF6" w:rsidP="00986DF6">
                              <w:pPr>
                                <w:spacing w:after="200" w:line="276" w:lineRule="auto"/>
                                <w:rPr>
                                  <w:rFonts w:ascii="Arial Narrow" w:hAnsi="Arial Narrow"/>
                                  <w:sz w:val="18"/>
                                  <w:szCs w:val="18"/>
                                </w:rPr>
                              </w:pPr>
                              <w:r w:rsidRPr="00A9755F">
                                <w:rPr>
                                  <w:rFonts w:ascii="Arial Narrow" w:hAnsi="Arial Narrow"/>
                                  <w:sz w:val="18"/>
                                  <w:szCs w:val="18"/>
                                </w:rPr>
                                <w:t>Lifestyle advice (a), +/- supplements (b)</w:t>
                              </w:r>
                            </w:p>
                            <w:p w14:paraId="399CA69C"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p>
                          </w:txbxContent>
                        </wps:txbx>
                        <wps:bodyPr rot="0" vert="horz" wrap="square" lIns="91440" tIns="45720" rIns="91440" bIns="45720" anchor="t" anchorCtr="0" upright="1">
                          <a:noAutofit/>
                        </wps:bodyPr>
                      </wps:wsp>
                      <wps:wsp>
                        <wps:cNvPr id="96" name="Straight Connector 136"/>
                        <wps:cNvCnPr/>
                        <wps:spPr bwMode="auto">
                          <a:xfrm>
                            <a:off x="575400" y="2733024"/>
                            <a:ext cx="369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Straight Arrow Connector 137"/>
                        <wps:cNvCnPr/>
                        <wps:spPr bwMode="auto">
                          <a:xfrm>
                            <a:off x="575400" y="2733024"/>
                            <a:ext cx="0" cy="1656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8" name="Straight Arrow Connector 139"/>
                        <wps:cNvCnPr/>
                        <wps:spPr bwMode="auto">
                          <a:xfrm>
                            <a:off x="4272500" y="2733024"/>
                            <a:ext cx="0" cy="1533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9" name="Text Box 32"/>
                        <wps:cNvSpPr txBox="1">
                          <a:spLocks/>
                        </wps:cNvSpPr>
                        <wps:spPr bwMode="auto">
                          <a:xfrm>
                            <a:off x="66600" y="4054637"/>
                            <a:ext cx="1012000" cy="636106"/>
                          </a:xfrm>
                          <a:prstGeom prst="rect">
                            <a:avLst/>
                          </a:prstGeom>
                          <a:solidFill>
                            <a:srgbClr val="FFFFFF"/>
                          </a:solidFill>
                          <a:ln w="6350">
                            <a:solidFill>
                              <a:srgbClr val="000000"/>
                            </a:solidFill>
                            <a:miter lim="800000"/>
                            <a:headEnd/>
                            <a:tailEnd/>
                          </a:ln>
                        </wps:spPr>
                        <wps:txbx>
                          <w:txbxContent>
                            <w:p w14:paraId="13BCC36A"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Treat with anti-</w:t>
                              </w:r>
                              <w:proofErr w:type="spellStart"/>
                              <w:r w:rsidRPr="005E19F7">
                                <w:rPr>
                                  <w:rFonts w:ascii="Arial Narrow" w:eastAsia="SimSun" w:hAnsi="Arial Narrow" w:cs="Tahoma"/>
                                  <w:sz w:val="18"/>
                                  <w:szCs w:val="18"/>
                                </w:rPr>
                                <w:t>resorptives</w:t>
                              </w:r>
                              <w:proofErr w:type="spellEnd"/>
                              <w:r w:rsidRPr="005E19F7">
                                <w:rPr>
                                  <w:rFonts w:ascii="Arial Narrow" w:eastAsia="SimSun" w:hAnsi="Arial Narrow" w:cs="Tahoma"/>
                                  <w:sz w:val="18"/>
                                  <w:szCs w:val="18"/>
                                </w:rPr>
                                <w:t xml:space="preserve"> at osteoporosis doses </w:t>
                              </w:r>
                            </w:p>
                          </w:txbxContent>
                        </wps:txbx>
                        <wps:bodyPr rot="0" vert="horz" wrap="square" lIns="91440" tIns="45720" rIns="91440" bIns="45720" anchor="t" anchorCtr="0" upright="1">
                          <a:noAutofit/>
                        </wps:bodyPr>
                      </wps:wsp>
                      <wps:wsp>
                        <wps:cNvPr id="100" name="Text Box 36"/>
                        <wps:cNvSpPr txBox="1">
                          <a:spLocks/>
                        </wps:cNvSpPr>
                        <wps:spPr bwMode="auto">
                          <a:xfrm>
                            <a:off x="76100" y="5022646"/>
                            <a:ext cx="1131500" cy="396104"/>
                          </a:xfrm>
                          <a:prstGeom prst="rect">
                            <a:avLst/>
                          </a:prstGeom>
                          <a:solidFill>
                            <a:srgbClr val="FFFFFF"/>
                          </a:solidFill>
                          <a:ln w="6350">
                            <a:solidFill>
                              <a:srgbClr val="000000"/>
                            </a:solidFill>
                            <a:miter lim="800000"/>
                            <a:headEnd/>
                            <a:tailEnd/>
                          </a:ln>
                        </wps:spPr>
                        <wps:txbx>
                          <w:txbxContent>
                            <w:p w14:paraId="09778163" w14:textId="77777777" w:rsidR="00986DF6" w:rsidRDefault="00986DF6" w:rsidP="00986DF6">
                              <w:pPr>
                                <w:pStyle w:val="NormalWeb"/>
                                <w:spacing w:before="0" w:beforeAutospacing="0" w:after="0" w:afterAutospacing="0" w:line="276" w:lineRule="auto"/>
                                <w:rPr>
                                  <w:rFonts w:ascii="Arial Narrow" w:hAnsi="Arial Narrow"/>
                                  <w:sz w:val="18"/>
                                  <w:szCs w:val="18"/>
                                </w:rPr>
                              </w:pPr>
                              <w:r w:rsidRPr="005E19F7">
                                <w:rPr>
                                  <w:rFonts w:ascii="Arial Narrow" w:eastAsia="SimSun" w:hAnsi="Arial Narrow" w:cs="Tahoma"/>
                                  <w:sz w:val="18"/>
                                  <w:szCs w:val="18"/>
                                </w:rPr>
                                <w:t xml:space="preserve">Repeat DXA after 24 months </w:t>
                              </w:r>
                              <w:r>
                                <w:rPr>
                                  <w:rFonts w:ascii="Arial Narrow" w:eastAsia="SimSun" w:hAnsi="Arial Narrow" w:cs="Tahoma"/>
                                  <w:sz w:val="18"/>
                                  <w:szCs w:val="18"/>
                                </w:rPr>
                                <w:t>(</w:t>
                              </w:r>
                              <w:r>
                                <w:rPr>
                                  <w:rFonts w:ascii="Arial Narrow" w:hAnsi="Arial Narrow"/>
                                  <w:sz w:val="18"/>
                                  <w:szCs w:val="18"/>
                                </w:rPr>
                                <w:t>MBS 12306)</w:t>
                              </w:r>
                            </w:p>
                            <w:p w14:paraId="48AB7666"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p>
                          </w:txbxContent>
                        </wps:txbx>
                        <wps:bodyPr rot="0" vert="horz" wrap="square" lIns="91440" tIns="45720" rIns="91440" bIns="45720" anchor="t" anchorCtr="0" upright="1">
                          <a:noAutofit/>
                        </wps:bodyPr>
                      </wps:wsp>
                      <wps:wsp>
                        <wps:cNvPr id="101" name="Text Box 39"/>
                        <wps:cNvSpPr txBox="1">
                          <a:spLocks/>
                        </wps:cNvSpPr>
                        <wps:spPr bwMode="auto">
                          <a:xfrm>
                            <a:off x="3792700" y="3716734"/>
                            <a:ext cx="1004700" cy="629206"/>
                          </a:xfrm>
                          <a:prstGeom prst="rect">
                            <a:avLst/>
                          </a:prstGeom>
                          <a:solidFill>
                            <a:srgbClr val="FFFFFF"/>
                          </a:solidFill>
                          <a:ln w="6350">
                            <a:solidFill>
                              <a:srgbClr val="000000"/>
                            </a:solidFill>
                            <a:miter lim="800000"/>
                            <a:headEnd/>
                            <a:tailEnd/>
                          </a:ln>
                        </wps:spPr>
                        <wps:txbx>
                          <w:txbxContent>
                            <w:p w14:paraId="52EE834F" w14:textId="77777777" w:rsidR="00986DF6" w:rsidRPr="005E19F7" w:rsidRDefault="00986DF6" w:rsidP="00986DF6">
                              <w:pPr>
                                <w:pStyle w:val="NormalWeb"/>
                                <w:spacing w:before="0" w:beforeAutospacing="0" w:after="240" w:afterAutospacing="0" w:line="312" w:lineRule="auto"/>
                                <w:jc w:val="center"/>
                                <w:rPr>
                                  <w:rFonts w:ascii="Arial Narrow" w:eastAsia="SimSun" w:hAnsi="Arial Narrow" w:cs="Tahoma"/>
                                  <w:sz w:val="18"/>
                                  <w:szCs w:val="18"/>
                                </w:rPr>
                              </w:pPr>
                              <w:r>
                                <w:rPr>
                                  <w:rFonts w:ascii="Arial Narrow" w:eastAsia="SimSun" w:hAnsi="Arial Narrow" w:cs="Tahoma"/>
                                  <w:sz w:val="18"/>
                                  <w:szCs w:val="18"/>
                                </w:rPr>
                                <w:t>Repeat BMD scan after 24 months</w:t>
                              </w:r>
                            </w:p>
                          </w:txbxContent>
                        </wps:txbx>
                        <wps:bodyPr rot="0" vert="horz" wrap="square" lIns="91440" tIns="45720" rIns="91440" bIns="45720" anchor="t" anchorCtr="0" upright="1">
                          <a:noAutofit/>
                        </wps:bodyPr>
                      </wps:wsp>
                      <wps:wsp>
                        <wps:cNvPr id="102" name="Text Box 40"/>
                        <wps:cNvSpPr txBox="1">
                          <a:spLocks/>
                        </wps:cNvSpPr>
                        <wps:spPr bwMode="auto">
                          <a:xfrm>
                            <a:off x="3772000" y="4690743"/>
                            <a:ext cx="1044700" cy="331903"/>
                          </a:xfrm>
                          <a:prstGeom prst="rect">
                            <a:avLst/>
                          </a:prstGeom>
                          <a:solidFill>
                            <a:srgbClr val="FFFFFF"/>
                          </a:solidFill>
                          <a:ln w="6350">
                            <a:solidFill>
                              <a:srgbClr val="000000"/>
                            </a:solidFill>
                            <a:miter lim="800000"/>
                            <a:headEnd/>
                            <a:tailEnd/>
                          </a:ln>
                        </wps:spPr>
                        <wps:txbx>
                          <w:txbxContent>
                            <w:p w14:paraId="0CF3594B"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 xml:space="preserve">T-score </w:t>
                              </w:r>
                              <w:r w:rsidRPr="00C57D90">
                                <w:rPr>
                                  <w:rFonts w:ascii="Arial Narrow" w:eastAsia="SimSun" w:hAnsi="Arial Narrow" w:cs="Tahoma"/>
                                  <w:sz w:val="18"/>
                                  <w:szCs w:val="18"/>
                                </w:rPr>
                                <w:t>≤</w:t>
                              </w:r>
                              <w:r w:rsidRPr="005E19F7">
                                <w:rPr>
                                  <w:rFonts w:ascii="Arial Narrow" w:eastAsia="SimSun" w:hAnsi="Arial Narrow" w:cs="Tahoma"/>
                                  <w:sz w:val="18"/>
                                  <w:szCs w:val="18"/>
                                </w:rPr>
                                <w:t>-2.5</w:t>
                              </w:r>
                            </w:p>
                          </w:txbxContent>
                        </wps:txbx>
                        <wps:bodyPr rot="0" vert="horz" wrap="square" lIns="91440" tIns="45720" rIns="91440" bIns="45720" anchor="t" anchorCtr="0" upright="1">
                          <a:noAutofit/>
                        </wps:bodyPr>
                      </wps:wsp>
                      <wps:wsp>
                        <wps:cNvPr id="103" name="Text Box 41"/>
                        <wps:cNvSpPr txBox="1">
                          <a:spLocks/>
                        </wps:cNvSpPr>
                        <wps:spPr bwMode="auto">
                          <a:xfrm>
                            <a:off x="3608000" y="5540551"/>
                            <a:ext cx="448900" cy="284103"/>
                          </a:xfrm>
                          <a:prstGeom prst="rect">
                            <a:avLst/>
                          </a:prstGeom>
                          <a:solidFill>
                            <a:srgbClr val="FFFFFF"/>
                          </a:solidFill>
                          <a:ln w="6350">
                            <a:solidFill>
                              <a:srgbClr val="000000"/>
                            </a:solidFill>
                            <a:miter lim="800000"/>
                            <a:headEnd/>
                            <a:tailEnd/>
                          </a:ln>
                        </wps:spPr>
                        <wps:txbx>
                          <w:txbxContent>
                            <w:p w14:paraId="3B5D5A96"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proofErr w:type="gramStart"/>
                              <w:r w:rsidRPr="005E19F7">
                                <w:rPr>
                                  <w:rFonts w:ascii="Arial Narrow" w:eastAsia="SimSun" w:hAnsi="Arial Narrow" w:cs="Tahoma"/>
                                  <w:sz w:val="18"/>
                                  <w:szCs w:val="18"/>
                                </w:rPr>
                                <w:t>yes</w:t>
                              </w:r>
                              <w:proofErr w:type="gramEnd"/>
                            </w:p>
                          </w:txbxContent>
                        </wps:txbx>
                        <wps:bodyPr rot="0" vert="horz" wrap="square" lIns="91440" tIns="45720" rIns="91440" bIns="45720" anchor="t" anchorCtr="0" upright="1">
                          <a:noAutofit/>
                        </wps:bodyPr>
                      </wps:wsp>
                      <wps:wsp>
                        <wps:cNvPr id="104" name="Text Box 42"/>
                        <wps:cNvSpPr txBox="1">
                          <a:spLocks/>
                        </wps:cNvSpPr>
                        <wps:spPr bwMode="auto">
                          <a:xfrm>
                            <a:off x="4558500" y="5552251"/>
                            <a:ext cx="448800" cy="284103"/>
                          </a:xfrm>
                          <a:prstGeom prst="rect">
                            <a:avLst/>
                          </a:prstGeom>
                          <a:solidFill>
                            <a:srgbClr val="FFFFFF"/>
                          </a:solidFill>
                          <a:ln w="6350">
                            <a:solidFill>
                              <a:srgbClr val="000000"/>
                            </a:solidFill>
                            <a:miter lim="800000"/>
                            <a:headEnd/>
                            <a:tailEnd/>
                          </a:ln>
                        </wps:spPr>
                        <wps:txbx>
                          <w:txbxContent>
                            <w:p w14:paraId="62A6423D"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proofErr w:type="gramStart"/>
                              <w:r w:rsidRPr="005E19F7">
                                <w:rPr>
                                  <w:rFonts w:ascii="Arial Narrow" w:eastAsia="SimSun" w:hAnsi="Arial Narrow" w:cs="Tahoma"/>
                                  <w:sz w:val="18"/>
                                  <w:szCs w:val="18"/>
                                </w:rPr>
                                <w:t>no</w:t>
                              </w:r>
                              <w:proofErr w:type="gramEnd"/>
                            </w:p>
                          </w:txbxContent>
                        </wps:txbx>
                        <wps:bodyPr rot="0" vert="horz" wrap="square" lIns="91440" tIns="45720" rIns="91440" bIns="45720" anchor="t" anchorCtr="0" upright="1">
                          <a:noAutofit/>
                        </wps:bodyPr>
                      </wps:wsp>
                      <wps:wsp>
                        <wps:cNvPr id="105" name="Text Box 72"/>
                        <wps:cNvSpPr txBox="1">
                          <a:spLocks/>
                        </wps:cNvSpPr>
                        <wps:spPr bwMode="auto">
                          <a:xfrm>
                            <a:off x="478621" y="6181796"/>
                            <a:ext cx="2910000" cy="686118"/>
                          </a:xfrm>
                          <a:prstGeom prst="rect">
                            <a:avLst/>
                          </a:prstGeom>
                          <a:solidFill>
                            <a:srgbClr val="FFFFFF"/>
                          </a:solidFill>
                          <a:ln w="6350">
                            <a:solidFill>
                              <a:srgbClr val="000000"/>
                            </a:solidFill>
                            <a:miter lim="800000"/>
                            <a:headEnd/>
                            <a:tailEnd/>
                          </a:ln>
                        </wps:spPr>
                        <wps:txbx>
                          <w:txbxContent>
                            <w:p w14:paraId="2B1DFA57" w14:textId="77777777" w:rsidR="00986DF6" w:rsidRPr="0078387F" w:rsidRDefault="00986DF6" w:rsidP="00986DF6">
                              <w:pPr>
                                <w:pStyle w:val="NormalWeb"/>
                                <w:spacing w:before="0" w:beforeAutospacing="0" w:after="0" w:afterAutospacing="0" w:line="276" w:lineRule="auto"/>
                                <w:rPr>
                                  <w:rFonts w:ascii="Arial Narrow" w:hAnsi="Arial Narrow"/>
                                  <w:sz w:val="18"/>
                                  <w:szCs w:val="18"/>
                                </w:rPr>
                              </w:pPr>
                              <w:r w:rsidRPr="0078387F">
                                <w:rPr>
                                  <w:rFonts w:ascii="Arial Narrow" w:hAnsi="Arial Narrow"/>
                                  <w:sz w:val="18"/>
                                  <w:szCs w:val="18"/>
                                </w:rPr>
                                <w:t>Note: MTF: minimal trauma fracture</w:t>
                              </w:r>
                              <w:r>
                                <w:rPr>
                                  <w:rFonts w:ascii="Arial Narrow" w:hAnsi="Arial Narrow"/>
                                  <w:sz w:val="18"/>
                                  <w:szCs w:val="18"/>
                                </w:rPr>
                                <w:t xml:space="preserve">; ARs: </w:t>
                              </w:r>
                              <w:proofErr w:type="spellStart"/>
                              <w:r>
                                <w:rPr>
                                  <w:rFonts w:ascii="Arial Narrow" w:hAnsi="Arial Narrow"/>
                                  <w:sz w:val="18"/>
                                  <w:szCs w:val="18"/>
                                </w:rPr>
                                <w:t>antiresorptives</w:t>
                              </w:r>
                              <w:proofErr w:type="spellEnd"/>
                            </w:p>
                            <w:p w14:paraId="3819A8DB" w14:textId="77777777" w:rsidR="00986DF6" w:rsidRPr="0078387F" w:rsidRDefault="00986DF6" w:rsidP="00986DF6">
                              <w:pPr>
                                <w:pStyle w:val="NormalWeb"/>
                                <w:numPr>
                                  <w:ilvl w:val="0"/>
                                  <w:numId w:val="25"/>
                                </w:numPr>
                                <w:spacing w:before="0" w:beforeAutospacing="0" w:after="0" w:afterAutospacing="0" w:line="276" w:lineRule="auto"/>
                                <w:rPr>
                                  <w:sz w:val="18"/>
                                  <w:szCs w:val="18"/>
                                </w:rPr>
                              </w:pPr>
                              <w:r w:rsidRPr="0078387F">
                                <w:rPr>
                                  <w:rFonts w:ascii="Arial Narrow" w:hAnsi="Arial Narrow"/>
                                  <w:color w:val="000000"/>
                                  <w:sz w:val="18"/>
                                  <w:szCs w:val="18"/>
                                  <w:lang w:val="en-US"/>
                                </w:rPr>
                                <w:t>Exercise, sunshine, general bone health awareness</w:t>
                              </w:r>
                            </w:p>
                            <w:p w14:paraId="4B6FBDD0" w14:textId="77777777" w:rsidR="00986DF6" w:rsidRPr="002D4092" w:rsidRDefault="00986DF6" w:rsidP="00986DF6">
                              <w:pPr>
                                <w:pStyle w:val="NormalWeb"/>
                                <w:numPr>
                                  <w:ilvl w:val="0"/>
                                  <w:numId w:val="25"/>
                                </w:numPr>
                                <w:spacing w:before="0" w:beforeAutospacing="0" w:after="0" w:afterAutospacing="0" w:line="276" w:lineRule="auto"/>
                                <w:rPr>
                                  <w:sz w:val="18"/>
                                  <w:szCs w:val="18"/>
                                </w:rPr>
                              </w:pPr>
                              <w:r w:rsidRPr="0078387F">
                                <w:rPr>
                                  <w:rFonts w:ascii="Arial Narrow" w:hAnsi="Arial Narrow"/>
                                  <w:color w:val="000000"/>
                                  <w:sz w:val="18"/>
                                  <w:szCs w:val="18"/>
                                  <w:lang w:val="en-US"/>
                                </w:rPr>
                                <w:t>Calcium (1300mg/day), ensure replete vitamin D status &gt;60nmol/L</w:t>
                              </w:r>
                            </w:p>
                          </w:txbxContent>
                        </wps:txbx>
                        <wps:bodyPr rot="0" vert="horz" wrap="square" lIns="91440" tIns="45720" rIns="91440" bIns="45720" anchor="t" anchorCtr="0" upright="1">
                          <a:noAutofit/>
                        </wps:bodyPr>
                      </wps:wsp>
                      <wps:wsp>
                        <wps:cNvPr id="106" name="Straight Arrow Connector 157"/>
                        <wps:cNvCnPr/>
                        <wps:spPr bwMode="auto">
                          <a:xfrm>
                            <a:off x="2527100" y="1879216"/>
                            <a:ext cx="0" cy="1516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7" name="Straight Arrow Connector 75"/>
                        <wps:cNvCnPr/>
                        <wps:spPr bwMode="auto">
                          <a:xfrm>
                            <a:off x="2527100" y="1211210"/>
                            <a:ext cx="0" cy="2782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8" name="Straight Arrow Connector 76"/>
                        <wps:cNvCnPr/>
                        <wps:spPr bwMode="auto">
                          <a:xfrm>
                            <a:off x="572600" y="3459631"/>
                            <a:ext cx="0" cy="5634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9" name="Straight Arrow Connector 77"/>
                        <wps:cNvCnPr/>
                        <wps:spPr bwMode="auto">
                          <a:xfrm>
                            <a:off x="572600" y="4690743"/>
                            <a:ext cx="0" cy="3319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0" name="Straight Arrow Connector 162"/>
                        <wps:cNvCnPr/>
                        <wps:spPr bwMode="auto">
                          <a:xfrm flipH="1">
                            <a:off x="4294400" y="4345940"/>
                            <a:ext cx="700" cy="3448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1" name="Elbow Connector 164"/>
                        <wps:cNvCnPr/>
                        <wps:spPr bwMode="auto">
                          <a:xfrm rot="16200000" flipH="1">
                            <a:off x="4286898" y="5030149"/>
                            <a:ext cx="517905" cy="50300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12" name="Elbow Connector 165"/>
                        <wps:cNvCnPr/>
                        <wps:spPr bwMode="auto">
                          <a:xfrm rot="5400000">
                            <a:off x="3813298" y="5059549"/>
                            <a:ext cx="517905" cy="44420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13" name="Elbow Connector 168"/>
                        <wps:cNvCnPr/>
                        <wps:spPr bwMode="auto">
                          <a:xfrm rot="10800000">
                            <a:off x="1078600" y="4372640"/>
                            <a:ext cx="2529400" cy="1309913"/>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114" name="Straight Connector 174"/>
                        <wps:cNvCnPr/>
                        <wps:spPr bwMode="auto">
                          <a:xfrm>
                            <a:off x="2538600" y="2479722"/>
                            <a:ext cx="0" cy="253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Straight Arrow Connector 60"/>
                        <wps:cNvCnPr/>
                        <wps:spPr bwMode="auto">
                          <a:xfrm>
                            <a:off x="4272500" y="3234229"/>
                            <a:ext cx="22600" cy="4825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6" name="Text Box 123"/>
                        <wps:cNvSpPr txBox="1">
                          <a:spLocks noChangeArrowheads="1"/>
                        </wps:cNvSpPr>
                        <wps:spPr bwMode="auto">
                          <a:xfrm>
                            <a:off x="4125900" y="7386469"/>
                            <a:ext cx="476300" cy="379704"/>
                          </a:xfrm>
                          <a:prstGeom prst="rect">
                            <a:avLst/>
                          </a:prstGeom>
                          <a:solidFill>
                            <a:srgbClr val="FFFFFF"/>
                          </a:solidFill>
                          <a:ln w="6350">
                            <a:solidFill>
                              <a:srgbClr val="000000"/>
                            </a:solidFill>
                            <a:miter lim="800000"/>
                            <a:headEnd/>
                            <a:tailEnd/>
                          </a:ln>
                        </wps:spPr>
                        <wps:txbx>
                          <w:txbxContent>
                            <w:p w14:paraId="3F5034C3" w14:textId="77777777" w:rsidR="00986DF6" w:rsidRDefault="00986DF6" w:rsidP="00986DF6">
                              <w:pPr>
                                <w:pStyle w:val="NormalWeb"/>
                                <w:spacing w:before="0" w:beforeAutospacing="0" w:after="0" w:afterAutospacing="0" w:line="276" w:lineRule="auto"/>
                              </w:pPr>
                              <w:r>
                                <w:rPr>
                                  <w:rFonts w:ascii="Arial Narrow" w:hAnsi="Arial Narrow"/>
                                  <w:sz w:val="18"/>
                                  <w:szCs w:val="18"/>
                                </w:rPr>
                                <w:t>Risk of</w:t>
                              </w:r>
                            </w:p>
                            <w:p w14:paraId="0304F8C8" w14:textId="77777777" w:rsidR="00986DF6" w:rsidRDefault="00986DF6" w:rsidP="00986DF6">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17" name="Straight Arrow Connector 173"/>
                        <wps:cNvCnPr/>
                        <wps:spPr bwMode="auto">
                          <a:xfrm flipH="1">
                            <a:off x="4816700" y="5832354"/>
                            <a:ext cx="0" cy="1453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8" name="Text Box 123"/>
                        <wps:cNvSpPr txBox="1">
                          <a:spLocks noChangeArrowheads="1"/>
                        </wps:cNvSpPr>
                        <wps:spPr bwMode="auto">
                          <a:xfrm>
                            <a:off x="3534700" y="6001656"/>
                            <a:ext cx="476200" cy="379704"/>
                          </a:xfrm>
                          <a:prstGeom prst="rect">
                            <a:avLst/>
                          </a:prstGeom>
                          <a:solidFill>
                            <a:srgbClr val="FFFFFF"/>
                          </a:solidFill>
                          <a:ln w="6350">
                            <a:solidFill>
                              <a:srgbClr val="000000"/>
                            </a:solidFill>
                            <a:miter lim="800000"/>
                            <a:headEnd/>
                            <a:tailEnd/>
                          </a:ln>
                        </wps:spPr>
                        <wps:txbx>
                          <w:txbxContent>
                            <w:p w14:paraId="605E466E" w14:textId="77777777" w:rsidR="00986DF6" w:rsidRDefault="00986DF6" w:rsidP="00986DF6">
                              <w:pPr>
                                <w:pStyle w:val="NormalWeb"/>
                                <w:spacing w:before="0" w:beforeAutospacing="0" w:after="0" w:afterAutospacing="0" w:line="276" w:lineRule="auto"/>
                              </w:pPr>
                              <w:r>
                                <w:rPr>
                                  <w:rFonts w:ascii="Arial Narrow" w:hAnsi="Arial Narrow"/>
                                  <w:sz w:val="18"/>
                                  <w:szCs w:val="18"/>
                                </w:rPr>
                                <w:t>Risk of</w:t>
                              </w:r>
                            </w:p>
                            <w:p w14:paraId="1BC0D9AE" w14:textId="77777777" w:rsidR="00986DF6" w:rsidRDefault="00986DF6" w:rsidP="00986DF6">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19" name="Straight Arrow Connector 181"/>
                        <wps:cNvCnPr/>
                        <wps:spPr bwMode="auto">
                          <a:xfrm>
                            <a:off x="3850200" y="5830254"/>
                            <a:ext cx="0" cy="1646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0" name="Text Box 123"/>
                        <wps:cNvSpPr txBox="1">
                          <a:spLocks noChangeArrowheads="1"/>
                        </wps:cNvSpPr>
                        <wps:spPr bwMode="auto">
                          <a:xfrm>
                            <a:off x="351400" y="5757253"/>
                            <a:ext cx="476300" cy="379704"/>
                          </a:xfrm>
                          <a:prstGeom prst="rect">
                            <a:avLst/>
                          </a:prstGeom>
                          <a:solidFill>
                            <a:srgbClr val="FFFFFF"/>
                          </a:solidFill>
                          <a:ln w="6350">
                            <a:solidFill>
                              <a:srgbClr val="000000"/>
                            </a:solidFill>
                            <a:miter lim="800000"/>
                            <a:headEnd/>
                            <a:tailEnd/>
                          </a:ln>
                        </wps:spPr>
                        <wps:txbx>
                          <w:txbxContent>
                            <w:p w14:paraId="500069E7" w14:textId="77777777" w:rsidR="00986DF6" w:rsidRDefault="00986DF6" w:rsidP="00986DF6">
                              <w:pPr>
                                <w:pStyle w:val="NormalWeb"/>
                                <w:spacing w:before="0" w:beforeAutospacing="0" w:after="0" w:afterAutospacing="0" w:line="276" w:lineRule="auto"/>
                              </w:pPr>
                              <w:r>
                                <w:rPr>
                                  <w:rFonts w:ascii="Arial Narrow" w:hAnsi="Arial Narrow"/>
                                  <w:sz w:val="18"/>
                                  <w:szCs w:val="18"/>
                                </w:rPr>
                                <w:t>Risk of</w:t>
                              </w:r>
                            </w:p>
                            <w:p w14:paraId="3AEBB1D0" w14:textId="77777777" w:rsidR="00986DF6" w:rsidRDefault="00986DF6" w:rsidP="00986DF6">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21" name="Straight Arrow Connector 183"/>
                        <wps:cNvCnPr/>
                        <wps:spPr bwMode="auto">
                          <a:xfrm flipH="1">
                            <a:off x="583800" y="5418750"/>
                            <a:ext cx="0" cy="3378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2" name="Text Box 123"/>
                        <wps:cNvSpPr txBox="1">
                          <a:spLocks noChangeArrowheads="1"/>
                        </wps:cNvSpPr>
                        <wps:spPr bwMode="auto">
                          <a:xfrm>
                            <a:off x="1323000" y="794606"/>
                            <a:ext cx="2169160" cy="416560"/>
                          </a:xfrm>
                          <a:prstGeom prst="rect">
                            <a:avLst/>
                          </a:prstGeom>
                          <a:solidFill>
                            <a:srgbClr val="FFFFFF"/>
                          </a:solidFill>
                          <a:ln w="6350">
                            <a:solidFill>
                              <a:srgbClr val="000000"/>
                            </a:solidFill>
                            <a:miter lim="800000"/>
                            <a:headEnd/>
                            <a:tailEnd/>
                          </a:ln>
                        </wps:spPr>
                        <wps:txbx>
                          <w:txbxContent>
                            <w:p w14:paraId="55961678" w14:textId="77777777" w:rsidR="00986DF6" w:rsidRDefault="00986DF6" w:rsidP="00986DF6">
                              <w:pPr>
                                <w:pStyle w:val="NormalWeb"/>
                                <w:spacing w:before="0" w:beforeAutospacing="0" w:after="0" w:afterAutospacing="0" w:line="276" w:lineRule="auto"/>
                                <w:jc w:val="center"/>
                              </w:pPr>
                              <w:r>
                                <w:rPr>
                                  <w:rFonts w:ascii="Arial Narrow" w:hAnsi="Arial Narrow"/>
                                  <w:sz w:val="18"/>
                                  <w:szCs w:val="18"/>
                                </w:rPr>
                                <w:t>Clinical assessment, test for vitamin D,</w:t>
                              </w:r>
                            </w:p>
                            <w:p w14:paraId="79E8E483" w14:textId="77777777" w:rsidR="00986DF6" w:rsidRDefault="00986DF6" w:rsidP="00986DF6">
                              <w:pPr>
                                <w:pStyle w:val="NormalWeb"/>
                                <w:spacing w:before="0" w:beforeAutospacing="0" w:after="0" w:afterAutospacing="0" w:line="276" w:lineRule="auto"/>
                                <w:jc w:val="cente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wps:txbx>
                        <wps:bodyPr rot="0" vert="horz" wrap="none" lIns="91440" tIns="45720" rIns="91440" bIns="45720" anchor="t" anchorCtr="0" upright="1">
                          <a:noAutofit/>
                        </wps:bodyPr>
                      </wps:wsp>
                      <wps:wsp>
                        <wps:cNvPr id="123" name="Straight Arrow Connector 187"/>
                        <wps:cNvCnPr/>
                        <wps:spPr bwMode="auto">
                          <a:xfrm>
                            <a:off x="2407500" y="681305"/>
                            <a:ext cx="0" cy="1133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4" name="Text Box 35"/>
                        <wps:cNvSpPr txBox="1">
                          <a:spLocks/>
                        </wps:cNvSpPr>
                        <wps:spPr bwMode="auto">
                          <a:xfrm>
                            <a:off x="4056900" y="5984455"/>
                            <a:ext cx="1394500" cy="433104"/>
                          </a:xfrm>
                          <a:prstGeom prst="rect">
                            <a:avLst/>
                          </a:prstGeom>
                          <a:solidFill>
                            <a:srgbClr val="FFFFFF"/>
                          </a:solidFill>
                          <a:ln w="6350">
                            <a:solidFill>
                              <a:srgbClr val="000000"/>
                            </a:solidFill>
                            <a:miter lim="800000"/>
                            <a:headEnd/>
                            <a:tailEnd/>
                          </a:ln>
                        </wps:spPr>
                        <wps:txbx>
                          <w:txbxContent>
                            <w:p w14:paraId="1342D140" w14:textId="77777777" w:rsidR="00986DF6" w:rsidRDefault="00986DF6" w:rsidP="00986DF6">
                              <w:pPr>
                                <w:pStyle w:val="NormalWeb"/>
                                <w:spacing w:before="0" w:beforeAutospacing="0" w:after="240" w:afterAutospacing="0" w:line="312" w:lineRule="auto"/>
                                <w:jc w:val="center"/>
                              </w:pPr>
                              <w:r>
                                <w:rPr>
                                  <w:rFonts w:ascii="Arial Narrow" w:eastAsia="SimSun" w:hAnsi="Arial Narrow" w:cs="Tahoma"/>
                                  <w:sz w:val="18"/>
                                  <w:szCs w:val="18"/>
                                </w:rPr>
                                <w:t>Skeletal metastases or premature menopause</w:t>
                              </w:r>
                            </w:p>
                          </w:txbxContent>
                        </wps:txbx>
                        <wps:bodyPr rot="0" vert="horz" wrap="square" lIns="91440" tIns="45720" rIns="91440" bIns="45720" anchor="t" anchorCtr="0" upright="1">
                          <a:noAutofit/>
                        </wps:bodyPr>
                      </wps:wsp>
                      <wps:wsp>
                        <wps:cNvPr id="125" name="Straight Arrow Connector 185"/>
                        <wps:cNvCnPr/>
                        <wps:spPr bwMode="auto">
                          <a:xfrm>
                            <a:off x="4360200" y="6420460"/>
                            <a:ext cx="0" cy="1352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6" name="Straight Arrow Connector 188"/>
                        <wps:cNvCnPr/>
                        <wps:spPr bwMode="auto">
                          <a:xfrm>
                            <a:off x="5117800" y="6420960"/>
                            <a:ext cx="0" cy="1347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7" name="Text Box 41"/>
                        <wps:cNvSpPr txBox="1">
                          <a:spLocks/>
                        </wps:cNvSpPr>
                        <wps:spPr bwMode="auto">
                          <a:xfrm>
                            <a:off x="4125900" y="6546961"/>
                            <a:ext cx="448300" cy="283903"/>
                          </a:xfrm>
                          <a:prstGeom prst="rect">
                            <a:avLst/>
                          </a:prstGeom>
                          <a:solidFill>
                            <a:srgbClr val="FFFFFF"/>
                          </a:solidFill>
                          <a:ln w="6350">
                            <a:solidFill>
                              <a:srgbClr val="000000"/>
                            </a:solidFill>
                            <a:miter lim="800000"/>
                            <a:headEnd/>
                            <a:tailEnd/>
                          </a:ln>
                        </wps:spPr>
                        <wps:txbx>
                          <w:txbxContent>
                            <w:p w14:paraId="25AA191B" w14:textId="77777777" w:rsidR="00986DF6" w:rsidRDefault="00986DF6" w:rsidP="00986DF6">
                              <w:pPr>
                                <w:pStyle w:val="NormalWeb"/>
                                <w:spacing w:before="0" w:beforeAutospacing="0" w:after="240" w:afterAutospacing="0" w:line="312" w:lineRule="auto"/>
                                <w:jc w:val="center"/>
                              </w:pPr>
                              <w:proofErr w:type="gramStart"/>
                              <w:r>
                                <w:rPr>
                                  <w:rFonts w:ascii="Arial Narrow" w:eastAsia="SimSun" w:hAnsi="Arial Narrow" w:cs="Tahoma"/>
                                  <w:sz w:val="18"/>
                                  <w:szCs w:val="18"/>
                                </w:rPr>
                                <w:t>yes</w:t>
                              </w:r>
                              <w:proofErr w:type="gramEnd"/>
                            </w:p>
                          </w:txbxContent>
                        </wps:txbx>
                        <wps:bodyPr rot="0" vert="horz" wrap="square" lIns="91440" tIns="45720" rIns="91440" bIns="45720" anchor="t" anchorCtr="0" upright="1">
                          <a:noAutofit/>
                        </wps:bodyPr>
                      </wps:wsp>
                      <wps:wsp>
                        <wps:cNvPr id="128" name="Text Box 42"/>
                        <wps:cNvSpPr txBox="1">
                          <a:spLocks/>
                        </wps:cNvSpPr>
                        <wps:spPr bwMode="auto">
                          <a:xfrm>
                            <a:off x="4951300" y="6546961"/>
                            <a:ext cx="448300" cy="283903"/>
                          </a:xfrm>
                          <a:prstGeom prst="rect">
                            <a:avLst/>
                          </a:prstGeom>
                          <a:solidFill>
                            <a:srgbClr val="FFFFFF"/>
                          </a:solidFill>
                          <a:ln w="6350">
                            <a:solidFill>
                              <a:srgbClr val="000000"/>
                            </a:solidFill>
                            <a:miter lim="800000"/>
                            <a:headEnd/>
                            <a:tailEnd/>
                          </a:ln>
                        </wps:spPr>
                        <wps:txbx>
                          <w:txbxContent>
                            <w:p w14:paraId="3B0E003E" w14:textId="77777777" w:rsidR="00986DF6" w:rsidRDefault="00986DF6" w:rsidP="00986DF6">
                              <w:pPr>
                                <w:pStyle w:val="NormalWeb"/>
                                <w:spacing w:before="0" w:beforeAutospacing="0" w:after="240" w:afterAutospacing="0" w:line="312" w:lineRule="auto"/>
                                <w:jc w:val="center"/>
                              </w:pPr>
                              <w:proofErr w:type="gramStart"/>
                              <w:r>
                                <w:rPr>
                                  <w:rFonts w:ascii="Arial Narrow" w:eastAsia="SimSun" w:hAnsi="Arial Narrow" w:cs="Tahoma"/>
                                  <w:sz w:val="18"/>
                                  <w:szCs w:val="18"/>
                                </w:rPr>
                                <w:t>no</w:t>
                              </w:r>
                              <w:proofErr w:type="gramEnd"/>
                            </w:p>
                          </w:txbxContent>
                        </wps:txbx>
                        <wps:bodyPr rot="0" vert="horz" wrap="square" lIns="91440" tIns="45720" rIns="91440" bIns="45720" anchor="t" anchorCtr="0" upright="1">
                          <a:noAutofit/>
                        </wps:bodyPr>
                      </wps:wsp>
                      <wps:wsp>
                        <wps:cNvPr id="129" name="Text Box 1"/>
                        <wps:cNvSpPr txBox="1">
                          <a:spLocks noChangeArrowheads="1"/>
                        </wps:cNvSpPr>
                        <wps:spPr bwMode="auto">
                          <a:xfrm>
                            <a:off x="3126800" y="6938065"/>
                            <a:ext cx="1732600" cy="359403"/>
                          </a:xfrm>
                          <a:prstGeom prst="rect">
                            <a:avLst/>
                          </a:prstGeom>
                          <a:solidFill>
                            <a:srgbClr val="FFFFFF"/>
                          </a:solidFill>
                          <a:ln w="6350">
                            <a:solidFill>
                              <a:srgbClr val="000000"/>
                            </a:solidFill>
                            <a:miter lim="800000"/>
                            <a:headEnd/>
                            <a:tailEnd/>
                          </a:ln>
                        </wps:spPr>
                        <wps:txbx>
                          <w:txbxContent>
                            <w:p w14:paraId="6FC0D25A" w14:textId="77777777" w:rsidR="00986DF6" w:rsidRPr="002D4092" w:rsidRDefault="00986DF6" w:rsidP="00986DF6">
                              <w:pPr>
                                <w:jc w:val="center"/>
                                <w:rPr>
                                  <w:rFonts w:ascii="Arial Narrow" w:hAnsi="Arial Narrow"/>
                                  <w:sz w:val="18"/>
                                </w:rPr>
                              </w:pPr>
                              <w:r w:rsidRPr="002D4092">
                                <w:rPr>
                                  <w:rFonts w:ascii="Arial Narrow" w:hAnsi="Arial Narrow"/>
                                  <w:sz w:val="18"/>
                                </w:rPr>
                                <w:t>Access</w:t>
                              </w:r>
                              <w:r>
                                <w:rPr>
                                  <w:rFonts w:ascii="Arial Narrow" w:hAnsi="Arial Narrow"/>
                                  <w:sz w:val="18"/>
                                </w:rPr>
                                <w:t xml:space="preserve"> to</w:t>
                              </w:r>
                              <w:r w:rsidRPr="002D4092">
                                <w:rPr>
                                  <w:rFonts w:ascii="Arial Narrow" w:hAnsi="Arial Narrow"/>
                                  <w:sz w:val="18"/>
                                </w:rPr>
                                <w:t xml:space="preserve"> </w:t>
                              </w:r>
                              <w:r>
                                <w:rPr>
                                  <w:rFonts w:ascii="Arial Narrow" w:hAnsi="Arial Narrow"/>
                                  <w:sz w:val="18"/>
                                </w:rPr>
                                <w:t>DXA (MBS) or ARs (PBS)</w:t>
                              </w:r>
                            </w:p>
                          </w:txbxContent>
                        </wps:txbx>
                        <wps:bodyPr rot="0" vert="horz" wrap="square" lIns="91440" tIns="45720" rIns="91440" bIns="45720" anchor="t" anchorCtr="0" upright="1">
                          <a:noAutofit/>
                        </wps:bodyPr>
                      </wps:wsp>
                      <wps:wsp>
                        <wps:cNvPr id="130" name="Text Box 123"/>
                        <wps:cNvSpPr txBox="1">
                          <a:spLocks noChangeArrowheads="1"/>
                        </wps:cNvSpPr>
                        <wps:spPr bwMode="auto">
                          <a:xfrm>
                            <a:off x="4975100" y="6963965"/>
                            <a:ext cx="476300" cy="379704"/>
                          </a:xfrm>
                          <a:prstGeom prst="rect">
                            <a:avLst/>
                          </a:prstGeom>
                          <a:solidFill>
                            <a:srgbClr val="FFFFFF"/>
                          </a:solidFill>
                          <a:ln w="6350">
                            <a:solidFill>
                              <a:srgbClr val="000000"/>
                            </a:solidFill>
                            <a:miter lim="800000"/>
                            <a:headEnd/>
                            <a:tailEnd/>
                          </a:ln>
                        </wps:spPr>
                        <wps:txbx>
                          <w:txbxContent>
                            <w:p w14:paraId="26411E5C" w14:textId="77777777" w:rsidR="00986DF6" w:rsidRDefault="00986DF6" w:rsidP="00986DF6">
                              <w:pPr>
                                <w:pStyle w:val="NormalWeb"/>
                                <w:spacing w:before="0" w:beforeAutospacing="0" w:after="0" w:afterAutospacing="0" w:line="276" w:lineRule="auto"/>
                              </w:pPr>
                              <w:r>
                                <w:rPr>
                                  <w:rFonts w:ascii="Arial Narrow" w:hAnsi="Arial Narrow"/>
                                  <w:sz w:val="18"/>
                                  <w:szCs w:val="18"/>
                                </w:rPr>
                                <w:t>Risk of</w:t>
                              </w:r>
                            </w:p>
                            <w:p w14:paraId="2B367A5A" w14:textId="77777777" w:rsidR="00986DF6" w:rsidRDefault="00986DF6" w:rsidP="00986DF6">
                              <w:pPr>
                                <w:pStyle w:val="NormalWeb"/>
                                <w:spacing w:before="0" w:beforeAutospacing="0" w:after="0" w:afterAutospacing="0" w:line="276" w:lineRule="auto"/>
                              </w:pPr>
                              <w:r>
                                <w:rPr>
                                  <w:rFonts w:ascii="Arial Narrow" w:hAnsi="Arial Narrow"/>
                                  <w:sz w:val="18"/>
                                  <w:szCs w:val="18"/>
                                </w:rPr>
                                <w:t>MTF</w:t>
                              </w:r>
                            </w:p>
                          </w:txbxContent>
                        </wps:txbx>
                        <wps:bodyPr rot="0" vert="horz" wrap="none" lIns="91440" tIns="45720" rIns="91440" bIns="45720" anchor="t" anchorCtr="0" upright="1">
                          <a:noAutofit/>
                        </wps:bodyPr>
                      </wps:wsp>
                      <wps:wsp>
                        <wps:cNvPr id="131" name="Straight Arrow Connector 193"/>
                        <wps:cNvCnPr/>
                        <wps:spPr bwMode="auto">
                          <a:xfrm>
                            <a:off x="4337500" y="6830864"/>
                            <a:ext cx="0" cy="1072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2" name="Straight Arrow Connector 194"/>
                        <wps:cNvCnPr/>
                        <wps:spPr bwMode="auto">
                          <a:xfrm>
                            <a:off x="5195200" y="6846364"/>
                            <a:ext cx="0" cy="1155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3" name="Straight Arrow Connector 195"/>
                        <wps:cNvCnPr/>
                        <wps:spPr bwMode="auto">
                          <a:xfrm>
                            <a:off x="4360200" y="7289068"/>
                            <a:ext cx="0" cy="9480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74" o:spid="_x0000_s1026" editas="canvas" alt="Title: Figure 3 Proposed clinical management algorithm of breast cancer patients receiving aromatase inhibitor therapy - Description: Figure 3 Proposed clinical management algorithm of breast cancer patients receiving aromatase inhibitor therapy" style="width:6in;height:611.5pt;mso-position-horizontal-relative:char;mso-position-vertical-relative:line" coordsize="54864,7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itle: Figure 3 Proposed clinical management algorithm of breast cancer patients receiving aromatase inhibitor therapy - Description: Figure 3 Proposed clinical management algorithm of breast cancer patients receiving aromatase inhibitor therapy" style="position:absolute;width:54864;height:7766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alt="Figure 3 Proposed clinical management algorithm of breast cancer patients receiving aromatase inhibitor therapy" style="position:absolute;left:10808;top:359;width:27694;height:6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d6rMIA&#10;AADbAAAADwAAAGRycy9kb3ducmV2LnhtbESPQWsCMRSE7wX/Q3iCt5q1B2lXo4hgUTxpxfNz89xd&#10;3LzETdyN/94UCj0OM/MNM19G04iOWl9bVjAZZyCIC6trLhWcfjbvnyB8QNbYWCYFT/KwXAze5phr&#10;2/OBumMoRYKwz1FBFYLLpfRFRQb92Dri5F1tazAk2ZZSt9gnuGnkR5ZNpcGa00KFjtYVFbfjwyh4&#10;uL27r8997KYXv/9uzpmLu5NSo2FczUAEiuE//NfeagVfE/j9k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13qswgAAANsAAAAPAAAAAAAAAAAAAAAAAJgCAABkcnMvZG93&#10;bnJldi54bWxQSwUGAAAAAAQABAD1AAAAhwMAAAAA&#10;" strokeweight=".5pt">
                  <v:path arrowok="t"/>
                  <v:textbox>
                    <w:txbxContent>
                      <w:p w14:paraId="255B3D4B" w14:textId="77777777" w:rsidR="00986DF6" w:rsidRPr="005E19F7" w:rsidRDefault="00986DF6" w:rsidP="00986DF6">
                        <w:pPr>
                          <w:pStyle w:val="NormalWeb"/>
                          <w:spacing w:before="0" w:beforeAutospacing="0" w:after="0" w:afterAutospacing="0" w:line="312" w:lineRule="auto"/>
                          <w:jc w:val="center"/>
                          <w:rPr>
                            <w:rFonts w:ascii="Arial Narrow" w:hAnsi="Arial Narrow"/>
                            <w:sz w:val="18"/>
                            <w:szCs w:val="18"/>
                          </w:rPr>
                        </w:pPr>
                        <w:r w:rsidRPr="005E19F7">
                          <w:rPr>
                            <w:rFonts w:ascii="Arial Narrow" w:eastAsia="SimSun" w:hAnsi="Arial Narrow" w:cs="Tahoma"/>
                            <w:sz w:val="18"/>
                            <w:szCs w:val="18"/>
                          </w:rPr>
                          <w:t>Women with hormone receptor positive breast cancer</w:t>
                        </w:r>
                      </w:p>
                      <w:p w14:paraId="384B2D0E" w14:textId="77777777" w:rsidR="00986DF6" w:rsidRPr="005E19F7" w:rsidRDefault="00986DF6" w:rsidP="00986DF6">
                        <w:pPr>
                          <w:pStyle w:val="NormalWeb"/>
                          <w:spacing w:before="0" w:beforeAutospacing="0" w:after="0" w:afterAutospacing="0" w:line="312" w:lineRule="auto"/>
                          <w:jc w:val="center"/>
                          <w:rPr>
                            <w:rFonts w:ascii="Arial Narrow" w:hAnsi="Arial Narrow"/>
                            <w:sz w:val="18"/>
                            <w:szCs w:val="18"/>
                          </w:rPr>
                        </w:pPr>
                        <w:proofErr w:type="gramStart"/>
                        <w:r w:rsidRPr="005E19F7">
                          <w:rPr>
                            <w:rFonts w:ascii="Arial Narrow" w:eastAsia="SimSun" w:hAnsi="Arial Narrow" w:cs="Tahoma"/>
                            <w:sz w:val="18"/>
                            <w:szCs w:val="18"/>
                          </w:rPr>
                          <w:t>taking</w:t>
                        </w:r>
                        <w:proofErr w:type="gramEnd"/>
                        <w:r w:rsidRPr="005E19F7">
                          <w:rPr>
                            <w:rFonts w:ascii="Arial Narrow" w:eastAsia="SimSun" w:hAnsi="Arial Narrow" w:cs="Tahoma"/>
                            <w:sz w:val="18"/>
                            <w:szCs w:val="18"/>
                          </w:rPr>
                          <w:t xml:space="preserve"> Aromatase inhibitors, not otherwise eligible for DXA</w:t>
                        </w:r>
                      </w:p>
                    </w:txbxContent>
                  </v:textbox>
                </v:shape>
                <v:shape id="Text Box 13" o:spid="_x0000_s1029" type="#_x0000_t202" style="position:absolute;left:19504;top:20308;width:11764;height:4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WP4MYA&#10;AADbAAAADwAAAGRycy9kb3ducmV2LnhtbESPQWvCQBSE74X+h+UJvZmNObQ2uopYBA8tpbGC3p7Z&#10;ZxKTfRuy2xj/fbcg9DjMzDfMfDmYRvTUucqygkkUgyDOra64UPC924ynIJxH1thYJgU3crBcPD7M&#10;MdX2yl/UZ74QAcIuRQWl920qpctLMugi2xIH72w7gz7IrpC6w2uAm0YmcfwsDVYcFkpsaV1SXmc/&#10;RkHSH9qP26k++/2bPdaXz/X75CVT6mk0rGYgPA3+P3xvb7WC1wT+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WP4MYAAADbAAAADwAAAAAAAAAAAAAAAACYAgAAZHJz&#10;L2Rvd25yZXYueG1sUEsFBgAAAAAEAAQA9QAAAIsDAAAAAA==&#10;" strokeweight=".5pt">
                  <v:path arrowok="t"/>
                  <v:textbox>
                    <w:txbxContent>
                      <w:p w14:paraId="6BC70BEB"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Baseline BMD measurement</w:t>
                        </w:r>
                        <w:r>
                          <w:rPr>
                            <w:rFonts w:ascii="Arial Narrow" w:eastAsia="SimSun" w:hAnsi="Arial Narrow" w:cs="Tahoma"/>
                            <w:sz w:val="18"/>
                            <w:szCs w:val="18"/>
                          </w:rPr>
                          <w:t xml:space="preserve"> by DXA</w:t>
                        </w:r>
                      </w:p>
                      <w:p w14:paraId="4E211887" w14:textId="77777777" w:rsidR="00986DF6" w:rsidRPr="005E19F7" w:rsidRDefault="00986DF6" w:rsidP="00986DF6">
                        <w:pPr>
                          <w:pStyle w:val="NormalWeb"/>
                          <w:spacing w:before="0" w:beforeAutospacing="0" w:after="240" w:afterAutospacing="0" w:line="312" w:lineRule="auto"/>
                          <w:jc w:val="both"/>
                          <w:rPr>
                            <w:rFonts w:ascii="Arial Narrow" w:hAnsi="Arial Narrow"/>
                            <w:sz w:val="18"/>
                            <w:szCs w:val="18"/>
                          </w:rPr>
                        </w:pPr>
                        <w:r w:rsidRPr="005E19F7">
                          <w:rPr>
                            <w:rFonts w:ascii="Arial Narrow" w:eastAsia="SimSun" w:hAnsi="Arial Narrow" w:cs="Tahoma"/>
                            <w:sz w:val="18"/>
                            <w:szCs w:val="18"/>
                          </w:rPr>
                          <w:t> </w:t>
                        </w:r>
                      </w:p>
                    </w:txbxContent>
                  </v:textbox>
                </v:shape>
                <v:shape id="Text Box 14" o:spid="_x0000_s1030" type="#_x0000_t202" style="position:absolute;left:32;top:28986;width:11444;height:5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qe8YA&#10;AADbAAAADwAAAGRycy9kb3ducmV2LnhtbESPQWvCQBSE74L/YXlCb2ajhVpTVymK0ENLMSro7TX7&#10;TNJk34bsNsZ/3y0IPQ4z8w2zWPWmFh21rrSsYBLFIIgzq0vOFRz22/EzCOeRNdaWScGNHKyWw8EC&#10;E22vvKMu9bkIEHYJKii8bxIpXVaQQRfZhjh4F9sa9EG2udQtXgPc1HIax0/SYMlhocCG1gVlVfpj&#10;FEy7U/Nx+6ou/rix5+r7c/0+maVKPYz61xcQnnr/H76337SC+SP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Akqe8YAAADbAAAADwAAAAAAAAAAAAAAAACYAgAAZHJz&#10;L2Rvd25yZXYueG1sUEsFBgAAAAAEAAQA9QAAAIsDAAAAAA==&#10;" strokeweight=".5pt">
                  <v:path arrowok="t"/>
                  <v:textbox>
                    <w:txbxContent>
                      <w:p w14:paraId="0D99CEE1"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 xml:space="preserve">T-score </w:t>
                        </w:r>
                        <w:r>
                          <w:rPr>
                            <w:rFonts w:ascii="Arial Narrow" w:eastAsia="SimSun" w:hAnsi="Arial Narrow" w:cs="Tahoma"/>
                            <w:sz w:val="18"/>
                            <w:szCs w:val="18"/>
                          </w:rPr>
                          <w:t xml:space="preserve">≤ -2.5 </w:t>
                        </w:r>
                      </w:p>
                    </w:txbxContent>
                  </v:textbox>
                </v:shape>
                <v:shape id="Text Box 15" o:spid="_x0000_s1031" type="#_x0000_t202" style="position:absolute;left:36967;top:28863;width:11516;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D8YA&#10;AADbAAAADwAAAGRycy9kb3ducmV2LnhtbESPQWvCQBSE74L/YXlCb2ajlFpTVymK0ENLMSro7TX7&#10;TNJk34bsNsZ/3y0IPQ4z8w2zWPWmFh21rrSsYBLFIIgzq0vOFRz22/EzCOeRNdaWScGNHKyWw8EC&#10;E22vvKMu9bkIEHYJKii8bxIpXVaQQRfZhjh4F9sa9EG2udQtXgPc1HIax0/SYMlhocCG1gVlVfpj&#10;FEy7U/Nx+6ou/rix5+r7c/0+maVKPYz61xcQnnr/H76337SC+SP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yD8YAAADbAAAADwAAAAAAAAAAAAAAAACYAgAAZHJz&#10;L2Rvd25yZXYueG1sUEsFBgAAAAAEAAQA9QAAAIsDAAAAAA==&#10;" strokeweight=".5pt">
                  <v:path arrowok="t"/>
                  <v:textbox>
                    <w:txbxContent>
                      <w:p w14:paraId="4EEE4726"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T-score &gt;-2.5</w:t>
                        </w:r>
                      </w:p>
                    </w:txbxContent>
                  </v:textbox>
                </v:shape>
                <v:shape id="Text Box 17" o:spid="_x0000_s1032" type="#_x0000_t202" style="position:absolute;left:20035;top:14894;width:11233;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XlMYA&#10;AADbAAAADwAAAGRycy9kb3ducmV2LnhtbESPQWvCQBSE74L/YXlCb2aj0FpTVymK0ENLMSro7TX7&#10;TNJk34bsNsZ/3y0IPQ4z8w2zWPWmFh21rrSsYBLFIIgzq0vOFRz22/EzCOeRNdaWScGNHKyWw8EC&#10;E22vvKMu9bkIEHYJKii8bxIpXVaQQRfZhjh4F9sa9EG2udQtXgPc1HIax0/SYMlhocCG1gVlVfpj&#10;FEy7U/Nx+6ou/rix5+r7c/0+maVKPYz61xcQnnr/H76337SC+SP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wXlMYAAADbAAAADwAAAAAAAAAAAAAAAACYAgAAZHJz&#10;L2Rvd25yZXYueG1sUEsFBgAAAAAEAAQA9QAAAIsDAAAAAA==&#10;" strokeweight=".5pt">
                  <v:path arrowok="t"/>
                  <v:textbox>
                    <w:txbxContent>
                      <w:p w14:paraId="0D13547B" w14:textId="77777777" w:rsidR="00986DF6" w:rsidRPr="00A9755F" w:rsidRDefault="00986DF6" w:rsidP="00986DF6">
                        <w:pPr>
                          <w:spacing w:after="200" w:line="276" w:lineRule="auto"/>
                          <w:rPr>
                            <w:rFonts w:ascii="Arial Narrow" w:hAnsi="Arial Narrow"/>
                            <w:sz w:val="18"/>
                            <w:szCs w:val="18"/>
                          </w:rPr>
                        </w:pPr>
                        <w:r w:rsidRPr="00A9755F">
                          <w:rPr>
                            <w:rFonts w:ascii="Arial Narrow" w:hAnsi="Arial Narrow"/>
                            <w:sz w:val="18"/>
                            <w:szCs w:val="18"/>
                          </w:rPr>
                          <w:t>Lifestyle advice (a), +/- supplements (b)</w:t>
                        </w:r>
                      </w:p>
                      <w:p w14:paraId="399CA69C"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p>
                    </w:txbxContent>
                  </v:textbox>
                </v:shape>
                <v:line id="Straight Connector 136" o:spid="_x0000_s1033" style="position:absolute;visibility:visible;mso-wrap-style:square" from="5754,27330" to="42725,2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type id="_x0000_t32" coordsize="21600,21600" o:spt="32" o:oned="t" path="m,l21600,21600e" filled="f">
                  <v:path arrowok="t" fillok="f" o:connecttype="none"/>
                  <o:lock v:ext="edit" shapetype="t"/>
                </v:shapetype>
                <v:shape id="Straight Arrow Connector 137" o:spid="_x0000_s1034" type="#_x0000_t32" style="position:absolute;left:5754;top:27330;width:0;height:1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V2J8QAAADbAAAADwAAAGRycy9kb3ducmV2LnhtbESPQWvCQBSE70L/w/IKvZS6MaXapm5E&#10;hFrBk1ro9ZF9yYZk34bsGuO/7xYEj8PMfMMsV6NtxUC9rx0rmE0TEMSF0zVXCn5OXy/vIHxA1tg6&#10;JgVX8rDKHyZLzLS78IGGY6hEhLDPUIEJocuk9IUhi37qOuLola63GKLsK6l7vES4bWWaJHNpsea4&#10;YLCjjaGiOZ6tgjLVNHtufs334g3Lzf41HYZ2q9TT47j+BBFoDPfwrb3TCj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XYnxAAAANsAAAAPAAAAAAAAAAAA&#10;AAAAAKECAABkcnMvZG93bnJldi54bWxQSwUGAAAAAAQABAD5AAAAkgMAAAAA&#10;">
                  <v:stroke endarrow="open"/>
                </v:shape>
                <v:shape id="Straight Arrow Connector 139" o:spid="_x0000_s1035" type="#_x0000_t32" style="position:absolute;left:42725;top:27330;width:0;height:15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iVcEAAADbAAAADwAAAGRycy9kb3ducmV2LnhtbERPy4rCMBTdD/gP4QqzGTS1Mj6qUUQY&#10;Z8CVD3B7aW6bYnNTmkzt/P1kIbg8nPd629tadNT6yrGCyTgBQZw7XXGp4Hr5Gi1A+ICssXZMCv7I&#10;w3YzeFtjpt2DT9SdQyliCPsMFZgQmkxKnxuy6MeuIY5c4VqLIcK2lLrFRwy3tUyTZCYtVhwbDDa0&#10;N5Tfz79WQZFqmnzcb+Z7/onF/jhNu64+KPU+7HcrEIH68BI/3T9awTK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yuJVwQAAANsAAAAPAAAAAAAAAAAAAAAA&#10;AKECAABkcnMvZG93bnJldi54bWxQSwUGAAAAAAQABAD5AAAAjwMAAAAA&#10;">
                  <v:stroke endarrow="open"/>
                </v:shape>
                <v:shape id="Text Box 32" o:spid="_x0000_s1036" type="#_x0000_t202" style="position:absolute;left:666;top:40546;width:10120;height:6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dkcUA&#10;AADbAAAADwAAAGRycy9kb3ducmV2LnhtbESPQWvCQBSE7wX/w/KE3upGD1pTVxFF8NAijQrt7TX7&#10;TGKyb0N2G+O/dwXB4zAz3zCzRWcq0VLjCssKhoMIBHFqdcGZgsN+8/YOwnlkjZVlUnAlB4t572WG&#10;sbYX/qY28ZkIEHYxKsi9r2MpXZqTQTewNXHwTrYx6INsMqkbvAS4qeQoisbSYMFhIceaVjmlZfJv&#10;FIzan/rr+lee/HFtf8vzbvU5nCRKvfa75QcIT51/hh/trVYwncL9S/g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R2RxQAAANsAAAAPAAAAAAAAAAAAAAAAAJgCAABkcnMv&#10;ZG93bnJldi54bWxQSwUGAAAAAAQABAD1AAAAigMAAAAA&#10;" strokeweight=".5pt">
                  <v:path arrowok="t"/>
                  <v:textbox>
                    <w:txbxContent>
                      <w:p w14:paraId="13BCC36A"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Treat with anti-</w:t>
                        </w:r>
                        <w:proofErr w:type="spellStart"/>
                        <w:r w:rsidRPr="005E19F7">
                          <w:rPr>
                            <w:rFonts w:ascii="Arial Narrow" w:eastAsia="SimSun" w:hAnsi="Arial Narrow" w:cs="Tahoma"/>
                            <w:sz w:val="18"/>
                            <w:szCs w:val="18"/>
                          </w:rPr>
                          <w:t>resorptives</w:t>
                        </w:r>
                        <w:proofErr w:type="spellEnd"/>
                        <w:r w:rsidRPr="005E19F7">
                          <w:rPr>
                            <w:rFonts w:ascii="Arial Narrow" w:eastAsia="SimSun" w:hAnsi="Arial Narrow" w:cs="Tahoma"/>
                            <w:sz w:val="18"/>
                            <w:szCs w:val="18"/>
                          </w:rPr>
                          <w:t xml:space="preserve"> at osteoporosis doses </w:t>
                        </w:r>
                      </w:p>
                    </w:txbxContent>
                  </v:textbox>
                </v:shape>
                <v:shape id="Text Box 36" o:spid="_x0000_s1037" type="#_x0000_t202" style="position:absolute;left:761;top:50226;width:11315;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tscA&#10;AADcAAAADwAAAGRycy9kb3ducmV2LnhtbESPQWvCQBCF7wX/wzKF3upGD7VEVxFF8NBSTFuotzE7&#10;JmmysyG7jfHfOwehtxnem/e+WawG16ieulB5NjAZJ6CIc28rLgx8fe6eX0GFiGyx8UwGrhRgtRw9&#10;LDC1/sIH6rNYKAnhkKKBMsY21TrkJTkMY98Si3b2ncMoa1do2+FFwl2jp0nyoh1WLA0ltrQpKa+z&#10;P2dg2v+079dTfY7fW3+sfz82b5NZZszT47Ceg4o0xH/z/XpvBT8RfHlGJ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2A7bHAAAA3AAAAA8AAAAAAAAAAAAAAAAAmAIAAGRy&#10;cy9kb3ducmV2LnhtbFBLBQYAAAAABAAEAPUAAACMAwAAAAA=&#10;" strokeweight=".5pt">
                  <v:path arrowok="t"/>
                  <v:textbox>
                    <w:txbxContent>
                      <w:p w14:paraId="09778163" w14:textId="77777777" w:rsidR="00986DF6" w:rsidRDefault="00986DF6" w:rsidP="00986DF6">
                        <w:pPr>
                          <w:pStyle w:val="NormalWeb"/>
                          <w:spacing w:before="0" w:beforeAutospacing="0" w:after="0" w:afterAutospacing="0" w:line="276" w:lineRule="auto"/>
                          <w:rPr>
                            <w:rFonts w:ascii="Arial Narrow" w:hAnsi="Arial Narrow"/>
                            <w:sz w:val="18"/>
                            <w:szCs w:val="18"/>
                          </w:rPr>
                        </w:pPr>
                        <w:r w:rsidRPr="005E19F7">
                          <w:rPr>
                            <w:rFonts w:ascii="Arial Narrow" w:eastAsia="SimSun" w:hAnsi="Arial Narrow" w:cs="Tahoma"/>
                            <w:sz w:val="18"/>
                            <w:szCs w:val="18"/>
                          </w:rPr>
                          <w:t xml:space="preserve">Repeat DXA after 24 months </w:t>
                        </w:r>
                        <w:r>
                          <w:rPr>
                            <w:rFonts w:ascii="Arial Narrow" w:eastAsia="SimSun" w:hAnsi="Arial Narrow" w:cs="Tahoma"/>
                            <w:sz w:val="18"/>
                            <w:szCs w:val="18"/>
                          </w:rPr>
                          <w:t>(</w:t>
                        </w:r>
                        <w:r>
                          <w:rPr>
                            <w:rFonts w:ascii="Arial Narrow" w:hAnsi="Arial Narrow"/>
                            <w:sz w:val="18"/>
                            <w:szCs w:val="18"/>
                          </w:rPr>
                          <w:t>MBS 12306)</w:t>
                        </w:r>
                      </w:p>
                      <w:p w14:paraId="48AB7666"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p>
                    </w:txbxContent>
                  </v:textbox>
                </v:shape>
                <v:shape id="Text Box 39" o:spid="_x0000_s1038" type="#_x0000_t202" style="position:absolute;left:37927;top:37167;width:10047;height:6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mLcQA&#10;AADcAAAADwAAAGRycy9kb3ducmV2LnhtbERPS2vCQBC+C/6HZYTe6iYeaolupChCDy3SqGBv0+zk&#10;0WRnQ3Yb47/vFgre5uN7znozmlYM1LvasoJ4HoEgzq2uuVRwOu4fn0E4j6yxtUwKbuRgk04na0y0&#10;vfIHDZkvRQhhl6CCyvsukdLlFRl0c9sRB66wvUEfYF9K3eM1hJtWLqLoSRqsOTRU2NG2orzJfoyC&#10;xXDp3m9fTeHPO/vZfB+2b/EyU+phNr6sQHga/V38737VYX4Uw98z4QK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6pi3EAAAA3AAAAA8AAAAAAAAAAAAAAAAAmAIAAGRycy9k&#10;b3ducmV2LnhtbFBLBQYAAAAABAAEAPUAAACJAwAAAAA=&#10;" strokeweight=".5pt">
                  <v:path arrowok="t"/>
                  <v:textbox>
                    <w:txbxContent>
                      <w:p w14:paraId="52EE834F" w14:textId="77777777" w:rsidR="00986DF6" w:rsidRPr="005E19F7" w:rsidRDefault="00986DF6" w:rsidP="00986DF6">
                        <w:pPr>
                          <w:pStyle w:val="NormalWeb"/>
                          <w:spacing w:before="0" w:beforeAutospacing="0" w:after="240" w:afterAutospacing="0" w:line="312" w:lineRule="auto"/>
                          <w:jc w:val="center"/>
                          <w:rPr>
                            <w:rFonts w:ascii="Arial Narrow" w:eastAsia="SimSun" w:hAnsi="Arial Narrow" w:cs="Tahoma"/>
                            <w:sz w:val="18"/>
                            <w:szCs w:val="18"/>
                          </w:rPr>
                        </w:pPr>
                        <w:r>
                          <w:rPr>
                            <w:rFonts w:ascii="Arial Narrow" w:eastAsia="SimSun" w:hAnsi="Arial Narrow" w:cs="Tahoma"/>
                            <w:sz w:val="18"/>
                            <w:szCs w:val="18"/>
                          </w:rPr>
                          <w:t>Repeat BMD scan after 24 months</w:t>
                        </w:r>
                      </w:p>
                    </w:txbxContent>
                  </v:textbox>
                </v:shape>
                <v:shape id="Text Box 40" o:spid="_x0000_s1039" type="#_x0000_t202" style="position:absolute;left:37720;top:46907;width:10447;height:3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4WsMA&#10;AADcAAAADwAAAGRycy9kb3ducmV2LnhtbERPTWvCQBC9F/wPywjedGMOtkRXKYrgQSmNCvY2zY5J&#10;muxsyK4x/vtuQehtHu9zFqve1KKj1pWWFUwnEQjizOqScwWn43b8BsJ5ZI21ZVLwIAer5eBlgYm2&#10;d/6kLvW5CCHsElRQeN8kUrqsIINuYhviwF1ta9AH2OZSt3gP4aaWcRTNpMGSQ0OBDa0Lyqr0ZhTE&#10;3aU5PL6rqz9v7Ff187HeT19TpUbD/n0OwlPv/8VP906H+VEM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g4WsMAAADcAAAADwAAAAAAAAAAAAAAAACYAgAAZHJzL2Rv&#10;d25yZXYueG1sUEsFBgAAAAAEAAQA9QAAAIgDAAAAAA==&#10;" strokeweight=".5pt">
                  <v:path arrowok="t"/>
                  <v:textbox>
                    <w:txbxContent>
                      <w:p w14:paraId="0CF3594B"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r w:rsidRPr="005E19F7">
                          <w:rPr>
                            <w:rFonts w:ascii="Arial Narrow" w:eastAsia="SimSun" w:hAnsi="Arial Narrow" w:cs="Tahoma"/>
                            <w:sz w:val="18"/>
                            <w:szCs w:val="18"/>
                          </w:rPr>
                          <w:t xml:space="preserve">T-score </w:t>
                        </w:r>
                        <w:r w:rsidRPr="00C57D90">
                          <w:rPr>
                            <w:rFonts w:ascii="Arial Narrow" w:eastAsia="SimSun" w:hAnsi="Arial Narrow" w:cs="Tahoma"/>
                            <w:sz w:val="18"/>
                            <w:szCs w:val="18"/>
                          </w:rPr>
                          <w:t>≤</w:t>
                        </w:r>
                        <w:r w:rsidRPr="005E19F7">
                          <w:rPr>
                            <w:rFonts w:ascii="Arial Narrow" w:eastAsia="SimSun" w:hAnsi="Arial Narrow" w:cs="Tahoma"/>
                            <w:sz w:val="18"/>
                            <w:szCs w:val="18"/>
                          </w:rPr>
                          <w:t>-2.5</w:t>
                        </w:r>
                      </w:p>
                    </w:txbxContent>
                  </v:textbox>
                </v:shape>
                <v:shape id="Text Box 41" o:spid="_x0000_s1040" type="#_x0000_t202" style="position:absolute;left:36080;top:55405;width:4489;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dwcQA&#10;AADcAAAADwAAAGRycy9kb3ducmV2LnhtbERPTWvCQBC9F/wPywje6kaFVqKriCJ4aCmmCnobs2MS&#10;k50N2W2M/74rFHqbx/uc+bIzlWipcYVlBaNhBII4tbrgTMHhe/s6BeE8ssbKMil4kIPlovcyx1jb&#10;O++pTXwmQgi7GBXk3texlC7NyaAb2po4cFfbGPQBNpnUDd5DuKnkOIrepMGCQ0OONa1zSsvkxygY&#10;t6f683Epr/64sefy9rX+GL0nSg363WoGwlPn/8V/7p0O86MJPJ8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kncHEAAAA3AAAAA8AAAAAAAAAAAAAAAAAmAIAAGRycy9k&#10;b3ducmV2LnhtbFBLBQYAAAAABAAEAPUAAACJAwAAAAA=&#10;" strokeweight=".5pt">
                  <v:path arrowok="t"/>
                  <v:textbox>
                    <w:txbxContent>
                      <w:p w14:paraId="3B5D5A96"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proofErr w:type="gramStart"/>
                        <w:r w:rsidRPr="005E19F7">
                          <w:rPr>
                            <w:rFonts w:ascii="Arial Narrow" w:eastAsia="SimSun" w:hAnsi="Arial Narrow" w:cs="Tahoma"/>
                            <w:sz w:val="18"/>
                            <w:szCs w:val="18"/>
                          </w:rPr>
                          <w:t>yes</w:t>
                        </w:r>
                        <w:proofErr w:type="gramEnd"/>
                      </w:p>
                    </w:txbxContent>
                  </v:textbox>
                </v:shape>
                <v:shape id="Text Box 42" o:spid="_x0000_s1041" type="#_x0000_t202" style="position:absolute;left:45585;top:55522;width:4488;height:2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FtcQA&#10;AADcAAAADwAAAGRycy9kb3ducmV2LnhtbERPTWvCQBC9F/wPywje6kaRVqKriCJ4aCmmCnobs2MS&#10;k50N2W2M/74rFHqbx/uc+bIzlWipcYVlBaNhBII4tbrgTMHhe/s6BeE8ssbKMil4kIPlovcyx1jb&#10;O++pTXwmQgi7GBXk3texlC7NyaAb2po4cFfbGPQBNpnUDd5DuKnkOIrepMGCQ0OONa1zSsvkxygY&#10;t6f683Epr/64sefy9rX+GL0nSg363WoGwlPn/8V/7p0O86MJPJ8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NBbXEAAAA3AAAAA8AAAAAAAAAAAAAAAAAmAIAAGRycy9k&#10;b3ducmV2LnhtbFBLBQYAAAAABAAEAPUAAACJAwAAAAA=&#10;" strokeweight=".5pt">
                  <v:path arrowok="t"/>
                  <v:textbox>
                    <w:txbxContent>
                      <w:p w14:paraId="62A6423D" w14:textId="77777777" w:rsidR="00986DF6" w:rsidRPr="005E19F7" w:rsidRDefault="00986DF6" w:rsidP="00986DF6">
                        <w:pPr>
                          <w:pStyle w:val="NormalWeb"/>
                          <w:spacing w:before="0" w:beforeAutospacing="0" w:after="240" w:afterAutospacing="0" w:line="312" w:lineRule="auto"/>
                          <w:jc w:val="center"/>
                          <w:rPr>
                            <w:rFonts w:ascii="Arial Narrow" w:hAnsi="Arial Narrow"/>
                            <w:sz w:val="18"/>
                            <w:szCs w:val="18"/>
                          </w:rPr>
                        </w:pPr>
                        <w:proofErr w:type="gramStart"/>
                        <w:r w:rsidRPr="005E19F7">
                          <w:rPr>
                            <w:rFonts w:ascii="Arial Narrow" w:eastAsia="SimSun" w:hAnsi="Arial Narrow" w:cs="Tahoma"/>
                            <w:sz w:val="18"/>
                            <w:szCs w:val="18"/>
                          </w:rPr>
                          <w:t>no</w:t>
                        </w:r>
                        <w:proofErr w:type="gramEnd"/>
                      </w:p>
                    </w:txbxContent>
                  </v:textbox>
                </v:shape>
                <v:shape id="Text Box 72" o:spid="_x0000_s1042" type="#_x0000_t202" style="position:absolute;left:4786;top:61817;width:29100;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gLsQA&#10;AADcAAAADwAAAGRycy9kb3ducmV2LnhtbERPTWvCQBC9F/wPywje6kbBVqKriCJ4aCmmCnobs2MS&#10;k50N2W2M/74rFHqbx/uc+bIzlWipcYVlBaNhBII4tbrgTMHhe/s6BeE8ssbKMil4kIPlovcyx1jb&#10;O++pTXwmQgi7GBXk3texlC7NyaAb2po4cFfbGPQBNpnUDd5DuKnkOIrepMGCQ0OONa1zSsvkxygY&#10;t6f683Epr/64sefy9rX+GL0nSg363WoGwlPn/8V/7p0O86MJPJ8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BoC7EAAAA3AAAAA8AAAAAAAAAAAAAAAAAmAIAAGRycy9k&#10;b3ducmV2LnhtbFBLBQYAAAAABAAEAPUAAACJAwAAAAA=&#10;" strokeweight=".5pt">
                  <v:path arrowok="t"/>
                  <v:textbox>
                    <w:txbxContent>
                      <w:p w14:paraId="2B1DFA57" w14:textId="77777777" w:rsidR="00986DF6" w:rsidRPr="0078387F" w:rsidRDefault="00986DF6" w:rsidP="00986DF6">
                        <w:pPr>
                          <w:pStyle w:val="NormalWeb"/>
                          <w:spacing w:before="0" w:beforeAutospacing="0" w:after="0" w:afterAutospacing="0" w:line="276" w:lineRule="auto"/>
                          <w:rPr>
                            <w:rFonts w:ascii="Arial Narrow" w:hAnsi="Arial Narrow"/>
                            <w:sz w:val="18"/>
                            <w:szCs w:val="18"/>
                          </w:rPr>
                        </w:pPr>
                        <w:r w:rsidRPr="0078387F">
                          <w:rPr>
                            <w:rFonts w:ascii="Arial Narrow" w:hAnsi="Arial Narrow"/>
                            <w:sz w:val="18"/>
                            <w:szCs w:val="18"/>
                          </w:rPr>
                          <w:t>Note: MTF: minimal trauma fracture</w:t>
                        </w:r>
                        <w:r>
                          <w:rPr>
                            <w:rFonts w:ascii="Arial Narrow" w:hAnsi="Arial Narrow"/>
                            <w:sz w:val="18"/>
                            <w:szCs w:val="18"/>
                          </w:rPr>
                          <w:t xml:space="preserve">; ARs: </w:t>
                        </w:r>
                        <w:proofErr w:type="spellStart"/>
                        <w:r>
                          <w:rPr>
                            <w:rFonts w:ascii="Arial Narrow" w:hAnsi="Arial Narrow"/>
                            <w:sz w:val="18"/>
                            <w:szCs w:val="18"/>
                          </w:rPr>
                          <w:t>antiresorptives</w:t>
                        </w:r>
                        <w:proofErr w:type="spellEnd"/>
                      </w:p>
                      <w:p w14:paraId="3819A8DB" w14:textId="77777777" w:rsidR="00986DF6" w:rsidRPr="0078387F" w:rsidRDefault="00986DF6" w:rsidP="00986DF6">
                        <w:pPr>
                          <w:pStyle w:val="NormalWeb"/>
                          <w:numPr>
                            <w:ilvl w:val="0"/>
                            <w:numId w:val="25"/>
                          </w:numPr>
                          <w:spacing w:before="0" w:beforeAutospacing="0" w:after="0" w:afterAutospacing="0" w:line="276" w:lineRule="auto"/>
                          <w:rPr>
                            <w:sz w:val="18"/>
                            <w:szCs w:val="18"/>
                          </w:rPr>
                        </w:pPr>
                        <w:r w:rsidRPr="0078387F">
                          <w:rPr>
                            <w:rFonts w:ascii="Arial Narrow" w:hAnsi="Arial Narrow"/>
                            <w:color w:val="000000"/>
                            <w:sz w:val="18"/>
                            <w:szCs w:val="18"/>
                            <w:lang w:val="en-US"/>
                          </w:rPr>
                          <w:t>Exercise, sunshine, general bone health awareness</w:t>
                        </w:r>
                      </w:p>
                      <w:p w14:paraId="4B6FBDD0" w14:textId="77777777" w:rsidR="00986DF6" w:rsidRPr="002D4092" w:rsidRDefault="00986DF6" w:rsidP="00986DF6">
                        <w:pPr>
                          <w:pStyle w:val="NormalWeb"/>
                          <w:numPr>
                            <w:ilvl w:val="0"/>
                            <w:numId w:val="25"/>
                          </w:numPr>
                          <w:spacing w:before="0" w:beforeAutospacing="0" w:after="0" w:afterAutospacing="0" w:line="276" w:lineRule="auto"/>
                          <w:rPr>
                            <w:sz w:val="18"/>
                            <w:szCs w:val="18"/>
                          </w:rPr>
                        </w:pPr>
                        <w:r w:rsidRPr="0078387F">
                          <w:rPr>
                            <w:rFonts w:ascii="Arial Narrow" w:hAnsi="Arial Narrow"/>
                            <w:color w:val="000000"/>
                            <w:sz w:val="18"/>
                            <w:szCs w:val="18"/>
                            <w:lang w:val="en-US"/>
                          </w:rPr>
                          <w:t>Calcium (1300mg/day), ensure replete vitamin D status &gt;60nmol/L</w:t>
                        </w:r>
                      </w:p>
                    </w:txbxContent>
                  </v:textbox>
                </v:shape>
                <v:shape id="Straight Arrow Connector 157" o:spid="_x0000_s1043" type="#_x0000_t32" style="position:absolute;left:25271;top:18792;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1urMIAAADcAAAADwAAAGRycy9kb3ducmV2LnhtbERPS4vCMBC+L+x/CCN4WTS1srpUoyzC&#10;qrAnH7DXoZk2xWZSmmyt/94Igrf5+J6zXPe2Fh21vnKsYDJOQBDnTldcKjiffkZfIHxA1lg7JgU3&#10;8rBevb8tMdPuygfqjqEUMYR9hgpMCE0mpc8NWfRj1xBHrnCtxRBhW0rd4jWG21qmSTKTFiuODQYb&#10;2hjKL8d/q6BINU0+Ln9mN//EYvM7Tbuu3io1HPTfCxCB+vASP917Hec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1urMIAAADcAAAADwAAAAAAAAAAAAAA&#10;AAChAgAAZHJzL2Rvd25yZXYueG1sUEsFBgAAAAAEAAQA+QAAAJADAAAAAA==&#10;">
                  <v:stroke endarrow="open"/>
                </v:shape>
                <v:shape id="Straight Arrow Connector 75" o:spid="_x0000_s1044" type="#_x0000_t32" style="position:absolute;left:25271;top:12112;width:0;height:2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LN8IAAADcAAAADwAAAGRycy9kb3ducmV2LnhtbERPTWvCQBC9C/6HZQq9iG5MsZY0q4hg&#10;W/BkKvQ6ZCfZkOxsyK4x/ffdQqG3ebzPyfeT7cRIg28cK1ivEhDEpdMN1wqun6flCwgfkDV2jknB&#10;N3nY7+azHDPt7nyhsQi1iCHsM1RgQugzKX1pyKJfuZ44cpUbLIYIh1rqAe8x3HYyTZJnabHh2GCw&#10;p6Ohsi1uVkGValov2i/zvt1gdTw/pePYvSn1+DAdXkEEmsK/+M/9oeP8ZAu/z8QL5O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LN8IAAADcAAAADwAAAAAAAAAAAAAA&#10;AAChAgAAZHJzL2Rvd25yZXYueG1sUEsFBgAAAAAEAAQA+QAAAJADAAAAAA==&#10;">
                  <v:stroke endarrow="open"/>
                </v:shape>
                <v:shape id="Straight Arrow Connector 76" o:spid="_x0000_s1045" type="#_x0000_t32" style="position:absolute;left:5726;top:34596;width:0;height:56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5fRcUAAADcAAAADwAAAGRycy9kb3ducmV2LnhtbESPQWvCQBCF70L/wzKFXkQ3ptiW1FWK&#10;0Cp40ha8DtlJNpidDdltTP+9cyh4m+G9ee+b1Wb0rRqoj01gA4t5Boq4DLbh2sDP9+fsDVRMyBbb&#10;wGTgjyJs1g+TFRY2XPlIwynVSkI4FmjApdQVWsfSkcc4Dx2xaFXoPSZZ+1rbHq8S7ludZ9mL9tiw&#10;NDjsaOuovJx+vYEqt7SYXs5u97rEant4zoeh/TLm6XH8eAeVaEx38//13gp+J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5fRcUAAADcAAAADwAAAAAAAAAA&#10;AAAAAAChAgAAZHJzL2Rvd25yZXYueG1sUEsFBgAAAAAEAAQA+QAAAJMDAAAAAA==&#10;">
                  <v:stroke endarrow="open"/>
                </v:shape>
                <v:shape id="Straight Arrow Connector 77" o:spid="_x0000_s1046" type="#_x0000_t32" style="position:absolute;left:5726;top:46907;width:0;height:33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L63sMAAADcAAAADwAAAGRycy9kb3ducmV2LnhtbERPTWvCQBC9F/wPywheSt0Yaa0xq4hg&#10;W/BULfQ6ZCfZkOxsyK4x/fduodDbPN7n5LvRtmKg3teOFSzmCQjiwumaKwVfl+PTKwgfkDW2jknB&#10;D3nYbScPOWba3fiThnOoRAxhn6ECE0KXSekLQxb93HXEkStdbzFE2FdS93iL4baVaZK8SIs1xwaD&#10;HR0MFc35ahWUqabFY/Nt3lfPWB5Oy3QY2jelZtNxvwERaAz/4j/3h47zkzX8PhMvk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t7DAAAA3AAAAA8AAAAAAAAAAAAA&#10;AAAAoQIAAGRycy9kb3ducmV2LnhtbFBLBQYAAAAABAAEAPkAAACRAwAAAAA=&#10;">
                  <v:stroke endarrow="open"/>
                </v:shape>
                <v:shape id="Straight Arrow Connector 162" o:spid="_x0000_s1047" type="#_x0000_t32" style="position:absolute;left:42944;top:43459;width:7;height:34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92asYAAADcAAAADwAAAGRycy9kb3ducmV2LnhtbESPQWvCQBCF74X+h2UKXkrdqFAkdRUp&#10;CCKCqL30NmQn2WB2Ns2uMfbXdw5CbzO8N+99s1gNvlE9dbEObGAyzkARF8HWXBn4Om/e5qBiQrbY&#10;BCYDd4qwWj4/LTC34cZH6k+pUhLCMUcDLqU21zoWjjzGcWiJRStD5zHJ2lXadniTcN/oaZa9a481&#10;S4PDlj4dFZfT1Rt4PX7XVVle9/c4+z3Ms93hxxW9MaOXYf0BKtGQ/s2P660V/IngyzMygV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fdmrGAAAA3AAAAA8AAAAAAAAA&#10;AAAAAAAAoQIAAGRycy9kb3ducmV2LnhtbFBLBQYAAAAABAAEAPkAAACUAwAAAAA=&#10;">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4" o:spid="_x0000_s1048" type="#_x0000_t34" style="position:absolute;left:42868;top:50301;width:5180;height:50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nM8AAAADcAAAADwAAAGRycy9kb3ducmV2LnhtbERPTWvCQBC9F/wPywje6iQFpURXEUHo&#10;pUhtBY9DdkyC2dlkd2vSf98tCL3N433OejvaVt3Zh8aJhnyegWIpnWmk0vD1eXh+BRUiiaHWCWv4&#10;4QDbzeRpTYVxg3zw/RQrlUIkFKShjrErEENZs6Uwdx1L4q7OW4oJ+gqNpyGF2xZfsmyJlhpJDTV1&#10;vK+5vJ2+rYZjOA599Ij5+/l8WWDve957rWfTcbcCFXmM/+KH+82k+XkOf8+kC3D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PZzPAAAAA3AAAAA8AAAAAAAAAAAAAAAAA&#10;oQIAAGRycy9kb3ducmV2LnhtbFBLBQYAAAAABAAEAPkAAACOAwAAAAA=&#10;">
                  <v:stroke endarrow="open"/>
                </v:shape>
                <v:shape id="Elbow Connector 165" o:spid="_x0000_s1049" type="#_x0000_t34" style="position:absolute;left:38132;top:50595;width:5180;height:44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r1cQAAADcAAAADwAAAGRycy9kb3ducmV2LnhtbERPTWvCQBC9F/oflil4KbpRxErqKlYQ&#10;PAiaVNDjmJ0mwexsml1j/PeuUOhtHu9zZovOVKKlxpWWFQwHEQjizOqScwWH73V/CsJ5ZI2VZVJw&#10;JweL+evLDGNtb5xQm/pchBB2MSoovK9jKV1WkEE3sDVx4H5sY9AH2ORSN3gL4aaSoyiaSIMlh4YC&#10;a1oVlF3Sq1Hwu0/el2Nb5h/nZLdP22N2+rpsleq9dctPEJ46/y/+c290mD8cwfOZcIG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WvVxAAAANwAAAAPAAAAAAAAAAAA&#10;AAAAAKECAABkcnMvZG93bnJldi54bWxQSwUGAAAAAAQABAD5AAAAkgMAAAAA&#10;">
                  <v:stroke endarrow="open"/>
                </v:shape>
                <v:shape id="Elbow Connector 168" o:spid="_x0000_s1050" type="#_x0000_t34" style="position:absolute;left:10786;top:43726;width:25294;height:1309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Vd68EAAADcAAAADwAAAGRycy9kb3ducmV2LnhtbERPTYvCMBC9L/gfwgje1rQqIl2jLIIg&#10;KCxWxT0OzdiUbSaliVr//UYQvM3jfc582dla3Kj1lWMF6TABQVw4XXGp4HhYf85A+ICssXZMCh7k&#10;Ybnofcwx0+7Oe7rloRQxhH2GCkwITSalLwxZ9EPXEEfu4lqLIcK2lLrFewy3tRwlyVRarDg2GGxo&#10;Zaj4y69WwbpON5ScL8Xp/DPNze92YneziVKDfvf9BSJQF97il3uj4/x0DM9n4gV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ZV3rwQAAANwAAAAPAAAAAAAAAAAAAAAA&#10;AKECAABkcnMvZG93bnJldi54bWxQSwUGAAAAAAQABAD5AAAAjwMAAAAA&#10;">
                  <v:stroke endarrow="open"/>
                </v:shape>
                <v:line id="Straight Connector 174" o:spid="_x0000_s1051" style="position:absolute;visibility:visible;mso-wrap-style:square" from="25386,24797" to="25386,2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shape id="Straight Arrow Connector 60" o:spid="_x0000_s1052" type="#_x0000_t32" style="position:absolute;left:42725;top:32342;width:226;height:4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mBsIAAADcAAAADwAAAGRycy9kb3ducmV2LnhtbERPS2vCQBC+F/wPywi9FN0kxQfRVUSo&#10;LfTkA7wO2Uk2mJ0N2TXGf98tFHqbj+856+1gG9FT52vHCtJpAoK4cLrmSsHl/DFZgvABWWPjmBQ8&#10;ycN2M3pZY67dg4/Un0IlYgj7HBWYENpcSl8YsuinriWOXOk6iyHCrpK6w0cMt43MkmQuLdYcGwy2&#10;tDdU3E53q6DMNKVvt6v5XMyw3H+/Z33fHJR6HQ+7FYhAQ/gX/7m/dJyfzuD3mXiB3P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ZmBsIAAADcAAAADwAAAAAAAAAAAAAA&#10;AAChAgAAZHJzL2Rvd25yZXYueG1sUEsFBgAAAAAEAAQA+QAAAJADAAAAAA==&#10;">
                  <v:stroke endarrow="open"/>
                </v:shape>
                <v:shape id="Text Box 123" o:spid="_x0000_s1053" type="#_x0000_t202" style="position:absolute;left:41259;top:73864;width:4763;height:37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CEpMQA&#10;AADcAAAADwAAAGRycy9kb3ducmV2LnhtbERPS2vCQBC+F/oflin0UnSTHqREN6FIxeJB8Hme7I5J&#10;MDsbs1uN/fXdQqG3+fieMysG24or9b5xrCAdJyCItTMNVwr2u8XoDYQPyAZbx6TgTh6K/PFhhplx&#10;N97QdRsqEUPYZ6igDqHLpPS6Jot+7DriyJ1cbzFE2FfS9HiL4baVr0kykRYbjg01djSvSZ+3X1bB&#10;clWm36vDh15euGzl5vii7Xyt1PPT8D4FEWgI/+I/96eJ89MJ/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AhKTEAAAA3AAAAA8AAAAAAAAAAAAAAAAAmAIAAGRycy9k&#10;b3ducmV2LnhtbFBLBQYAAAAABAAEAPUAAACJAwAAAAA=&#10;" strokeweight=".5pt">
                  <v:textbox>
                    <w:txbxContent>
                      <w:p w14:paraId="3F5034C3" w14:textId="77777777" w:rsidR="00986DF6" w:rsidRDefault="00986DF6" w:rsidP="00986DF6">
                        <w:pPr>
                          <w:pStyle w:val="NormalWeb"/>
                          <w:spacing w:before="0" w:beforeAutospacing="0" w:after="0" w:afterAutospacing="0" w:line="276" w:lineRule="auto"/>
                        </w:pPr>
                        <w:r>
                          <w:rPr>
                            <w:rFonts w:ascii="Arial Narrow" w:hAnsi="Arial Narrow"/>
                            <w:sz w:val="18"/>
                            <w:szCs w:val="18"/>
                          </w:rPr>
                          <w:t>Risk of</w:t>
                        </w:r>
                      </w:p>
                      <w:p w14:paraId="0304F8C8" w14:textId="77777777" w:rsidR="00986DF6" w:rsidRDefault="00986DF6" w:rsidP="00986DF6">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173" o:spid="_x0000_s1054" type="#_x0000_t32" style="position:absolute;left:48167;top:58323;width:0;height:14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uHsMAAADcAAAADwAAAGRycy9kb3ducmV2LnhtbERPS4vCMBC+C/6HMAt7kTV1F1S6RpEF&#10;QWRBfFy8Dc20KdtMuk2s1V9vBMHbfHzPmS06W4mWGl86VjAaJiCIM6dLLhQcD6uPKQgfkDVWjknB&#10;lTws5v3eDFPtLryjdh8KEUPYp6jAhFCnUvrMkEU/dDVx5HLXWAwRNoXUDV5iuK3kZ5KMpcWSY4PB&#10;mn4MZX/7s1Uw2J3KIs/Pv1f/ddtOk83232StUu9v3fIbRKAuvMRP91rH+aMJ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27h7DAAAA3AAAAA8AAAAAAAAAAAAA&#10;AAAAoQIAAGRycy9kb3ducmV2LnhtbFBLBQYAAAAABAAEAPkAAACRAwAAAAA=&#10;">
                  <v:stroke endarrow="open"/>
                </v:shape>
                <v:shape id="Text Box 123" o:spid="_x0000_s1055" type="#_x0000_t202" style="position:absolute;left:35347;top:60016;width:4762;height:37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1TcYA&#10;AADcAAAADwAAAGRycy9kb3ducmV2LnhtbESPT2vCQBDF7wW/wzIFL6KbeCgSXaWIYvFQ0P45j7tj&#10;EszOxuxW0376zqHQ2wzvzXu/Wax636gbdbEObCCfZKCIbXA1lwbe37bjGaiYkB02gcnAN0VYLQcP&#10;CyxcuPOBbsdUKgnhWKCBKqW20DraijzGSWiJRTuHzmOStSu16/Au4b7R0yx70h5rloYKW1pXZC/H&#10;L29gtz/lP/uPjd1d+dTow+fI+vWrMcPH/nkOKlGf/s1/1y9O8HOhlW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O1TcYAAADcAAAADwAAAAAAAAAAAAAAAACYAgAAZHJz&#10;L2Rvd25yZXYueG1sUEsFBgAAAAAEAAQA9QAAAIsDAAAAAA==&#10;" strokeweight=".5pt">
                  <v:textbox>
                    <w:txbxContent>
                      <w:p w14:paraId="605E466E" w14:textId="77777777" w:rsidR="00986DF6" w:rsidRDefault="00986DF6" w:rsidP="00986DF6">
                        <w:pPr>
                          <w:pStyle w:val="NormalWeb"/>
                          <w:spacing w:before="0" w:beforeAutospacing="0" w:after="0" w:afterAutospacing="0" w:line="276" w:lineRule="auto"/>
                        </w:pPr>
                        <w:r>
                          <w:rPr>
                            <w:rFonts w:ascii="Arial Narrow" w:hAnsi="Arial Narrow"/>
                            <w:sz w:val="18"/>
                            <w:szCs w:val="18"/>
                          </w:rPr>
                          <w:t>Risk of</w:t>
                        </w:r>
                      </w:p>
                      <w:p w14:paraId="1BC0D9AE" w14:textId="77777777" w:rsidR="00986DF6" w:rsidRDefault="00986DF6" w:rsidP="00986DF6">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181" o:spid="_x0000_s1056" type="#_x0000_t32" style="position:absolute;left:38502;top:58302;width:0;height:16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tsA8IAAADcAAAADwAAAGRycy9kb3ducmV2LnhtbERPTWvCQBC9F/wPywi9FN0k0qrRVYrQ&#10;WvBUFbwO2Uk2mJ0N2W1M/70rFHqbx/uc9Xawjeip87VjBek0AUFcOF1zpeB8+pgsQPiArLFxTAp+&#10;ycN2M3paY67djb+pP4ZKxBD2OSowIbS5lL4wZNFPXUscudJ1FkOEXSV1h7cYbhuZJcmbtFhzbDDY&#10;0s5QcT3+WAVlpil9uV7Mfv6K5e4wy/q++VTqeTy8r0AEGsK/+M/9peP8dAmPZ+IF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tsA8IAAADcAAAADwAAAAAAAAAAAAAA&#10;AAChAgAAZHJzL2Rvd25yZXYueG1sUEsFBgAAAAAEAAQA+QAAAJADAAAAAA==&#10;">
                  <v:stroke endarrow="open"/>
                </v:shape>
                <v:shape id="Text Box 123" o:spid="_x0000_s1057" type="#_x0000_t202" style="position:absolute;left:3514;top:57572;width:4763;height:37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lz9sYA&#10;AADcAAAADwAAAGRycy9kb3ducmV2LnhtbESPQWsCQQyF70L/w5BCL0Vn9SBl6ygiFouHgtr2HGfi&#10;7uJOZt2Z6tZfbw6Ct4T38t6XyazztTpTG6vABoaDDBSxDa7iwsD37qP/BiomZId1YDLwTxFm06fe&#10;BHMXLryh8zYVSkI45migTKnJtY62JI9xEBpi0Q6h9ZhkbQvtWrxIuK/1KMvG2mPF0lBiQ4uS7HH7&#10;5w2s1vvhdf2ztKsT72u9+X21fvFlzMtzN38HlahLD/P9+tMJ/kjw5RmZQE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lz9sYAAADcAAAADwAAAAAAAAAAAAAAAACYAgAAZHJz&#10;L2Rvd25yZXYueG1sUEsFBgAAAAAEAAQA9QAAAIsDAAAAAA==&#10;" strokeweight=".5pt">
                  <v:textbox>
                    <w:txbxContent>
                      <w:p w14:paraId="500069E7" w14:textId="77777777" w:rsidR="00986DF6" w:rsidRDefault="00986DF6" w:rsidP="00986DF6">
                        <w:pPr>
                          <w:pStyle w:val="NormalWeb"/>
                          <w:spacing w:before="0" w:beforeAutospacing="0" w:after="0" w:afterAutospacing="0" w:line="276" w:lineRule="auto"/>
                        </w:pPr>
                        <w:r>
                          <w:rPr>
                            <w:rFonts w:ascii="Arial Narrow" w:hAnsi="Arial Narrow"/>
                            <w:sz w:val="18"/>
                            <w:szCs w:val="18"/>
                          </w:rPr>
                          <w:t>Risk of</w:t>
                        </w:r>
                      </w:p>
                      <w:p w14:paraId="3AEBB1D0" w14:textId="77777777" w:rsidR="00986DF6" w:rsidRDefault="00986DF6" w:rsidP="00986DF6">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183" o:spid="_x0000_s1058" type="#_x0000_t32" style="position:absolute;left:5838;top:54187;width:0;height:3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8ZTMIAAADcAAAADwAAAGRycy9kb3ducmV2LnhtbERPTYvCMBC9C/6HMMJeRFMVRKpRRBBk&#10;WRB1L3sbmmlTbCa1ibXurzcLC97m8T5ntelsJVpqfOlYwWScgCDOnC65UPB92Y8WIHxA1lg5JgVP&#10;8rBZ93srTLV78InacyhEDGGfogITQp1K6TNDFv3Y1cSRy11jMUTYFFI3+IjhtpLTJJlLiyXHBoM1&#10;7Qxl1/PdKhiefsoiz+9fTz/7PS6Sz+PNZK1SH4NuuwQRqAtv8b/7oOP86QT+nokX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8ZTMIAAADcAAAADwAAAAAAAAAAAAAA&#10;AAChAgAAZHJzL2Rvd25yZXYueG1sUEsFBgAAAAAEAAQA+QAAAJADAAAAAA==&#10;">
                  <v:stroke endarrow="open"/>
                </v:shape>
                <v:shape id="Text Box 123" o:spid="_x0000_s1059" type="#_x0000_t202" style="position:absolute;left:13230;top:7946;width:21691;height:41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IGsQA&#10;AADcAAAADwAAAGRycy9kb3ducmV2LnhtbERPS2vCQBC+C/0PyxS8iG7MQUp0E4pULB4E7eM82Z0m&#10;odnZmN1q7K/vFgRv8/E9Z1UMthVn6n3jWMF8loAg1s40XCl4f9tMn0D4gGywdUwKruShyB9GK8yM&#10;u/CBzsdQiRjCPkMFdQhdJqXXNVn0M9cRR+7L9RZDhH0lTY+XGG5bmSbJQlpsODbU2NG6Jv19/LEK&#10;trty/rv7eNHbE5etPHxOtF3vlRo/Ds9LEIGGcBff3K8mzk9T+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XSBrEAAAA3AAAAA8AAAAAAAAAAAAAAAAAmAIAAGRycy9k&#10;b3ducmV2LnhtbFBLBQYAAAAABAAEAPUAAACJAwAAAAA=&#10;" strokeweight=".5pt">
                  <v:textbox>
                    <w:txbxContent>
                      <w:p w14:paraId="55961678" w14:textId="77777777" w:rsidR="00986DF6" w:rsidRDefault="00986DF6" w:rsidP="00986DF6">
                        <w:pPr>
                          <w:pStyle w:val="NormalWeb"/>
                          <w:spacing w:before="0" w:beforeAutospacing="0" w:after="0" w:afterAutospacing="0" w:line="276" w:lineRule="auto"/>
                          <w:jc w:val="center"/>
                        </w:pPr>
                        <w:r>
                          <w:rPr>
                            <w:rFonts w:ascii="Arial Narrow" w:hAnsi="Arial Narrow"/>
                            <w:sz w:val="18"/>
                            <w:szCs w:val="18"/>
                          </w:rPr>
                          <w:t>Clinical assessment, test for vitamin D,</w:t>
                        </w:r>
                      </w:p>
                      <w:p w14:paraId="79E8E483" w14:textId="77777777" w:rsidR="00986DF6" w:rsidRDefault="00986DF6" w:rsidP="00986DF6">
                        <w:pPr>
                          <w:pStyle w:val="NormalWeb"/>
                          <w:spacing w:before="0" w:beforeAutospacing="0" w:after="0" w:afterAutospacing="0" w:line="276" w:lineRule="auto"/>
                          <w:jc w:val="center"/>
                        </w:pPr>
                        <w:proofErr w:type="gramStart"/>
                        <w:r>
                          <w:rPr>
                            <w:rFonts w:ascii="Arial Narrow" w:hAnsi="Arial Narrow"/>
                            <w:sz w:val="18"/>
                            <w:szCs w:val="18"/>
                          </w:rPr>
                          <w:t>including</w:t>
                        </w:r>
                        <w:proofErr w:type="gramEnd"/>
                        <w:r>
                          <w:rPr>
                            <w:rFonts w:ascii="Arial Narrow" w:hAnsi="Arial Narrow"/>
                            <w:sz w:val="18"/>
                            <w:szCs w:val="18"/>
                          </w:rPr>
                          <w:t xml:space="preserve"> existing fracture risk assessment tools</w:t>
                        </w:r>
                      </w:p>
                    </w:txbxContent>
                  </v:textbox>
                </v:shape>
                <v:shape id="Straight Arrow Connector 187" o:spid="_x0000_s1060" type="#_x0000_t32" style="position:absolute;left:24075;top:6813;width:0;height:1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VMIAAADcAAAADwAAAGRycy9kb3ducmV2LnhtbERPTWvCQBC9F/wPywi9lLoxopXoRkRo&#10;K3hSC70O2Uk2JDsbsmtM/31XKPQ2j/c5291oWzFQ72vHCuazBARx4XTNlYKv6/vrGoQPyBpbx6Tg&#10;hzzs8snTFjPt7nym4RIqEUPYZ6jAhNBlUvrCkEU/cx1x5ErXWwwR9pXUPd5juG1lmiQrabHm2GCw&#10;o4OhorncrIIy1TR/ab7N59sSy8NpkQ5D+6HU83Tcb0AEGsO/+M991HF+uoDH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RVMIAAADcAAAADwAAAAAAAAAAAAAA&#10;AAChAgAAZHJzL2Rvd25yZXYueG1sUEsFBgAAAAAEAAQA+QAAAJADAAAAAA==&#10;">
                  <v:stroke endarrow="open"/>
                </v:shape>
                <v:shape id="Text Box 35" o:spid="_x0000_s1061" type="#_x0000_t202" style="position:absolute;left:40569;top:59844;width:13945;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hZ1cQA&#10;AADcAAAADwAAAGRycy9kb3ducmV2LnhtbERPTWvCQBC9F/oflhF6MxtDqSW6ilgEDy2lsYLexuyY&#10;xGRnQ3Yb47/vFoTe5vE+Z74cTCN66lxlWcEkikEQ51ZXXCj43m3GryCcR9bYWCYFN3KwXDw+zDHV&#10;9spf1Ge+ECGEXYoKSu/bVEqXl2TQRbYlDtzZdgZ9gF0hdYfXEG4amcTxizRYcWgosaV1SXmd/RgF&#10;SX9oP26n+uz3b/ZYXz7X75NpptTTaFjNQHga/L/47t7qMD95hr9nw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4WdXEAAAA3AAAAA8AAAAAAAAAAAAAAAAAmAIAAGRycy9k&#10;b3ducmV2LnhtbFBLBQYAAAAABAAEAPUAAACJAwAAAAA=&#10;" strokeweight=".5pt">
                  <v:path arrowok="t"/>
                  <v:textbox>
                    <w:txbxContent>
                      <w:p w14:paraId="1342D140" w14:textId="77777777" w:rsidR="00986DF6" w:rsidRDefault="00986DF6" w:rsidP="00986DF6">
                        <w:pPr>
                          <w:pStyle w:val="NormalWeb"/>
                          <w:spacing w:before="0" w:beforeAutospacing="0" w:after="240" w:afterAutospacing="0" w:line="312" w:lineRule="auto"/>
                          <w:jc w:val="center"/>
                        </w:pPr>
                        <w:r>
                          <w:rPr>
                            <w:rFonts w:ascii="Arial Narrow" w:eastAsia="SimSun" w:hAnsi="Arial Narrow" w:cs="Tahoma"/>
                            <w:sz w:val="18"/>
                            <w:szCs w:val="18"/>
                          </w:rPr>
                          <w:t>Skeletal metastases or premature menopause</w:t>
                        </w:r>
                      </w:p>
                    </w:txbxContent>
                  </v:textbox>
                </v:shape>
                <v:shape id="Straight Arrow Connector 185" o:spid="_x0000_s1062" type="#_x0000_t32" style="position:absolute;left:43602;top:64204;width:0;height:1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qsu8IAAADcAAAADwAAAGRycy9kb3ducmV2LnhtbERPTWvCQBC9C/0PyxR6Ed2YYi2pGylC&#10;a8GTqeB1yE6yIdnZkN3G9N+7hYK3ebzP2e4m24mRBt84VrBaJiCIS6cbrhWcvz8WryB8QNbYOSYF&#10;v+Rhlz/Mtphpd+UTjUWoRQxhn6ECE0KfSelLQxb90vXEkavcYDFEONRSD3iN4baTaZK8SIsNxwaD&#10;Pe0NlW3xYxVUqabVvL2Yw2aN1f74nI5j96nU0+P0/gYi0BTu4n/3l47z0zX8PRMv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qsu8IAAADcAAAADwAAAAAAAAAAAAAA&#10;AAChAgAAZHJzL2Rvd25yZXYueG1sUEsFBgAAAAAEAAQA+QAAAJADAAAAAA==&#10;">
                  <v:stroke endarrow="open"/>
                </v:shape>
                <v:shape id="Straight Arrow Connector 188" o:spid="_x0000_s1063" type="#_x0000_t32" style="position:absolute;left:51178;top:64209;width:0;height:1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gyzMIAAADcAAAADwAAAGRycy9kb3ducmV2LnhtbERPS4vCMBC+L+x/CCN4WTS1srpUoyzC&#10;qrAnH7DXoZk2xWZSmmyt/94Igrf5+J6zXPe2Fh21vnKsYDJOQBDnTldcKjiffkZfIHxA1lg7JgU3&#10;8rBevb8tMdPuygfqjqEUMYR9hgpMCE0mpc8NWfRj1xBHrnCtxRBhW0rd4jWG21qmSTKTFiuODQYb&#10;2hjKL8d/q6BINU0+Ln9mN//EYvM7Tbuu3io1HPTfCxCB+vASP917HeenM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gyzMIAAADcAAAADwAAAAAAAAAAAAAA&#10;AAChAgAAZHJzL2Rvd25yZXYueG1sUEsFBgAAAAAEAAQA+QAAAJADAAAAAA==&#10;">
                  <v:stroke endarrow="open"/>
                </v:shape>
                <v:shape id="Text Box 41" o:spid="_x0000_s1064" type="#_x0000_t202" style="position:absolute;left:41259;top:65469;width:4483;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rHosQA&#10;AADcAAAADwAAAGRycy9kb3ducmV2LnhtbERPS2vCQBC+F/oflil4qxtzqBLdiFgKPVTEtIV6G7OT&#10;R5OdDdk1xn/vCoXe5uN7zmo9mlYM1LvasoLZNAJBnFtdc6ng6/PteQHCeWSNrWVScCUH6/TxYYWJ&#10;thc+0JD5UoQQdgkqqLzvEildXpFBN7UdceAK2xv0Afal1D1eQrhpZRxFL9JgzaGhwo62FeVNdjYK&#10;4uGn211PTeG/X+2x+d1vP2bzTKnJ07hZgvA0+n/xn/tdh/nxHO7PhAt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qx6LEAAAA3AAAAA8AAAAAAAAAAAAAAAAAmAIAAGRycy9k&#10;b3ducmV2LnhtbFBLBQYAAAAABAAEAPUAAACJAwAAAAA=&#10;" strokeweight=".5pt">
                  <v:path arrowok="t"/>
                  <v:textbox>
                    <w:txbxContent>
                      <w:p w14:paraId="25AA191B" w14:textId="77777777" w:rsidR="00986DF6" w:rsidRDefault="00986DF6" w:rsidP="00986DF6">
                        <w:pPr>
                          <w:pStyle w:val="NormalWeb"/>
                          <w:spacing w:before="0" w:beforeAutospacing="0" w:after="240" w:afterAutospacing="0" w:line="312" w:lineRule="auto"/>
                          <w:jc w:val="center"/>
                        </w:pPr>
                        <w:proofErr w:type="gramStart"/>
                        <w:r>
                          <w:rPr>
                            <w:rFonts w:ascii="Arial Narrow" w:eastAsia="SimSun" w:hAnsi="Arial Narrow" w:cs="Tahoma"/>
                            <w:sz w:val="18"/>
                            <w:szCs w:val="18"/>
                          </w:rPr>
                          <w:t>yes</w:t>
                        </w:r>
                        <w:proofErr w:type="gramEnd"/>
                      </w:p>
                    </w:txbxContent>
                  </v:textbox>
                </v:shape>
                <v:shape id="Text Box 42" o:spid="_x0000_s1065" type="#_x0000_t202" style="position:absolute;left:49513;top:65469;width:4483;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VT0McA&#10;AADcAAAADwAAAGRycy9kb3ducmV2LnhtbESPQWvCQBCF7wX/wzKF3urGHGyJrlKUQg+WYlpBb9Ps&#10;mKTJzobsNsZ/3zkIvc3w3rz3zXI9ulYN1Ifas4HZNAFFXHhbc2ng6/P18RlUiMgWW89k4EoB1qvJ&#10;3RIz6y+8pyGPpZIQDhkaqGLsMq1DUZHDMPUdsWhn3zuMsvaltj1eJNy1Ok2SuXZYszRU2NGmoqLJ&#10;f52BdDh279fv5hwPW39qfj42u9lTbszD/fiyABVpjP/m2/WbFfxUaOUZmU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1U9DHAAAA3AAAAA8AAAAAAAAAAAAAAAAAmAIAAGRy&#10;cy9kb3ducmV2LnhtbFBLBQYAAAAABAAEAPUAAACMAwAAAAA=&#10;" strokeweight=".5pt">
                  <v:path arrowok="t"/>
                  <v:textbox>
                    <w:txbxContent>
                      <w:p w14:paraId="3B0E003E" w14:textId="77777777" w:rsidR="00986DF6" w:rsidRDefault="00986DF6" w:rsidP="00986DF6">
                        <w:pPr>
                          <w:pStyle w:val="NormalWeb"/>
                          <w:spacing w:before="0" w:beforeAutospacing="0" w:after="240" w:afterAutospacing="0" w:line="312" w:lineRule="auto"/>
                          <w:jc w:val="center"/>
                        </w:pPr>
                        <w:proofErr w:type="gramStart"/>
                        <w:r>
                          <w:rPr>
                            <w:rFonts w:ascii="Arial Narrow" w:eastAsia="SimSun" w:hAnsi="Arial Narrow" w:cs="Tahoma"/>
                            <w:sz w:val="18"/>
                            <w:szCs w:val="18"/>
                          </w:rPr>
                          <w:t>no</w:t>
                        </w:r>
                        <w:proofErr w:type="gramEnd"/>
                      </w:p>
                    </w:txbxContent>
                  </v:textbox>
                </v:shape>
                <v:shape id="Text Box 1" o:spid="_x0000_s1066" type="#_x0000_t202" style="position:absolute;left:31268;top:69380;width:17326;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kRr8A&#10;AADcAAAADwAAAGRycy9kb3ducmV2LnhtbERPTYvCMBC9C/6HMII3TbeCuF1jWQVBvKm97G1oxrZs&#10;MylJbOu/NwsL3ubxPmebj6YVPTnfWFbwsUxAEJdWN1wpKG7HxQaED8gaW8uk4Eke8t10ssVM24Ev&#10;1F9DJWII+wwV1CF0mZS+rMmgX9qOOHJ36wyGCF0ltcMhhptWpkmylgYbjg01dnSoqfy9PoyC03of&#10;fqjQZ71KV3YoZOnurVdqPhu/v0AEGsNb/O8+6Tg//YS/Z+IF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deRGvwAAANwAAAAPAAAAAAAAAAAAAAAAAJgCAABkcnMvZG93bnJl&#10;di54bWxQSwUGAAAAAAQABAD1AAAAhAMAAAAA&#10;" strokeweight=".5pt">
                  <v:textbox>
                    <w:txbxContent>
                      <w:p w14:paraId="6FC0D25A" w14:textId="77777777" w:rsidR="00986DF6" w:rsidRPr="002D4092" w:rsidRDefault="00986DF6" w:rsidP="00986DF6">
                        <w:pPr>
                          <w:jc w:val="center"/>
                          <w:rPr>
                            <w:rFonts w:ascii="Arial Narrow" w:hAnsi="Arial Narrow"/>
                            <w:sz w:val="18"/>
                          </w:rPr>
                        </w:pPr>
                        <w:r w:rsidRPr="002D4092">
                          <w:rPr>
                            <w:rFonts w:ascii="Arial Narrow" w:hAnsi="Arial Narrow"/>
                            <w:sz w:val="18"/>
                          </w:rPr>
                          <w:t>Access</w:t>
                        </w:r>
                        <w:r>
                          <w:rPr>
                            <w:rFonts w:ascii="Arial Narrow" w:hAnsi="Arial Narrow"/>
                            <w:sz w:val="18"/>
                          </w:rPr>
                          <w:t xml:space="preserve"> to</w:t>
                        </w:r>
                        <w:r w:rsidRPr="002D4092">
                          <w:rPr>
                            <w:rFonts w:ascii="Arial Narrow" w:hAnsi="Arial Narrow"/>
                            <w:sz w:val="18"/>
                          </w:rPr>
                          <w:t xml:space="preserve"> </w:t>
                        </w:r>
                        <w:r>
                          <w:rPr>
                            <w:rFonts w:ascii="Arial Narrow" w:hAnsi="Arial Narrow"/>
                            <w:sz w:val="18"/>
                          </w:rPr>
                          <w:t>DXA (MBS) or ARs (PBS)</w:t>
                        </w:r>
                      </w:p>
                    </w:txbxContent>
                  </v:textbox>
                </v:shape>
                <v:shape id="Text Box 123" o:spid="_x0000_s1067" type="#_x0000_t202" style="position:absolute;left:49751;top:69639;width:4763;height:37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lK8YA&#10;AADcAAAADwAAAGRycy9kb3ducmV2LnhtbESPQWsCQQyF7wX/wxChl6KzViiyOkoRi+KhoLae40zc&#10;XbqTWXemuu2vbw4Fbwnv5b0vs0Xna3WlNlaBDYyGGShiG1zFhYGPw9tgAiomZId1YDLwQxEW897D&#10;DHMXbryj6z4VSkI45migTKnJtY62JI9xGBpi0c6h9ZhkbQvtWrxJuK/1c5a9aI8VS0OJDS1Lsl/7&#10;b29gvT2NfrefK7u+8KnWu+OT9ct3Yx773esUVKIu3c3/1xsn+GPBl2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DlK8YAAADcAAAADwAAAAAAAAAAAAAAAACYAgAAZHJz&#10;L2Rvd25yZXYueG1sUEsFBgAAAAAEAAQA9QAAAIsDAAAAAA==&#10;" strokeweight=".5pt">
                  <v:textbox>
                    <w:txbxContent>
                      <w:p w14:paraId="26411E5C" w14:textId="77777777" w:rsidR="00986DF6" w:rsidRDefault="00986DF6" w:rsidP="00986DF6">
                        <w:pPr>
                          <w:pStyle w:val="NormalWeb"/>
                          <w:spacing w:before="0" w:beforeAutospacing="0" w:after="0" w:afterAutospacing="0" w:line="276" w:lineRule="auto"/>
                        </w:pPr>
                        <w:r>
                          <w:rPr>
                            <w:rFonts w:ascii="Arial Narrow" w:hAnsi="Arial Narrow"/>
                            <w:sz w:val="18"/>
                            <w:szCs w:val="18"/>
                          </w:rPr>
                          <w:t>Risk of</w:t>
                        </w:r>
                      </w:p>
                      <w:p w14:paraId="2B367A5A" w14:textId="77777777" w:rsidR="00986DF6" w:rsidRDefault="00986DF6" w:rsidP="00986DF6">
                        <w:pPr>
                          <w:pStyle w:val="NormalWeb"/>
                          <w:spacing w:before="0" w:beforeAutospacing="0" w:after="0" w:afterAutospacing="0" w:line="276" w:lineRule="auto"/>
                        </w:pPr>
                        <w:r>
                          <w:rPr>
                            <w:rFonts w:ascii="Arial Narrow" w:hAnsi="Arial Narrow"/>
                            <w:sz w:val="18"/>
                            <w:szCs w:val="18"/>
                          </w:rPr>
                          <w:t>MTF</w:t>
                        </w:r>
                      </w:p>
                    </w:txbxContent>
                  </v:textbox>
                </v:shape>
                <v:shape id="Straight Arrow Connector 193" o:spid="_x0000_s1068" type="#_x0000_t32" style="position:absolute;left:43375;top:68308;width:0;height:10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g8ZcIAAADcAAAADwAAAGRycy9kb3ducmV2LnhtbERPS2vCQBC+F/wPywi9FN0kUpXoKiLU&#10;FnryAV6H7CQbzM6G7Brjv+8WCr3Nx/ec9Xawjeip87VjBek0AUFcOF1zpeBy/pgsQfiArLFxTAqe&#10;5GG7Gb2sMdfuwUfqT6ESMYR9jgpMCG0upS8MWfRT1xJHrnSdxRBhV0nd4SOG20ZmSTKXFmuODQZb&#10;2hsqbqe7VVBmmtK329V8Lt6x3H/Psr5vDkq9jofdCkSgIfyL/9xfOs6fp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g8ZcIAAADcAAAADwAAAAAAAAAAAAAA&#10;AAChAgAAZHJzL2Rvd25yZXYueG1sUEsFBgAAAAAEAAQA+QAAAJADAAAAAA==&#10;">
                  <v:stroke endarrow="open"/>
                </v:shape>
                <v:shape id="Straight Arrow Connector 194" o:spid="_x0000_s1069" type="#_x0000_t32" style="position:absolute;left:51952;top:68463;width:0;height:11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iEsIAAADcAAAADwAAAGRycy9kb3ducmV2LnhtbERPTWvCQBC9F/wPywi9lLoxopXoRkRo&#10;K3hSC70O2Uk2JDsbsmtM/31XKPQ2j/c5291oWzFQ72vHCuazBARx4XTNlYKv6/vrGoQPyBpbx6Tg&#10;hzzs8snTFjPt7nym4RIqEUPYZ6jAhNBlUvrCkEU/cx1x5ErXWwwR9pXUPd5juG1lmiQrabHm2GCw&#10;o4OhorncrIIy1TR/ab7N59sSy8NpkQ5D+6HU83Tcb0AEGsO/+M991HH+IoXHM/EC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qiEsIAAADcAAAADwAAAAAAAAAAAAAA&#10;AAChAgAAZHJzL2Rvd25yZXYueG1sUEsFBgAAAAAEAAQA+QAAAJADAAAAAA==&#10;">
                  <v:stroke endarrow="open"/>
                </v:shape>
                <v:shape id="Straight Arrow Connector 195" o:spid="_x0000_s1070" type="#_x0000_t32" style="position:absolute;left:43602;top:72890;width:0;height: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YHicIAAADcAAAADwAAAGRycy9kb3ducmV2LnhtbERPS2vCQBC+F/wPywi9FN2YUJXoKiLU&#10;FnryAV6H7CQbzM6G7Brjv+8WCr3Nx/ec9Xawjeip87VjBbNpAoK4cLrmSsHl/DFZgvABWWPjmBQ8&#10;ycN2M3pZY67dg4/Un0IlYgj7HBWYENpcSl8YsuinriWOXOk6iyHCrpK6w0cMt41Mk2QuLdYcGwy2&#10;tDdU3E53q6BMNc3eblfzuXjHcv+dpX3fHJR6HQ+7FYhAQ/gX/7m/dJyfZ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YHicIAAADcAAAADwAAAAAAAAAAAAAA&#10;AAChAgAAZHJzL2Rvd25yZXYueG1sUEsFBgAAAAAEAAQA+QAAAJADAAAAAA==&#10;">
                  <v:stroke endarrow="open"/>
                </v:shape>
                <w10:anchorlock/>
              </v:group>
            </w:pict>
          </mc:Fallback>
        </mc:AlternateContent>
      </w:r>
    </w:p>
    <w:p w14:paraId="08A7546F" w14:textId="08B97244" w:rsidR="00A51253" w:rsidRDefault="00A51253" w:rsidP="00CD33F3">
      <w:pPr>
        <w:pStyle w:val="Caption"/>
        <w:spacing w:after="0"/>
        <w:ind w:left="284" w:firstLine="0"/>
      </w:pPr>
      <w:r w:rsidDel="00A51253">
        <w:rPr>
          <w:noProof/>
        </w:rPr>
        <w:t xml:space="preserve"> </w:t>
      </w:r>
      <w:r w:rsidR="00986DF6" w:rsidRPr="000371CA">
        <w:rPr>
          <w:b w:val="0"/>
        </w:rPr>
        <w:t xml:space="preserve">(Adapted from information provided by the applicant and Reid DM, Doughty J, </w:t>
      </w:r>
      <w:proofErr w:type="spellStart"/>
      <w:r w:rsidR="00986DF6" w:rsidRPr="000371CA">
        <w:rPr>
          <w:b w:val="0"/>
        </w:rPr>
        <w:t>Eastell</w:t>
      </w:r>
      <w:proofErr w:type="spellEnd"/>
      <w:r w:rsidR="00986DF6" w:rsidRPr="000371CA">
        <w:rPr>
          <w:b w:val="0"/>
        </w:rPr>
        <w:t xml:space="preserve"> R, </w:t>
      </w:r>
      <w:proofErr w:type="spellStart"/>
      <w:r w:rsidR="00986DF6" w:rsidRPr="000371CA">
        <w:rPr>
          <w:b w:val="0"/>
        </w:rPr>
        <w:t>Heys</w:t>
      </w:r>
      <w:proofErr w:type="spellEnd"/>
      <w:r w:rsidR="00986DF6" w:rsidRPr="000371CA">
        <w:rPr>
          <w:b w:val="0"/>
        </w:rPr>
        <w:t xml:space="preserve"> SD, Howell A, McCloskey EV, Powles T, Selby P, Coleman RE. Guidance for the management of breast cancer treatment-induced bone loss: a consensus position statement from a UK Expert Group. Cancer Treat Rev 2008</w:t>
      </w:r>
      <w:proofErr w:type="gramStart"/>
      <w:r w:rsidR="00986DF6" w:rsidRPr="000371CA">
        <w:rPr>
          <w:b w:val="0"/>
        </w:rPr>
        <w:t>;34:S1</w:t>
      </w:r>
      <w:proofErr w:type="gramEnd"/>
      <w:r w:rsidR="00986DF6" w:rsidRPr="000371CA">
        <w:rPr>
          <w:b w:val="0"/>
        </w:rPr>
        <w:t>–S18)</w:t>
      </w:r>
    </w:p>
    <w:p w14:paraId="4DD3D64B" w14:textId="77777777" w:rsidR="00A51253" w:rsidRDefault="00A51253" w:rsidP="00CD33F3">
      <w:pPr>
        <w:pStyle w:val="Caption"/>
        <w:spacing w:after="0"/>
        <w:ind w:left="284" w:firstLine="0"/>
      </w:pPr>
    </w:p>
    <w:p w14:paraId="2CFE0C50" w14:textId="77777777" w:rsidR="00A51253" w:rsidRPr="009D7855" w:rsidRDefault="00A51253" w:rsidP="00DD2387"/>
    <w:p w14:paraId="4117C6AA" w14:textId="389F505D" w:rsidR="00BC1364" w:rsidRPr="008D5885" w:rsidRDefault="00BC1364" w:rsidP="00DD2387">
      <w:pPr>
        <w:pStyle w:val="Heading1"/>
        <w:numPr>
          <w:ilvl w:val="0"/>
          <w:numId w:val="23"/>
        </w:numPr>
        <w:ind w:hanging="720"/>
      </w:pPr>
      <w:r w:rsidRPr="008D5885">
        <w:lastRenderedPageBreak/>
        <w:t xml:space="preserve">Comparator </w:t>
      </w:r>
    </w:p>
    <w:p w14:paraId="482D511B" w14:textId="77777777" w:rsidR="00BC1364" w:rsidRDefault="00BC1364" w:rsidP="00986DF6">
      <w:pPr>
        <w:rPr>
          <w:b/>
          <w:szCs w:val="24"/>
        </w:rPr>
      </w:pPr>
    </w:p>
    <w:p w14:paraId="0D8D617D" w14:textId="4F3B76DE" w:rsidR="00986DF6" w:rsidRDefault="00986DF6" w:rsidP="00986DF6">
      <w:pPr>
        <w:tabs>
          <w:tab w:val="left" w:pos="720"/>
          <w:tab w:val="left" w:pos="1140"/>
        </w:tabs>
        <w:rPr>
          <w:szCs w:val="24"/>
        </w:rPr>
      </w:pPr>
      <w:r w:rsidRPr="005D6951">
        <w:rPr>
          <w:szCs w:val="24"/>
        </w:rPr>
        <w:t>Clinical assessment including use of existing fracture risk assessment tools, vitamin D testing, with lifestyle and dietary advice</w:t>
      </w:r>
      <w:r>
        <w:rPr>
          <w:szCs w:val="24"/>
        </w:rPr>
        <w:t>.</w:t>
      </w:r>
      <w:r w:rsidR="00AB2AC1">
        <w:rPr>
          <w:szCs w:val="24"/>
        </w:rPr>
        <w:t xml:space="preserve"> MSAC considered this was appropriate.</w:t>
      </w:r>
    </w:p>
    <w:p w14:paraId="7499E6E3" w14:textId="77777777" w:rsidR="00AB2AC1" w:rsidRDefault="00AB2AC1" w:rsidP="00986DF6">
      <w:pPr>
        <w:tabs>
          <w:tab w:val="left" w:pos="720"/>
          <w:tab w:val="left" w:pos="1140"/>
        </w:tabs>
        <w:rPr>
          <w:szCs w:val="24"/>
        </w:rPr>
      </w:pPr>
    </w:p>
    <w:p w14:paraId="374C0BC6" w14:textId="7B6C7EB2" w:rsidR="00AB2AC1" w:rsidRDefault="00AB2AC1" w:rsidP="00986DF6">
      <w:pPr>
        <w:tabs>
          <w:tab w:val="left" w:pos="720"/>
          <w:tab w:val="left" w:pos="1140"/>
        </w:tabs>
        <w:rPr>
          <w:szCs w:val="24"/>
        </w:rPr>
      </w:pPr>
      <w:r>
        <w:rPr>
          <w:szCs w:val="24"/>
        </w:rPr>
        <w:t xml:space="preserve">The applicant in its </w:t>
      </w:r>
      <w:proofErr w:type="spellStart"/>
      <w:r>
        <w:rPr>
          <w:szCs w:val="24"/>
        </w:rPr>
        <w:t>preMSAC</w:t>
      </w:r>
      <w:proofErr w:type="spellEnd"/>
      <w:r>
        <w:rPr>
          <w:szCs w:val="24"/>
        </w:rPr>
        <w:t xml:space="preserve"> response did not consider this was an appropriate alternative to DXA measurement.</w:t>
      </w:r>
    </w:p>
    <w:p w14:paraId="03E1A260" w14:textId="77777777" w:rsidR="00BC1364" w:rsidRPr="00707064" w:rsidRDefault="00BC1364" w:rsidP="00986DF6">
      <w:pPr>
        <w:rPr>
          <w:b/>
          <w:szCs w:val="24"/>
        </w:rPr>
      </w:pPr>
    </w:p>
    <w:p w14:paraId="021EE591" w14:textId="77777777" w:rsidR="00BC1364" w:rsidRPr="008D5885" w:rsidRDefault="00BC1364" w:rsidP="00986DF6">
      <w:pPr>
        <w:pStyle w:val="Heading1"/>
        <w:numPr>
          <w:ilvl w:val="0"/>
          <w:numId w:val="23"/>
        </w:numPr>
        <w:ind w:hanging="720"/>
      </w:pPr>
      <w:r w:rsidRPr="008D5885">
        <w:t>Comparative safety</w:t>
      </w:r>
    </w:p>
    <w:p w14:paraId="765990FD" w14:textId="77777777" w:rsidR="00BC1364" w:rsidRDefault="00BC1364" w:rsidP="00986DF6">
      <w:pPr>
        <w:pStyle w:val="ListParagraph"/>
        <w:ind w:left="0"/>
        <w:rPr>
          <w:b/>
          <w:szCs w:val="24"/>
        </w:rPr>
      </w:pPr>
    </w:p>
    <w:p w14:paraId="651C2548" w14:textId="77777777" w:rsidR="00986DF6" w:rsidRPr="005D6951" w:rsidRDefault="00986DF6" w:rsidP="00986DF6">
      <w:pPr>
        <w:tabs>
          <w:tab w:val="left" w:pos="720"/>
          <w:tab w:val="left" w:pos="1140"/>
        </w:tabs>
        <w:rPr>
          <w:szCs w:val="24"/>
        </w:rPr>
      </w:pPr>
      <w:r w:rsidRPr="005D6951">
        <w:rPr>
          <w:szCs w:val="24"/>
        </w:rPr>
        <w:t>No studies assessed safe</w:t>
      </w:r>
      <w:r>
        <w:rPr>
          <w:szCs w:val="24"/>
        </w:rPr>
        <w:t>ty of DXA scans in the population of interest. But in general:</w:t>
      </w:r>
    </w:p>
    <w:p w14:paraId="03CF372B" w14:textId="77777777" w:rsidR="00986DF6" w:rsidRPr="005D6951" w:rsidRDefault="00986DF6" w:rsidP="00986DF6">
      <w:pPr>
        <w:pStyle w:val="ListParagraph"/>
        <w:numPr>
          <w:ilvl w:val="0"/>
          <w:numId w:val="26"/>
        </w:numPr>
        <w:tabs>
          <w:tab w:val="left" w:pos="720"/>
          <w:tab w:val="left" w:pos="1140"/>
        </w:tabs>
        <w:rPr>
          <w:szCs w:val="24"/>
        </w:rPr>
      </w:pPr>
      <w:r>
        <w:rPr>
          <w:szCs w:val="24"/>
        </w:rPr>
        <w:t>DXA is r</w:t>
      </w:r>
      <w:r w:rsidRPr="005D6951">
        <w:rPr>
          <w:szCs w:val="24"/>
        </w:rPr>
        <w:t xml:space="preserve">egarded as non-invasive </w:t>
      </w:r>
      <w:r>
        <w:rPr>
          <w:szCs w:val="24"/>
        </w:rPr>
        <w:t>and</w:t>
      </w:r>
      <w:r w:rsidRPr="005D6951">
        <w:rPr>
          <w:szCs w:val="24"/>
        </w:rPr>
        <w:t xml:space="preserve"> safe and </w:t>
      </w:r>
      <w:r>
        <w:rPr>
          <w:szCs w:val="24"/>
        </w:rPr>
        <w:t xml:space="preserve">is </w:t>
      </w:r>
      <w:r w:rsidRPr="005D6951">
        <w:rPr>
          <w:szCs w:val="24"/>
        </w:rPr>
        <w:t>widely used</w:t>
      </w:r>
      <w:r w:rsidR="00B947DD">
        <w:rPr>
          <w:szCs w:val="24"/>
        </w:rPr>
        <w:t>;</w:t>
      </w:r>
    </w:p>
    <w:p w14:paraId="3F841156" w14:textId="77777777" w:rsidR="00986DF6" w:rsidRPr="005D6951" w:rsidRDefault="00986DF6" w:rsidP="00986DF6">
      <w:pPr>
        <w:pStyle w:val="ListParagraph"/>
        <w:numPr>
          <w:ilvl w:val="0"/>
          <w:numId w:val="26"/>
        </w:numPr>
        <w:tabs>
          <w:tab w:val="left" w:pos="720"/>
          <w:tab w:val="left" w:pos="1140"/>
        </w:tabs>
        <w:rPr>
          <w:szCs w:val="24"/>
        </w:rPr>
      </w:pPr>
      <w:r>
        <w:rPr>
          <w:szCs w:val="24"/>
        </w:rPr>
        <w:t>A r</w:t>
      </w:r>
      <w:r w:rsidRPr="005D6951">
        <w:rPr>
          <w:szCs w:val="24"/>
        </w:rPr>
        <w:t xml:space="preserve">eview and </w:t>
      </w:r>
      <w:r>
        <w:rPr>
          <w:szCs w:val="24"/>
        </w:rPr>
        <w:t xml:space="preserve">an </w:t>
      </w:r>
      <w:r w:rsidRPr="005D6951">
        <w:rPr>
          <w:szCs w:val="24"/>
        </w:rPr>
        <w:t xml:space="preserve">observational study </w:t>
      </w:r>
      <w:r>
        <w:rPr>
          <w:szCs w:val="24"/>
        </w:rPr>
        <w:t xml:space="preserve">found that DXA is associated with </w:t>
      </w:r>
      <w:r w:rsidRPr="005D6951">
        <w:rPr>
          <w:szCs w:val="24"/>
        </w:rPr>
        <w:t xml:space="preserve">negligible amounts of radiation </w:t>
      </w:r>
      <w:r>
        <w:rPr>
          <w:szCs w:val="24"/>
        </w:rPr>
        <w:t xml:space="preserve">that are </w:t>
      </w:r>
      <w:r w:rsidRPr="005D6951">
        <w:rPr>
          <w:szCs w:val="24"/>
        </w:rPr>
        <w:t>below background levels</w:t>
      </w:r>
      <w:r w:rsidR="00B947DD">
        <w:rPr>
          <w:szCs w:val="24"/>
        </w:rPr>
        <w:t>;</w:t>
      </w:r>
    </w:p>
    <w:p w14:paraId="4899EA3B" w14:textId="77777777" w:rsidR="00986DF6" w:rsidRPr="005D6951" w:rsidRDefault="00986DF6" w:rsidP="00986DF6">
      <w:pPr>
        <w:pStyle w:val="ListParagraph"/>
        <w:numPr>
          <w:ilvl w:val="0"/>
          <w:numId w:val="26"/>
        </w:numPr>
        <w:tabs>
          <w:tab w:val="left" w:pos="720"/>
          <w:tab w:val="left" w:pos="1140"/>
        </w:tabs>
        <w:rPr>
          <w:szCs w:val="24"/>
        </w:rPr>
      </w:pPr>
      <w:r w:rsidRPr="005D6951">
        <w:rPr>
          <w:szCs w:val="24"/>
        </w:rPr>
        <w:t xml:space="preserve">No issues </w:t>
      </w:r>
      <w:r>
        <w:rPr>
          <w:szCs w:val="24"/>
        </w:rPr>
        <w:t xml:space="preserve">were </w:t>
      </w:r>
      <w:r w:rsidRPr="005D6951">
        <w:rPr>
          <w:szCs w:val="24"/>
        </w:rPr>
        <w:t xml:space="preserve">reported on radiation safety in </w:t>
      </w:r>
      <w:r>
        <w:rPr>
          <w:szCs w:val="24"/>
        </w:rPr>
        <w:t>the</w:t>
      </w:r>
      <w:r w:rsidRPr="005D6951">
        <w:rPr>
          <w:szCs w:val="24"/>
        </w:rPr>
        <w:t xml:space="preserve"> studies reviewed</w:t>
      </w:r>
      <w:r w:rsidR="00B947DD">
        <w:rPr>
          <w:szCs w:val="24"/>
        </w:rPr>
        <w:t>; and</w:t>
      </w:r>
    </w:p>
    <w:p w14:paraId="53BBB90B" w14:textId="77777777" w:rsidR="00986DF6" w:rsidRPr="005D6951" w:rsidRDefault="00986DF6" w:rsidP="00986DF6">
      <w:pPr>
        <w:pStyle w:val="ListParagraph"/>
        <w:numPr>
          <w:ilvl w:val="0"/>
          <w:numId w:val="26"/>
        </w:numPr>
        <w:tabs>
          <w:tab w:val="left" w:pos="720"/>
          <w:tab w:val="left" w:pos="1140"/>
        </w:tabs>
        <w:rPr>
          <w:szCs w:val="24"/>
        </w:rPr>
      </w:pPr>
      <w:r w:rsidRPr="005D6951">
        <w:rPr>
          <w:szCs w:val="24"/>
        </w:rPr>
        <w:t>“A patient undergoing DXA scans for a lifetime has a negligible increased risk of developing cancer” (</w:t>
      </w:r>
      <w:proofErr w:type="spellStart"/>
      <w:r w:rsidRPr="005D6951">
        <w:rPr>
          <w:szCs w:val="24"/>
        </w:rPr>
        <w:t>Bandirali</w:t>
      </w:r>
      <w:proofErr w:type="spellEnd"/>
      <w:r w:rsidRPr="005D6951">
        <w:rPr>
          <w:szCs w:val="24"/>
        </w:rPr>
        <w:t xml:space="preserve"> 2013)</w:t>
      </w:r>
      <w:r w:rsidR="00B947DD">
        <w:rPr>
          <w:szCs w:val="24"/>
        </w:rPr>
        <w:t>.</w:t>
      </w:r>
    </w:p>
    <w:p w14:paraId="63B6AC24" w14:textId="77777777" w:rsidR="00B947DD" w:rsidRDefault="00B947DD" w:rsidP="00986DF6">
      <w:pPr>
        <w:tabs>
          <w:tab w:val="left" w:pos="720"/>
          <w:tab w:val="left" w:pos="1140"/>
        </w:tabs>
        <w:rPr>
          <w:szCs w:val="24"/>
        </w:rPr>
      </w:pPr>
    </w:p>
    <w:p w14:paraId="71F6D66A" w14:textId="77777777" w:rsidR="00986DF6" w:rsidRDefault="00986DF6" w:rsidP="00986DF6">
      <w:pPr>
        <w:tabs>
          <w:tab w:val="left" w:pos="720"/>
          <w:tab w:val="left" w:pos="1140"/>
        </w:tabs>
        <w:rPr>
          <w:szCs w:val="24"/>
        </w:rPr>
      </w:pPr>
      <w:r>
        <w:rPr>
          <w:szCs w:val="24"/>
        </w:rPr>
        <w:t>Information was provided in the assessment on the safety of anti-resorptive therapies.</w:t>
      </w:r>
    </w:p>
    <w:p w14:paraId="258C8B95" w14:textId="77777777" w:rsidR="00BC1364" w:rsidRPr="00707064" w:rsidRDefault="00BC1364" w:rsidP="00986DF6">
      <w:pPr>
        <w:pStyle w:val="ListParagraph"/>
        <w:ind w:left="0"/>
        <w:rPr>
          <w:b/>
          <w:szCs w:val="24"/>
        </w:rPr>
      </w:pPr>
    </w:p>
    <w:p w14:paraId="1BD39C56" w14:textId="77777777" w:rsidR="00BC1364" w:rsidRPr="008D5885" w:rsidRDefault="00BC1364" w:rsidP="00986DF6">
      <w:pPr>
        <w:pStyle w:val="Heading1"/>
        <w:numPr>
          <w:ilvl w:val="0"/>
          <w:numId w:val="23"/>
        </w:numPr>
        <w:ind w:hanging="720"/>
      </w:pPr>
      <w:r w:rsidRPr="008D5885">
        <w:t>Comparative effectiveness</w:t>
      </w:r>
    </w:p>
    <w:p w14:paraId="2021547A" w14:textId="77777777" w:rsidR="00BC1364" w:rsidRDefault="00BC1364" w:rsidP="00986DF6">
      <w:pPr>
        <w:rPr>
          <w:b/>
        </w:rPr>
      </w:pPr>
    </w:p>
    <w:p w14:paraId="39B29FDE" w14:textId="77777777" w:rsidR="00986DF6" w:rsidRPr="00FF1AB2" w:rsidRDefault="00986DF6" w:rsidP="00986DF6">
      <w:pPr>
        <w:tabs>
          <w:tab w:val="left" w:pos="720"/>
          <w:tab w:val="left" w:pos="1140"/>
        </w:tabs>
        <w:rPr>
          <w:szCs w:val="24"/>
          <w:u w:val="single"/>
        </w:rPr>
      </w:pPr>
      <w:r w:rsidRPr="00FF1AB2">
        <w:rPr>
          <w:szCs w:val="24"/>
          <w:u w:val="single"/>
        </w:rPr>
        <w:t>P</w:t>
      </w:r>
      <w:r w:rsidR="00FF1AB2">
        <w:rPr>
          <w:szCs w:val="24"/>
          <w:u w:val="single"/>
        </w:rPr>
        <w:t>rimary Source(s) of E</w:t>
      </w:r>
      <w:r w:rsidRPr="00FF1AB2">
        <w:rPr>
          <w:szCs w:val="24"/>
          <w:u w:val="single"/>
        </w:rPr>
        <w:t>vidence</w:t>
      </w:r>
    </w:p>
    <w:p w14:paraId="14ABCF6F" w14:textId="77777777" w:rsidR="00986DF6" w:rsidRPr="00970584" w:rsidRDefault="00986DF6" w:rsidP="00986DF6">
      <w:pPr>
        <w:pStyle w:val="ListParagraph"/>
        <w:numPr>
          <w:ilvl w:val="0"/>
          <w:numId w:val="27"/>
        </w:numPr>
        <w:tabs>
          <w:tab w:val="left" w:pos="720"/>
        </w:tabs>
        <w:rPr>
          <w:szCs w:val="24"/>
        </w:rPr>
      </w:pPr>
      <w:r w:rsidRPr="005D6951">
        <w:rPr>
          <w:szCs w:val="24"/>
        </w:rPr>
        <w:t xml:space="preserve">8 studies </w:t>
      </w:r>
      <w:r>
        <w:rPr>
          <w:szCs w:val="24"/>
        </w:rPr>
        <w:t xml:space="preserve">(2 high, 4 medium, 2 poor </w:t>
      </w:r>
      <w:proofErr w:type="gramStart"/>
      <w:r>
        <w:rPr>
          <w:szCs w:val="24"/>
        </w:rPr>
        <w:t>quality</w:t>
      </w:r>
      <w:proofErr w:type="gramEnd"/>
      <w:r>
        <w:rPr>
          <w:szCs w:val="24"/>
        </w:rPr>
        <w:t xml:space="preserve">) </w:t>
      </w:r>
      <w:r w:rsidRPr="005D6951">
        <w:rPr>
          <w:szCs w:val="24"/>
        </w:rPr>
        <w:t xml:space="preserve">on risk of </w:t>
      </w:r>
      <w:r>
        <w:rPr>
          <w:szCs w:val="24"/>
        </w:rPr>
        <w:t>minimal trauma fracture (</w:t>
      </w:r>
      <w:r w:rsidRPr="005D6951">
        <w:rPr>
          <w:szCs w:val="24"/>
        </w:rPr>
        <w:t>MTF</w:t>
      </w:r>
      <w:r>
        <w:rPr>
          <w:szCs w:val="24"/>
        </w:rPr>
        <w:t>)</w:t>
      </w:r>
      <w:r w:rsidRPr="005D6951">
        <w:rPr>
          <w:szCs w:val="24"/>
        </w:rPr>
        <w:t xml:space="preserve"> in women taking AIs</w:t>
      </w:r>
      <w:r>
        <w:rPr>
          <w:szCs w:val="24"/>
        </w:rPr>
        <w:t xml:space="preserve">. </w:t>
      </w:r>
      <w:r w:rsidR="00FF1AB2">
        <w:rPr>
          <w:szCs w:val="24"/>
        </w:rPr>
        <w:t xml:space="preserve"> </w:t>
      </w:r>
      <w:r>
        <w:rPr>
          <w:szCs w:val="24"/>
        </w:rPr>
        <w:t xml:space="preserve">The </w:t>
      </w:r>
      <w:r w:rsidR="00FF1AB2">
        <w:rPr>
          <w:szCs w:val="24"/>
        </w:rPr>
        <w:t>Protocol</w:t>
      </w:r>
      <w:r>
        <w:rPr>
          <w:szCs w:val="24"/>
        </w:rPr>
        <w:t xml:space="preserve"> stated that the c</w:t>
      </w:r>
      <w:r w:rsidRPr="00970584">
        <w:rPr>
          <w:szCs w:val="24"/>
        </w:rPr>
        <w:t xml:space="preserve">hange in BMD measured by DXA </w:t>
      </w:r>
      <w:r>
        <w:rPr>
          <w:szCs w:val="24"/>
        </w:rPr>
        <w:t xml:space="preserve">is an </w:t>
      </w:r>
      <w:r w:rsidRPr="00970584">
        <w:rPr>
          <w:szCs w:val="24"/>
        </w:rPr>
        <w:t>appropriate surrogate marker for risk.</w:t>
      </w:r>
    </w:p>
    <w:p w14:paraId="1E418940" w14:textId="77777777" w:rsidR="00986DF6" w:rsidRPr="00970584" w:rsidRDefault="00986DF6" w:rsidP="00986DF6">
      <w:pPr>
        <w:pStyle w:val="ListParagraph"/>
        <w:numPr>
          <w:ilvl w:val="0"/>
          <w:numId w:val="27"/>
        </w:numPr>
        <w:tabs>
          <w:tab w:val="left" w:pos="720"/>
        </w:tabs>
        <w:rPr>
          <w:szCs w:val="24"/>
        </w:rPr>
      </w:pPr>
      <w:r w:rsidRPr="005D6951">
        <w:rPr>
          <w:szCs w:val="24"/>
        </w:rPr>
        <w:t xml:space="preserve">7 studies </w:t>
      </w:r>
      <w:r>
        <w:rPr>
          <w:szCs w:val="24"/>
        </w:rPr>
        <w:t>(medium-high quality in large populations with large person-years of observation across many countries</w:t>
      </w:r>
      <w:r w:rsidR="00903DDE">
        <w:rPr>
          <w:szCs w:val="24"/>
        </w:rPr>
        <w:t xml:space="preserve"> - </w:t>
      </w:r>
      <w:r w:rsidR="00903DDE" w:rsidRPr="00970584">
        <w:rPr>
          <w:szCs w:val="24"/>
        </w:rPr>
        <w:t>3</w:t>
      </w:r>
      <w:r w:rsidR="00903DDE">
        <w:rPr>
          <w:szCs w:val="24"/>
        </w:rPr>
        <w:t> </w:t>
      </w:r>
      <w:r w:rsidR="00903DDE" w:rsidRPr="00970584">
        <w:rPr>
          <w:szCs w:val="24"/>
        </w:rPr>
        <w:t>meta-analyses, 2 HTA reports, 1 review, 1</w:t>
      </w:r>
      <w:r w:rsidR="00903DDE">
        <w:rPr>
          <w:szCs w:val="24"/>
        </w:rPr>
        <w:t> </w:t>
      </w:r>
      <w:r w:rsidR="00903DDE" w:rsidRPr="00970584">
        <w:rPr>
          <w:szCs w:val="24"/>
        </w:rPr>
        <w:t>case-control study</w:t>
      </w:r>
      <w:r>
        <w:rPr>
          <w:szCs w:val="24"/>
        </w:rPr>
        <w:t>)</w:t>
      </w:r>
      <w:r w:rsidRPr="005D6951">
        <w:rPr>
          <w:szCs w:val="24"/>
        </w:rPr>
        <w:t xml:space="preserve"> on effectiveness and safety of DXA scans</w:t>
      </w:r>
      <w:r w:rsidRPr="00970584">
        <w:rPr>
          <w:szCs w:val="24"/>
        </w:rPr>
        <w:t>.</w:t>
      </w:r>
    </w:p>
    <w:p w14:paraId="533B315E" w14:textId="77777777" w:rsidR="00986DF6" w:rsidRPr="00970584" w:rsidRDefault="00986DF6" w:rsidP="00986DF6">
      <w:pPr>
        <w:pStyle w:val="ListParagraph"/>
        <w:numPr>
          <w:ilvl w:val="0"/>
          <w:numId w:val="27"/>
        </w:numPr>
        <w:tabs>
          <w:tab w:val="left" w:pos="720"/>
        </w:tabs>
        <w:rPr>
          <w:szCs w:val="24"/>
        </w:rPr>
      </w:pPr>
      <w:r w:rsidRPr="005D6951">
        <w:rPr>
          <w:szCs w:val="24"/>
        </w:rPr>
        <w:t xml:space="preserve">14 studies </w:t>
      </w:r>
      <w:r>
        <w:rPr>
          <w:szCs w:val="24"/>
        </w:rPr>
        <w:t>(13 medium, 1 poor quality</w:t>
      </w:r>
      <w:r w:rsidR="00903DDE">
        <w:rPr>
          <w:szCs w:val="24"/>
        </w:rPr>
        <w:t xml:space="preserve"> - </w:t>
      </w:r>
      <w:r w:rsidR="00903DDE" w:rsidRPr="00970584">
        <w:rPr>
          <w:szCs w:val="24"/>
        </w:rPr>
        <w:t>12 RCTs, 1 comparative study, 1 meta-analysis</w:t>
      </w:r>
      <w:r>
        <w:rPr>
          <w:szCs w:val="24"/>
        </w:rPr>
        <w:t xml:space="preserve">) </w:t>
      </w:r>
      <w:r w:rsidRPr="005D6951">
        <w:rPr>
          <w:szCs w:val="24"/>
        </w:rPr>
        <w:t xml:space="preserve">on </w:t>
      </w:r>
      <w:r>
        <w:rPr>
          <w:szCs w:val="24"/>
        </w:rPr>
        <w:t xml:space="preserve">treatments to increase </w:t>
      </w:r>
      <w:r w:rsidRPr="005D6951">
        <w:rPr>
          <w:szCs w:val="24"/>
        </w:rPr>
        <w:t xml:space="preserve">BMD </w:t>
      </w:r>
      <w:r>
        <w:rPr>
          <w:szCs w:val="24"/>
        </w:rPr>
        <w:t xml:space="preserve">(most common was zoledronic acid) </w:t>
      </w:r>
      <w:r w:rsidRPr="005D6951">
        <w:rPr>
          <w:szCs w:val="24"/>
        </w:rPr>
        <w:t>for women taking AIs</w:t>
      </w:r>
      <w:r w:rsidRPr="00970584">
        <w:rPr>
          <w:szCs w:val="24"/>
        </w:rPr>
        <w:t>.</w:t>
      </w:r>
    </w:p>
    <w:p w14:paraId="20E1CA2D" w14:textId="77777777" w:rsidR="00986DF6" w:rsidRDefault="00986DF6" w:rsidP="00986DF6">
      <w:pPr>
        <w:pStyle w:val="ListParagraph"/>
        <w:numPr>
          <w:ilvl w:val="0"/>
          <w:numId w:val="27"/>
        </w:numPr>
        <w:tabs>
          <w:tab w:val="left" w:pos="720"/>
        </w:tabs>
        <w:rPr>
          <w:szCs w:val="24"/>
        </w:rPr>
      </w:pPr>
      <w:r w:rsidRPr="005D6951">
        <w:rPr>
          <w:szCs w:val="24"/>
        </w:rPr>
        <w:t xml:space="preserve">3 studies </w:t>
      </w:r>
      <w:r>
        <w:rPr>
          <w:szCs w:val="24"/>
        </w:rPr>
        <w:t>(all high quality)</w:t>
      </w:r>
      <w:r w:rsidRPr="005D6951">
        <w:rPr>
          <w:szCs w:val="24"/>
        </w:rPr>
        <w:t xml:space="preserve"> on cost-effectiveness of DXA and BMD interventions for women taking AIs.</w:t>
      </w:r>
    </w:p>
    <w:p w14:paraId="1115F0D3" w14:textId="77777777" w:rsidR="00903DDE" w:rsidRPr="005D6951" w:rsidRDefault="00903DDE" w:rsidP="00903DDE">
      <w:pPr>
        <w:pStyle w:val="ListParagraph"/>
        <w:tabs>
          <w:tab w:val="left" w:pos="720"/>
        </w:tabs>
        <w:rPr>
          <w:szCs w:val="24"/>
        </w:rPr>
      </w:pPr>
    </w:p>
    <w:p w14:paraId="11C48547" w14:textId="77777777" w:rsidR="00986DF6" w:rsidRPr="00903DDE" w:rsidRDefault="00986DF6" w:rsidP="00986DF6">
      <w:pPr>
        <w:tabs>
          <w:tab w:val="left" w:pos="720"/>
          <w:tab w:val="left" w:pos="1140"/>
        </w:tabs>
        <w:rPr>
          <w:u w:val="single"/>
        </w:rPr>
      </w:pPr>
      <w:r w:rsidRPr="00903DDE">
        <w:rPr>
          <w:u w:val="single"/>
        </w:rPr>
        <w:t>Main Results</w:t>
      </w:r>
    </w:p>
    <w:p w14:paraId="3B39B83B" w14:textId="77777777" w:rsidR="00986DF6" w:rsidRDefault="00986DF6" w:rsidP="00986DF6">
      <w:pPr>
        <w:tabs>
          <w:tab w:val="left" w:pos="720"/>
        </w:tabs>
        <w:rPr>
          <w:szCs w:val="24"/>
        </w:rPr>
      </w:pPr>
      <w:r w:rsidRPr="00970584">
        <w:rPr>
          <w:b/>
          <w:szCs w:val="24"/>
        </w:rPr>
        <w:t>Fracture risk for women using AIs</w:t>
      </w:r>
      <w:r>
        <w:rPr>
          <w:szCs w:val="24"/>
        </w:rPr>
        <w:t xml:space="preserve"> </w:t>
      </w:r>
    </w:p>
    <w:p w14:paraId="305D7531" w14:textId="77777777" w:rsidR="00986DF6" w:rsidRDefault="00986DF6" w:rsidP="00986DF6">
      <w:pPr>
        <w:tabs>
          <w:tab w:val="left" w:pos="720"/>
        </w:tabs>
        <w:rPr>
          <w:szCs w:val="24"/>
        </w:rPr>
      </w:pPr>
      <w:r w:rsidRPr="002C71E2">
        <w:rPr>
          <w:szCs w:val="24"/>
        </w:rPr>
        <w:t>Number needed to harm: 46 women treated with AIs resulted in 1 fracture (Amir et al 2011</w:t>
      </w:r>
      <w:r w:rsidRPr="00576214">
        <w:rPr>
          <w:szCs w:val="24"/>
        </w:rPr>
        <w:t>, high quality systematic review</w:t>
      </w:r>
      <w:r>
        <w:rPr>
          <w:szCs w:val="24"/>
        </w:rPr>
        <w:t>)</w:t>
      </w:r>
    </w:p>
    <w:p w14:paraId="0C65B6C4" w14:textId="77777777" w:rsidR="00986DF6" w:rsidRDefault="00986DF6" w:rsidP="00986DF6">
      <w:pPr>
        <w:pStyle w:val="ListParagraph"/>
        <w:numPr>
          <w:ilvl w:val="0"/>
          <w:numId w:val="28"/>
        </w:numPr>
        <w:tabs>
          <w:tab w:val="left" w:pos="720"/>
        </w:tabs>
        <w:rPr>
          <w:szCs w:val="24"/>
        </w:rPr>
      </w:pPr>
      <w:r w:rsidRPr="002C71E2">
        <w:rPr>
          <w:szCs w:val="24"/>
        </w:rPr>
        <w:t xml:space="preserve">~1.5-fold increased risk of MTF due to AIs (Becker et al 2012, high quality </w:t>
      </w:r>
      <w:r w:rsidRPr="00576214">
        <w:rPr>
          <w:szCs w:val="24"/>
        </w:rPr>
        <w:t>systematic review)</w:t>
      </w:r>
      <w:r>
        <w:rPr>
          <w:szCs w:val="24"/>
        </w:rPr>
        <w:t>.</w:t>
      </w:r>
    </w:p>
    <w:p w14:paraId="35212823" w14:textId="77777777" w:rsidR="00986DF6" w:rsidRDefault="00986DF6" w:rsidP="00986DF6">
      <w:pPr>
        <w:pStyle w:val="ListParagraph"/>
        <w:numPr>
          <w:ilvl w:val="0"/>
          <w:numId w:val="28"/>
        </w:numPr>
        <w:tabs>
          <w:tab w:val="left" w:pos="720"/>
        </w:tabs>
        <w:rPr>
          <w:szCs w:val="24"/>
        </w:rPr>
      </w:pPr>
      <w:r w:rsidRPr="002C71E2">
        <w:rPr>
          <w:szCs w:val="24"/>
        </w:rPr>
        <w:t xml:space="preserve">No studies compared risk of fracture in women with breast cancer taking AIs with other high risk populations such as those on long-term corticosteroid therapies. </w:t>
      </w:r>
    </w:p>
    <w:p w14:paraId="540DA3A0" w14:textId="77777777" w:rsidR="00986DF6" w:rsidRDefault="00986DF6" w:rsidP="00986DF6">
      <w:pPr>
        <w:pStyle w:val="ListParagraph"/>
        <w:numPr>
          <w:ilvl w:val="0"/>
          <w:numId w:val="28"/>
        </w:numPr>
        <w:tabs>
          <w:tab w:val="left" w:pos="720"/>
        </w:tabs>
        <w:rPr>
          <w:szCs w:val="24"/>
        </w:rPr>
      </w:pPr>
      <w:r w:rsidRPr="002C71E2">
        <w:rPr>
          <w:szCs w:val="24"/>
        </w:rPr>
        <w:t xml:space="preserve">Retrospective analysis of large population-based cohort of women with breast cancer </w:t>
      </w:r>
      <w:r>
        <w:rPr>
          <w:szCs w:val="24"/>
        </w:rPr>
        <w:t>reported</w:t>
      </w:r>
      <w:r w:rsidRPr="002C71E2">
        <w:rPr>
          <w:szCs w:val="24"/>
        </w:rPr>
        <w:t xml:space="preserve"> higher risk of fracture if treated with AIs compared with tamoxifen or no hormone therapy (Neuner et al 2011, medium quality).</w:t>
      </w:r>
    </w:p>
    <w:p w14:paraId="2A4B13F5" w14:textId="77777777" w:rsidR="00986DF6" w:rsidRDefault="00986DF6" w:rsidP="00986DF6">
      <w:pPr>
        <w:pStyle w:val="ListParagraph"/>
        <w:numPr>
          <w:ilvl w:val="0"/>
          <w:numId w:val="28"/>
        </w:numPr>
        <w:tabs>
          <w:tab w:val="left" w:pos="720"/>
        </w:tabs>
        <w:rPr>
          <w:szCs w:val="24"/>
        </w:rPr>
      </w:pPr>
      <w:r>
        <w:rPr>
          <w:szCs w:val="24"/>
        </w:rPr>
        <w:t>In 7-year follow-up of ATAC trial (</w:t>
      </w:r>
      <w:proofErr w:type="spellStart"/>
      <w:r>
        <w:rPr>
          <w:szCs w:val="24"/>
        </w:rPr>
        <w:t>Eastell</w:t>
      </w:r>
      <w:proofErr w:type="spellEnd"/>
      <w:r>
        <w:rPr>
          <w:szCs w:val="24"/>
        </w:rPr>
        <w:t xml:space="preserve"> et al 2011, medium quality) bone loss was accelerated during use of AIs, was partially restored after treatment cessation, but did not return to baseline levels</w:t>
      </w:r>
      <w:r w:rsidR="00903DDE">
        <w:rPr>
          <w:szCs w:val="24"/>
        </w:rPr>
        <w:t>.</w:t>
      </w:r>
    </w:p>
    <w:p w14:paraId="302AB02A" w14:textId="77777777" w:rsidR="00AB2AC1" w:rsidRDefault="00AB2AC1" w:rsidP="00986DF6">
      <w:pPr>
        <w:tabs>
          <w:tab w:val="left" w:pos="720"/>
        </w:tabs>
        <w:rPr>
          <w:b/>
          <w:szCs w:val="24"/>
        </w:rPr>
      </w:pPr>
    </w:p>
    <w:p w14:paraId="70B51A57" w14:textId="77777777" w:rsidR="00AB2AC1" w:rsidRDefault="00AB2AC1" w:rsidP="00986DF6">
      <w:pPr>
        <w:tabs>
          <w:tab w:val="left" w:pos="720"/>
        </w:tabs>
        <w:rPr>
          <w:b/>
          <w:szCs w:val="24"/>
        </w:rPr>
      </w:pPr>
    </w:p>
    <w:p w14:paraId="242326B0" w14:textId="77777777" w:rsidR="00986DF6" w:rsidRDefault="00D672A9" w:rsidP="00986DF6">
      <w:pPr>
        <w:tabs>
          <w:tab w:val="left" w:pos="720"/>
        </w:tabs>
        <w:rPr>
          <w:b/>
          <w:szCs w:val="24"/>
        </w:rPr>
      </w:pPr>
      <w:r>
        <w:rPr>
          <w:b/>
          <w:szCs w:val="24"/>
        </w:rPr>
        <w:lastRenderedPageBreak/>
        <w:t>Comparative e</w:t>
      </w:r>
      <w:r w:rsidR="00986DF6" w:rsidRPr="00970584">
        <w:rPr>
          <w:b/>
          <w:szCs w:val="24"/>
        </w:rPr>
        <w:t>ffectiveness – DXA</w:t>
      </w:r>
    </w:p>
    <w:p w14:paraId="739002C1" w14:textId="77777777" w:rsidR="00986DF6" w:rsidRDefault="00986DF6" w:rsidP="00986DF6">
      <w:pPr>
        <w:tabs>
          <w:tab w:val="left" w:pos="720"/>
        </w:tabs>
        <w:rPr>
          <w:szCs w:val="24"/>
        </w:rPr>
      </w:pPr>
      <w:r w:rsidRPr="00D54427">
        <w:rPr>
          <w:szCs w:val="24"/>
        </w:rPr>
        <w:t xml:space="preserve">Evidence was available for post-menopausal women, </w:t>
      </w:r>
      <w:r w:rsidR="00D672A9">
        <w:rPr>
          <w:szCs w:val="24"/>
        </w:rPr>
        <w:t xml:space="preserve">but </w:t>
      </w:r>
      <w:r w:rsidRPr="00D54427">
        <w:rPr>
          <w:szCs w:val="24"/>
        </w:rPr>
        <w:t>not specifically for the population of interest.</w:t>
      </w:r>
      <w:r w:rsidR="00D672A9">
        <w:rPr>
          <w:szCs w:val="24"/>
        </w:rPr>
        <w:t xml:space="preserve">  </w:t>
      </w:r>
      <w:r>
        <w:t>BMD measurement has low sensitivity but high specificity for hip fractures and is not recommended for screening in the general population (Marshall et al 1996, medium quality systematic review).</w:t>
      </w:r>
      <w:r w:rsidR="00903DDE">
        <w:t xml:space="preserve"> </w:t>
      </w:r>
      <w:r>
        <w:t xml:space="preserve"> A m</w:t>
      </w:r>
      <w:r w:rsidRPr="00970584">
        <w:rPr>
          <w:szCs w:val="24"/>
        </w:rPr>
        <w:t xml:space="preserve">eta-analysis </w:t>
      </w:r>
      <w:r>
        <w:rPr>
          <w:szCs w:val="24"/>
        </w:rPr>
        <w:t xml:space="preserve">concluded that </w:t>
      </w:r>
      <w:r w:rsidRPr="00970584">
        <w:rPr>
          <w:szCs w:val="24"/>
        </w:rPr>
        <w:t xml:space="preserve">combined use of clinical risk factor assessment and BMD is optimal </w:t>
      </w:r>
      <w:r>
        <w:rPr>
          <w:szCs w:val="24"/>
        </w:rPr>
        <w:t>as it</w:t>
      </w:r>
      <w:r w:rsidRPr="00970584">
        <w:rPr>
          <w:szCs w:val="24"/>
        </w:rPr>
        <w:t xml:space="preserve"> provides </w:t>
      </w:r>
      <w:r>
        <w:rPr>
          <w:szCs w:val="24"/>
        </w:rPr>
        <w:t xml:space="preserve">the </w:t>
      </w:r>
      <w:r w:rsidRPr="00970584">
        <w:rPr>
          <w:szCs w:val="24"/>
        </w:rPr>
        <w:t>most effective prediction of fracture risk and need for</w:t>
      </w:r>
      <w:r>
        <w:rPr>
          <w:szCs w:val="24"/>
        </w:rPr>
        <w:t xml:space="preserve"> anti-resorptive therapies (</w:t>
      </w:r>
      <w:proofErr w:type="spellStart"/>
      <w:r>
        <w:rPr>
          <w:szCs w:val="24"/>
        </w:rPr>
        <w:t>Kanis</w:t>
      </w:r>
      <w:proofErr w:type="spellEnd"/>
      <w:r>
        <w:rPr>
          <w:szCs w:val="24"/>
        </w:rPr>
        <w:t xml:space="preserve"> et al 2007, medium quality). </w:t>
      </w:r>
      <w:r w:rsidR="00903DDE">
        <w:rPr>
          <w:szCs w:val="24"/>
        </w:rPr>
        <w:t xml:space="preserve"> </w:t>
      </w:r>
      <w:r>
        <w:rPr>
          <w:szCs w:val="24"/>
        </w:rPr>
        <w:t>A health technology assessment report (Hailey et al 1998, strong evidence) concluded that DXA has the best test performance compared with other BMD technologies: 3-6% coefficient of variation and 1-3% precision.</w:t>
      </w:r>
    </w:p>
    <w:p w14:paraId="76C697A0" w14:textId="77777777" w:rsidR="00986DF6" w:rsidRDefault="00986DF6" w:rsidP="00986DF6">
      <w:pPr>
        <w:tabs>
          <w:tab w:val="left" w:pos="720"/>
        </w:tabs>
        <w:rPr>
          <w:b/>
          <w:szCs w:val="24"/>
        </w:rPr>
      </w:pPr>
    </w:p>
    <w:p w14:paraId="3BB3DC85" w14:textId="77777777" w:rsidR="00986DF6" w:rsidRDefault="00D672A9" w:rsidP="00986DF6">
      <w:pPr>
        <w:tabs>
          <w:tab w:val="left" w:pos="720"/>
        </w:tabs>
        <w:rPr>
          <w:szCs w:val="24"/>
        </w:rPr>
      </w:pPr>
      <w:r>
        <w:rPr>
          <w:b/>
          <w:szCs w:val="24"/>
        </w:rPr>
        <w:t>Comparative e</w:t>
      </w:r>
      <w:r w:rsidR="00986DF6" w:rsidRPr="00970584">
        <w:rPr>
          <w:b/>
          <w:szCs w:val="24"/>
        </w:rPr>
        <w:t>ffectiveness – treatments</w:t>
      </w:r>
      <w:r w:rsidR="00986DF6" w:rsidRPr="00D54427">
        <w:rPr>
          <w:b/>
        </w:rPr>
        <w:t xml:space="preserve"> </w:t>
      </w:r>
      <w:r w:rsidR="00986DF6" w:rsidRPr="00D54427">
        <w:rPr>
          <w:b/>
          <w:szCs w:val="24"/>
        </w:rPr>
        <w:t>for low BMD</w:t>
      </w:r>
    </w:p>
    <w:p w14:paraId="7E1FBCD8" w14:textId="7B95DCC0" w:rsidR="00903DDE" w:rsidRDefault="00986DF6" w:rsidP="00986DF6">
      <w:pPr>
        <w:tabs>
          <w:tab w:val="left" w:pos="720"/>
        </w:tabs>
        <w:rPr>
          <w:szCs w:val="24"/>
        </w:rPr>
      </w:pPr>
      <w:r>
        <w:rPr>
          <w:szCs w:val="24"/>
        </w:rPr>
        <w:t>C</w:t>
      </w:r>
      <w:r w:rsidRPr="00970584">
        <w:rPr>
          <w:szCs w:val="24"/>
        </w:rPr>
        <w:t xml:space="preserve">onsistent evidence </w:t>
      </w:r>
      <w:r>
        <w:rPr>
          <w:szCs w:val="24"/>
        </w:rPr>
        <w:t xml:space="preserve">was presented in the assessment </w:t>
      </w:r>
      <w:r w:rsidRPr="00970584">
        <w:rPr>
          <w:szCs w:val="24"/>
        </w:rPr>
        <w:t xml:space="preserve">that </w:t>
      </w:r>
      <w:r>
        <w:rPr>
          <w:szCs w:val="24"/>
        </w:rPr>
        <w:t xml:space="preserve">anti-resorptive therapies </w:t>
      </w:r>
      <w:r w:rsidRPr="00970584">
        <w:rPr>
          <w:szCs w:val="24"/>
        </w:rPr>
        <w:t>significantly improve</w:t>
      </w:r>
      <w:r>
        <w:rPr>
          <w:szCs w:val="24"/>
        </w:rPr>
        <w:t>d</w:t>
      </w:r>
      <w:r w:rsidRPr="00970584">
        <w:rPr>
          <w:szCs w:val="24"/>
        </w:rPr>
        <w:t xml:space="preserve"> BMD in women taking AIs</w:t>
      </w:r>
      <w:r>
        <w:rPr>
          <w:szCs w:val="24"/>
        </w:rPr>
        <w:t xml:space="preserve"> regardless of prior treatment with chemotherapy or tamoxifen.</w:t>
      </w:r>
    </w:p>
    <w:p w14:paraId="229CA534" w14:textId="77777777" w:rsidR="00BC1364" w:rsidRPr="000F14B4" w:rsidRDefault="00BC1364" w:rsidP="00986DF6">
      <w:pPr>
        <w:rPr>
          <w:b/>
          <w:color w:val="FF0000"/>
          <w:szCs w:val="24"/>
        </w:rPr>
      </w:pPr>
    </w:p>
    <w:p w14:paraId="6E7A83BF" w14:textId="77777777" w:rsidR="00BC1364" w:rsidRDefault="00BC1364" w:rsidP="00986DF6">
      <w:pPr>
        <w:pStyle w:val="Heading1"/>
        <w:numPr>
          <w:ilvl w:val="0"/>
          <w:numId w:val="23"/>
        </w:numPr>
        <w:ind w:hanging="720"/>
      </w:pPr>
      <w:r w:rsidRPr="008D5885">
        <w:t>Economic evaluation</w:t>
      </w:r>
    </w:p>
    <w:p w14:paraId="6D1D17A4" w14:textId="77777777" w:rsidR="00BC1364" w:rsidRDefault="00BC1364" w:rsidP="00986DF6">
      <w:pPr>
        <w:rPr>
          <w:b/>
          <w:szCs w:val="24"/>
        </w:rPr>
      </w:pPr>
    </w:p>
    <w:p w14:paraId="1020E618" w14:textId="77777777" w:rsidR="00986DF6" w:rsidRDefault="00986DF6" w:rsidP="00986DF6">
      <w:pPr>
        <w:tabs>
          <w:tab w:val="left" w:pos="720"/>
        </w:tabs>
        <w:rPr>
          <w:szCs w:val="24"/>
        </w:rPr>
      </w:pPr>
      <w:r>
        <w:rPr>
          <w:szCs w:val="24"/>
        </w:rPr>
        <w:t xml:space="preserve">A cost-utility analysis was </w:t>
      </w:r>
      <w:r w:rsidR="00E87E7F">
        <w:rPr>
          <w:szCs w:val="24"/>
        </w:rPr>
        <w:t>presented</w:t>
      </w:r>
      <w:r>
        <w:rPr>
          <w:szCs w:val="24"/>
        </w:rPr>
        <w:t xml:space="preserve"> on the basis that the evidence showed that DXA together with the use of anti-resorptive therapy was superior for reversing bone loss in women taking AIs. </w:t>
      </w:r>
      <w:r w:rsidR="005B3A1C">
        <w:rPr>
          <w:szCs w:val="24"/>
        </w:rPr>
        <w:t xml:space="preserve"> </w:t>
      </w:r>
      <w:r>
        <w:rPr>
          <w:szCs w:val="24"/>
        </w:rPr>
        <w:t>Three high quality (based on the CHEERS criteria) published economic studies were identified</w:t>
      </w:r>
      <w:r w:rsidR="00E87E7F">
        <w:rPr>
          <w:szCs w:val="24"/>
        </w:rPr>
        <w:t>,</w:t>
      </w:r>
      <w:r>
        <w:rPr>
          <w:szCs w:val="24"/>
        </w:rPr>
        <w:t xml:space="preserve"> but none were Australian. </w:t>
      </w:r>
      <w:r w:rsidR="005B3A1C">
        <w:rPr>
          <w:szCs w:val="24"/>
        </w:rPr>
        <w:t xml:space="preserve"> </w:t>
      </w:r>
      <w:r>
        <w:rPr>
          <w:szCs w:val="24"/>
        </w:rPr>
        <w:t>One was considered applicable to the proposed clinical setting (Ito et al 2012) and the Markov modelling methods used informed the developme</w:t>
      </w:r>
      <w:r w:rsidR="008F5F79">
        <w:rPr>
          <w:szCs w:val="24"/>
        </w:rPr>
        <w:t>nt of an economic model for the Assessment Report</w:t>
      </w:r>
      <w:r>
        <w:rPr>
          <w:szCs w:val="24"/>
        </w:rPr>
        <w:t>.</w:t>
      </w:r>
    </w:p>
    <w:p w14:paraId="5927CF67" w14:textId="77777777" w:rsidR="005B3A1C" w:rsidRDefault="005B3A1C" w:rsidP="00986DF6">
      <w:pPr>
        <w:tabs>
          <w:tab w:val="left" w:pos="720"/>
        </w:tabs>
        <w:rPr>
          <w:szCs w:val="24"/>
        </w:rPr>
      </w:pPr>
    </w:p>
    <w:p w14:paraId="674C9475" w14:textId="77777777" w:rsidR="00986DF6" w:rsidRDefault="001C6803" w:rsidP="00986DF6">
      <w:pPr>
        <w:tabs>
          <w:tab w:val="left" w:pos="720"/>
        </w:tabs>
        <w:rPr>
          <w:szCs w:val="24"/>
        </w:rPr>
      </w:pPr>
      <w:r>
        <w:rPr>
          <w:szCs w:val="24"/>
        </w:rPr>
        <w:t>Issues raised about</w:t>
      </w:r>
      <w:r w:rsidR="00986DF6">
        <w:rPr>
          <w:szCs w:val="24"/>
        </w:rPr>
        <w:t xml:space="preserve"> the model, </w:t>
      </w:r>
      <w:r>
        <w:rPr>
          <w:szCs w:val="24"/>
        </w:rPr>
        <w:t xml:space="preserve">included </w:t>
      </w:r>
      <w:r w:rsidR="00986DF6">
        <w:rPr>
          <w:szCs w:val="24"/>
        </w:rPr>
        <w:t>the assumptions made and the validity of the modelled estimates of cost-effectiveness.</w:t>
      </w:r>
      <w:r w:rsidR="005B3A1C">
        <w:rPr>
          <w:szCs w:val="24"/>
        </w:rPr>
        <w:t xml:space="preserve"> </w:t>
      </w:r>
      <w:r w:rsidR="00986DF6">
        <w:rPr>
          <w:szCs w:val="24"/>
        </w:rPr>
        <w:t xml:space="preserve"> For example:</w:t>
      </w:r>
    </w:p>
    <w:p w14:paraId="7FE837DF" w14:textId="77777777" w:rsidR="00986DF6" w:rsidRDefault="00986DF6" w:rsidP="00986DF6">
      <w:pPr>
        <w:pStyle w:val="ListParagraph"/>
        <w:numPr>
          <w:ilvl w:val="0"/>
          <w:numId w:val="29"/>
        </w:numPr>
        <w:tabs>
          <w:tab w:val="left" w:pos="720"/>
        </w:tabs>
        <w:rPr>
          <w:szCs w:val="24"/>
        </w:rPr>
      </w:pPr>
      <w:r>
        <w:rPr>
          <w:szCs w:val="24"/>
        </w:rPr>
        <w:t>T</w:t>
      </w:r>
      <w:r w:rsidRPr="000B3492">
        <w:rPr>
          <w:szCs w:val="24"/>
        </w:rPr>
        <w:t xml:space="preserve">he relative risk (RR) of fracture due to osteoporosis (T-score≤-2.5) was estimated by extrapolating the relative risk of fracture per standard deviation decrease in BMD estimated in the systematic review by Marshall et al (1996). </w:t>
      </w:r>
      <w:r w:rsidR="005B3A1C">
        <w:rPr>
          <w:szCs w:val="24"/>
        </w:rPr>
        <w:t xml:space="preserve"> </w:t>
      </w:r>
      <w:r w:rsidRPr="000B3492">
        <w:rPr>
          <w:szCs w:val="24"/>
        </w:rPr>
        <w:t>The base case used RR=3.75</w:t>
      </w:r>
      <w:r w:rsidR="00F31AC1">
        <w:rPr>
          <w:szCs w:val="24"/>
        </w:rPr>
        <w:t>,</w:t>
      </w:r>
      <w:r w:rsidRPr="000B3492">
        <w:rPr>
          <w:szCs w:val="24"/>
        </w:rPr>
        <w:t xml:space="preserve"> with a narrow range (3.50-4.00) for the sensitivity analysis.</w:t>
      </w:r>
    </w:p>
    <w:p w14:paraId="0AB47162" w14:textId="77777777" w:rsidR="00986DF6" w:rsidRDefault="00986DF6" w:rsidP="00986DF6">
      <w:pPr>
        <w:pStyle w:val="ListParagraph"/>
        <w:numPr>
          <w:ilvl w:val="0"/>
          <w:numId w:val="29"/>
        </w:numPr>
        <w:tabs>
          <w:tab w:val="left" w:pos="720"/>
        </w:tabs>
        <w:rPr>
          <w:szCs w:val="24"/>
        </w:rPr>
      </w:pPr>
      <w:r>
        <w:rPr>
          <w:szCs w:val="24"/>
        </w:rPr>
        <w:t>It was assumed that all minimal trauma fractures would result in hospitalisation and furthermore that the annual cost of treating a vertebral fracture was $11,974 (likely to be a considerable overestimate)</w:t>
      </w:r>
      <w:r w:rsidR="00F31AC1">
        <w:rPr>
          <w:szCs w:val="24"/>
        </w:rPr>
        <w:t>.</w:t>
      </w:r>
    </w:p>
    <w:p w14:paraId="476E6A62" w14:textId="77777777" w:rsidR="00986DF6" w:rsidRDefault="00986DF6" w:rsidP="00986DF6">
      <w:pPr>
        <w:pStyle w:val="ListParagraph"/>
        <w:numPr>
          <w:ilvl w:val="0"/>
          <w:numId w:val="29"/>
        </w:numPr>
        <w:tabs>
          <w:tab w:val="left" w:pos="720"/>
        </w:tabs>
        <w:rPr>
          <w:szCs w:val="24"/>
        </w:rPr>
      </w:pPr>
      <w:r>
        <w:rPr>
          <w:szCs w:val="24"/>
        </w:rPr>
        <w:t>The key model parameter, RR of fracture in women on AIs taking anti-resorptive therapy compared with those not taking anti-resorptive therapy was estimated to be 0.66 based on pooled proportions of women who had fractures with and without anti-resorptive therapy from different studies.</w:t>
      </w:r>
    </w:p>
    <w:p w14:paraId="71F40AC3" w14:textId="77777777" w:rsidR="00986DF6" w:rsidRDefault="00986DF6" w:rsidP="00986DF6">
      <w:pPr>
        <w:pStyle w:val="ListParagraph"/>
        <w:tabs>
          <w:tab w:val="left" w:pos="720"/>
        </w:tabs>
        <w:ind w:left="0"/>
        <w:rPr>
          <w:szCs w:val="24"/>
        </w:rPr>
      </w:pPr>
    </w:p>
    <w:p w14:paraId="3A4DE0E3" w14:textId="77777777" w:rsidR="00986DF6" w:rsidRDefault="00986DF6" w:rsidP="00986DF6">
      <w:pPr>
        <w:pStyle w:val="ListParagraph"/>
        <w:tabs>
          <w:tab w:val="left" w:pos="720"/>
        </w:tabs>
        <w:ind w:left="0"/>
        <w:rPr>
          <w:szCs w:val="24"/>
        </w:rPr>
      </w:pPr>
      <w:r>
        <w:rPr>
          <w:szCs w:val="24"/>
        </w:rPr>
        <w:t>Other minor problems included the assumption that zoledronic acid was administered twice a year, not once.</w:t>
      </w:r>
    </w:p>
    <w:p w14:paraId="58B93CA7" w14:textId="77777777" w:rsidR="00BC1364" w:rsidRPr="0075468E" w:rsidRDefault="00BC1364" w:rsidP="00986DF6">
      <w:pPr>
        <w:rPr>
          <w:szCs w:val="24"/>
        </w:rPr>
      </w:pPr>
    </w:p>
    <w:p w14:paraId="5558CADA" w14:textId="77777777" w:rsidR="00BC1364" w:rsidRDefault="00BC1364" w:rsidP="00986DF6">
      <w:pPr>
        <w:pStyle w:val="Heading1"/>
        <w:numPr>
          <w:ilvl w:val="0"/>
          <w:numId w:val="23"/>
        </w:numPr>
        <w:ind w:hanging="720"/>
      </w:pPr>
      <w:r w:rsidRPr="008D5885">
        <w:t>Financial/budgetary impacts</w:t>
      </w:r>
    </w:p>
    <w:p w14:paraId="4A6AF485" w14:textId="77777777" w:rsidR="00BC1364" w:rsidRDefault="00BC1364" w:rsidP="00986DF6">
      <w:pPr>
        <w:pStyle w:val="Default"/>
      </w:pPr>
    </w:p>
    <w:p w14:paraId="04337EAB" w14:textId="77777777" w:rsidR="00986DF6" w:rsidRDefault="00986DF6" w:rsidP="00986DF6">
      <w:pPr>
        <w:tabs>
          <w:tab w:val="left" w:pos="720"/>
        </w:tabs>
        <w:rPr>
          <w:szCs w:val="24"/>
        </w:rPr>
      </w:pPr>
      <w:r>
        <w:rPr>
          <w:szCs w:val="24"/>
        </w:rPr>
        <w:t>An epidemiological approach was used to assess the financial implications of listing DXA for women with breast cancer taking AI therapy.</w:t>
      </w:r>
    </w:p>
    <w:p w14:paraId="468F0C42" w14:textId="77777777" w:rsidR="00E172F7" w:rsidRDefault="00E172F7" w:rsidP="00986DF6">
      <w:pPr>
        <w:tabs>
          <w:tab w:val="left" w:pos="720"/>
        </w:tabs>
        <w:rPr>
          <w:szCs w:val="24"/>
        </w:rPr>
      </w:pPr>
    </w:p>
    <w:p w14:paraId="78D62B45" w14:textId="77777777" w:rsidR="00986DF6" w:rsidRDefault="00986DF6" w:rsidP="00986DF6">
      <w:pPr>
        <w:tabs>
          <w:tab w:val="left" w:pos="720"/>
        </w:tabs>
        <w:rPr>
          <w:szCs w:val="24"/>
        </w:rPr>
      </w:pPr>
      <w:r>
        <w:rPr>
          <w:szCs w:val="24"/>
        </w:rPr>
        <w:t xml:space="preserve">The base case used in the analysis assumed the anti-resorptive therapy risedronate </w:t>
      </w:r>
      <w:r w:rsidR="00F31AC1">
        <w:rPr>
          <w:szCs w:val="24"/>
        </w:rPr>
        <w:t>would</w:t>
      </w:r>
      <w:r>
        <w:rPr>
          <w:szCs w:val="24"/>
        </w:rPr>
        <w:t xml:space="preserve"> be used</w:t>
      </w:r>
      <w:r w:rsidR="00F31AC1">
        <w:rPr>
          <w:szCs w:val="24"/>
        </w:rPr>
        <w:t>,</w:t>
      </w:r>
      <w:r>
        <w:rPr>
          <w:szCs w:val="24"/>
        </w:rPr>
        <w:t xml:space="preserve"> with the costs of zoledronic acid (again incorrectly assumed to be administered twice a year) considered in sensitivity analysis.</w:t>
      </w:r>
    </w:p>
    <w:p w14:paraId="4B46FA77" w14:textId="77777777" w:rsidR="00E172F7" w:rsidRDefault="00E172F7" w:rsidP="00986DF6">
      <w:pPr>
        <w:tabs>
          <w:tab w:val="left" w:pos="720"/>
        </w:tabs>
        <w:rPr>
          <w:szCs w:val="24"/>
        </w:rPr>
      </w:pPr>
    </w:p>
    <w:p w14:paraId="7D037F91" w14:textId="77777777" w:rsidR="00986DF6" w:rsidRDefault="00986DF6" w:rsidP="00986DF6">
      <w:pPr>
        <w:tabs>
          <w:tab w:val="left" w:pos="720"/>
        </w:tabs>
        <w:rPr>
          <w:szCs w:val="24"/>
        </w:rPr>
      </w:pPr>
      <w:r>
        <w:rPr>
          <w:szCs w:val="24"/>
        </w:rPr>
        <w:t xml:space="preserve">There </w:t>
      </w:r>
      <w:r w:rsidR="00F31AC1">
        <w:rPr>
          <w:szCs w:val="24"/>
        </w:rPr>
        <w:t>we</w:t>
      </w:r>
      <w:r>
        <w:rPr>
          <w:szCs w:val="24"/>
        </w:rPr>
        <w:t>re some errors in the analysis:</w:t>
      </w:r>
    </w:p>
    <w:p w14:paraId="0A41E3CD" w14:textId="77777777" w:rsidR="00986DF6" w:rsidRDefault="00986DF6" w:rsidP="00986DF6">
      <w:pPr>
        <w:pStyle w:val="ListParagraph"/>
        <w:numPr>
          <w:ilvl w:val="0"/>
          <w:numId w:val="30"/>
        </w:numPr>
        <w:tabs>
          <w:tab w:val="left" w:pos="720"/>
        </w:tabs>
        <w:rPr>
          <w:szCs w:val="24"/>
        </w:rPr>
      </w:pPr>
      <w:r>
        <w:rPr>
          <w:szCs w:val="24"/>
        </w:rPr>
        <w:lastRenderedPageBreak/>
        <w:t xml:space="preserve">It was assumed that DXA scans would be provided annually for all women over the five year horizon while the proposed clinical management algorithm indicated that those with </w:t>
      </w:r>
      <w:r w:rsidRPr="0086521F">
        <w:rPr>
          <w:szCs w:val="24"/>
        </w:rPr>
        <w:t>T-scores</w:t>
      </w:r>
      <w:r w:rsidR="00E172F7">
        <w:rPr>
          <w:szCs w:val="24"/>
        </w:rPr>
        <w:t xml:space="preserve"> </w:t>
      </w:r>
      <w:r w:rsidRPr="0086521F">
        <w:rPr>
          <w:szCs w:val="24"/>
        </w:rPr>
        <w:t xml:space="preserve">&gt;-2.5 </w:t>
      </w:r>
      <w:r>
        <w:rPr>
          <w:szCs w:val="24"/>
        </w:rPr>
        <w:t>would have a baseline scan and then a repeat scan after two years and then subsequent DXA scans only for those who develop skeletal metastases or premature menopause at which time they would be eligible for DXA scans and AR therapy under existing MBS and PBS items</w:t>
      </w:r>
      <w:r w:rsidR="00E172F7">
        <w:rPr>
          <w:szCs w:val="24"/>
        </w:rPr>
        <w:t>.</w:t>
      </w:r>
    </w:p>
    <w:p w14:paraId="1CCCE859" w14:textId="77777777" w:rsidR="00986DF6" w:rsidRDefault="00986DF6" w:rsidP="00986DF6">
      <w:pPr>
        <w:pStyle w:val="ListParagraph"/>
        <w:numPr>
          <w:ilvl w:val="0"/>
          <w:numId w:val="30"/>
        </w:numPr>
        <w:tabs>
          <w:tab w:val="left" w:pos="720"/>
        </w:tabs>
        <w:rPr>
          <w:szCs w:val="24"/>
        </w:rPr>
      </w:pPr>
      <w:r>
        <w:rPr>
          <w:szCs w:val="24"/>
        </w:rPr>
        <w:t>Costs to the MBS for two GP visits per year assoc</w:t>
      </w:r>
      <w:r w:rsidR="00F31AC1">
        <w:rPr>
          <w:szCs w:val="24"/>
        </w:rPr>
        <w:t>iated with risedronate therapy we</w:t>
      </w:r>
      <w:r>
        <w:rPr>
          <w:szCs w:val="24"/>
        </w:rPr>
        <w:t>re omitted</w:t>
      </w:r>
      <w:r w:rsidR="00E172F7">
        <w:rPr>
          <w:szCs w:val="24"/>
        </w:rPr>
        <w:t>.</w:t>
      </w:r>
    </w:p>
    <w:p w14:paraId="7BFA4CA2" w14:textId="77777777" w:rsidR="00986DF6" w:rsidRDefault="00986DF6" w:rsidP="00986DF6">
      <w:pPr>
        <w:pStyle w:val="ListParagraph"/>
        <w:numPr>
          <w:ilvl w:val="0"/>
          <w:numId w:val="30"/>
        </w:numPr>
        <w:tabs>
          <w:tab w:val="left" w:pos="720"/>
        </w:tabs>
        <w:rPr>
          <w:szCs w:val="24"/>
        </w:rPr>
      </w:pPr>
      <w:r>
        <w:rPr>
          <w:szCs w:val="24"/>
        </w:rPr>
        <w:t xml:space="preserve">The considerable </w:t>
      </w:r>
      <w:proofErr w:type="spellStart"/>
      <w:r>
        <w:rPr>
          <w:szCs w:val="24"/>
        </w:rPr>
        <w:t>copayment</w:t>
      </w:r>
      <w:proofErr w:type="spellEnd"/>
      <w:r>
        <w:rPr>
          <w:szCs w:val="24"/>
        </w:rPr>
        <w:t xml:space="preserve"> for general patients for risedronate was</w:t>
      </w:r>
      <w:r w:rsidR="00F31AC1">
        <w:rPr>
          <w:szCs w:val="24"/>
        </w:rPr>
        <w:t xml:space="preserve"> ignored (PBS maximum dispensed</w:t>
      </w:r>
      <w:r>
        <w:rPr>
          <w:szCs w:val="24"/>
        </w:rPr>
        <w:t xml:space="preserve"> price is $45.60 per month with </w:t>
      </w:r>
      <w:r w:rsidR="00F31AC1">
        <w:rPr>
          <w:szCs w:val="24"/>
        </w:rPr>
        <w:t xml:space="preserve">a </w:t>
      </w:r>
      <w:proofErr w:type="spellStart"/>
      <w:r>
        <w:rPr>
          <w:szCs w:val="24"/>
        </w:rPr>
        <w:t>copayment</w:t>
      </w:r>
      <w:proofErr w:type="spellEnd"/>
      <w:r>
        <w:rPr>
          <w:szCs w:val="24"/>
        </w:rPr>
        <w:t xml:space="preserve"> of $36.90</w:t>
      </w:r>
      <w:r w:rsidR="00F31AC1">
        <w:rPr>
          <w:szCs w:val="24"/>
        </w:rPr>
        <w:t xml:space="preserve"> for general patients</w:t>
      </w:r>
      <w:r>
        <w:rPr>
          <w:szCs w:val="24"/>
        </w:rPr>
        <w:t>, or $6.00 for concession patients)</w:t>
      </w:r>
      <w:r w:rsidR="00E172F7">
        <w:rPr>
          <w:szCs w:val="24"/>
        </w:rPr>
        <w:t>.</w:t>
      </w:r>
    </w:p>
    <w:p w14:paraId="4C5AECCB" w14:textId="77777777" w:rsidR="00986DF6" w:rsidRDefault="00986DF6" w:rsidP="00986DF6">
      <w:pPr>
        <w:pStyle w:val="ListParagraph"/>
        <w:numPr>
          <w:ilvl w:val="0"/>
          <w:numId w:val="30"/>
        </w:numPr>
        <w:tabs>
          <w:tab w:val="left" w:pos="720"/>
        </w:tabs>
        <w:rPr>
          <w:szCs w:val="24"/>
        </w:rPr>
      </w:pPr>
      <w:r>
        <w:rPr>
          <w:szCs w:val="24"/>
        </w:rPr>
        <w:t>Consideration was not given for women in the population of interest becoming eligible for DXA scans via existing MBS items and for anti-resorptive therapies as currently listed on the PBS</w:t>
      </w:r>
      <w:r w:rsidR="00E172F7">
        <w:rPr>
          <w:szCs w:val="24"/>
        </w:rPr>
        <w:t>.</w:t>
      </w:r>
    </w:p>
    <w:p w14:paraId="573B1105" w14:textId="77777777" w:rsidR="00986DF6" w:rsidRDefault="00986DF6" w:rsidP="00986DF6">
      <w:pPr>
        <w:pStyle w:val="ListParagraph"/>
        <w:numPr>
          <w:ilvl w:val="0"/>
          <w:numId w:val="30"/>
        </w:numPr>
        <w:tabs>
          <w:tab w:val="left" w:pos="720"/>
        </w:tabs>
        <w:rPr>
          <w:szCs w:val="24"/>
        </w:rPr>
      </w:pPr>
      <w:r>
        <w:rPr>
          <w:szCs w:val="24"/>
        </w:rPr>
        <w:t xml:space="preserve">Assumed compliance to risedronate was high (100% in year 1 to 80% in year 5). </w:t>
      </w:r>
      <w:r w:rsidR="00E172F7">
        <w:rPr>
          <w:szCs w:val="24"/>
        </w:rPr>
        <w:t xml:space="preserve"> </w:t>
      </w:r>
      <w:r>
        <w:rPr>
          <w:szCs w:val="24"/>
        </w:rPr>
        <w:t>This may be overestimated, with potential compliance to zoledronic acid (once per year) or denosumab (twice per year) being higher with higher costs to the PBS</w:t>
      </w:r>
      <w:r w:rsidR="00E172F7">
        <w:rPr>
          <w:szCs w:val="24"/>
        </w:rPr>
        <w:t>.</w:t>
      </w:r>
    </w:p>
    <w:p w14:paraId="1008CE87" w14:textId="77777777" w:rsidR="00986DF6" w:rsidRDefault="00986DF6" w:rsidP="00986DF6">
      <w:pPr>
        <w:pStyle w:val="ListParagraph"/>
        <w:numPr>
          <w:ilvl w:val="0"/>
          <w:numId w:val="30"/>
        </w:numPr>
        <w:tabs>
          <w:tab w:val="left" w:pos="720"/>
        </w:tabs>
        <w:rPr>
          <w:szCs w:val="24"/>
        </w:rPr>
      </w:pPr>
      <w:r>
        <w:rPr>
          <w:szCs w:val="24"/>
        </w:rPr>
        <w:t>Effects of the safety net were not considered</w:t>
      </w:r>
      <w:r w:rsidR="00E172F7">
        <w:rPr>
          <w:szCs w:val="24"/>
        </w:rPr>
        <w:t>.</w:t>
      </w:r>
    </w:p>
    <w:p w14:paraId="3CE7BF20" w14:textId="77777777" w:rsidR="00986DF6" w:rsidRDefault="00986DF6" w:rsidP="00986DF6">
      <w:pPr>
        <w:tabs>
          <w:tab w:val="left" w:pos="720"/>
        </w:tabs>
        <w:rPr>
          <w:szCs w:val="24"/>
        </w:rPr>
      </w:pPr>
    </w:p>
    <w:p w14:paraId="219BFD4D" w14:textId="77777777" w:rsidR="00986DF6" w:rsidRDefault="00986DF6" w:rsidP="00986DF6">
      <w:pPr>
        <w:tabs>
          <w:tab w:val="left" w:pos="720"/>
        </w:tabs>
        <w:rPr>
          <w:szCs w:val="24"/>
        </w:rPr>
      </w:pPr>
      <w:r>
        <w:rPr>
          <w:szCs w:val="24"/>
        </w:rPr>
        <w:t>Costs to the MBS over 5 years were estimated to be $13.</w:t>
      </w:r>
      <w:r w:rsidR="00E172F7">
        <w:rPr>
          <w:szCs w:val="24"/>
        </w:rPr>
        <w:t xml:space="preserve">4 </w:t>
      </w:r>
      <w:r>
        <w:rPr>
          <w:szCs w:val="24"/>
        </w:rPr>
        <w:t>m</w:t>
      </w:r>
      <w:r w:rsidR="00E172F7">
        <w:rPr>
          <w:szCs w:val="24"/>
        </w:rPr>
        <w:t xml:space="preserve">illion for annual DXA scans and $10.2 </w:t>
      </w:r>
      <w:r>
        <w:rPr>
          <w:szCs w:val="24"/>
        </w:rPr>
        <w:t>m</w:t>
      </w:r>
      <w:r w:rsidR="00E172F7">
        <w:rPr>
          <w:szCs w:val="24"/>
        </w:rPr>
        <w:t>illion</w:t>
      </w:r>
      <w:r>
        <w:rPr>
          <w:szCs w:val="24"/>
        </w:rPr>
        <w:t xml:space="preserve"> for two yearly scans.</w:t>
      </w:r>
    </w:p>
    <w:p w14:paraId="7851422B" w14:textId="77777777" w:rsidR="00E172F7" w:rsidRDefault="00E172F7" w:rsidP="00986DF6">
      <w:pPr>
        <w:tabs>
          <w:tab w:val="left" w:pos="720"/>
        </w:tabs>
        <w:rPr>
          <w:szCs w:val="24"/>
        </w:rPr>
      </w:pPr>
    </w:p>
    <w:p w14:paraId="60646B99" w14:textId="77777777" w:rsidR="00986DF6" w:rsidRDefault="00986DF6" w:rsidP="00986DF6">
      <w:pPr>
        <w:tabs>
          <w:tab w:val="left" w:pos="720"/>
        </w:tabs>
        <w:rPr>
          <w:szCs w:val="24"/>
        </w:rPr>
      </w:pPr>
      <w:r>
        <w:rPr>
          <w:szCs w:val="24"/>
        </w:rPr>
        <w:t>The total costs to the health system (MBS+PBS less savings to the States for fra</w:t>
      </w:r>
      <w:r w:rsidR="00E172F7">
        <w:rPr>
          <w:szCs w:val="24"/>
        </w:rPr>
        <w:t xml:space="preserve">ctures avoided) would be $19.1 </w:t>
      </w:r>
      <w:r>
        <w:rPr>
          <w:szCs w:val="24"/>
        </w:rPr>
        <w:t>m</w:t>
      </w:r>
      <w:r w:rsidR="00E172F7">
        <w:rPr>
          <w:szCs w:val="24"/>
        </w:rPr>
        <w:t>illion</w:t>
      </w:r>
      <w:r>
        <w:rPr>
          <w:szCs w:val="24"/>
        </w:rPr>
        <w:t xml:space="preserve"> for annual DXA scans.</w:t>
      </w:r>
      <w:r w:rsidR="00F31AC1">
        <w:rPr>
          <w:szCs w:val="24"/>
        </w:rPr>
        <w:t xml:space="preserve">  </w:t>
      </w:r>
      <w:r w:rsidR="00FC0637">
        <w:rPr>
          <w:szCs w:val="24"/>
        </w:rPr>
        <w:t>MSAC noted the ESC</w:t>
      </w:r>
      <w:r w:rsidR="00BD6C90">
        <w:rPr>
          <w:szCs w:val="24"/>
        </w:rPr>
        <w:t xml:space="preserve"> </w:t>
      </w:r>
      <w:r w:rsidR="00FC0637">
        <w:rPr>
          <w:szCs w:val="24"/>
        </w:rPr>
        <w:t>suggestion</w:t>
      </w:r>
      <w:r w:rsidR="00BD6C90">
        <w:rPr>
          <w:szCs w:val="24"/>
        </w:rPr>
        <w:t xml:space="preserve"> that</w:t>
      </w:r>
      <w:r w:rsidR="00F31AC1">
        <w:rPr>
          <w:szCs w:val="24"/>
        </w:rPr>
        <w:t xml:space="preserve"> it is not likely that freed resources from fractures averted would be realised as financial savings.</w:t>
      </w:r>
    </w:p>
    <w:p w14:paraId="0780AFB7" w14:textId="77777777" w:rsidR="00E172F7" w:rsidRDefault="00E172F7" w:rsidP="00986DF6">
      <w:pPr>
        <w:tabs>
          <w:tab w:val="left" w:pos="720"/>
        </w:tabs>
        <w:rPr>
          <w:szCs w:val="24"/>
        </w:rPr>
      </w:pPr>
    </w:p>
    <w:p w14:paraId="6EE1BEDE" w14:textId="77777777" w:rsidR="00986DF6" w:rsidRPr="000A32CB" w:rsidRDefault="00986DF6" w:rsidP="00986DF6">
      <w:pPr>
        <w:tabs>
          <w:tab w:val="left" w:pos="720"/>
        </w:tabs>
        <w:rPr>
          <w:szCs w:val="24"/>
        </w:rPr>
      </w:pPr>
      <w:r>
        <w:rPr>
          <w:szCs w:val="24"/>
        </w:rPr>
        <w:t>In sensitivity analyses the costs to the MBS are relatively stable with the differences in costs to the PBS impacting on the total costs.</w:t>
      </w:r>
    </w:p>
    <w:p w14:paraId="65643E1C" w14:textId="77777777" w:rsidR="00BC1364" w:rsidRDefault="00BC1364" w:rsidP="00986DF6">
      <w:pPr>
        <w:rPr>
          <w:b/>
          <w:szCs w:val="24"/>
        </w:rPr>
      </w:pPr>
    </w:p>
    <w:p w14:paraId="51AFB4ED" w14:textId="77777777" w:rsidR="00986DF6" w:rsidRDefault="00986DF6" w:rsidP="00986DF6">
      <w:pPr>
        <w:rPr>
          <w:b/>
          <w:szCs w:val="24"/>
        </w:rPr>
      </w:pPr>
      <w:r w:rsidRPr="00DE3B3B">
        <w:rPr>
          <w:noProof/>
        </w:rPr>
        <w:lastRenderedPageBreak/>
        <w:drawing>
          <wp:inline distT="0" distB="0" distL="0" distR="0" wp14:anchorId="50587605" wp14:editId="2EF8AC5D">
            <wp:extent cx="5731510" cy="6877685"/>
            <wp:effectExtent l="0" t="0" r="2540" b="0"/>
            <wp:docPr id="90" name="Picture 2" descr="Table 30: results of the financial estimates over next five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31510" cy="6877685"/>
                    </a:xfrm>
                    <a:prstGeom prst="rect">
                      <a:avLst/>
                    </a:prstGeom>
                    <a:noFill/>
                    <a:ln w="9525">
                      <a:noFill/>
                      <a:miter lim="800000"/>
                      <a:headEnd/>
                      <a:tailEnd/>
                    </a:ln>
                  </pic:spPr>
                </pic:pic>
              </a:graphicData>
            </a:graphic>
          </wp:inline>
        </w:drawing>
      </w:r>
    </w:p>
    <w:p w14:paraId="5CBCD27F" w14:textId="77777777" w:rsidR="00986DF6" w:rsidRDefault="00986DF6" w:rsidP="00986DF6">
      <w:pPr>
        <w:rPr>
          <w:b/>
          <w:szCs w:val="24"/>
        </w:rPr>
      </w:pPr>
    </w:p>
    <w:p w14:paraId="52E42947" w14:textId="77777777" w:rsidR="006A0D97" w:rsidRDefault="006A0D97" w:rsidP="00986DF6">
      <w:pPr>
        <w:pStyle w:val="Heading1"/>
        <w:numPr>
          <w:ilvl w:val="0"/>
          <w:numId w:val="23"/>
        </w:numPr>
        <w:ind w:hanging="720"/>
      </w:pPr>
      <w:r w:rsidRPr="006A0D97">
        <w:t>Key issues from ESC for MSAC</w:t>
      </w:r>
    </w:p>
    <w:p w14:paraId="16106C27" w14:textId="77777777" w:rsidR="00FA62AB" w:rsidRDefault="00FA62AB" w:rsidP="00E172F7">
      <w:pPr>
        <w:tabs>
          <w:tab w:val="left" w:pos="720"/>
          <w:tab w:val="left" w:pos="1140"/>
        </w:tabs>
        <w:rPr>
          <w:szCs w:val="24"/>
        </w:rPr>
      </w:pPr>
    </w:p>
    <w:p w14:paraId="0F11C21A" w14:textId="77777777" w:rsidR="00986DF6" w:rsidRDefault="00986DF6" w:rsidP="00E172F7">
      <w:pPr>
        <w:tabs>
          <w:tab w:val="left" w:pos="720"/>
          <w:tab w:val="left" w:pos="1140"/>
        </w:tabs>
        <w:rPr>
          <w:szCs w:val="24"/>
        </w:rPr>
      </w:pPr>
      <w:r>
        <w:rPr>
          <w:szCs w:val="24"/>
        </w:rPr>
        <w:t>ESC noted that the target population was post-menopausal women with early stage breast cancer who receive or are being considered for treatment with a</w:t>
      </w:r>
      <w:r w:rsidRPr="000F7641">
        <w:rPr>
          <w:szCs w:val="24"/>
        </w:rPr>
        <w:t>romatase inhibitor (AI)</w:t>
      </w:r>
      <w:r>
        <w:rPr>
          <w:szCs w:val="24"/>
        </w:rPr>
        <w:t xml:space="preserve"> therapy.  AI </w:t>
      </w:r>
      <w:r w:rsidRPr="000F7641">
        <w:rPr>
          <w:szCs w:val="24"/>
        </w:rPr>
        <w:t xml:space="preserve">therapy </w:t>
      </w:r>
      <w:r>
        <w:rPr>
          <w:szCs w:val="24"/>
        </w:rPr>
        <w:t xml:space="preserve">is </w:t>
      </w:r>
      <w:r w:rsidRPr="000F7641">
        <w:rPr>
          <w:szCs w:val="24"/>
        </w:rPr>
        <w:t>associated with rapid bone loss</w:t>
      </w:r>
      <w:r>
        <w:rPr>
          <w:szCs w:val="24"/>
        </w:rPr>
        <w:t xml:space="preserve"> which elevates</w:t>
      </w:r>
      <w:r w:rsidRPr="000F7641">
        <w:rPr>
          <w:szCs w:val="24"/>
        </w:rPr>
        <w:t xml:space="preserve"> </w:t>
      </w:r>
      <w:r>
        <w:rPr>
          <w:szCs w:val="24"/>
        </w:rPr>
        <w:t xml:space="preserve">the </w:t>
      </w:r>
      <w:r w:rsidRPr="000F7641">
        <w:rPr>
          <w:szCs w:val="24"/>
        </w:rPr>
        <w:t xml:space="preserve">risk </w:t>
      </w:r>
      <w:r>
        <w:rPr>
          <w:szCs w:val="24"/>
        </w:rPr>
        <w:t xml:space="preserve">of </w:t>
      </w:r>
      <w:r w:rsidRPr="000F7641">
        <w:rPr>
          <w:szCs w:val="24"/>
        </w:rPr>
        <w:t xml:space="preserve">minimal trauma fracture. </w:t>
      </w:r>
      <w:r w:rsidR="00E172F7">
        <w:rPr>
          <w:szCs w:val="24"/>
        </w:rPr>
        <w:t xml:space="preserve"> </w:t>
      </w:r>
      <w:r>
        <w:rPr>
          <w:szCs w:val="24"/>
        </w:rPr>
        <w:t xml:space="preserve">ESC </w:t>
      </w:r>
      <w:r w:rsidR="00E172F7">
        <w:rPr>
          <w:szCs w:val="24"/>
        </w:rPr>
        <w:t xml:space="preserve">further </w:t>
      </w:r>
      <w:r>
        <w:rPr>
          <w:szCs w:val="24"/>
        </w:rPr>
        <w:t>noted that the population of interest is post-menopausal women</w:t>
      </w:r>
      <w:r w:rsidRPr="00B57C9A">
        <w:rPr>
          <w:szCs w:val="24"/>
        </w:rPr>
        <w:t xml:space="preserve"> under</w:t>
      </w:r>
      <w:r>
        <w:rPr>
          <w:szCs w:val="24"/>
        </w:rPr>
        <w:t xml:space="preserve"> the age of 70, as existing items on the MBS are available from age 70.</w:t>
      </w:r>
    </w:p>
    <w:p w14:paraId="3750202F" w14:textId="77777777" w:rsidR="00986DF6" w:rsidRPr="00D54427" w:rsidRDefault="00986DF6" w:rsidP="00986DF6">
      <w:pPr>
        <w:pStyle w:val="NoSpacing"/>
        <w:rPr>
          <w:rFonts w:ascii="Times New Roman" w:hAnsi="Times New Roman"/>
          <w:sz w:val="24"/>
        </w:rPr>
      </w:pPr>
    </w:p>
    <w:p w14:paraId="17EF8285" w14:textId="77777777" w:rsidR="00E172F7" w:rsidRDefault="00986DF6" w:rsidP="00E172F7">
      <w:pPr>
        <w:pStyle w:val="NoSpacing"/>
        <w:rPr>
          <w:rFonts w:ascii="Times New Roman" w:hAnsi="Times New Roman" w:cs="Times New Roman"/>
          <w:sz w:val="24"/>
          <w:szCs w:val="24"/>
        </w:rPr>
      </w:pPr>
      <w:r w:rsidRPr="00D54427">
        <w:rPr>
          <w:rFonts w:ascii="Times New Roman" w:hAnsi="Times New Roman" w:cs="Times New Roman"/>
          <w:sz w:val="24"/>
          <w:szCs w:val="24"/>
        </w:rPr>
        <w:t>ESC expressed concern that this application had been submitted to the Medical Services Advisory Committee (MSAC) without a co-dependent application</w:t>
      </w:r>
      <w:r w:rsidR="00877AC2">
        <w:rPr>
          <w:rFonts w:ascii="Times New Roman" w:hAnsi="Times New Roman" w:cs="Times New Roman"/>
          <w:sz w:val="24"/>
          <w:szCs w:val="24"/>
        </w:rPr>
        <w:t xml:space="preserve"> to PBAC for the anti-resorptive therapy</w:t>
      </w:r>
      <w:r w:rsidRPr="00D54427">
        <w:rPr>
          <w:rFonts w:ascii="Times New Roman" w:hAnsi="Times New Roman" w:cs="Times New Roman"/>
          <w:sz w:val="24"/>
          <w:szCs w:val="24"/>
        </w:rPr>
        <w:t xml:space="preserve">. </w:t>
      </w:r>
      <w:r w:rsidR="00E172F7">
        <w:rPr>
          <w:rFonts w:ascii="Times New Roman" w:hAnsi="Times New Roman" w:cs="Times New Roman"/>
          <w:sz w:val="24"/>
          <w:szCs w:val="24"/>
        </w:rPr>
        <w:t xml:space="preserve"> </w:t>
      </w:r>
      <w:r w:rsidRPr="00D54427">
        <w:rPr>
          <w:rFonts w:ascii="Times New Roman" w:hAnsi="Times New Roman" w:cs="Times New Roman"/>
          <w:sz w:val="24"/>
          <w:szCs w:val="24"/>
        </w:rPr>
        <w:t xml:space="preserve">The application depends on </w:t>
      </w:r>
      <w:r w:rsidR="00877AC2">
        <w:rPr>
          <w:rFonts w:ascii="Times New Roman" w:hAnsi="Times New Roman" w:cs="Times New Roman"/>
          <w:sz w:val="24"/>
          <w:szCs w:val="24"/>
        </w:rPr>
        <w:t xml:space="preserve">these </w:t>
      </w:r>
      <w:r w:rsidRPr="00D54427">
        <w:rPr>
          <w:rFonts w:ascii="Times New Roman" w:hAnsi="Times New Roman" w:cs="Times New Roman"/>
          <w:sz w:val="24"/>
          <w:szCs w:val="24"/>
        </w:rPr>
        <w:t xml:space="preserve">prescription medicines which are not </w:t>
      </w:r>
      <w:r w:rsidRPr="00D54427">
        <w:rPr>
          <w:rFonts w:ascii="Times New Roman" w:hAnsi="Times New Roman" w:cs="Times New Roman"/>
          <w:sz w:val="24"/>
          <w:szCs w:val="24"/>
        </w:rPr>
        <w:lastRenderedPageBreak/>
        <w:t>currently subsidised on the Pharmaceutical Benefit Schedule (PBS) for the proposed population.</w:t>
      </w:r>
      <w:r w:rsidR="00E172F7">
        <w:rPr>
          <w:rFonts w:ascii="Times New Roman" w:hAnsi="Times New Roman" w:cs="Times New Roman"/>
          <w:sz w:val="24"/>
          <w:szCs w:val="24"/>
        </w:rPr>
        <w:t xml:space="preserve">  There is no application before PBAC to expand eligibility to this group.</w:t>
      </w:r>
    </w:p>
    <w:p w14:paraId="5A6EDAD1" w14:textId="77777777" w:rsidR="00986DF6" w:rsidRDefault="00986DF6" w:rsidP="00986DF6">
      <w:pPr>
        <w:pStyle w:val="NoSpacing"/>
        <w:rPr>
          <w:rFonts w:ascii="Times New Roman" w:hAnsi="Times New Roman" w:cs="Times New Roman"/>
          <w:sz w:val="24"/>
          <w:szCs w:val="24"/>
        </w:rPr>
      </w:pPr>
    </w:p>
    <w:p w14:paraId="69CD6E19" w14:textId="77777777" w:rsidR="00986DF6" w:rsidRPr="00D54427" w:rsidRDefault="00986DF6" w:rsidP="00986DF6">
      <w:pPr>
        <w:pStyle w:val="NoSpacing"/>
        <w:rPr>
          <w:rFonts w:ascii="Times New Roman" w:hAnsi="Times New Roman" w:cs="Times New Roman"/>
          <w:sz w:val="24"/>
          <w:szCs w:val="24"/>
        </w:rPr>
      </w:pPr>
      <w:r>
        <w:rPr>
          <w:rFonts w:ascii="Times New Roman" w:hAnsi="Times New Roman" w:cs="Times New Roman"/>
          <w:sz w:val="24"/>
          <w:szCs w:val="24"/>
        </w:rPr>
        <w:t xml:space="preserve">As such, ESC was concerned that the model to be considered by MSAC should be calibrated against models already assessed by PBAC. </w:t>
      </w:r>
      <w:r w:rsidR="00E172F7">
        <w:rPr>
          <w:rFonts w:ascii="Times New Roman" w:hAnsi="Times New Roman" w:cs="Times New Roman"/>
          <w:sz w:val="24"/>
          <w:szCs w:val="24"/>
        </w:rPr>
        <w:t xml:space="preserve"> </w:t>
      </w:r>
      <w:r>
        <w:rPr>
          <w:rFonts w:ascii="Times New Roman" w:hAnsi="Times New Roman" w:cs="Times New Roman"/>
          <w:sz w:val="24"/>
          <w:szCs w:val="24"/>
        </w:rPr>
        <w:t xml:space="preserve">This would have been achieved readily through an integrated co-dependent application to both MSAC and PBAC. </w:t>
      </w:r>
      <w:r w:rsidR="00E172F7">
        <w:rPr>
          <w:rFonts w:ascii="Times New Roman" w:hAnsi="Times New Roman" w:cs="Times New Roman"/>
          <w:sz w:val="24"/>
          <w:szCs w:val="24"/>
        </w:rPr>
        <w:t xml:space="preserve"> </w:t>
      </w:r>
      <w:r>
        <w:rPr>
          <w:rFonts w:ascii="Times New Roman" w:hAnsi="Times New Roman" w:cs="Times New Roman"/>
          <w:sz w:val="24"/>
          <w:szCs w:val="24"/>
        </w:rPr>
        <w:t xml:space="preserve">Such an application would need the support of at least one supplier of a suitable anti-resorptive to confirm pricing and supply for consideration through the PBS. </w:t>
      </w:r>
    </w:p>
    <w:p w14:paraId="09059DB0" w14:textId="77777777" w:rsidR="00986DF6" w:rsidRDefault="00986DF6" w:rsidP="00986DF6">
      <w:pPr>
        <w:pStyle w:val="NoSpacing"/>
        <w:tabs>
          <w:tab w:val="center" w:pos="4513"/>
        </w:tabs>
        <w:rPr>
          <w:rFonts w:ascii="Times New Roman" w:hAnsi="Times New Roman" w:cs="Times New Roman"/>
          <w:sz w:val="24"/>
          <w:szCs w:val="24"/>
        </w:rPr>
      </w:pPr>
    </w:p>
    <w:p w14:paraId="377F0BEE" w14:textId="2B990E83" w:rsidR="00877AC2" w:rsidRDefault="00986DF6" w:rsidP="00877AC2">
      <w:pPr>
        <w:pStyle w:val="NoSpacing"/>
        <w:rPr>
          <w:rFonts w:ascii="Times New Roman" w:hAnsi="Times New Roman" w:cs="Times New Roman"/>
          <w:sz w:val="24"/>
          <w:szCs w:val="24"/>
        </w:rPr>
      </w:pPr>
      <w:r>
        <w:rPr>
          <w:rFonts w:ascii="Times New Roman" w:hAnsi="Times New Roman" w:cs="Times New Roman"/>
          <w:sz w:val="24"/>
          <w:szCs w:val="24"/>
        </w:rPr>
        <w:t xml:space="preserve">ESC felt that it could not comment on those aspects of the application dealing with the safety </w:t>
      </w:r>
      <w:r w:rsidR="00877AC2">
        <w:rPr>
          <w:rFonts w:ascii="Times New Roman" w:hAnsi="Times New Roman" w:cs="Times New Roman"/>
          <w:sz w:val="24"/>
          <w:szCs w:val="24"/>
        </w:rPr>
        <w:t>or</w:t>
      </w:r>
      <w:r>
        <w:rPr>
          <w:rFonts w:ascii="Times New Roman" w:hAnsi="Times New Roman" w:cs="Times New Roman"/>
          <w:sz w:val="24"/>
          <w:szCs w:val="24"/>
        </w:rPr>
        <w:t xml:space="preserve"> effectiveness of anti-resorptive therapies for the target population. </w:t>
      </w:r>
      <w:r w:rsidR="00951053">
        <w:rPr>
          <w:rFonts w:ascii="Times New Roman" w:hAnsi="Times New Roman" w:cs="Times New Roman"/>
          <w:sz w:val="24"/>
          <w:szCs w:val="24"/>
        </w:rPr>
        <w:t xml:space="preserve"> </w:t>
      </w:r>
      <w:r>
        <w:rPr>
          <w:rFonts w:ascii="Times New Roman" w:hAnsi="Times New Roman" w:cs="Times New Roman"/>
          <w:sz w:val="24"/>
          <w:szCs w:val="24"/>
        </w:rPr>
        <w:t xml:space="preserve">ESC considered, however, that there was </w:t>
      </w:r>
      <w:r w:rsidRPr="004D7365">
        <w:rPr>
          <w:rFonts w:ascii="Times New Roman" w:hAnsi="Times New Roman" w:cs="Times New Roman"/>
          <w:sz w:val="24"/>
          <w:szCs w:val="24"/>
        </w:rPr>
        <w:t xml:space="preserve">little </w:t>
      </w:r>
      <w:r>
        <w:rPr>
          <w:rFonts w:ascii="Times New Roman" w:hAnsi="Times New Roman" w:cs="Times New Roman"/>
          <w:sz w:val="24"/>
          <w:szCs w:val="24"/>
        </w:rPr>
        <w:t xml:space="preserve">benefit in </w:t>
      </w:r>
      <w:r w:rsidRPr="004D7365">
        <w:rPr>
          <w:rFonts w:ascii="Times New Roman" w:hAnsi="Times New Roman" w:cs="Times New Roman"/>
          <w:sz w:val="24"/>
          <w:szCs w:val="24"/>
        </w:rPr>
        <w:t>testing t</w:t>
      </w:r>
      <w:r>
        <w:rPr>
          <w:rFonts w:ascii="Times New Roman" w:hAnsi="Times New Roman" w:cs="Times New Roman"/>
          <w:sz w:val="24"/>
          <w:szCs w:val="24"/>
        </w:rPr>
        <w:t xml:space="preserve">he </w:t>
      </w:r>
      <w:r w:rsidRPr="004D7365">
        <w:rPr>
          <w:rFonts w:ascii="Times New Roman" w:hAnsi="Times New Roman" w:cs="Times New Roman"/>
          <w:sz w:val="24"/>
          <w:szCs w:val="24"/>
        </w:rPr>
        <w:t xml:space="preserve">population </w:t>
      </w:r>
      <w:r>
        <w:rPr>
          <w:rFonts w:ascii="Times New Roman" w:hAnsi="Times New Roman" w:cs="Times New Roman"/>
          <w:sz w:val="24"/>
          <w:szCs w:val="24"/>
        </w:rPr>
        <w:t xml:space="preserve">of interest </w:t>
      </w:r>
      <w:r w:rsidRPr="004D7365">
        <w:rPr>
          <w:rFonts w:ascii="Times New Roman" w:hAnsi="Times New Roman" w:cs="Times New Roman"/>
          <w:sz w:val="24"/>
          <w:szCs w:val="24"/>
        </w:rPr>
        <w:t xml:space="preserve">if </w:t>
      </w:r>
      <w:r>
        <w:rPr>
          <w:rFonts w:ascii="Times New Roman" w:hAnsi="Times New Roman" w:cs="Times New Roman"/>
          <w:sz w:val="24"/>
          <w:szCs w:val="24"/>
        </w:rPr>
        <w:t xml:space="preserve">treatment options were limited to </w:t>
      </w:r>
      <w:r w:rsidRPr="004D7365">
        <w:rPr>
          <w:rFonts w:ascii="Times New Roman" w:hAnsi="Times New Roman" w:cs="Times New Roman"/>
          <w:sz w:val="24"/>
          <w:szCs w:val="24"/>
        </w:rPr>
        <w:t>lifestyle advice, calcium and vitamin</w:t>
      </w:r>
      <w:r>
        <w:rPr>
          <w:rFonts w:ascii="Times New Roman" w:hAnsi="Times New Roman" w:cs="Times New Roman"/>
          <w:sz w:val="24"/>
          <w:szCs w:val="24"/>
        </w:rPr>
        <w:t> </w:t>
      </w:r>
      <w:r w:rsidR="00877AC2">
        <w:rPr>
          <w:rFonts w:ascii="Times New Roman" w:hAnsi="Times New Roman" w:cs="Times New Roman"/>
          <w:sz w:val="24"/>
          <w:szCs w:val="24"/>
        </w:rPr>
        <w:t>D supplements.</w:t>
      </w:r>
      <w:bookmarkStart w:id="3" w:name="_GoBack"/>
      <w:bookmarkEnd w:id="3"/>
    </w:p>
    <w:p w14:paraId="1FF97CA2" w14:textId="77777777" w:rsidR="00986DF6" w:rsidRDefault="00986DF6" w:rsidP="00986DF6">
      <w:pPr>
        <w:pStyle w:val="NoSpacing"/>
        <w:rPr>
          <w:rFonts w:ascii="Times New Roman" w:hAnsi="Times New Roman" w:cs="Times New Roman"/>
          <w:b/>
          <w:color w:val="000000"/>
          <w:sz w:val="24"/>
          <w:szCs w:val="24"/>
        </w:rPr>
      </w:pPr>
    </w:p>
    <w:p w14:paraId="412F1E28" w14:textId="77777777" w:rsidR="00986DF6" w:rsidRDefault="00986DF6" w:rsidP="00986DF6">
      <w:pPr>
        <w:pStyle w:val="NoSpacing"/>
        <w:rPr>
          <w:rFonts w:ascii="Times New Roman" w:hAnsi="Times New Roman" w:cs="Times New Roman"/>
          <w:sz w:val="24"/>
          <w:szCs w:val="24"/>
        </w:rPr>
      </w:pPr>
      <w:r>
        <w:rPr>
          <w:rFonts w:ascii="Times New Roman" w:hAnsi="Times New Roman" w:cs="Times New Roman"/>
          <w:sz w:val="24"/>
          <w:szCs w:val="24"/>
        </w:rPr>
        <w:t xml:space="preserve">Because of the co-dependence between DXA scanning and use of anti-resorptive therapies ESC concluded that it was unable to provide a full appraisal of the economic evaluation.  </w:t>
      </w:r>
      <w:r w:rsidR="00951053">
        <w:rPr>
          <w:rFonts w:ascii="Times New Roman" w:hAnsi="Times New Roman" w:cs="Times New Roman"/>
          <w:sz w:val="24"/>
          <w:szCs w:val="24"/>
        </w:rPr>
        <w:t xml:space="preserve">However, </w:t>
      </w:r>
      <w:r>
        <w:rPr>
          <w:rFonts w:ascii="Times New Roman" w:hAnsi="Times New Roman" w:cs="Times New Roman"/>
          <w:sz w:val="24"/>
          <w:szCs w:val="24"/>
        </w:rPr>
        <w:t xml:space="preserve">ESC was concerned about the quality and validity of the economic model. </w:t>
      </w:r>
      <w:r w:rsidR="00951053">
        <w:rPr>
          <w:rFonts w:ascii="Times New Roman" w:hAnsi="Times New Roman" w:cs="Times New Roman"/>
          <w:sz w:val="24"/>
          <w:szCs w:val="24"/>
        </w:rPr>
        <w:t xml:space="preserve"> </w:t>
      </w:r>
      <w:r>
        <w:rPr>
          <w:rFonts w:ascii="Times New Roman" w:hAnsi="Times New Roman" w:cs="Times New Roman"/>
          <w:sz w:val="24"/>
          <w:szCs w:val="24"/>
        </w:rPr>
        <w:t>There were concerns about estimates used for some of the key parameters, costs of vertebral fractures and other errors identified.</w:t>
      </w:r>
    </w:p>
    <w:p w14:paraId="47A4AD10" w14:textId="77777777" w:rsidR="00986DF6" w:rsidRDefault="00986DF6" w:rsidP="00986DF6">
      <w:pPr>
        <w:pStyle w:val="NoSpacing"/>
        <w:rPr>
          <w:rFonts w:ascii="Times New Roman" w:hAnsi="Times New Roman" w:cs="Times New Roman"/>
          <w:sz w:val="24"/>
          <w:szCs w:val="24"/>
        </w:rPr>
      </w:pPr>
    </w:p>
    <w:p w14:paraId="13901210" w14:textId="77777777" w:rsidR="00986DF6" w:rsidRDefault="00986DF6" w:rsidP="00986DF6">
      <w:pPr>
        <w:pStyle w:val="NoSpacing"/>
        <w:rPr>
          <w:rFonts w:ascii="Times New Roman" w:hAnsi="Times New Roman" w:cs="Times New Roman"/>
          <w:sz w:val="24"/>
          <w:szCs w:val="24"/>
        </w:rPr>
      </w:pPr>
      <w:r>
        <w:rPr>
          <w:rFonts w:ascii="Times New Roman" w:hAnsi="Times New Roman" w:cs="Times New Roman"/>
          <w:sz w:val="24"/>
          <w:szCs w:val="24"/>
        </w:rPr>
        <w:t xml:space="preserve">ESC also noted </w:t>
      </w:r>
      <w:r w:rsidRPr="00846ECC">
        <w:rPr>
          <w:rFonts w:ascii="Times New Roman" w:hAnsi="Times New Roman" w:cs="Times New Roman"/>
          <w:sz w:val="24"/>
          <w:szCs w:val="24"/>
        </w:rPr>
        <w:t>a discrepancy between the</w:t>
      </w:r>
      <w:r>
        <w:rPr>
          <w:rFonts w:ascii="Times New Roman" w:hAnsi="Times New Roman" w:cs="Times New Roman"/>
          <w:sz w:val="24"/>
          <w:szCs w:val="24"/>
        </w:rPr>
        <w:t xml:space="preserve"> frequency of DXA sca</w:t>
      </w:r>
      <w:r w:rsidRPr="00846ECC">
        <w:rPr>
          <w:rFonts w:ascii="Times New Roman" w:hAnsi="Times New Roman" w:cs="Times New Roman"/>
          <w:sz w:val="24"/>
          <w:szCs w:val="24"/>
        </w:rPr>
        <w:t xml:space="preserve">n use stated in the proposed item descriptor (12 months) and </w:t>
      </w:r>
      <w:r>
        <w:rPr>
          <w:rFonts w:ascii="Times New Roman" w:hAnsi="Times New Roman" w:cs="Times New Roman"/>
          <w:sz w:val="24"/>
          <w:szCs w:val="24"/>
        </w:rPr>
        <w:t xml:space="preserve">included in the base case for the economic evaluation and financial implications </w:t>
      </w:r>
      <w:r w:rsidRPr="00846ECC">
        <w:rPr>
          <w:rFonts w:ascii="Times New Roman" w:hAnsi="Times New Roman" w:cs="Times New Roman"/>
          <w:sz w:val="24"/>
          <w:szCs w:val="24"/>
        </w:rPr>
        <w:t xml:space="preserve">and the frequency stated in the </w:t>
      </w:r>
      <w:r>
        <w:rPr>
          <w:rFonts w:ascii="Times New Roman" w:hAnsi="Times New Roman" w:cs="Times New Roman"/>
          <w:sz w:val="24"/>
          <w:szCs w:val="24"/>
        </w:rPr>
        <w:t>proposed</w:t>
      </w:r>
      <w:r w:rsidRPr="00846ECC">
        <w:rPr>
          <w:rFonts w:ascii="Times New Roman" w:hAnsi="Times New Roman" w:cs="Times New Roman"/>
          <w:sz w:val="24"/>
          <w:szCs w:val="24"/>
        </w:rPr>
        <w:t xml:space="preserve"> clinical algorithm (2</w:t>
      </w:r>
      <w:r>
        <w:rPr>
          <w:rFonts w:ascii="Times New Roman" w:hAnsi="Times New Roman" w:cs="Times New Roman"/>
          <w:sz w:val="24"/>
          <w:szCs w:val="24"/>
        </w:rPr>
        <w:t> </w:t>
      </w:r>
      <w:r w:rsidRPr="002C45E3">
        <w:rPr>
          <w:rFonts w:ascii="Times New Roman" w:hAnsi="Times New Roman" w:cs="Times New Roman"/>
          <w:sz w:val="24"/>
          <w:szCs w:val="24"/>
        </w:rPr>
        <w:t>years).</w:t>
      </w:r>
    </w:p>
    <w:p w14:paraId="19119BB9" w14:textId="77777777" w:rsidR="00877AC2" w:rsidRDefault="00877AC2" w:rsidP="00986DF6">
      <w:pPr>
        <w:pStyle w:val="NoSpacing"/>
        <w:rPr>
          <w:rFonts w:ascii="Times New Roman" w:hAnsi="Times New Roman" w:cs="Times New Roman"/>
          <w:sz w:val="24"/>
          <w:szCs w:val="24"/>
        </w:rPr>
      </w:pPr>
    </w:p>
    <w:p w14:paraId="538FCC9E" w14:textId="77777777" w:rsidR="00877AC2" w:rsidRDefault="00877AC2" w:rsidP="00877AC2">
      <w:pPr>
        <w:pStyle w:val="NoSpacing"/>
        <w:rPr>
          <w:rFonts w:ascii="Times New Roman" w:hAnsi="Times New Roman" w:cs="Times New Roman"/>
          <w:sz w:val="24"/>
          <w:szCs w:val="24"/>
        </w:rPr>
      </w:pPr>
      <w:r w:rsidRPr="001F7EE1">
        <w:rPr>
          <w:rFonts w:ascii="Times New Roman" w:hAnsi="Times New Roman" w:cs="Times New Roman"/>
          <w:sz w:val="24"/>
          <w:szCs w:val="24"/>
        </w:rPr>
        <w:t xml:space="preserve">ESC noted that currently, all BMD items listed on the MBS require the test to be personally performed by a specialist or consult physician. </w:t>
      </w:r>
      <w:r>
        <w:rPr>
          <w:rFonts w:ascii="Times New Roman" w:hAnsi="Times New Roman" w:cs="Times New Roman"/>
          <w:sz w:val="24"/>
          <w:szCs w:val="24"/>
        </w:rPr>
        <w:t>ESC noted that, in practice, technicians are appropriately skilled and more likely to provide the service, and that this may necessitate adjustment of the proposed fee.</w:t>
      </w:r>
    </w:p>
    <w:p w14:paraId="4EA99D05" w14:textId="77777777" w:rsidR="00986DF6" w:rsidRDefault="00986DF6" w:rsidP="00986DF6">
      <w:pPr>
        <w:pStyle w:val="NoSpacing"/>
        <w:rPr>
          <w:rFonts w:ascii="Times New Roman" w:hAnsi="Times New Roman" w:cs="Times New Roman"/>
          <w:sz w:val="24"/>
          <w:szCs w:val="24"/>
        </w:rPr>
      </w:pPr>
    </w:p>
    <w:p w14:paraId="5BF99791" w14:textId="77777777" w:rsidR="00BC1364" w:rsidRDefault="00BC1364" w:rsidP="00986DF6">
      <w:pPr>
        <w:pStyle w:val="Heading1"/>
        <w:numPr>
          <w:ilvl w:val="0"/>
          <w:numId w:val="23"/>
        </w:numPr>
        <w:ind w:hanging="720"/>
      </w:pPr>
      <w:r w:rsidRPr="008D5885">
        <w:t>Other significant factors</w:t>
      </w:r>
    </w:p>
    <w:p w14:paraId="11386BD9" w14:textId="77777777" w:rsidR="00D90A38" w:rsidRDefault="00D90A38" w:rsidP="00986DF6">
      <w:pPr>
        <w:rPr>
          <w:szCs w:val="24"/>
        </w:rPr>
      </w:pPr>
    </w:p>
    <w:p w14:paraId="3C8E12F6" w14:textId="77777777" w:rsidR="00BC1364" w:rsidRPr="00986DF6" w:rsidRDefault="00986DF6" w:rsidP="00986DF6">
      <w:pPr>
        <w:rPr>
          <w:szCs w:val="24"/>
        </w:rPr>
      </w:pPr>
      <w:proofErr w:type="gramStart"/>
      <w:r w:rsidRPr="00986DF6">
        <w:rPr>
          <w:szCs w:val="24"/>
        </w:rPr>
        <w:t>Nil.</w:t>
      </w:r>
      <w:proofErr w:type="gramEnd"/>
    </w:p>
    <w:p w14:paraId="317A4AE0" w14:textId="77777777" w:rsidR="00BC1364" w:rsidRPr="00707064" w:rsidRDefault="00BC1364" w:rsidP="00986DF6">
      <w:pPr>
        <w:tabs>
          <w:tab w:val="left" w:pos="720"/>
        </w:tabs>
        <w:ind w:left="709" w:hanging="709"/>
        <w:rPr>
          <w:szCs w:val="24"/>
        </w:rPr>
      </w:pPr>
    </w:p>
    <w:p w14:paraId="3B972F3E" w14:textId="77777777" w:rsidR="00BC1364" w:rsidRDefault="00BC1364" w:rsidP="00986DF6">
      <w:pPr>
        <w:pStyle w:val="Heading1"/>
        <w:numPr>
          <w:ilvl w:val="0"/>
          <w:numId w:val="23"/>
        </w:numPr>
        <w:ind w:hanging="720"/>
      </w:pPr>
      <w:r w:rsidRPr="008D5885">
        <w:t xml:space="preserve">Applicant’s comments on MSAC’s </w:t>
      </w:r>
      <w:r w:rsidR="00DA56AA">
        <w:t>Public Summary Document</w:t>
      </w:r>
    </w:p>
    <w:p w14:paraId="31FC3C62" w14:textId="77777777" w:rsidR="00BC1364" w:rsidRDefault="00BC1364" w:rsidP="00986DF6">
      <w:pPr>
        <w:tabs>
          <w:tab w:val="left" w:pos="720"/>
        </w:tabs>
        <w:ind w:left="709" w:hanging="709"/>
        <w:rPr>
          <w:b/>
          <w:szCs w:val="24"/>
        </w:rPr>
      </w:pPr>
    </w:p>
    <w:p w14:paraId="6ACF9F51" w14:textId="2C83EB79" w:rsidR="004A613F" w:rsidRDefault="002934B8" w:rsidP="00986DF6">
      <w:pPr>
        <w:rPr>
          <w:szCs w:val="24"/>
        </w:rPr>
      </w:pPr>
      <w:r>
        <w:rPr>
          <w:szCs w:val="24"/>
        </w:rPr>
        <w:t>The applicant states that t</w:t>
      </w:r>
      <w:r w:rsidR="004A613F" w:rsidRPr="004A613F">
        <w:rPr>
          <w:szCs w:val="24"/>
        </w:rPr>
        <w:t xml:space="preserve">here is a clear clinical need for monitoring skeletal health in patients prescribed aromatase inhibitors (AIs). The evidence indicates that bone loss and fracture can be prevented by anti-fracture therapy in this population. Furthermore, there is an equity issue wherein men prescribed Androgen Deprivation Therapy (ADT) have similar skeletal </w:t>
      </w:r>
      <w:proofErr w:type="spellStart"/>
      <w:r w:rsidR="004A613F" w:rsidRPr="004A613F">
        <w:rPr>
          <w:szCs w:val="24"/>
        </w:rPr>
        <w:t>comorbities</w:t>
      </w:r>
      <w:proofErr w:type="spellEnd"/>
      <w:r w:rsidR="004A613F" w:rsidRPr="004A613F">
        <w:rPr>
          <w:szCs w:val="24"/>
        </w:rPr>
        <w:t xml:space="preserve"> and can access bone densitometry under the male hypogonadism indication whereas women using AIs are eligible for subsidised scans only if they are under 45 years of age, are over 70 years of age or have already suffered a fragility fracture. There is clearly a demand for access to bone densitometry as indicated in the consumer comments wherein 30% of women prescribed are have annual DXA scans and 30% are having examinations every two years and the consumer response is broadly supportive of the application. Based on observations that bone loss is rapid, particularly in the first year, it is ANZBMS’ recommendation that bone density assessments should ideally be undertaken before or as soon as possible after initiation of therapy and 12 months after commencement of therapy (this could potentially be limited to women with osteopenia on their baseline scan). Subsequent examinations might then be undertaken using existing item numbers – monitoring of low bone mass (Item 12306) or significant change in drug therapy (Item </w:t>
      </w:r>
      <w:r w:rsidR="004A613F" w:rsidRPr="004A613F">
        <w:rPr>
          <w:szCs w:val="24"/>
        </w:rPr>
        <w:lastRenderedPageBreak/>
        <w:t xml:space="preserve">12321). ANZBMS has consistently criticized the MSAC algorithm and agree that the economic evaluation is flawed with some overestimation of both costs and benefits. </w:t>
      </w:r>
    </w:p>
    <w:p w14:paraId="743E8779" w14:textId="77777777" w:rsidR="004A613F" w:rsidRDefault="004A613F" w:rsidP="00986DF6">
      <w:pPr>
        <w:rPr>
          <w:szCs w:val="24"/>
        </w:rPr>
      </w:pPr>
    </w:p>
    <w:p w14:paraId="0C1B9060" w14:textId="39F80A58" w:rsidR="004A613F" w:rsidRDefault="004A613F" w:rsidP="00986DF6">
      <w:pPr>
        <w:rPr>
          <w:szCs w:val="24"/>
        </w:rPr>
      </w:pPr>
      <w:r w:rsidRPr="004A613F">
        <w:rPr>
          <w:szCs w:val="24"/>
        </w:rPr>
        <w:t>The issue regarding PBS indications for therapy is a separate though related issue and treatment decisions will be made by patients and clinicians taking into account the risks and benefits as well as cost (where there is no current PBS indication) as we do for other clinical scenarios where patients are not eligible for PBS-subsidised medication. Similarly, the issue about who performs densitometry and how it is remunerated is a separate issue that will need to be addressed independent of this application.</w:t>
      </w:r>
    </w:p>
    <w:p w14:paraId="1DE03448" w14:textId="77777777" w:rsidR="004A613F" w:rsidRPr="004A613F" w:rsidRDefault="004A613F" w:rsidP="00986DF6">
      <w:pPr>
        <w:rPr>
          <w:szCs w:val="24"/>
        </w:rPr>
      </w:pPr>
    </w:p>
    <w:p w14:paraId="35FAF601" w14:textId="77777777" w:rsidR="00BC1364" w:rsidRDefault="00271F18" w:rsidP="00986DF6">
      <w:pPr>
        <w:pStyle w:val="Heading1"/>
        <w:numPr>
          <w:ilvl w:val="0"/>
          <w:numId w:val="23"/>
        </w:numPr>
        <w:ind w:hanging="720"/>
      </w:pPr>
      <w:r>
        <w:t>Further information on MSAC</w:t>
      </w:r>
    </w:p>
    <w:p w14:paraId="77BC4A58" w14:textId="77777777" w:rsidR="00BC1364" w:rsidRDefault="00BC1364" w:rsidP="00986DF6">
      <w:pPr>
        <w:tabs>
          <w:tab w:val="left" w:pos="720"/>
        </w:tabs>
        <w:ind w:left="709" w:hanging="709"/>
        <w:rPr>
          <w:b/>
          <w:szCs w:val="24"/>
        </w:rPr>
      </w:pPr>
    </w:p>
    <w:p w14:paraId="0D7D04D6" w14:textId="77777777" w:rsidR="00BC1364" w:rsidRPr="00DD2858" w:rsidRDefault="00271F18" w:rsidP="00986DF6">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1"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2"/>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00199" w15:done="0"/>
  <w15:commentEx w15:paraId="138A216D" w15:done="0"/>
  <w15:commentEx w15:paraId="356BC9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6B33F" w14:textId="77777777" w:rsidR="00786A2F" w:rsidRDefault="00786A2F" w:rsidP="00065623">
      <w:r>
        <w:separator/>
      </w:r>
    </w:p>
  </w:endnote>
  <w:endnote w:type="continuationSeparator" w:id="0">
    <w:p w14:paraId="094E382B" w14:textId="77777777" w:rsidR="00786A2F" w:rsidRDefault="00786A2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60764EFE" w14:textId="77777777" w:rsidR="00352224" w:rsidRDefault="00352224">
        <w:pPr>
          <w:pStyle w:val="Footer"/>
          <w:jc w:val="right"/>
        </w:pPr>
        <w:r>
          <w:fldChar w:fldCharType="begin"/>
        </w:r>
        <w:r>
          <w:instrText xml:space="preserve"> PAGE   \* MERGEFORMAT </w:instrText>
        </w:r>
        <w:r>
          <w:fldChar w:fldCharType="separate"/>
        </w:r>
        <w:r w:rsidR="00D02462">
          <w:rPr>
            <w:noProof/>
          </w:rPr>
          <w:t>12</w:t>
        </w:r>
        <w:r>
          <w:rPr>
            <w:noProof/>
          </w:rPr>
          <w:fldChar w:fldCharType="end"/>
        </w:r>
      </w:p>
    </w:sdtContent>
  </w:sdt>
  <w:p w14:paraId="35C1437C" w14:textId="77777777" w:rsidR="00BC1364" w:rsidRDefault="00BC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51AA6" w14:textId="77777777" w:rsidR="00786A2F" w:rsidRDefault="00786A2F" w:rsidP="00065623">
      <w:r>
        <w:separator/>
      </w:r>
    </w:p>
  </w:footnote>
  <w:footnote w:type="continuationSeparator" w:id="0">
    <w:p w14:paraId="23675633" w14:textId="77777777" w:rsidR="00786A2F" w:rsidRDefault="00786A2F"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FC65D09"/>
    <w:multiLevelType w:val="hybridMultilevel"/>
    <w:tmpl w:val="B0DEB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1C42E09"/>
    <w:multiLevelType w:val="hybridMultilevel"/>
    <w:tmpl w:val="AE3E2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4E2342"/>
    <w:multiLevelType w:val="hybridMultilevel"/>
    <w:tmpl w:val="A6FC8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28F5747"/>
    <w:multiLevelType w:val="hybridMultilevel"/>
    <w:tmpl w:val="0CBA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0E3F13"/>
    <w:multiLevelType w:val="hybridMultilevel"/>
    <w:tmpl w:val="07EA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8D2A53"/>
    <w:multiLevelType w:val="hybridMultilevel"/>
    <w:tmpl w:val="CE981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2BB279E"/>
    <w:multiLevelType w:val="hybridMultilevel"/>
    <w:tmpl w:val="ADB691A2"/>
    <w:lvl w:ilvl="0" w:tplc="FBB29DD0">
      <w:start w:val="1"/>
      <w:numFmt w:val="lowerLetter"/>
      <w:lvlText w:val="(%1)"/>
      <w:lvlJc w:val="left"/>
      <w:pPr>
        <w:ind w:left="720" w:hanging="360"/>
      </w:pPr>
      <w:rPr>
        <w:rFonts w:ascii="Arial Narrow" w:eastAsia="Times New Roman" w:hAnsi="Arial Narrow" w:cs="Times New Roman" w:hint="default"/>
        <w:sz w:val="1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71908DA"/>
    <w:multiLevelType w:val="hybridMultilevel"/>
    <w:tmpl w:val="AA46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B7211C4"/>
    <w:multiLevelType w:val="hybridMultilevel"/>
    <w:tmpl w:val="697E9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B8D1EE5"/>
    <w:multiLevelType w:val="hybridMultilevel"/>
    <w:tmpl w:val="F94ED74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nsid w:val="7CC723FA"/>
    <w:multiLevelType w:val="hybridMultilevel"/>
    <w:tmpl w:val="DD6C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
  </w:num>
  <w:num w:numId="4">
    <w:abstractNumId w:val="20"/>
  </w:num>
  <w:num w:numId="5">
    <w:abstractNumId w:val="11"/>
  </w:num>
  <w:num w:numId="6">
    <w:abstractNumId w:val="19"/>
  </w:num>
  <w:num w:numId="7">
    <w:abstractNumId w:val="23"/>
  </w:num>
  <w:num w:numId="8">
    <w:abstractNumId w:val="13"/>
  </w:num>
  <w:num w:numId="9">
    <w:abstractNumId w:val="33"/>
  </w:num>
  <w:num w:numId="10">
    <w:abstractNumId w:val="0"/>
  </w:num>
  <w:num w:numId="11">
    <w:abstractNumId w:val="22"/>
  </w:num>
  <w:num w:numId="12">
    <w:abstractNumId w:val="24"/>
  </w:num>
  <w:num w:numId="13">
    <w:abstractNumId w:val="6"/>
  </w:num>
  <w:num w:numId="14">
    <w:abstractNumId w:val="29"/>
  </w:num>
  <w:num w:numId="15">
    <w:abstractNumId w:val="21"/>
  </w:num>
  <w:num w:numId="16">
    <w:abstractNumId w:val="25"/>
  </w:num>
  <w:num w:numId="17">
    <w:abstractNumId w:val="14"/>
  </w:num>
  <w:num w:numId="18">
    <w:abstractNumId w:val="16"/>
  </w:num>
  <w:num w:numId="19">
    <w:abstractNumId w:val="28"/>
  </w:num>
  <w:num w:numId="20">
    <w:abstractNumId w:val="27"/>
  </w:num>
  <w:num w:numId="21">
    <w:abstractNumId w:val="3"/>
  </w:num>
  <w:num w:numId="22">
    <w:abstractNumId w:val="10"/>
  </w:num>
  <w:num w:numId="23">
    <w:abstractNumId w:val="2"/>
  </w:num>
  <w:num w:numId="24">
    <w:abstractNumId w:val="8"/>
  </w:num>
  <w:num w:numId="25">
    <w:abstractNumId w:val="17"/>
  </w:num>
  <w:num w:numId="26">
    <w:abstractNumId w:val="5"/>
  </w:num>
  <w:num w:numId="27">
    <w:abstractNumId w:val="26"/>
  </w:num>
  <w:num w:numId="28">
    <w:abstractNumId w:val="9"/>
  </w:num>
  <w:num w:numId="29">
    <w:abstractNumId w:val="31"/>
  </w:num>
  <w:num w:numId="30">
    <w:abstractNumId w:val="32"/>
  </w:num>
  <w:num w:numId="31">
    <w:abstractNumId w:val="12"/>
  </w:num>
  <w:num w:numId="32">
    <w:abstractNumId w:val="15"/>
  </w:num>
  <w:num w:numId="33">
    <w:abstractNumId w:val="4"/>
  </w:num>
  <w:num w:numId="34">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11A36"/>
    <w:rsid w:val="00047606"/>
    <w:rsid w:val="00057E72"/>
    <w:rsid w:val="00065623"/>
    <w:rsid w:val="000756B9"/>
    <w:rsid w:val="00096B67"/>
    <w:rsid w:val="00096DAF"/>
    <w:rsid w:val="000C2F47"/>
    <w:rsid w:val="000D6C00"/>
    <w:rsid w:val="000E4E04"/>
    <w:rsid w:val="000F14B4"/>
    <w:rsid w:val="000F75DF"/>
    <w:rsid w:val="001133AA"/>
    <w:rsid w:val="001328FA"/>
    <w:rsid w:val="00147AAF"/>
    <w:rsid w:val="001552C0"/>
    <w:rsid w:val="00156270"/>
    <w:rsid w:val="001640B1"/>
    <w:rsid w:val="0018435E"/>
    <w:rsid w:val="001C3619"/>
    <w:rsid w:val="001C6803"/>
    <w:rsid w:val="001D2D8B"/>
    <w:rsid w:val="001E776B"/>
    <w:rsid w:val="002041A1"/>
    <w:rsid w:val="002054F0"/>
    <w:rsid w:val="00230D6B"/>
    <w:rsid w:val="00231229"/>
    <w:rsid w:val="00232068"/>
    <w:rsid w:val="002330F2"/>
    <w:rsid w:val="0024381D"/>
    <w:rsid w:val="00243D9E"/>
    <w:rsid w:val="00253B66"/>
    <w:rsid w:val="00261DF1"/>
    <w:rsid w:val="00271F18"/>
    <w:rsid w:val="00282779"/>
    <w:rsid w:val="002934B8"/>
    <w:rsid w:val="002B7FFA"/>
    <w:rsid w:val="002C2BCF"/>
    <w:rsid w:val="002F279D"/>
    <w:rsid w:val="002F43B8"/>
    <w:rsid w:val="0034554D"/>
    <w:rsid w:val="00347F12"/>
    <w:rsid w:val="003503A9"/>
    <w:rsid w:val="00352224"/>
    <w:rsid w:val="003671E6"/>
    <w:rsid w:val="00374BB7"/>
    <w:rsid w:val="00384272"/>
    <w:rsid w:val="00386D67"/>
    <w:rsid w:val="003940D5"/>
    <w:rsid w:val="003941B7"/>
    <w:rsid w:val="003945B8"/>
    <w:rsid w:val="003D4CBF"/>
    <w:rsid w:val="003D7F29"/>
    <w:rsid w:val="00405A6B"/>
    <w:rsid w:val="00407B1F"/>
    <w:rsid w:val="00414C57"/>
    <w:rsid w:val="0041758C"/>
    <w:rsid w:val="00425865"/>
    <w:rsid w:val="004539DE"/>
    <w:rsid w:val="00492F3C"/>
    <w:rsid w:val="004A2CF1"/>
    <w:rsid w:val="004A613F"/>
    <w:rsid w:val="004B4979"/>
    <w:rsid w:val="004C3035"/>
    <w:rsid w:val="004C307F"/>
    <w:rsid w:val="004E3CCD"/>
    <w:rsid w:val="004E4BA8"/>
    <w:rsid w:val="004F7B7C"/>
    <w:rsid w:val="0052243D"/>
    <w:rsid w:val="00532435"/>
    <w:rsid w:val="00550354"/>
    <w:rsid w:val="00571236"/>
    <w:rsid w:val="005953A1"/>
    <w:rsid w:val="005B3A1C"/>
    <w:rsid w:val="005D0332"/>
    <w:rsid w:val="005D0D8C"/>
    <w:rsid w:val="005E2D88"/>
    <w:rsid w:val="005E6D92"/>
    <w:rsid w:val="0060048B"/>
    <w:rsid w:val="006068D2"/>
    <w:rsid w:val="006A0D97"/>
    <w:rsid w:val="006B4C14"/>
    <w:rsid w:val="006E0553"/>
    <w:rsid w:val="007054BB"/>
    <w:rsid w:val="00707064"/>
    <w:rsid w:val="00723573"/>
    <w:rsid w:val="00730683"/>
    <w:rsid w:val="0075261F"/>
    <w:rsid w:val="0075468E"/>
    <w:rsid w:val="007665D8"/>
    <w:rsid w:val="00766E36"/>
    <w:rsid w:val="00767058"/>
    <w:rsid w:val="007765F4"/>
    <w:rsid w:val="00776633"/>
    <w:rsid w:val="00784D53"/>
    <w:rsid w:val="00786A2F"/>
    <w:rsid w:val="00794E81"/>
    <w:rsid w:val="00797797"/>
    <w:rsid w:val="007A63C9"/>
    <w:rsid w:val="007B32D1"/>
    <w:rsid w:val="007B7095"/>
    <w:rsid w:val="007D24E1"/>
    <w:rsid w:val="007E42A2"/>
    <w:rsid w:val="007F4CE9"/>
    <w:rsid w:val="007F4E20"/>
    <w:rsid w:val="00816F09"/>
    <w:rsid w:val="00822C7E"/>
    <w:rsid w:val="00847060"/>
    <w:rsid w:val="00856A33"/>
    <w:rsid w:val="00877AC2"/>
    <w:rsid w:val="00892620"/>
    <w:rsid w:val="008C7D37"/>
    <w:rsid w:val="008D5885"/>
    <w:rsid w:val="008D75E1"/>
    <w:rsid w:val="008F5F79"/>
    <w:rsid w:val="00903DDE"/>
    <w:rsid w:val="00923FA2"/>
    <w:rsid w:val="00951053"/>
    <w:rsid w:val="0096060D"/>
    <w:rsid w:val="00974A50"/>
    <w:rsid w:val="0097585A"/>
    <w:rsid w:val="00986DF6"/>
    <w:rsid w:val="009942C9"/>
    <w:rsid w:val="009C630A"/>
    <w:rsid w:val="009D7855"/>
    <w:rsid w:val="009E0D98"/>
    <w:rsid w:val="00A06562"/>
    <w:rsid w:val="00A068A1"/>
    <w:rsid w:val="00A1207D"/>
    <w:rsid w:val="00A12FD8"/>
    <w:rsid w:val="00A27AC7"/>
    <w:rsid w:val="00A346FC"/>
    <w:rsid w:val="00A51253"/>
    <w:rsid w:val="00A84F93"/>
    <w:rsid w:val="00AB1AC5"/>
    <w:rsid w:val="00AB2AC1"/>
    <w:rsid w:val="00AB3BFC"/>
    <w:rsid w:val="00AC4F2E"/>
    <w:rsid w:val="00AD0C37"/>
    <w:rsid w:val="00AE6E2A"/>
    <w:rsid w:val="00AE7CA1"/>
    <w:rsid w:val="00B00771"/>
    <w:rsid w:val="00B31E9C"/>
    <w:rsid w:val="00B51C6D"/>
    <w:rsid w:val="00B75EDC"/>
    <w:rsid w:val="00B86D64"/>
    <w:rsid w:val="00B947DD"/>
    <w:rsid w:val="00BA4AC5"/>
    <w:rsid w:val="00BC1364"/>
    <w:rsid w:val="00BC7DE9"/>
    <w:rsid w:val="00BD6C90"/>
    <w:rsid w:val="00BF479B"/>
    <w:rsid w:val="00C02577"/>
    <w:rsid w:val="00C20BEE"/>
    <w:rsid w:val="00C67DD2"/>
    <w:rsid w:val="00C76F5C"/>
    <w:rsid w:val="00C96BAD"/>
    <w:rsid w:val="00CA6944"/>
    <w:rsid w:val="00CB0F8E"/>
    <w:rsid w:val="00CB7E7D"/>
    <w:rsid w:val="00CC2911"/>
    <w:rsid w:val="00CD33F3"/>
    <w:rsid w:val="00CF0C6D"/>
    <w:rsid w:val="00CF7307"/>
    <w:rsid w:val="00CF7C68"/>
    <w:rsid w:val="00D02462"/>
    <w:rsid w:val="00D124FA"/>
    <w:rsid w:val="00D340DE"/>
    <w:rsid w:val="00D55723"/>
    <w:rsid w:val="00D62FAD"/>
    <w:rsid w:val="00D672A9"/>
    <w:rsid w:val="00D70450"/>
    <w:rsid w:val="00D83BFD"/>
    <w:rsid w:val="00D90A38"/>
    <w:rsid w:val="00DA0515"/>
    <w:rsid w:val="00DA171E"/>
    <w:rsid w:val="00DA56AA"/>
    <w:rsid w:val="00DD2387"/>
    <w:rsid w:val="00DD2858"/>
    <w:rsid w:val="00DF51C4"/>
    <w:rsid w:val="00E001DE"/>
    <w:rsid w:val="00E03E33"/>
    <w:rsid w:val="00E172F7"/>
    <w:rsid w:val="00E3642A"/>
    <w:rsid w:val="00E415C4"/>
    <w:rsid w:val="00E50016"/>
    <w:rsid w:val="00E50EAA"/>
    <w:rsid w:val="00E656D6"/>
    <w:rsid w:val="00E87E7F"/>
    <w:rsid w:val="00E9470A"/>
    <w:rsid w:val="00E977EE"/>
    <w:rsid w:val="00EA67A2"/>
    <w:rsid w:val="00EB7CD3"/>
    <w:rsid w:val="00EC0371"/>
    <w:rsid w:val="00EC4F98"/>
    <w:rsid w:val="00F12F02"/>
    <w:rsid w:val="00F31900"/>
    <w:rsid w:val="00F31AC1"/>
    <w:rsid w:val="00F35134"/>
    <w:rsid w:val="00F41812"/>
    <w:rsid w:val="00F73333"/>
    <w:rsid w:val="00F95D8F"/>
    <w:rsid w:val="00FA62AB"/>
    <w:rsid w:val="00FB2633"/>
    <w:rsid w:val="00FB350A"/>
    <w:rsid w:val="00FC0637"/>
    <w:rsid w:val="00FE731D"/>
    <w:rsid w:val="00FF1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D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Text"/>
    <w:basedOn w:val="Normal"/>
    <w:link w:val="TableTextChar"/>
    <w:qFormat/>
    <w:rsid w:val="00986DF6"/>
    <w:pPr>
      <w:keepNext/>
      <w:spacing w:before="40" w:after="40"/>
    </w:pPr>
    <w:rPr>
      <w:rFonts w:ascii="Arial Narrow" w:hAnsi="Arial Narrow"/>
      <w:sz w:val="18"/>
    </w:rPr>
  </w:style>
  <w:style w:type="character" w:customStyle="1" w:styleId="TableTextChar">
    <w:name w:val="TableText Char"/>
    <w:link w:val="TableText"/>
    <w:rsid w:val="00986DF6"/>
    <w:rPr>
      <w:rFonts w:ascii="Arial Narrow" w:eastAsia="Times New Roman" w:hAnsi="Arial Narrow"/>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locked/>
    <w:rsid w:val="00986DF6"/>
    <w:pPr>
      <w:keepNext/>
      <w:spacing w:after="40"/>
      <w:ind w:left="709" w:hanging="709"/>
    </w:pPr>
    <w:rPr>
      <w:rFonts w:ascii="Arial Narrow" w:hAnsi="Arial Narrow" w:cs="Tahoma"/>
      <w:b/>
      <w:sz w:val="20"/>
      <w:lang w:val="en-GB" w:eastAsia="ja-JP"/>
    </w:rPr>
  </w:style>
  <w:style w:type="paragraph" w:styleId="NormalWeb">
    <w:name w:val="Normal (Web)"/>
    <w:basedOn w:val="Normal"/>
    <w:uiPriority w:val="99"/>
    <w:rsid w:val="00986DF6"/>
    <w:pPr>
      <w:spacing w:before="100" w:beforeAutospacing="1" w:after="100" w:afterAutospacing="1"/>
    </w:pPr>
    <w:rPr>
      <w:szCs w:val="24"/>
    </w:rPr>
  </w:style>
  <w:style w:type="paragraph" w:styleId="NoSpacing">
    <w:name w:val="No Spacing"/>
    <w:uiPriority w:val="1"/>
    <w:qFormat/>
    <w:rsid w:val="00986DF6"/>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TableText">
    <w:name w:val="TableText"/>
    <w:basedOn w:val="Normal"/>
    <w:link w:val="TableTextChar"/>
    <w:qFormat/>
    <w:rsid w:val="00986DF6"/>
    <w:pPr>
      <w:keepNext/>
      <w:spacing w:before="40" w:after="40"/>
    </w:pPr>
    <w:rPr>
      <w:rFonts w:ascii="Arial Narrow" w:hAnsi="Arial Narrow"/>
      <w:sz w:val="18"/>
    </w:rPr>
  </w:style>
  <w:style w:type="character" w:customStyle="1" w:styleId="TableTextChar">
    <w:name w:val="TableText Char"/>
    <w:link w:val="TableText"/>
    <w:rsid w:val="00986DF6"/>
    <w:rPr>
      <w:rFonts w:ascii="Arial Narrow" w:eastAsia="Times New Roman" w:hAnsi="Arial Narrow"/>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locked/>
    <w:rsid w:val="00986DF6"/>
    <w:pPr>
      <w:keepNext/>
      <w:spacing w:after="40"/>
      <w:ind w:left="709" w:hanging="709"/>
    </w:pPr>
    <w:rPr>
      <w:rFonts w:ascii="Arial Narrow" w:hAnsi="Arial Narrow" w:cs="Tahoma"/>
      <w:b/>
      <w:sz w:val="20"/>
      <w:lang w:val="en-GB" w:eastAsia="ja-JP"/>
    </w:rPr>
  </w:style>
  <w:style w:type="paragraph" w:styleId="NormalWeb">
    <w:name w:val="Normal (Web)"/>
    <w:basedOn w:val="Normal"/>
    <w:uiPriority w:val="99"/>
    <w:rsid w:val="00986DF6"/>
    <w:pPr>
      <w:spacing w:before="100" w:beforeAutospacing="1" w:after="100" w:afterAutospacing="1"/>
    </w:pPr>
    <w:rPr>
      <w:szCs w:val="24"/>
    </w:rPr>
  </w:style>
  <w:style w:type="paragraph" w:styleId="NoSpacing">
    <w:name w:val="No Spacing"/>
    <w:uiPriority w:val="1"/>
    <w:qFormat/>
    <w:rsid w:val="00986DF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4459</Words>
  <Characters>25418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5</cp:revision>
  <cp:lastPrinted>2014-12-21T22:19:00Z</cp:lastPrinted>
  <dcterms:created xsi:type="dcterms:W3CDTF">2015-03-31T05:19:00Z</dcterms:created>
  <dcterms:modified xsi:type="dcterms:W3CDTF">2015-03-31T05:38:00Z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