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B51828" w:rsidRPr="004C6B15" w14:paraId="618949D7" w14:textId="77777777" w:rsidTr="002101D2">
        <w:trPr>
          <w:cantSplit/>
          <w:trHeight w:hRule="exact" w:val="3969"/>
        </w:trPr>
        <w:tc>
          <w:tcPr>
            <w:tcW w:w="4253" w:type="dxa"/>
            <w:shd w:val="clear" w:color="auto" w:fill="auto"/>
            <w:vAlign w:val="bottom"/>
          </w:tcPr>
          <w:p w14:paraId="0DE54033" w14:textId="77777777" w:rsidR="00B51828" w:rsidRPr="009E5C5B" w:rsidRDefault="00B51828" w:rsidP="002101D2">
            <w:pPr>
              <w:pStyle w:val="TOC9"/>
            </w:pPr>
            <w:bookmarkStart w:id="0" w:name="_GoBack"/>
            <w:bookmarkEnd w:id="0"/>
          </w:p>
        </w:tc>
        <w:tc>
          <w:tcPr>
            <w:tcW w:w="4678" w:type="dxa"/>
            <w:shd w:val="clear" w:color="auto" w:fill="auto"/>
            <w:vAlign w:val="bottom"/>
          </w:tcPr>
          <w:p w14:paraId="2EDCA3EB" w14:textId="77777777" w:rsidR="00B51828" w:rsidRPr="004C6B15" w:rsidRDefault="00B51828" w:rsidP="002101D2">
            <w:pPr>
              <w:pStyle w:val="PublicationTitle"/>
            </w:pPr>
            <w:r>
              <w:t>External expert opinions for morphological pathology (histology and cytopathology)</w:t>
            </w:r>
          </w:p>
        </w:tc>
      </w:tr>
      <w:tr w:rsidR="00B51828" w:rsidRPr="004C6B15" w14:paraId="4E153F8A" w14:textId="77777777" w:rsidTr="002101D2">
        <w:trPr>
          <w:cantSplit/>
          <w:trHeight w:hRule="exact" w:val="425"/>
        </w:trPr>
        <w:tc>
          <w:tcPr>
            <w:tcW w:w="4253" w:type="dxa"/>
            <w:shd w:val="clear" w:color="auto" w:fill="auto"/>
            <w:vAlign w:val="bottom"/>
          </w:tcPr>
          <w:p w14:paraId="6AE2967E" w14:textId="77777777" w:rsidR="00B51828" w:rsidRPr="004C6B15" w:rsidRDefault="00B51828" w:rsidP="002101D2"/>
        </w:tc>
        <w:tc>
          <w:tcPr>
            <w:tcW w:w="4678" w:type="dxa"/>
            <w:shd w:val="clear" w:color="auto" w:fill="auto"/>
            <w:vAlign w:val="bottom"/>
          </w:tcPr>
          <w:p w14:paraId="11B4545D" w14:textId="77777777" w:rsidR="00B51828" w:rsidRPr="004C6B15" w:rsidRDefault="00B51828" w:rsidP="002101D2">
            <w:pPr>
              <w:rPr>
                <w:b/>
                <w:i/>
              </w:rPr>
            </w:pPr>
          </w:p>
        </w:tc>
      </w:tr>
      <w:tr w:rsidR="00B51828" w:rsidRPr="00E82FEA" w14:paraId="17D5E4F4" w14:textId="77777777" w:rsidTr="002101D2">
        <w:trPr>
          <w:cantSplit/>
          <w:trHeight w:hRule="exact" w:val="2132"/>
        </w:trPr>
        <w:tc>
          <w:tcPr>
            <w:tcW w:w="4253" w:type="dxa"/>
            <w:shd w:val="clear" w:color="auto" w:fill="auto"/>
            <w:vAlign w:val="center"/>
          </w:tcPr>
          <w:p w14:paraId="20335D1D" w14:textId="77777777" w:rsidR="00B51828" w:rsidRPr="004C6B15" w:rsidRDefault="00B51828" w:rsidP="002101D2">
            <w:pPr>
              <w:pStyle w:val="Date"/>
            </w:pPr>
          </w:p>
        </w:tc>
        <w:tc>
          <w:tcPr>
            <w:tcW w:w="4678" w:type="dxa"/>
            <w:shd w:val="clear" w:color="auto" w:fill="auto"/>
            <w:vAlign w:val="center"/>
          </w:tcPr>
          <w:p w14:paraId="58D5E0BD" w14:textId="77777777" w:rsidR="0071216F" w:rsidRDefault="0071216F" w:rsidP="002101D2">
            <w:pPr>
              <w:pStyle w:val="Date"/>
              <w:rPr>
                <w:rFonts w:cs="Arial"/>
              </w:rPr>
            </w:pPr>
          </w:p>
          <w:p w14:paraId="1011D99C" w14:textId="7BE233EE" w:rsidR="00B51828" w:rsidRPr="00E82FEA" w:rsidRDefault="00B51828" w:rsidP="002101D2">
            <w:pPr>
              <w:pStyle w:val="Date"/>
              <w:rPr>
                <w:rFonts w:cs="Arial"/>
                <w:highlight w:val="yellow"/>
              </w:rPr>
            </w:pPr>
            <w:r w:rsidRPr="00A77D98">
              <w:rPr>
                <w:rFonts w:cs="Arial"/>
              </w:rPr>
              <w:t xml:space="preserve">August 2014 </w:t>
            </w:r>
          </w:p>
        </w:tc>
      </w:tr>
      <w:tr w:rsidR="00B51828" w:rsidRPr="00E97600" w14:paraId="2520EDFD" w14:textId="77777777" w:rsidTr="002101D2">
        <w:trPr>
          <w:cantSplit/>
          <w:trHeight w:hRule="exact" w:val="2543"/>
        </w:trPr>
        <w:tc>
          <w:tcPr>
            <w:tcW w:w="4253" w:type="dxa"/>
            <w:shd w:val="clear" w:color="auto" w:fill="auto"/>
          </w:tcPr>
          <w:p w14:paraId="03BD2FB9" w14:textId="77777777" w:rsidR="00B51828" w:rsidRPr="004C6B15" w:rsidRDefault="00B51828" w:rsidP="002101D2"/>
        </w:tc>
        <w:tc>
          <w:tcPr>
            <w:tcW w:w="4678" w:type="dxa"/>
            <w:shd w:val="clear" w:color="auto" w:fill="auto"/>
          </w:tcPr>
          <w:p w14:paraId="0BDC7FD6" w14:textId="77777777" w:rsidR="00B51828" w:rsidRPr="00E97600" w:rsidRDefault="00B51828" w:rsidP="002101D2">
            <w:pPr>
              <w:ind w:right="113"/>
              <w:jc w:val="right"/>
              <w:rPr>
                <w:i/>
                <w:highlight w:val="yellow"/>
              </w:rPr>
            </w:pPr>
          </w:p>
        </w:tc>
      </w:tr>
      <w:tr w:rsidR="00B51828" w:rsidRPr="004C6B15" w14:paraId="59A5A203" w14:textId="77777777" w:rsidTr="002101D2">
        <w:trPr>
          <w:cantSplit/>
          <w:trHeight w:hRule="exact" w:val="4536"/>
        </w:trPr>
        <w:tc>
          <w:tcPr>
            <w:tcW w:w="4253" w:type="dxa"/>
            <w:shd w:val="clear" w:color="auto" w:fill="auto"/>
          </w:tcPr>
          <w:p w14:paraId="7B56D40E" w14:textId="77777777" w:rsidR="00B51828" w:rsidRPr="004C6B15" w:rsidRDefault="00B51828" w:rsidP="002101D2">
            <w:pPr>
              <w:pStyle w:val="Sub-title"/>
            </w:pPr>
          </w:p>
        </w:tc>
        <w:tc>
          <w:tcPr>
            <w:tcW w:w="4678" w:type="dxa"/>
            <w:shd w:val="clear" w:color="auto" w:fill="auto"/>
          </w:tcPr>
          <w:p w14:paraId="4D12126C" w14:textId="77777777" w:rsidR="00B51828" w:rsidRDefault="00B51828" w:rsidP="002101D2">
            <w:pPr>
              <w:pStyle w:val="Sub-title"/>
              <w:rPr>
                <w:b w:val="0"/>
              </w:rPr>
            </w:pPr>
            <w:r>
              <w:rPr>
                <w:b w:val="0"/>
              </w:rPr>
              <w:t>MSAC A</w:t>
            </w:r>
            <w:r w:rsidRPr="004C6B15">
              <w:rPr>
                <w:b w:val="0"/>
              </w:rPr>
              <w:t xml:space="preserve">pplication </w:t>
            </w:r>
            <w:r>
              <w:rPr>
                <w:b w:val="0"/>
              </w:rPr>
              <w:t xml:space="preserve">no. </w:t>
            </w:r>
          </w:p>
          <w:p w14:paraId="4959A475" w14:textId="77777777" w:rsidR="00B51828" w:rsidRPr="004C6B15" w:rsidRDefault="00B51828" w:rsidP="002101D2">
            <w:pPr>
              <w:pStyle w:val="Sub-title"/>
              <w:rPr>
                <w:b w:val="0"/>
              </w:rPr>
            </w:pPr>
            <w:r>
              <w:rPr>
                <w:b w:val="0"/>
              </w:rPr>
              <w:t>1332</w:t>
            </w:r>
          </w:p>
          <w:p w14:paraId="0F06F393" w14:textId="266C8116" w:rsidR="00B51828" w:rsidRPr="004C6B15" w:rsidRDefault="00B51828" w:rsidP="002101D2">
            <w:pPr>
              <w:pStyle w:val="Sub-title"/>
              <w:rPr>
                <w:b w:val="0"/>
              </w:rPr>
            </w:pPr>
          </w:p>
          <w:p w14:paraId="18BB046E" w14:textId="2BA0E66F" w:rsidR="00B51828" w:rsidRPr="004C6B15" w:rsidRDefault="00B51828" w:rsidP="002101D2">
            <w:pPr>
              <w:pStyle w:val="Sub-title"/>
              <w:rPr>
                <w:i/>
              </w:rPr>
            </w:pPr>
            <w:r w:rsidRPr="004C6B15">
              <w:t>Assessment report</w:t>
            </w:r>
          </w:p>
        </w:tc>
      </w:tr>
    </w:tbl>
    <w:p w14:paraId="424533D1" w14:textId="77777777" w:rsidR="00B51828" w:rsidRDefault="00B51828" w:rsidP="002101D2">
      <w:pPr>
        <w:ind w:left="0"/>
      </w:pPr>
      <w:r>
        <w:br w:type="page"/>
      </w:r>
    </w:p>
    <w:p w14:paraId="73E1B3E3" w14:textId="284ED3EA" w:rsidR="00B51828" w:rsidRPr="00AF2FDF" w:rsidRDefault="00B51828" w:rsidP="002101D2">
      <w:pPr>
        <w:spacing w:after="0"/>
        <w:rPr>
          <w:b/>
        </w:rPr>
      </w:pPr>
      <w:r>
        <w:rPr>
          <w:b/>
        </w:rPr>
        <w:lastRenderedPageBreak/>
        <w:t>A</w:t>
      </w:r>
      <w:r w:rsidRPr="00AF2FDF">
        <w:rPr>
          <w:b/>
        </w:rPr>
        <w:t xml:space="preserve">ssessment </w:t>
      </w:r>
      <w:r w:rsidRPr="006F54C0">
        <w:rPr>
          <w:b/>
        </w:rPr>
        <w:t>1332 - External</w:t>
      </w:r>
      <w:r w:rsidRPr="00F371E2">
        <w:rPr>
          <w:b/>
        </w:rPr>
        <w:t xml:space="preserve"> expert opinions for morphological pathology (histology and </w:t>
      </w:r>
      <w:r w:rsidRPr="006F54C0">
        <w:rPr>
          <w:b/>
        </w:rPr>
        <w:t>cytopathology)</w:t>
      </w:r>
      <w:r w:rsidR="003771E9">
        <w:rPr>
          <w:b/>
        </w:rPr>
        <w:t xml:space="preserve"> – Final Report, </w:t>
      </w:r>
      <w:r>
        <w:rPr>
          <w:b/>
        </w:rPr>
        <w:t>August 2014</w:t>
      </w:r>
    </w:p>
    <w:p w14:paraId="2F3D4E03" w14:textId="77777777" w:rsidR="005176C0" w:rsidRDefault="005176C0" w:rsidP="002101D2">
      <w:pPr>
        <w:spacing w:after="0"/>
      </w:pPr>
    </w:p>
    <w:p w14:paraId="75F5780D" w14:textId="77777777" w:rsidR="00B51828" w:rsidRDefault="00B51828" w:rsidP="002101D2">
      <w:pPr>
        <w:spacing w:after="0"/>
      </w:pPr>
      <w:r>
        <w:t xml:space="preserve">© Commonwealth of </w:t>
      </w:r>
      <w:r w:rsidRPr="00562645">
        <w:t>Australia 2014</w:t>
      </w:r>
    </w:p>
    <w:p w14:paraId="650B7C76" w14:textId="77777777" w:rsidR="00B51828" w:rsidRDefault="00B51828" w:rsidP="002101D2">
      <w:pPr>
        <w:spacing w:after="0"/>
      </w:pPr>
    </w:p>
    <w:p w14:paraId="04B2B0E2" w14:textId="77777777" w:rsidR="00B51828" w:rsidRDefault="00B51828" w:rsidP="002101D2">
      <w:pPr>
        <w:spacing w:after="0"/>
      </w:pPr>
      <w: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i/>
          <w:iCs/>
        </w:rPr>
        <w:t xml:space="preserve">Copyright Act 1968 </w:t>
      </w:r>
      <w:r>
        <w:t>or allowed by this copyright notice</w:t>
      </w:r>
      <w:r>
        <w:rPr>
          <w:i/>
          <w:iCs/>
        </w:rPr>
        <w:t xml:space="preserve">, </w:t>
      </w:r>
      <w:r>
        <w:t>all other rights are reserved and</w:t>
      </w:r>
      <w:r>
        <w:rPr>
          <w:i/>
          <w:iCs/>
        </w:rPr>
        <w:t xml:space="preserve"> </w:t>
      </w:r>
      <w:r>
        <w:t xml:space="preserve">you are not allowed to reproduce the whole or any part of this work in any way (electronic or otherwise) without first being given the specific written permission from the Commonwealth to do so. Requests and inquiries concerning reproduction and rights are to be sent to the </w:t>
      </w:r>
      <w:r w:rsidRPr="002A3210">
        <w:t>Online, Services and External Relations Branch, Department of Health, GPO Box 9848, Canberra ACT 2601, or via e-mail to copyright@health.gov.au.</w:t>
      </w:r>
    </w:p>
    <w:p w14:paraId="563884CC" w14:textId="77777777" w:rsidR="00B51828" w:rsidRDefault="00B51828" w:rsidP="002101D2">
      <w:pPr>
        <w:spacing w:after="0"/>
        <w:rPr>
          <w:rFonts w:ascii="Tahoma" w:hAnsi="Tahoma" w:cs="Tahoma"/>
          <w:sz w:val="18"/>
          <w:szCs w:val="18"/>
        </w:rPr>
      </w:pPr>
    </w:p>
    <w:p w14:paraId="514B76E0" w14:textId="77777777" w:rsidR="00B51828" w:rsidRPr="00AF356E" w:rsidRDefault="00B51828" w:rsidP="002101D2">
      <w:pPr>
        <w:spacing w:after="0"/>
      </w:pPr>
      <w:r w:rsidRPr="00701AD3">
        <w:t>Electronic copies of the report can be obtained from the Medical Service Adviso</w:t>
      </w:r>
      <w:r>
        <w:t xml:space="preserve">ry Committee’s Internet site at </w:t>
      </w:r>
      <w:r w:rsidRPr="00701AD3">
        <w:rPr>
          <w:rFonts w:cs="Tahoma"/>
          <w:color w:val="0000FF"/>
          <w:szCs w:val="24"/>
        </w:rPr>
        <w:t>http://www.msac.gov.au/</w:t>
      </w:r>
    </w:p>
    <w:p w14:paraId="571C5760" w14:textId="77777777" w:rsidR="00B51828" w:rsidRPr="00701AD3" w:rsidRDefault="00B51828" w:rsidP="002101D2">
      <w:pPr>
        <w:spacing w:after="0"/>
      </w:pPr>
    </w:p>
    <w:p w14:paraId="7550DC35" w14:textId="77777777" w:rsidR="00B51828" w:rsidRPr="00701AD3" w:rsidRDefault="00B51828" w:rsidP="002101D2">
      <w:pPr>
        <w:spacing w:after="0"/>
      </w:pPr>
      <w:r w:rsidRPr="00701AD3">
        <w:t>Enquiries about the content of the report should be directed to the above address.</w:t>
      </w:r>
    </w:p>
    <w:p w14:paraId="3A1CD165" w14:textId="77777777" w:rsidR="00B51828" w:rsidRPr="00701AD3" w:rsidRDefault="00B51828" w:rsidP="002101D2">
      <w:pPr>
        <w:spacing w:after="0"/>
      </w:pPr>
    </w:p>
    <w:p w14:paraId="7E99D825" w14:textId="2DA7FC97" w:rsidR="00B51828" w:rsidRPr="00701AD3" w:rsidRDefault="00B51828" w:rsidP="002101D2">
      <w:pPr>
        <w:spacing w:after="0"/>
      </w:pPr>
      <w:r w:rsidRPr="00701AD3">
        <w:t>This report is a contracted technical report for use by the Medical Services Advi</w:t>
      </w:r>
      <w:r>
        <w:t xml:space="preserve">sory Committee (MSAC) to inform </w:t>
      </w:r>
      <w:r w:rsidRPr="00701AD3">
        <w:t>its deliberations. MSAC is an independent committee which has been estab</w:t>
      </w:r>
      <w:r>
        <w:t xml:space="preserve">lished to provide advice to the </w:t>
      </w:r>
      <w:r w:rsidRPr="00701AD3">
        <w:t>Minister for Health on the strength of evidence available on new an</w:t>
      </w:r>
      <w:r>
        <w:t xml:space="preserve">d existing medical technologies </w:t>
      </w:r>
      <w:r w:rsidRPr="00701AD3">
        <w:t>and procedures in terms of their safety, effectiveness and cost</w:t>
      </w:r>
      <w:r w:rsidR="0053670C">
        <w:t>-</w:t>
      </w:r>
      <w:r w:rsidRPr="00701AD3">
        <w:t xml:space="preserve">effectiveness. </w:t>
      </w:r>
      <w:r>
        <w:t xml:space="preserve">This advice will help to inform </w:t>
      </w:r>
      <w:r w:rsidRPr="00701AD3">
        <w:t>government decisions about which medical services should attract funding under Medicare.</w:t>
      </w:r>
    </w:p>
    <w:p w14:paraId="6F05F614" w14:textId="77777777" w:rsidR="00B51828" w:rsidRPr="00701AD3" w:rsidRDefault="00B51828" w:rsidP="002101D2">
      <w:pPr>
        <w:spacing w:after="0"/>
      </w:pPr>
    </w:p>
    <w:p w14:paraId="52BE5A2C" w14:textId="77777777" w:rsidR="00B51828" w:rsidRPr="00701AD3" w:rsidRDefault="00B51828" w:rsidP="002101D2">
      <w:pPr>
        <w:spacing w:after="0"/>
        <w:rPr>
          <w:b/>
        </w:rPr>
      </w:pPr>
      <w:r w:rsidRPr="00701AD3">
        <w:rPr>
          <w:b/>
        </w:rPr>
        <w:t>MSAC’s advice does not necessarily reflect the views of all individuals who participated in the MSAC evaluation.</w:t>
      </w:r>
    </w:p>
    <w:p w14:paraId="6B961C07" w14:textId="77777777" w:rsidR="00B51828" w:rsidRPr="00701AD3" w:rsidRDefault="00B51828" w:rsidP="002101D2">
      <w:pPr>
        <w:spacing w:after="0"/>
      </w:pPr>
    </w:p>
    <w:p w14:paraId="78BE34C5" w14:textId="77777777" w:rsidR="00B51828" w:rsidRPr="006F54C0" w:rsidRDefault="00B51828" w:rsidP="002101D2">
      <w:pPr>
        <w:spacing w:after="0"/>
      </w:pPr>
      <w:r w:rsidRPr="00701AD3">
        <w:t xml:space="preserve">This report was prepared </w:t>
      </w:r>
      <w:r w:rsidRPr="006F54C0">
        <w:t>for MSAC by Ms Kate Applegarth, Dr Suzanne Campbell, Dr Lisa Fodero and Mr Joe Scuteri from HealthConsult Pty Ltd with the assistance of members of the MSAC Health Expert Standing Panel (Appendix 1)</w:t>
      </w:r>
      <w:r>
        <w:t xml:space="preserve">. The economic evaluation was undertaken by Mr Paul Mernagh (subcontractor for HealthConsult Pty Ltd). </w:t>
      </w:r>
      <w:r w:rsidRPr="006F54C0">
        <w:t>The report was commissioned by the Department of Health on behalf of MSAC.</w:t>
      </w:r>
    </w:p>
    <w:p w14:paraId="33FB7010" w14:textId="77777777" w:rsidR="00B51828" w:rsidRPr="006F54C0" w:rsidRDefault="00B51828" w:rsidP="002101D2">
      <w:pPr>
        <w:spacing w:after="0"/>
      </w:pPr>
    </w:p>
    <w:p w14:paraId="5006F173" w14:textId="77777777" w:rsidR="00B51828" w:rsidRPr="006F54C0" w:rsidRDefault="00B51828" w:rsidP="002101D2">
      <w:pPr>
        <w:spacing w:after="0"/>
      </w:pPr>
      <w:r w:rsidRPr="006F54C0">
        <w:t>This report should be referenced as follows:</w:t>
      </w:r>
    </w:p>
    <w:p w14:paraId="3569A83D" w14:textId="77777777" w:rsidR="00B51828" w:rsidRPr="00701AD3" w:rsidRDefault="00B51828" w:rsidP="002101D2">
      <w:pPr>
        <w:spacing w:after="0"/>
      </w:pPr>
      <w:r w:rsidRPr="006F54C0">
        <w:t xml:space="preserve">Applegarth K, Campbell S, Fodero L, </w:t>
      </w:r>
      <w:r>
        <w:t xml:space="preserve">Mernagh P, </w:t>
      </w:r>
      <w:r w:rsidRPr="006F54C0">
        <w:t>and Scuteri J. (2014). External expert opinions for morphological pathology (histology and cytopathology). MSAC Application 1332, Assessment Report. Commonwealth of Australia, Canberra, ACT.</w:t>
      </w:r>
    </w:p>
    <w:p w14:paraId="3167EF5F" w14:textId="77777777" w:rsidR="00B51828" w:rsidRPr="00701AD3" w:rsidRDefault="00B51828" w:rsidP="002101D2">
      <w:pPr>
        <w:spacing w:after="0"/>
      </w:pPr>
    </w:p>
    <w:p w14:paraId="4FDE57E5" w14:textId="77777777" w:rsidR="00B51828" w:rsidRDefault="00B51828" w:rsidP="002101D2">
      <w:pPr>
        <w:ind w:left="0"/>
        <w:sectPr w:rsidR="00B51828" w:rsidSect="002101D2">
          <w:headerReference w:type="default" r:id="rId9"/>
          <w:footerReference w:type="default" r:id="rId10"/>
          <w:pgSz w:w="11906" w:h="16838"/>
          <w:pgMar w:top="1440" w:right="1440" w:bottom="1440" w:left="1440" w:header="708" w:footer="708" w:gutter="0"/>
          <w:cols w:space="708"/>
          <w:docGrid w:linePitch="360"/>
        </w:sectPr>
      </w:pPr>
    </w:p>
    <w:p w14:paraId="1FDEBC71" w14:textId="77777777" w:rsidR="00B51828" w:rsidRPr="00F3726C" w:rsidRDefault="00B51828" w:rsidP="002101D2">
      <w:pPr>
        <w:pStyle w:val="TOCHeading"/>
      </w:pPr>
      <w:bookmarkStart w:id="1" w:name="_Toc382219917"/>
      <w:r w:rsidRPr="009C2084">
        <w:lastRenderedPageBreak/>
        <w:t>Contents</w:t>
      </w:r>
    </w:p>
    <w:p w14:paraId="39FF1B84" w14:textId="01DB2E4D" w:rsidR="00D834E3" w:rsidRDefault="0095400D">
      <w:pPr>
        <w:pStyle w:val="TOC1"/>
        <w:rPr>
          <w:rFonts w:asciiTheme="minorHAnsi" w:eastAsiaTheme="minorEastAsia" w:hAnsiTheme="minorHAnsi"/>
          <w:b w:val="0"/>
          <w:bCs w:val="0"/>
          <w:noProof/>
          <w:sz w:val="22"/>
          <w:lang w:eastAsia="en-AU"/>
        </w:rPr>
      </w:pPr>
      <w:r>
        <w:rPr>
          <w:rFonts w:asciiTheme="minorHAnsi" w:hAnsiTheme="minorHAnsi"/>
          <w:sz w:val="22"/>
        </w:rPr>
        <w:fldChar w:fldCharType="begin"/>
      </w:r>
      <w:r>
        <w:rPr>
          <w:rFonts w:asciiTheme="minorHAnsi" w:hAnsiTheme="minorHAnsi"/>
          <w:sz w:val="22"/>
        </w:rPr>
        <w:instrText xml:space="preserve"> TOC \o "1-2" \h \z \u </w:instrText>
      </w:r>
      <w:r>
        <w:rPr>
          <w:rFonts w:asciiTheme="minorHAnsi" w:hAnsiTheme="minorHAnsi"/>
          <w:sz w:val="22"/>
        </w:rPr>
        <w:fldChar w:fldCharType="separate"/>
      </w:r>
      <w:hyperlink w:anchor="_Toc396211676" w:history="1">
        <w:r w:rsidR="00D834E3" w:rsidRPr="00F83ED8">
          <w:rPr>
            <w:rStyle w:val="Hyperlink"/>
            <w:noProof/>
          </w:rPr>
          <w:t>List of tables</w:t>
        </w:r>
        <w:r w:rsidR="00D834E3">
          <w:rPr>
            <w:noProof/>
            <w:webHidden/>
          </w:rPr>
          <w:tab/>
        </w:r>
        <w:r w:rsidR="00D834E3">
          <w:rPr>
            <w:noProof/>
            <w:webHidden/>
          </w:rPr>
          <w:tab/>
        </w:r>
        <w:r w:rsidR="00D834E3">
          <w:rPr>
            <w:noProof/>
            <w:webHidden/>
          </w:rPr>
          <w:fldChar w:fldCharType="begin"/>
        </w:r>
        <w:r w:rsidR="00D834E3">
          <w:rPr>
            <w:noProof/>
            <w:webHidden/>
          </w:rPr>
          <w:instrText xml:space="preserve"> PAGEREF _Toc396211676 \h </w:instrText>
        </w:r>
        <w:r w:rsidR="00D834E3">
          <w:rPr>
            <w:noProof/>
            <w:webHidden/>
          </w:rPr>
        </w:r>
        <w:r w:rsidR="00D834E3">
          <w:rPr>
            <w:noProof/>
            <w:webHidden/>
          </w:rPr>
          <w:fldChar w:fldCharType="separate"/>
        </w:r>
        <w:r w:rsidR="0044620B">
          <w:rPr>
            <w:noProof/>
            <w:webHidden/>
          </w:rPr>
          <w:t>5</w:t>
        </w:r>
        <w:r w:rsidR="00D834E3">
          <w:rPr>
            <w:noProof/>
            <w:webHidden/>
          </w:rPr>
          <w:fldChar w:fldCharType="end"/>
        </w:r>
      </w:hyperlink>
    </w:p>
    <w:p w14:paraId="0ACF6E19" w14:textId="1A09B7C1" w:rsidR="00D834E3" w:rsidRDefault="0044620B">
      <w:pPr>
        <w:pStyle w:val="TOC1"/>
        <w:rPr>
          <w:rFonts w:asciiTheme="minorHAnsi" w:eastAsiaTheme="minorEastAsia" w:hAnsiTheme="minorHAnsi"/>
          <w:b w:val="0"/>
          <w:bCs w:val="0"/>
          <w:noProof/>
          <w:sz w:val="22"/>
          <w:lang w:eastAsia="en-AU"/>
        </w:rPr>
      </w:pPr>
      <w:hyperlink w:anchor="_Toc396211677" w:history="1">
        <w:r w:rsidR="00D834E3" w:rsidRPr="00F83ED8">
          <w:rPr>
            <w:rStyle w:val="Hyperlink"/>
            <w:noProof/>
          </w:rPr>
          <w:t>List of figures</w:t>
        </w:r>
        <w:r w:rsidR="00D834E3">
          <w:rPr>
            <w:noProof/>
            <w:webHidden/>
          </w:rPr>
          <w:tab/>
        </w:r>
        <w:r w:rsidR="00D834E3">
          <w:rPr>
            <w:noProof/>
            <w:webHidden/>
          </w:rPr>
          <w:tab/>
        </w:r>
        <w:r w:rsidR="00D834E3">
          <w:rPr>
            <w:noProof/>
            <w:webHidden/>
          </w:rPr>
          <w:fldChar w:fldCharType="begin"/>
        </w:r>
        <w:r w:rsidR="00D834E3">
          <w:rPr>
            <w:noProof/>
            <w:webHidden/>
          </w:rPr>
          <w:instrText xml:space="preserve"> PAGEREF _Toc396211677 \h </w:instrText>
        </w:r>
        <w:r w:rsidR="00D834E3">
          <w:rPr>
            <w:noProof/>
            <w:webHidden/>
          </w:rPr>
        </w:r>
        <w:r w:rsidR="00D834E3">
          <w:rPr>
            <w:noProof/>
            <w:webHidden/>
          </w:rPr>
          <w:fldChar w:fldCharType="separate"/>
        </w:r>
        <w:r>
          <w:rPr>
            <w:noProof/>
            <w:webHidden/>
          </w:rPr>
          <w:t>8</w:t>
        </w:r>
        <w:r w:rsidR="00D834E3">
          <w:rPr>
            <w:noProof/>
            <w:webHidden/>
          </w:rPr>
          <w:fldChar w:fldCharType="end"/>
        </w:r>
      </w:hyperlink>
    </w:p>
    <w:p w14:paraId="52BF7213" w14:textId="014DA042" w:rsidR="00D834E3" w:rsidRDefault="0044620B">
      <w:pPr>
        <w:pStyle w:val="TOC1"/>
        <w:rPr>
          <w:rFonts w:asciiTheme="minorHAnsi" w:eastAsiaTheme="minorEastAsia" w:hAnsiTheme="minorHAnsi"/>
          <w:b w:val="0"/>
          <w:bCs w:val="0"/>
          <w:noProof/>
          <w:sz w:val="22"/>
          <w:lang w:eastAsia="en-AU"/>
        </w:rPr>
      </w:pPr>
      <w:hyperlink w:anchor="_Toc396211678" w:history="1">
        <w:r w:rsidR="00D834E3" w:rsidRPr="00F83ED8">
          <w:rPr>
            <w:rStyle w:val="Hyperlink"/>
            <w:noProof/>
          </w:rPr>
          <w:t>Abbreviations</w:t>
        </w:r>
        <w:r w:rsidR="00D834E3">
          <w:rPr>
            <w:noProof/>
            <w:webHidden/>
          </w:rPr>
          <w:tab/>
        </w:r>
        <w:r w:rsidR="00D834E3">
          <w:rPr>
            <w:noProof/>
            <w:webHidden/>
          </w:rPr>
          <w:tab/>
        </w:r>
        <w:r w:rsidR="00D834E3">
          <w:rPr>
            <w:noProof/>
            <w:webHidden/>
          </w:rPr>
          <w:fldChar w:fldCharType="begin"/>
        </w:r>
        <w:r w:rsidR="00D834E3">
          <w:rPr>
            <w:noProof/>
            <w:webHidden/>
          </w:rPr>
          <w:instrText xml:space="preserve"> PAGEREF _Toc396211678 \h </w:instrText>
        </w:r>
        <w:r w:rsidR="00D834E3">
          <w:rPr>
            <w:noProof/>
            <w:webHidden/>
          </w:rPr>
        </w:r>
        <w:r w:rsidR="00D834E3">
          <w:rPr>
            <w:noProof/>
            <w:webHidden/>
          </w:rPr>
          <w:fldChar w:fldCharType="separate"/>
        </w:r>
        <w:r>
          <w:rPr>
            <w:noProof/>
            <w:webHidden/>
          </w:rPr>
          <w:t>9</w:t>
        </w:r>
        <w:r w:rsidR="00D834E3">
          <w:rPr>
            <w:noProof/>
            <w:webHidden/>
          </w:rPr>
          <w:fldChar w:fldCharType="end"/>
        </w:r>
      </w:hyperlink>
    </w:p>
    <w:p w14:paraId="15881733" w14:textId="77777777" w:rsidR="00D834E3" w:rsidRDefault="0044620B">
      <w:pPr>
        <w:pStyle w:val="TOC1"/>
        <w:rPr>
          <w:rFonts w:asciiTheme="minorHAnsi" w:eastAsiaTheme="minorEastAsia" w:hAnsiTheme="minorHAnsi"/>
          <w:b w:val="0"/>
          <w:bCs w:val="0"/>
          <w:noProof/>
          <w:sz w:val="22"/>
          <w:lang w:eastAsia="en-AU"/>
        </w:rPr>
      </w:pPr>
      <w:hyperlink w:anchor="_Toc396211679" w:history="1">
        <w:r w:rsidR="00D834E3" w:rsidRPr="00F83ED8">
          <w:rPr>
            <w:rStyle w:val="Hyperlink"/>
            <w:noProof/>
          </w:rPr>
          <w:t>Executive summary</w:t>
        </w:r>
        <w:r w:rsidR="00D834E3">
          <w:rPr>
            <w:noProof/>
            <w:webHidden/>
          </w:rPr>
          <w:tab/>
        </w:r>
        <w:r w:rsidR="00D834E3">
          <w:rPr>
            <w:noProof/>
            <w:webHidden/>
          </w:rPr>
          <w:fldChar w:fldCharType="begin"/>
        </w:r>
        <w:r w:rsidR="00D834E3">
          <w:rPr>
            <w:noProof/>
            <w:webHidden/>
          </w:rPr>
          <w:instrText xml:space="preserve"> PAGEREF _Toc396211679 \h </w:instrText>
        </w:r>
        <w:r w:rsidR="00D834E3">
          <w:rPr>
            <w:noProof/>
            <w:webHidden/>
          </w:rPr>
        </w:r>
        <w:r w:rsidR="00D834E3">
          <w:rPr>
            <w:noProof/>
            <w:webHidden/>
          </w:rPr>
          <w:fldChar w:fldCharType="separate"/>
        </w:r>
        <w:r>
          <w:rPr>
            <w:noProof/>
            <w:webHidden/>
          </w:rPr>
          <w:t>10</w:t>
        </w:r>
        <w:r w:rsidR="00D834E3">
          <w:rPr>
            <w:noProof/>
            <w:webHidden/>
          </w:rPr>
          <w:fldChar w:fldCharType="end"/>
        </w:r>
      </w:hyperlink>
    </w:p>
    <w:p w14:paraId="20EEC045" w14:textId="6ACACDFF" w:rsidR="00D834E3" w:rsidRDefault="0044620B">
      <w:pPr>
        <w:pStyle w:val="TOC1"/>
        <w:rPr>
          <w:rFonts w:asciiTheme="minorHAnsi" w:eastAsiaTheme="minorEastAsia" w:hAnsiTheme="minorHAnsi"/>
          <w:b w:val="0"/>
          <w:bCs w:val="0"/>
          <w:noProof/>
          <w:sz w:val="22"/>
          <w:lang w:eastAsia="en-AU"/>
        </w:rPr>
      </w:pPr>
      <w:hyperlink w:anchor="_Toc396211680" w:history="1">
        <w:r w:rsidR="00D834E3" w:rsidRPr="00F83ED8">
          <w:rPr>
            <w:rStyle w:val="Hyperlink"/>
            <w:noProof/>
          </w:rPr>
          <w:t>Background</w:t>
        </w:r>
        <w:r w:rsidR="00D834E3">
          <w:rPr>
            <w:noProof/>
            <w:webHidden/>
          </w:rPr>
          <w:tab/>
        </w:r>
        <w:r w:rsidR="00D834E3">
          <w:rPr>
            <w:noProof/>
            <w:webHidden/>
          </w:rPr>
          <w:tab/>
        </w:r>
        <w:r w:rsidR="00D834E3">
          <w:rPr>
            <w:noProof/>
            <w:webHidden/>
          </w:rPr>
          <w:fldChar w:fldCharType="begin"/>
        </w:r>
        <w:r w:rsidR="00D834E3">
          <w:rPr>
            <w:noProof/>
            <w:webHidden/>
          </w:rPr>
          <w:instrText xml:space="preserve"> PAGEREF _Toc396211680 \h </w:instrText>
        </w:r>
        <w:r w:rsidR="00D834E3">
          <w:rPr>
            <w:noProof/>
            <w:webHidden/>
          </w:rPr>
        </w:r>
        <w:r w:rsidR="00D834E3">
          <w:rPr>
            <w:noProof/>
            <w:webHidden/>
          </w:rPr>
          <w:fldChar w:fldCharType="separate"/>
        </w:r>
        <w:r>
          <w:rPr>
            <w:noProof/>
            <w:webHidden/>
          </w:rPr>
          <w:t>22</w:t>
        </w:r>
        <w:r w:rsidR="00D834E3">
          <w:rPr>
            <w:noProof/>
            <w:webHidden/>
          </w:rPr>
          <w:fldChar w:fldCharType="end"/>
        </w:r>
      </w:hyperlink>
    </w:p>
    <w:p w14:paraId="0252C826" w14:textId="77777777" w:rsidR="00D834E3" w:rsidRDefault="0044620B" w:rsidP="00D834E3">
      <w:pPr>
        <w:pStyle w:val="TOC1"/>
        <w:ind w:left="2160" w:hanging="1440"/>
        <w:rPr>
          <w:rFonts w:asciiTheme="minorHAnsi" w:eastAsiaTheme="minorEastAsia" w:hAnsiTheme="minorHAnsi"/>
          <w:b w:val="0"/>
          <w:bCs w:val="0"/>
          <w:noProof/>
          <w:sz w:val="22"/>
          <w:lang w:eastAsia="en-AU"/>
        </w:rPr>
      </w:pPr>
      <w:hyperlink w:anchor="_Toc396211681" w:history="1">
        <w:r w:rsidR="00D834E3" w:rsidRPr="00F83ED8">
          <w:rPr>
            <w:rStyle w:val="Hyperlink"/>
            <w:noProof/>
          </w:rPr>
          <w:t>Section A.</w:t>
        </w:r>
        <w:r w:rsidR="00D834E3">
          <w:rPr>
            <w:rFonts w:asciiTheme="minorHAnsi" w:eastAsiaTheme="minorEastAsia" w:hAnsiTheme="minorHAnsi"/>
            <w:b w:val="0"/>
            <w:bCs w:val="0"/>
            <w:noProof/>
            <w:sz w:val="22"/>
            <w:lang w:eastAsia="en-AU"/>
          </w:rPr>
          <w:tab/>
        </w:r>
        <w:r w:rsidR="00D834E3" w:rsidRPr="00F83ED8">
          <w:rPr>
            <w:rStyle w:val="Hyperlink"/>
            <w:noProof/>
          </w:rPr>
          <w:t>Details of the proposed medical service and its intended use</w:t>
        </w:r>
        <w:r w:rsidR="00D834E3">
          <w:rPr>
            <w:noProof/>
            <w:webHidden/>
          </w:rPr>
          <w:tab/>
        </w:r>
        <w:r w:rsidR="00D834E3">
          <w:rPr>
            <w:noProof/>
            <w:webHidden/>
          </w:rPr>
          <w:fldChar w:fldCharType="begin"/>
        </w:r>
        <w:r w:rsidR="00D834E3">
          <w:rPr>
            <w:noProof/>
            <w:webHidden/>
          </w:rPr>
          <w:instrText xml:space="preserve"> PAGEREF _Toc396211681 \h </w:instrText>
        </w:r>
        <w:r w:rsidR="00D834E3">
          <w:rPr>
            <w:noProof/>
            <w:webHidden/>
          </w:rPr>
        </w:r>
        <w:r w:rsidR="00D834E3">
          <w:rPr>
            <w:noProof/>
            <w:webHidden/>
          </w:rPr>
          <w:fldChar w:fldCharType="separate"/>
        </w:r>
        <w:r>
          <w:rPr>
            <w:noProof/>
            <w:webHidden/>
          </w:rPr>
          <w:t>23</w:t>
        </w:r>
        <w:r w:rsidR="00D834E3">
          <w:rPr>
            <w:noProof/>
            <w:webHidden/>
          </w:rPr>
          <w:fldChar w:fldCharType="end"/>
        </w:r>
      </w:hyperlink>
    </w:p>
    <w:p w14:paraId="3CD50C4F"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82" w:history="1">
        <w:r w:rsidR="00D834E3" w:rsidRPr="00F83ED8">
          <w:rPr>
            <w:rStyle w:val="Hyperlink"/>
            <w:noProof/>
          </w:rPr>
          <w:t>A.1.</w:t>
        </w:r>
        <w:r w:rsidR="00D834E3">
          <w:rPr>
            <w:rFonts w:asciiTheme="minorHAnsi" w:eastAsiaTheme="minorEastAsia" w:hAnsiTheme="minorHAnsi"/>
            <w:bCs w:val="0"/>
            <w:noProof/>
            <w:sz w:val="22"/>
            <w:lang w:eastAsia="en-AU"/>
          </w:rPr>
          <w:tab/>
        </w:r>
        <w:r w:rsidR="00D834E3" w:rsidRPr="00F83ED8">
          <w:rPr>
            <w:rStyle w:val="Hyperlink"/>
            <w:noProof/>
          </w:rPr>
          <w:t>Address all items in the Protocol</w:t>
        </w:r>
        <w:r w:rsidR="00D834E3">
          <w:rPr>
            <w:noProof/>
            <w:webHidden/>
          </w:rPr>
          <w:tab/>
        </w:r>
        <w:r w:rsidR="00D834E3">
          <w:rPr>
            <w:noProof/>
            <w:webHidden/>
          </w:rPr>
          <w:fldChar w:fldCharType="begin"/>
        </w:r>
        <w:r w:rsidR="00D834E3">
          <w:rPr>
            <w:noProof/>
            <w:webHidden/>
          </w:rPr>
          <w:instrText xml:space="preserve"> PAGEREF _Toc396211682 \h </w:instrText>
        </w:r>
        <w:r w:rsidR="00D834E3">
          <w:rPr>
            <w:noProof/>
            <w:webHidden/>
          </w:rPr>
        </w:r>
        <w:r w:rsidR="00D834E3">
          <w:rPr>
            <w:noProof/>
            <w:webHidden/>
          </w:rPr>
          <w:fldChar w:fldCharType="separate"/>
        </w:r>
        <w:r>
          <w:rPr>
            <w:noProof/>
            <w:webHidden/>
          </w:rPr>
          <w:t>23</w:t>
        </w:r>
        <w:r w:rsidR="00D834E3">
          <w:rPr>
            <w:noProof/>
            <w:webHidden/>
          </w:rPr>
          <w:fldChar w:fldCharType="end"/>
        </w:r>
      </w:hyperlink>
    </w:p>
    <w:p w14:paraId="5445F683"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83" w:history="1">
        <w:r w:rsidR="00D834E3" w:rsidRPr="00F83ED8">
          <w:rPr>
            <w:rStyle w:val="Hyperlink"/>
            <w:noProof/>
          </w:rPr>
          <w:t>A.2.</w:t>
        </w:r>
        <w:r w:rsidR="00D834E3">
          <w:rPr>
            <w:rFonts w:asciiTheme="minorHAnsi" w:eastAsiaTheme="minorEastAsia" w:hAnsiTheme="minorHAnsi"/>
            <w:bCs w:val="0"/>
            <w:noProof/>
            <w:sz w:val="22"/>
            <w:lang w:eastAsia="en-AU"/>
          </w:rPr>
          <w:tab/>
        </w:r>
        <w:r w:rsidR="00D834E3" w:rsidRPr="00F83ED8">
          <w:rPr>
            <w:rStyle w:val="Hyperlink"/>
            <w:noProof/>
          </w:rPr>
          <w:t>Proposed medical service</w:t>
        </w:r>
        <w:r w:rsidR="00D834E3">
          <w:rPr>
            <w:noProof/>
            <w:webHidden/>
          </w:rPr>
          <w:tab/>
        </w:r>
        <w:r w:rsidR="00D834E3">
          <w:rPr>
            <w:noProof/>
            <w:webHidden/>
          </w:rPr>
          <w:fldChar w:fldCharType="begin"/>
        </w:r>
        <w:r w:rsidR="00D834E3">
          <w:rPr>
            <w:noProof/>
            <w:webHidden/>
          </w:rPr>
          <w:instrText xml:space="preserve"> PAGEREF _Toc396211683 \h </w:instrText>
        </w:r>
        <w:r w:rsidR="00D834E3">
          <w:rPr>
            <w:noProof/>
            <w:webHidden/>
          </w:rPr>
        </w:r>
        <w:r w:rsidR="00D834E3">
          <w:rPr>
            <w:noProof/>
            <w:webHidden/>
          </w:rPr>
          <w:fldChar w:fldCharType="separate"/>
        </w:r>
        <w:r>
          <w:rPr>
            <w:noProof/>
            <w:webHidden/>
          </w:rPr>
          <w:t>24</w:t>
        </w:r>
        <w:r w:rsidR="00D834E3">
          <w:rPr>
            <w:noProof/>
            <w:webHidden/>
          </w:rPr>
          <w:fldChar w:fldCharType="end"/>
        </w:r>
      </w:hyperlink>
    </w:p>
    <w:p w14:paraId="1B0ED8D5"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84" w:history="1">
        <w:r w:rsidR="00D834E3" w:rsidRPr="00F83ED8">
          <w:rPr>
            <w:rStyle w:val="Hyperlink"/>
            <w:noProof/>
          </w:rPr>
          <w:t>A.3.</w:t>
        </w:r>
        <w:r w:rsidR="00D834E3">
          <w:rPr>
            <w:rFonts w:asciiTheme="minorHAnsi" w:eastAsiaTheme="minorEastAsia" w:hAnsiTheme="minorHAnsi"/>
            <w:bCs w:val="0"/>
            <w:noProof/>
            <w:sz w:val="22"/>
            <w:lang w:eastAsia="en-AU"/>
          </w:rPr>
          <w:tab/>
        </w:r>
        <w:r w:rsidR="00D834E3" w:rsidRPr="00F83ED8">
          <w:rPr>
            <w:rStyle w:val="Hyperlink"/>
            <w:noProof/>
          </w:rPr>
          <w:t>Proposed MBS listing sought</w:t>
        </w:r>
        <w:r w:rsidR="00D834E3">
          <w:rPr>
            <w:noProof/>
            <w:webHidden/>
          </w:rPr>
          <w:tab/>
        </w:r>
        <w:r w:rsidR="00D834E3">
          <w:rPr>
            <w:noProof/>
            <w:webHidden/>
          </w:rPr>
          <w:fldChar w:fldCharType="begin"/>
        </w:r>
        <w:r w:rsidR="00D834E3">
          <w:rPr>
            <w:noProof/>
            <w:webHidden/>
          </w:rPr>
          <w:instrText xml:space="preserve"> PAGEREF _Toc396211684 \h </w:instrText>
        </w:r>
        <w:r w:rsidR="00D834E3">
          <w:rPr>
            <w:noProof/>
            <w:webHidden/>
          </w:rPr>
        </w:r>
        <w:r w:rsidR="00D834E3">
          <w:rPr>
            <w:noProof/>
            <w:webHidden/>
          </w:rPr>
          <w:fldChar w:fldCharType="separate"/>
        </w:r>
        <w:r>
          <w:rPr>
            <w:noProof/>
            <w:webHidden/>
          </w:rPr>
          <w:t>35</w:t>
        </w:r>
        <w:r w:rsidR="00D834E3">
          <w:rPr>
            <w:noProof/>
            <w:webHidden/>
          </w:rPr>
          <w:fldChar w:fldCharType="end"/>
        </w:r>
      </w:hyperlink>
    </w:p>
    <w:p w14:paraId="23A123AB"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85" w:history="1">
        <w:r w:rsidR="00D834E3" w:rsidRPr="00F83ED8">
          <w:rPr>
            <w:rStyle w:val="Hyperlink"/>
            <w:noProof/>
          </w:rPr>
          <w:t>A.4.</w:t>
        </w:r>
        <w:r w:rsidR="00D834E3">
          <w:rPr>
            <w:rFonts w:asciiTheme="minorHAnsi" w:eastAsiaTheme="minorEastAsia" w:hAnsiTheme="minorHAnsi"/>
            <w:bCs w:val="0"/>
            <w:noProof/>
            <w:sz w:val="22"/>
            <w:lang w:eastAsia="en-AU"/>
          </w:rPr>
          <w:tab/>
        </w:r>
        <w:r w:rsidR="00D834E3" w:rsidRPr="00F83ED8">
          <w:rPr>
            <w:rStyle w:val="Hyperlink"/>
            <w:noProof/>
          </w:rPr>
          <w:t>Comparator details</w:t>
        </w:r>
        <w:r w:rsidR="00D834E3">
          <w:rPr>
            <w:noProof/>
            <w:webHidden/>
          </w:rPr>
          <w:tab/>
        </w:r>
        <w:r w:rsidR="00D834E3">
          <w:rPr>
            <w:noProof/>
            <w:webHidden/>
          </w:rPr>
          <w:fldChar w:fldCharType="begin"/>
        </w:r>
        <w:r w:rsidR="00D834E3">
          <w:rPr>
            <w:noProof/>
            <w:webHidden/>
          </w:rPr>
          <w:instrText xml:space="preserve"> PAGEREF _Toc396211685 \h </w:instrText>
        </w:r>
        <w:r w:rsidR="00D834E3">
          <w:rPr>
            <w:noProof/>
            <w:webHidden/>
          </w:rPr>
        </w:r>
        <w:r w:rsidR="00D834E3">
          <w:rPr>
            <w:noProof/>
            <w:webHidden/>
          </w:rPr>
          <w:fldChar w:fldCharType="separate"/>
        </w:r>
        <w:r>
          <w:rPr>
            <w:noProof/>
            <w:webHidden/>
          </w:rPr>
          <w:t>38</w:t>
        </w:r>
        <w:r w:rsidR="00D834E3">
          <w:rPr>
            <w:noProof/>
            <w:webHidden/>
          </w:rPr>
          <w:fldChar w:fldCharType="end"/>
        </w:r>
      </w:hyperlink>
    </w:p>
    <w:p w14:paraId="77E22B1D"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86" w:history="1">
        <w:r w:rsidR="00D834E3" w:rsidRPr="00F83ED8">
          <w:rPr>
            <w:rStyle w:val="Hyperlink"/>
            <w:noProof/>
          </w:rPr>
          <w:t>A.5.</w:t>
        </w:r>
        <w:r w:rsidR="00D834E3">
          <w:rPr>
            <w:rFonts w:asciiTheme="minorHAnsi" w:eastAsiaTheme="minorEastAsia" w:hAnsiTheme="minorHAnsi"/>
            <w:bCs w:val="0"/>
            <w:noProof/>
            <w:sz w:val="22"/>
            <w:lang w:eastAsia="en-AU"/>
          </w:rPr>
          <w:tab/>
        </w:r>
        <w:r w:rsidR="00D834E3" w:rsidRPr="00F83ED8">
          <w:rPr>
            <w:rStyle w:val="Hyperlink"/>
            <w:noProof/>
          </w:rPr>
          <w:t>Clinical management algorithms</w:t>
        </w:r>
        <w:r w:rsidR="00D834E3">
          <w:rPr>
            <w:noProof/>
            <w:webHidden/>
          </w:rPr>
          <w:tab/>
        </w:r>
        <w:r w:rsidR="00D834E3">
          <w:rPr>
            <w:noProof/>
            <w:webHidden/>
          </w:rPr>
          <w:fldChar w:fldCharType="begin"/>
        </w:r>
        <w:r w:rsidR="00D834E3">
          <w:rPr>
            <w:noProof/>
            <w:webHidden/>
          </w:rPr>
          <w:instrText xml:space="preserve"> PAGEREF _Toc396211686 \h </w:instrText>
        </w:r>
        <w:r w:rsidR="00D834E3">
          <w:rPr>
            <w:noProof/>
            <w:webHidden/>
          </w:rPr>
        </w:r>
        <w:r w:rsidR="00D834E3">
          <w:rPr>
            <w:noProof/>
            <w:webHidden/>
          </w:rPr>
          <w:fldChar w:fldCharType="separate"/>
        </w:r>
        <w:r>
          <w:rPr>
            <w:noProof/>
            <w:webHidden/>
          </w:rPr>
          <w:t>38</w:t>
        </w:r>
        <w:r w:rsidR="00D834E3">
          <w:rPr>
            <w:noProof/>
            <w:webHidden/>
          </w:rPr>
          <w:fldChar w:fldCharType="end"/>
        </w:r>
      </w:hyperlink>
    </w:p>
    <w:p w14:paraId="3A9CE921"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87" w:history="1">
        <w:r w:rsidR="00D834E3" w:rsidRPr="00F83ED8">
          <w:rPr>
            <w:rStyle w:val="Hyperlink"/>
            <w:noProof/>
          </w:rPr>
          <w:t>A.6.</w:t>
        </w:r>
        <w:r w:rsidR="00D834E3">
          <w:rPr>
            <w:rFonts w:asciiTheme="minorHAnsi" w:eastAsiaTheme="minorEastAsia" w:hAnsiTheme="minorHAnsi"/>
            <w:bCs w:val="0"/>
            <w:noProof/>
            <w:sz w:val="22"/>
            <w:lang w:eastAsia="en-AU"/>
          </w:rPr>
          <w:tab/>
        </w:r>
        <w:r w:rsidR="00D834E3" w:rsidRPr="00F83ED8">
          <w:rPr>
            <w:rStyle w:val="Hyperlink"/>
            <w:noProof/>
          </w:rPr>
          <w:t>Differences between the proposed medical service and the main comparator</w:t>
        </w:r>
        <w:r w:rsidR="00D834E3">
          <w:rPr>
            <w:noProof/>
            <w:webHidden/>
          </w:rPr>
          <w:tab/>
        </w:r>
        <w:r w:rsidR="00D834E3">
          <w:rPr>
            <w:noProof/>
            <w:webHidden/>
          </w:rPr>
          <w:fldChar w:fldCharType="begin"/>
        </w:r>
        <w:r w:rsidR="00D834E3">
          <w:rPr>
            <w:noProof/>
            <w:webHidden/>
          </w:rPr>
          <w:instrText xml:space="preserve"> PAGEREF _Toc396211687 \h </w:instrText>
        </w:r>
        <w:r w:rsidR="00D834E3">
          <w:rPr>
            <w:noProof/>
            <w:webHidden/>
          </w:rPr>
        </w:r>
        <w:r w:rsidR="00D834E3">
          <w:rPr>
            <w:noProof/>
            <w:webHidden/>
          </w:rPr>
          <w:fldChar w:fldCharType="separate"/>
        </w:r>
        <w:r>
          <w:rPr>
            <w:noProof/>
            <w:webHidden/>
          </w:rPr>
          <w:t>41</w:t>
        </w:r>
        <w:r w:rsidR="00D834E3">
          <w:rPr>
            <w:noProof/>
            <w:webHidden/>
          </w:rPr>
          <w:fldChar w:fldCharType="end"/>
        </w:r>
      </w:hyperlink>
    </w:p>
    <w:p w14:paraId="30A8588D"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88" w:history="1">
        <w:r w:rsidR="00D834E3" w:rsidRPr="00F83ED8">
          <w:rPr>
            <w:rStyle w:val="Hyperlink"/>
            <w:noProof/>
          </w:rPr>
          <w:t>A.7.</w:t>
        </w:r>
        <w:r w:rsidR="00D834E3">
          <w:rPr>
            <w:rFonts w:asciiTheme="minorHAnsi" w:eastAsiaTheme="minorEastAsia" w:hAnsiTheme="minorHAnsi"/>
            <w:bCs w:val="0"/>
            <w:noProof/>
            <w:sz w:val="22"/>
            <w:lang w:eastAsia="en-AU"/>
          </w:rPr>
          <w:tab/>
        </w:r>
        <w:r w:rsidR="00D834E3" w:rsidRPr="00F83ED8">
          <w:rPr>
            <w:rStyle w:val="Hyperlink"/>
            <w:noProof/>
          </w:rPr>
          <w:t>Clinical claim</w:t>
        </w:r>
        <w:r w:rsidR="00D834E3">
          <w:rPr>
            <w:noProof/>
            <w:webHidden/>
          </w:rPr>
          <w:tab/>
        </w:r>
        <w:r w:rsidR="00D834E3">
          <w:rPr>
            <w:noProof/>
            <w:webHidden/>
          </w:rPr>
          <w:fldChar w:fldCharType="begin"/>
        </w:r>
        <w:r w:rsidR="00D834E3">
          <w:rPr>
            <w:noProof/>
            <w:webHidden/>
          </w:rPr>
          <w:instrText xml:space="preserve"> PAGEREF _Toc396211688 \h </w:instrText>
        </w:r>
        <w:r w:rsidR="00D834E3">
          <w:rPr>
            <w:noProof/>
            <w:webHidden/>
          </w:rPr>
        </w:r>
        <w:r w:rsidR="00D834E3">
          <w:rPr>
            <w:noProof/>
            <w:webHidden/>
          </w:rPr>
          <w:fldChar w:fldCharType="separate"/>
        </w:r>
        <w:r>
          <w:rPr>
            <w:noProof/>
            <w:webHidden/>
          </w:rPr>
          <w:t>41</w:t>
        </w:r>
        <w:r w:rsidR="00D834E3">
          <w:rPr>
            <w:noProof/>
            <w:webHidden/>
          </w:rPr>
          <w:fldChar w:fldCharType="end"/>
        </w:r>
      </w:hyperlink>
    </w:p>
    <w:p w14:paraId="4559F097"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89" w:history="1">
        <w:r w:rsidR="00D834E3" w:rsidRPr="00F83ED8">
          <w:rPr>
            <w:rStyle w:val="Hyperlink"/>
            <w:noProof/>
          </w:rPr>
          <w:t>A.8.</w:t>
        </w:r>
        <w:r w:rsidR="00D834E3">
          <w:rPr>
            <w:rFonts w:asciiTheme="minorHAnsi" w:eastAsiaTheme="minorEastAsia" w:hAnsiTheme="minorHAnsi"/>
            <w:bCs w:val="0"/>
            <w:noProof/>
            <w:sz w:val="22"/>
            <w:lang w:eastAsia="en-AU"/>
          </w:rPr>
          <w:tab/>
        </w:r>
        <w:r w:rsidR="00D834E3" w:rsidRPr="00F83ED8">
          <w:rPr>
            <w:rStyle w:val="Hyperlink"/>
            <w:noProof/>
          </w:rPr>
          <w:t>Primary elements of the decision analysis</w:t>
        </w:r>
        <w:r w:rsidR="00D834E3">
          <w:rPr>
            <w:noProof/>
            <w:webHidden/>
          </w:rPr>
          <w:tab/>
        </w:r>
        <w:r w:rsidR="00D834E3">
          <w:rPr>
            <w:noProof/>
            <w:webHidden/>
          </w:rPr>
          <w:fldChar w:fldCharType="begin"/>
        </w:r>
        <w:r w:rsidR="00D834E3">
          <w:rPr>
            <w:noProof/>
            <w:webHidden/>
          </w:rPr>
          <w:instrText xml:space="preserve"> PAGEREF _Toc396211689 \h </w:instrText>
        </w:r>
        <w:r w:rsidR="00D834E3">
          <w:rPr>
            <w:noProof/>
            <w:webHidden/>
          </w:rPr>
        </w:r>
        <w:r w:rsidR="00D834E3">
          <w:rPr>
            <w:noProof/>
            <w:webHidden/>
          </w:rPr>
          <w:fldChar w:fldCharType="separate"/>
        </w:r>
        <w:r>
          <w:rPr>
            <w:noProof/>
            <w:webHidden/>
          </w:rPr>
          <w:t>42</w:t>
        </w:r>
        <w:r w:rsidR="00D834E3">
          <w:rPr>
            <w:noProof/>
            <w:webHidden/>
          </w:rPr>
          <w:fldChar w:fldCharType="end"/>
        </w:r>
      </w:hyperlink>
    </w:p>
    <w:p w14:paraId="266FA2C1" w14:textId="77777777" w:rsidR="00D834E3" w:rsidRDefault="0044620B">
      <w:pPr>
        <w:pStyle w:val="TOC1"/>
        <w:rPr>
          <w:rFonts w:asciiTheme="minorHAnsi" w:eastAsiaTheme="minorEastAsia" w:hAnsiTheme="minorHAnsi"/>
          <w:b w:val="0"/>
          <w:bCs w:val="0"/>
          <w:noProof/>
          <w:sz w:val="22"/>
          <w:lang w:eastAsia="en-AU"/>
        </w:rPr>
      </w:pPr>
      <w:hyperlink w:anchor="_Toc396211690" w:history="1">
        <w:r w:rsidR="00D834E3" w:rsidRPr="00F83ED8">
          <w:rPr>
            <w:rStyle w:val="Hyperlink"/>
            <w:noProof/>
          </w:rPr>
          <w:t>Section B.</w:t>
        </w:r>
        <w:r w:rsidR="00D834E3">
          <w:rPr>
            <w:rFonts w:asciiTheme="minorHAnsi" w:eastAsiaTheme="minorEastAsia" w:hAnsiTheme="minorHAnsi"/>
            <w:b w:val="0"/>
            <w:bCs w:val="0"/>
            <w:noProof/>
            <w:sz w:val="22"/>
            <w:lang w:eastAsia="en-AU"/>
          </w:rPr>
          <w:tab/>
        </w:r>
        <w:r w:rsidR="00D834E3" w:rsidRPr="00F83ED8">
          <w:rPr>
            <w:rStyle w:val="Hyperlink"/>
            <w:noProof/>
          </w:rPr>
          <w:t>Clinical evaluation for the main indication</w:t>
        </w:r>
        <w:r w:rsidR="00D834E3">
          <w:rPr>
            <w:noProof/>
            <w:webHidden/>
          </w:rPr>
          <w:tab/>
        </w:r>
        <w:r w:rsidR="00D834E3">
          <w:rPr>
            <w:noProof/>
            <w:webHidden/>
          </w:rPr>
          <w:fldChar w:fldCharType="begin"/>
        </w:r>
        <w:r w:rsidR="00D834E3">
          <w:rPr>
            <w:noProof/>
            <w:webHidden/>
          </w:rPr>
          <w:instrText xml:space="preserve"> PAGEREF _Toc396211690 \h </w:instrText>
        </w:r>
        <w:r w:rsidR="00D834E3">
          <w:rPr>
            <w:noProof/>
            <w:webHidden/>
          </w:rPr>
        </w:r>
        <w:r w:rsidR="00D834E3">
          <w:rPr>
            <w:noProof/>
            <w:webHidden/>
          </w:rPr>
          <w:fldChar w:fldCharType="separate"/>
        </w:r>
        <w:r>
          <w:rPr>
            <w:noProof/>
            <w:webHidden/>
          </w:rPr>
          <w:t>46</w:t>
        </w:r>
        <w:r w:rsidR="00D834E3">
          <w:rPr>
            <w:noProof/>
            <w:webHidden/>
          </w:rPr>
          <w:fldChar w:fldCharType="end"/>
        </w:r>
      </w:hyperlink>
    </w:p>
    <w:p w14:paraId="23C38E0C"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91" w:history="1">
        <w:r w:rsidR="00D834E3" w:rsidRPr="00F83ED8">
          <w:rPr>
            <w:rStyle w:val="Hyperlink"/>
            <w:noProof/>
          </w:rPr>
          <w:t>B.1.</w:t>
        </w:r>
        <w:r w:rsidR="00D834E3">
          <w:rPr>
            <w:rFonts w:asciiTheme="minorHAnsi" w:eastAsiaTheme="minorEastAsia" w:hAnsiTheme="minorHAnsi"/>
            <w:bCs w:val="0"/>
            <w:noProof/>
            <w:sz w:val="22"/>
            <w:lang w:eastAsia="en-AU"/>
          </w:rPr>
          <w:tab/>
        </w:r>
        <w:r w:rsidR="00D834E3" w:rsidRPr="00F83ED8">
          <w:rPr>
            <w:rStyle w:val="Hyperlink"/>
            <w:noProof/>
          </w:rPr>
          <w:t>Description of search strategies</w:t>
        </w:r>
        <w:r w:rsidR="00D834E3">
          <w:rPr>
            <w:noProof/>
            <w:webHidden/>
          </w:rPr>
          <w:tab/>
        </w:r>
        <w:r w:rsidR="00D834E3">
          <w:rPr>
            <w:noProof/>
            <w:webHidden/>
          </w:rPr>
          <w:fldChar w:fldCharType="begin"/>
        </w:r>
        <w:r w:rsidR="00D834E3">
          <w:rPr>
            <w:noProof/>
            <w:webHidden/>
          </w:rPr>
          <w:instrText xml:space="preserve"> PAGEREF _Toc396211691 \h </w:instrText>
        </w:r>
        <w:r w:rsidR="00D834E3">
          <w:rPr>
            <w:noProof/>
            <w:webHidden/>
          </w:rPr>
        </w:r>
        <w:r w:rsidR="00D834E3">
          <w:rPr>
            <w:noProof/>
            <w:webHidden/>
          </w:rPr>
          <w:fldChar w:fldCharType="separate"/>
        </w:r>
        <w:r>
          <w:rPr>
            <w:noProof/>
            <w:webHidden/>
          </w:rPr>
          <w:t>46</w:t>
        </w:r>
        <w:r w:rsidR="00D834E3">
          <w:rPr>
            <w:noProof/>
            <w:webHidden/>
          </w:rPr>
          <w:fldChar w:fldCharType="end"/>
        </w:r>
      </w:hyperlink>
    </w:p>
    <w:p w14:paraId="202D2439"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92" w:history="1">
        <w:r w:rsidR="00D834E3" w:rsidRPr="00F83ED8">
          <w:rPr>
            <w:rStyle w:val="Hyperlink"/>
            <w:noProof/>
          </w:rPr>
          <w:t>B.2.</w:t>
        </w:r>
        <w:r w:rsidR="00D834E3">
          <w:rPr>
            <w:rFonts w:asciiTheme="minorHAnsi" w:eastAsiaTheme="minorEastAsia" w:hAnsiTheme="minorHAnsi"/>
            <w:bCs w:val="0"/>
            <w:noProof/>
            <w:sz w:val="22"/>
            <w:lang w:eastAsia="en-AU"/>
          </w:rPr>
          <w:tab/>
        </w:r>
        <w:r w:rsidR="00D834E3" w:rsidRPr="00F83ED8">
          <w:rPr>
            <w:rStyle w:val="Hyperlink"/>
            <w:noProof/>
          </w:rPr>
          <w:t>Listing of all studies</w:t>
        </w:r>
        <w:r w:rsidR="00D834E3">
          <w:rPr>
            <w:noProof/>
            <w:webHidden/>
          </w:rPr>
          <w:tab/>
        </w:r>
        <w:r w:rsidR="00D834E3">
          <w:rPr>
            <w:noProof/>
            <w:webHidden/>
          </w:rPr>
          <w:fldChar w:fldCharType="begin"/>
        </w:r>
        <w:r w:rsidR="00D834E3">
          <w:rPr>
            <w:noProof/>
            <w:webHidden/>
          </w:rPr>
          <w:instrText xml:space="preserve"> PAGEREF _Toc396211692 \h </w:instrText>
        </w:r>
        <w:r w:rsidR="00D834E3">
          <w:rPr>
            <w:noProof/>
            <w:webHidden/>
          </w:rPr>
        </w:r>
        <w:r w:rsidR="00D834E3">
          <w:rPr>
            <w:noProof/>
            <w:webHidden/>
          </w:rPr>
          <w:fldChar w:fldCharType="separate"/>
        </w:r>
        <w:r>
          <w:rPr>
            <w:noProof/>
            <w:webHidden/>
          </w:rPr>
          <w:t>48</w:t>
        </w:r>
        <w:r w:rsidR="00D834E3">
          <w:rPr>
            <w:noProof/>
            <w:webHidden/>
          </w:rPr>
          <w:fldChar w:fldCharType="end"/>
        </w:r>
      </w:hyperlink>
    </w:p>
    <w:p w14:paraId="7ED36B94"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93" w:history="1">
        <w:r w:rsidR="00D834E3" w:rsidRPr="00F83ED8">
          <w:rPr>
            <w:rStyle w:val="Hyperlink"/>
            <w:noProof/>
          </w:rPr>
          <w:t>B.3.</w:t>
        </w:r>
        <w:r w:rsidR="00D834E3">
          <w:rPr>
            <w:rFonts w:asciiTheme="minorHAnsi" w:eastAsiaTheme="minorEastAsia" w:hAnsiTheme="minorHAnsi"/>
            <w:bCs w:val="0"/>
            <w:noProof/>
            <w:sz w:val="22"/>
            <w:lang w:eastAsia="en-AU"/>
          </w:rPr>
          <w:tab/>
        </w:r>
        <w:r w:rsidR="00D834E3" w:rsidRPr="00F83ED8">
          <w:rPr>
            <w:rStyle w:val="Hyperlink"/>
            <w:noProof/>
          </w:rPr>
          <w:t>Assessment of the measures taken by investigators to minimise bias</w:t>
        </w:r>
        <w:r w:rsidR="00D834E3">
          <w:rPr>
            <w:noProof/>
            <w:webHidden/>
          </w:rPr>
          <w:tab/>
        </w:r>
        <w:r w:rsidR="00D834E3">
          <w:rPr>
            <w:noProof/>
            <w:webHidden/>
          </w:rPr>
          <w:fldChar w:fldCharType="begin"/>
        </w:r>
        <w:r w:rsidR="00D834E3">
          <w:rPr>
            <w:noProof/>
            <w:webHidden/>
          </w:rPr>
          <w:instrText xml:space="preserve"> PAGEREF _Toc396211693 \h </w:instrText>
        </w:r>
        <w:r w:rsidR="00D834E3">
          <w:rPr>
            <w:noProof/>
            <w:webHidden/>
          </w:rPr>
        </w:r>
        <w:r w:rsidR="00D834E3">
          <w:rPr>
            <w:noProof/>
            <w:webHidden/>
          </w:rPr>
          <w:fldChar w:fldCharType="separate"/>
        </w:r>
        <w:r>
          <w:rPr>
            <w:noProof/>
            <w:webHidden/>
          </w:rPr>
          <w:t>59</w:t>
        </w:r>
        <w:r w:rsidR="00D834E3">
          <w:rPr>
            <w:noProof/>
            <w:webHidden/>
          </w:rPr>
          <w:fldChar w:fldCharType="end"/>
        </w:r>
      </w:hyperlink>
    </w:p>
    <w:p w14:paraId="0FD31AE8"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94" w:history="1">
        <w:r w:rsidR="00D834E3" w:rsidRPr="00F83ED8">
          <w:rPr>
            <w:rStyle w:val="Hyperlink"/>
            <w:noProof/>
          </w:rPr>
          <w:t>B.4.</w:t>
        </w:r>
        <w:r w:rsidR="00D834E3">
          <w:rPr>
            <w:rFonts w:asciiTheme="minorHAnsi" w:eastAsiaTheme="minorEastAsia" w:hAnsiTheme="minorHAnsi"/>
            <w:bCs w:val="0"/>
            <w:noProof/>
            <w:sz w:val="22"/>
            <w:lang w:eastAsia="en-AU"/>
          </w:rPr>
          <w:tab/>
        </w:r>
        <w:r w:rsidR="00D834E3" w:rsidRPr="00F83ED8">
          <w:rPr>
            <w:rStyle w:val="Hyperlink"/>
            <w:noProof/>
          </w:rPr>
          <w:t>Characteristics of the studies</w:t>
        </w:r>
        <w:r w:rsidR="00D834E3">
          <w:rPr>
            <w:noProof/>
            <w:webHidden/>
          </w:rPr>
          <w:tab/>
        </w:r>
        <w:r w:rsidR="00D834E3">
          <w:rPr>
            <w:noProof/>
            <w:webHidden/>
          </w:rPr>
          <w:fldChar w:fldCharType="begin"/>
        </w:r>
        <w:r w:rsidR="00D834E3">
          <w:rPr>
            <w:noProof/>
            <w:webHidden/>
          </w:rPr>
          <w:instrText xml:space="preserve"> PAGEREF _Toc396211694 \h </w:instrText>
        </w:r>
        <w:r w:rsidR="00D834E3">
          <w:rPr>
            <w:noProof/>
            <w:webHidden/>
          </w:rPr>
        </w:r>
        <w:r w:rsidR="00D834E3">
          <w:rPr>
            <w:noProof/>
            <w:webHidden/>
          </w:rPr>
          <w:fldChar w:fldCharType="separate"/>
        </w:r>
        <w:r>
          <w:rPr>
            <w:noProof/>
            <w:webHidden/>
          </w:rPr>
          <w:t>61</w:t>
        </w:r>
        <w:r w:rsidR="00D834E3">
          <w:rPr>
            <w:noProof/>
            <w:webHidden/>
          </w:rPr>
          <w:fldChar w:fldCharType="end"/>
        </w:r>
      </w:hyperlink>
    </w:p>
    <w:p w14:paraId="30BBFFCA"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95" w:history="1">
        <w:r w:rsidR="00D834E3" w:rsidRPr="00F83ED8">
          <w:rPr>
            <w:rStyle w:val="Hyperlink"/>
            <w:noProof/>
          </w:rPr>
          <w:t>B.5.</w:t>
        </w:r>
        <w:r w:rsidR="00D834E3">
          <w:rPr>
            <w:rFonts w:asciiTheme="minorHAnsi" w:eastAsiaTheme="minorEastAsia" w:hAnsiTheme="minorHAnsi"/>
            <w:bCs w:val="0"/>
            <w:noProof/>
            <w:sz w:val="22"/>
            <w:lang w:eastAsia="en-AU"/>
          </w:rPr>
          <w:tab/>
        </w:r>
        <w:r w:rsidR="00D834E3" w:rsidRPr="00F83ED8">
          <w:rPr>
            <w:rStyle w:val="Hyperlink"/>
            <w:noProof/>
          </w:rPr>
          <w:t>Outcome measures and analysis</w:t>
        </w:r>
        <w:r w:rsidR="00D834E3">
          <w:rPr>
            <w:noProof/>
            <w:webHidden/>
          </w:rPr>
          <w:tab/>
        </w:r>
        <w:r w:rsidR="00D834E3">
          <w:rPr>
            <w:noProof/>
            <w:webHidden/>
          </w:rPr>
          <w:fldChar w:fldCharType="begin"/>
        </w:r>
        <w:r w:rsidR="00D834E3">
          <w:rPr>
            <w:noProof/>
            <w:webHidden/>
          </w:rPr>
          <w:instrText xml:space="preserve"> PAGEREF _Toc396211695 \h </w:instrText>
        </w:r>
        <w:r w:rsidR="00D834E3">
          <w:rPr>
            <w:noProof/>
            <w:webHidden/>
          </w:rPr>
        </w:r>
        <w:r w:rsidR="00D834E3">
          <w:rPr>
            <w:noProof/>
            <w:webHidden/>
          </w:rPr>
          <w:fldChar w:fldCharType="separate"/>
        </w:r>
        <w:r>
          <w:rPr>
            <w:noProof/>
            <w:webHidden/>
          </w:rPr>
          <w:t>71</w:t>
        </w:r>
        <w:r w:rsidR="00D834E3">
          <w:rPr>
            <w:noProof/>
            <w:webHidden/>
          </w:rPr>
          <w:fldChar w:fldCharType="end"/>
        </w:r>
      </w:hyperlink>
    </w:p>
    <w:p w14:paraId="3750A321"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96" w:history="1">
        <w:r w:rsidR="00D834E3" w:rsidRPr="00F83ED8">
          <w:rPr>
            <w:rStyle w:val="Hyperlink"/>
            <w:noProof/>
          </w:rPr>
          <w:t>B.6.</w:t>
        </w:r>
        <w:r w:rsidR="00D834E3">
          <w:rPr>
            <w:rFonts w:asciiTheme="minorHAnsi" w:eastAsiaTheme="minorEastAsia" w:hAnsiTheme="minorHAnsi"/>
            <w:bCs w:val="0"/>
            <w:noProof/>
            <w:sz w:val="22"/>
            <w:lang w:eastAsia="en-AU"/>
          </w:rPr>
          <w:tab/>
        </w:r>
        <w:r w:rsidR="00D834E3" w:rsidRPr="00F83ED8">
          <w:rPr>
            <w:rStyle w:val="Hyperlink"/>
            <w:noProof/>
          </w:rPr>
          <w:t>Systematic overview of the results</w:t>
        </w:r>
        <w:r w:rsidR="00D834E3">
          <w:rPr>
            <w:noProof/>
            <w:webHidden/>
          </w:rPr>
          <w:tab/>
        </w:r>
        <w:r w:rsidR="00D834E3">
          <w:rPr>
            <w:noProof/>
            <w:webHidden/>
          </w:rPr>
          <w:fldChar w:fldCharType="begin"/>
        </w:r>
        <w:r w:rsidR="00D834E3">
          <w:rPr>
            <w:noProof/>
            <w:webHidden/>
          </w:rPr>
          <w:instrText xml:space="preserve"> PAGEREF _Toc396211696 \h </w:instrText>
        </w:r>
        <w:r w:rsidR="00D834E3">
          <w:rPr>
            <w:noProof/>
            <w:webHidden/>
          </w:rPr>
        </w:r>
        <w:r w:rsidR="00D834E3">
          <w:rPr>
            <w:noProof/>
            <w:webHidden/>
          </w:rPr>
          <w:fldChar w:fldCharType="separate"/>
        </w:r>
        <w:r>
          <w:rPr>
            <w:noProof/>
            <w:webHidden/>
          </w:rPr>
          <w:t>75</w:t>
        </w:r>
        <w:r w:rsidR="00D834E3">
          <w:rPr>
            <w:noProof/>
            <w:webHidden/>
          </w:rPr>
          <w:fldChar w:fldCharType="end"/>
        </w:r>
      </w:hyperlink>
    </w:p>
    <w:p w14:paraId="2B8EEC0D"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97" w:history="1">
        <w:r w:rsidR="00D834E3" w:rsidRPr="00F83ED8">
          <w:rPr>
            <w:rStyle w:val="Hyperlink"/>
            <w:noProof/>
          </w:rPr>
          <w:t>B.7.</w:t>
        </w:r>
        <w:r w:rsidR="00D834E3">
          <w:rPr>
            <w:rFonts w:asciiTheme="minorHAnsi" w:eastAsiaTheme="minorEastAsia" w:hAnsiTheme="minorHAnsi"/>
            <w:bCs w:val="0"/>
            <w:noProof/>
            <w:sz w:val="22"/>
            <w:lang w:eastAsia="en-AU"/>
          </w:rPr>
          <w:tab/>
        </w:r>
        <w:r w:rsidR="00D834E3" w:rsidRPr="00F83ED8">
          <w:rPr>
            <w:rStyle w:val="Hyperlink"/>
            <w:noProof/>
          </w:rPr>
          <w:t>Interpretation of the clinical evidence</w:t>
        </w:r>
        <w:r w:rsidR="00D834E3">
          <w:rPr>
            <w:noProof/>
            <w:webHidden/>
          </w:rPr>
          <w:tab/>
        </w:r>
        <w:r w:rsidR="00D834E3">
          <w:rPr>
            <w:noProof/>
            <w:webHidden/>
          </w:rPr>
          <w:fldChar w:fldCharType="begin"/>
        </w:r>
        <w:r w:rsidR="00D834E3">
          <w:rPr>
            <w:noProof/>
            <w:webHidden/>
          </w:rPr>
          <w:instrText xml:space="preserve"> PAGEREF _Toc396211697 \h </w:instrText>
        </w:r>
        <w:r w:rsidR="00D834E3">
          <w:rPr>
            <w:noProof/>
            <w:webHidden/>
          </w:rPr>
        </w:r>
        <w:r w:rsidR="00D834E3">
          <w:rPr>
            <w:noProof/>
            <w:webHidden/>
          </w:rPr>
          <w:fldChar w:fldCharType="separate"/>
        </w:r>
        <w:r>
          <w:rPr>
            <w:noProof/>
            <w:webHidden/>
          </w:rPr>
          <w:t>90</w:t>
        </w:r>
        <w:r w:rsidR="00D834E3">
          <w:rPr>
            <w:noProof/>
            <w:webHidden/>
          </w:rPr>
          <w:fldChar w:fldCharType="end"/>
        </w:r>
      </w:hyperlink>
    </w:p>
    <w:p w14:paraId="25027801" w14:textId="77777777" w:rsidR="00D834E3" w:rsidRDefault="0044620B" w:rsidP="00D834E3">
      <w:pPr>
        <w:pStyle w:val="TOC1"/>
        <w:ind w:left="2160" w:hanging="1440"/>
        <w:rPr>
          <w:rFonts w:asciiTheme="minorHAnsi" w:eastAsiaTheme="minorEastAsia" w:hAnsiTheme="minorHAnsi"/>
          <w:b w:val="0"/>
          <w:bCs w:val="0"/>
          <w:noProof/>
          <w:sz w:val="22"/>
          <w:lang w:eastAsia="en-AU"/>
        </w:rPr>
      </w:pPr>
      <w:hyperlink w:anchor="_Toc396211698" w:history="1">
        <w:r w:rsidR="00D834E3" w:rsidRPr="00F83ED8">
          <w:rPr>
            <w:rStyle w:val="Hyperlink"/>
            <w:noProof/>
          </w:rPr>
          <w:t>Section C.</w:t>
        </w:r>
        <w:r w:rsidR="00D834E3">
          <w:rPr>
            <w:rFonts w:asciiTheme="minorHAnsi" w:eastAsiaTheme="minorEastAsia" w:hAnsiTheme="minorHAnsi"/>
            <w:b w:val="0"/>
            <w:bCs w:val="0"/>
            <w:noProof/>
            <w:sz w:val="22"/>
            <w:lang w:eastAsia="en-AU"/>
          </w:rPr>
          <w:tab/>
        </w:r>
        <w:r w:rsidR="00D834E3" w:rsidRPr="00F83ED8">
          <w:rPr>
            <w:rStyle w:val="Hyperlink"/>
            <w:noProof/>
          </w:rPr>
          <w:t>Translating the clinical evaluation to the economic evaluation</w:t>
        </w:r>
        <w:r w:rsidR="00D834E3">
          <w:rPr>
            <w:noProof/>
            <w:webHidden/>
          </w:rPr>
          <w:tab/>
        </w:r>
        <w:r w:rsidR="00D834E3">
          <w:rPr>
            <w:noProof/>
            <w:webHidden/>
          </w:rPr>
          <w:fldChar w:fldCharType="begin"/>
        </w:r>
        <w:r w:rsidR="00D834E3">
          <w:rPr>
            <w:noProof/>
            <w:webHidden/>
          </w:rPr>
          <w:instrText xml:space="preserve"> PAGEREF _Toc396211698 \h </w:instrText>
        </w:r>
        <w:r w:rsidR="00D834E3">
          <w:rPr>
            <w:noProof/>
            <w:webHidden/>
          </w:rPr>
        </w:r>
        <w:r w:rsidR="00D834E3">
          <w:rPr>
            <w:noProof/>
            <w:webHidden/>
          </w:rPr>
          <w:fldChar w:fldCharType="separate"/>
        </w:r>
        <w:r>
          <w:rPr>
            <w:noProof/>
            <w:webHidden/>
          </w:rPr>
          <w:t>91</w:t>
        </w:r>
        <w:r w:rsidR="00D834E3">
          <w:rPr>
            <w:noProof/>
            <w:webHidden/>
          </w:rPr>
          <w:fldChar w:fldCharType="end"/>
        </w:r>
      </w:hyperlink>
    </w:p>
    <w:p w14:paraId="6AC28A90"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699" w:history="1">
        <w:r w:rsidR="00D834E3" w:rsidRPr="00F83ED8">
          <w:rPr>
            <w:rStyle w:val="Hyperlink"/>
            <w:noProof/>
          </w:rPr>
          <w:t>C.1.</w:t>
        </w:r>
        <w:r w:rsidR="00D834E3">
          <w:rPr>
            <w:rFonts w:asciiTheme="minorHAnsi" w:eastAsiaTheme="minorEastAsia" w:hAnsiTheme="minorHAnsi"/>
            <w:bCs w:val="0"/>
            <w:noProof/>
            <w:sz w:val="22"/>
            <w:lang w:eastAsia="en-AU"/>
          </w:rPr>
          <w:tab/>
        </w:r>
        <w:r w:rsidR="00D834E3" w:rsidRPr="00F83ED8">
          <w:rPr>
            <w:rStyle w:val="Hyperlink"/>
            <w:noProof/>
          </w:rPr>
          <w:t>Identification of issues to be addressed</w:t>
        </w:r>
        <w:r w:rsidR="00D834E3">
          <w:rPr>
            <w:noProof/>
            <w:webHidden/>
          </w:rPr>
          <w:tab/>
        </w:r>
        <w:r w:rsidR="00D834E3">
          <w:rPr>
            <w:noProof/>
            <w:webHidden/>
          </w:rPr>
          <w:fldChar w:fldCharType="begin"/>
        </w:r>
        <w:r w:rsidR="00D834E3">
          <w:rPr>
            <w:noProof/>
            <w:webHidden/>
          </w:rPr>
          <w:instrText xml:space="preserve"> PAGEREF _Toc396211699 \h </w:instrText>
        </w:r>
        <w:r w:rsidR="00D834E3">
          <w:rPr>
            <w:noProof/>
            <w:webHidden/>
          </w:rPr>
        </w:r>
        <w:r w:rsidR="00D834E3">
          <w:rPr>
            <w:noProof/>
            <w:webHidden/>
          </w:rPr>
          <w:fldChar w:fldCharType="separate"/>
        </w:r>
        <w:r>
          <w:rPr>
            <w:noProof/>
            <w:webHidden/>
          </w:rPr>
          <w:t>91</w:t>
        </w:r>
        <w:r w:rsidR="00D834E3">
          <w:rPr>
            <w:noProof/>
            <w:webHidden/>
          </w:rPr>
          <w:fldChar w:fldCharType="end"/>
        </w:r>
      </w:hyperlink>
    </w:p>
    <w:p w14:paraId="444AAC1A"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0" w:history="1">
        <w:r w:rsidR="00D834E3" w:rsidRPr="00F83ED8">
          <w:rPr>
            <w:rStyle w:val="Hyperlink"/>
            <w:noProof/>
          </w:rPr>
          <w:t>C.2.</w:t>
        </w:r>
        <w:r w:rsidR="00D834E3">
          <w:rPr>
            <w:rFonts w:asciiTheme="minorHAnsi" w:eastAsiaTheme="minorEastAsia" w:hAnsiTheme="minorHAnsi"/>
            <w:bCs w:val="0"/>
            <w:noProof/>
            <w:sz w:val="22"/>
            <w:lang w:eastAsia="en-AU"/>
          </w:rPr>
          <w:tab/>
        </w:r>
        <w:r w:rsidR="00D834E3" w:rsidRPr="00F83ED8">
          <w:rPr>
            <w:rStyle w:val="Hyperlink"/>
            <w:noProof/>
          </w:rPr>
          <w:t>Focussed analytical plan</w:t>
        </w:r>
        <w:r w:rsidR="00D834E3">
          <w:rPr>
            <w:noProof/>
            <w:webHidden/>
          </w:rPr>
          <w:tab/>
        </w:r>
        <w:r w:rsidR="00D834E3">
          <w:rPr>
            <w:noProof/>
            <w:webHidden/>
          </w:rPr>
          <w:fldChar w:fldCharType="begin"/>
        </w:r>
        <w:r w:rsidR="00D834E3">
          <w:rPr>
            <w:noProof/>
            <w:webHidden/>
          </w:rPr>
          <w:instrText xml:space="preserve"> PAGEREF _Toc396211700 \h </w:instrText>
        </w:r>
        <w:r w:rsidR="00D834E3">
          <w:rPr>
            <w:noProof/>
            <w:webHidden/>
          </w:rPr>
        </w:r>
        <w:r w:rsidR="00D834E3">
          <w:rPr>
            <w:noProof/>
            <w:webHidden/>
          </w:rPr>
          <w:fldChar w:fldCharType="separate"/>
        </w:r>
        <w:r>
          <w:rPr>
            <w:noProof/>
            <w:webHidden/>
          </w:rPr>
          <w:t>91</w:t>
        </w:r>
        <w:r w:rsidR="00D834E3">
          <w:rPr>
            <w:noProof/>
            <w:webHidden/>
          </w:rPr>
          <w:fldChar w:fldCharType="end"/>
        </w:r>
      </w:hyperlink>
    </w:p>
    <w:p w14:paraId="7FB92999"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1" w:history="1">
        <w:r w:rsidR="00D834E3" w:rsidRPr="00F83ED8">
          <w:rPr>
            <w:rStyle w:val="Hyperlink"/>
            <w:noProof/>
          </w:rPr>
          <w:t>C.3.</w:t>
        </w:r>
        <w:r w:rsidR="00D834E3">
          <w:rPr>
            <w:rFonts w:asciiTheme="minorHAnsi" w:eastAsiaTheme="minorEastAsia" w:hAnsiTheme="minorHAnsi"/>
            <w:bCs w:val="0"/>
            <w:noProof/>
            <w:sz w:val="22"/>
            <w:lang w:eastAsia="en-AU"/>
          </w:rPr>
          <w:tab/>
        </w:r>
        <w:r w:rsidR="00D834E3" w:rsidRPr="00F83ED8">
          <w:rPr>
            <w:rStyle w:val="Hyperlink"/>
            <w:noProof/>
          </w:rPr>
          <w:t>Population and circumstances of use reflected in the economic evaluation</w:t>
        </w:r>
        <w:r w:rsidR="00D834E3">
          <w:rPr>
            <w:noProof/>
            <w:webHidden/>
          </w:rPr>
          <w:tab/>
        </w:r>
        <w:r w:rsidR="00D834E3">
          <w:rPr>
            <w:noProof/>
            <w:webHidden/>
          </w:rPr>
          <w:fldChar w:fldCharType="begin"/>
        </w:r>
        <w:r w:rsidR="00D834E3">
          <w:rPr>
            <w:noProof/>
            <w:webHidden/>
          </w:rPr>
          <w:instrText xml:space="preserve"> PAGEREF _Toc396211701 \h </w:instrText>
        </w:r>
        <w:r w:rsidR="00D834E3">
          <w:rPr>
            <w:noProof/>
            <w:webHidden/>
          </w:rPr>
        </w:r>
        <w:r w:rsidR="00D834E3">
          <w:rPr>
            <w:noProof/>
            <w:webHidden/>
          </w:rPr>
          <w:fldChar w:fldCharType="separate"/>
        </w:r>
        <w:r>
          <w:rPr>
            <w:noProof/>
            <w:webHidden/>
          </w:rPr>
          <w:t>92</w:t>
        </w:r>
        <w:r w:rsidR="00D834E3">
          <w:rPr>
            <w:noProof/>
            <w:webHidden/>
          </w:rPr>
          <w:fldChar w:fldCharType="end"/>
        </w:r>
      </w:hyperlink>
    </w:p>
    <w:p w14:paraId="7D7DCFB5"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2" w:history="1">
        <w:r w:rsidR="00D834E3" w:rsidRPr="00F83ED8">
          <w:rPr>
            <w:rStyle w:val="Hyperlink"/>
            <w:noProof/>
          </w:rPr>
          <w:t>C.4.</w:t>
        </w:r>
        <w:r w:rsidR="00D834E3">
          <w:rPr>
            <w:rFonts w:asciiTheme="minorHAnsi" w:eastAsiaTheme="minorEastAsia" w:hAnsiTheme="minorHAnsi"/>
            <w:bCs w:val="0"/>
            <w:noProof/>
            <w:sz w:val="22"/>
            <w:lang w:eastAsia="en-AU"/>
          </w:rPr>
          <w:tab/>
        </w:r>
        <w:r w:rsidR="00D834E3" w:rsidRPr="00F83ED8">
          <w:rPr>
            <w:rStyle w:val="Hyperlink"/>
            <w:noProof/>
          </w:rPr>
          <w:t>Results of the pre-modelling studies</w:t>
        </w:r>
        <w:r w:rsidR="00D834E3">
          <w:rPr>
            <w:noProof/>
            <w:webHidden/>
          </w:rPr>
          <w:tab/>
        </w:r>
        <w:r w:rsidR="00D834E3">
          <w:rPr>
            <w:noProof/>
            <w:webHidden/>
          </w:rPr>
          <w:fldChar w:fldCharType="begin"/>
        </w:r>
        <w:r w:rsidR="00D834E3">
          <w:rPr>
            <w:noProof/>
            <w:webHidden/>
          </w:rPr>
          <w:instrText xml:space="preserve"> PAGEREF _Toc396211702 \h </w:instrText>
        </w:r>
        <w:r w:rsidR="00D834E3">
          <w:rPr>
            <w:noProof/>
            <w:webHidden/>
          </w:rPr>
        </w:r>
        <w:r w:rsidR="00D834E3">
          <w:rPr>
            <w:noProof/>
            <w:webHidden/>
          </w:rPr>
          <w:fldChar w:fldCharType="separate"/>
        </w:r>
        <w:r>
          <w:rPr>
            <w:noProof/>
            <w:webHidden/>
          </w:rPr>
          <w:t>92</w:t>
        </w:r>
        <w:r w:rsidR="00D834E3">
          <w:rPr>
            <w:noProof/>
            <w:webHidden/>
          </w:rPr>
          <w:fldChar w:fldCharType="end"/>
        </w:r>
      </w:hyperlink>
    </w:p>
    <w:p w14:paraId="5E966024"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3" w:history="1">
        <w:r w:rsidR="00D834E3" w:rsidRPr="00F83ED8">
          <w:rPr>
            <w:rStyle w:val="Hyperlink"/>
            <w:noProof/>
          </w:rPr>
          <w:t>C.5.</w:t>
        </w:r>
        <w:r w:rsidR="00D834E3">
          <w:rPr>
            <w:rFonts w:asciiTheme="minorHAnsi" w:eastAsiaTheme="minorEastAsia" w:hAnsiTheme="minorHAnsi"/>
            <w:bCs w:val="0"/>
            <w:noProof/>
            <w:sz w:val="22"/>
            <w:lang w:eastAsia="en-AU"/>
          </w:rPr>
          <w:tab/>
        </w:r>
        <w:r w:rsidR="00D834E3" w:rsidRPr="00F83ED8">
          <w:rPr>
            <w:rStyle w:val="Hyperlink"/>
            <w:noProof/>
          </w:rPr>
          <w:t>Relationship of each pre-modelling study to the economic evaluation</w:t>
        </w:r>
        <w:r w:rsidR="00D834E3">
          <w:rPr>
            <w:noProof/>
            <w:webHidden/>
          </w:rPr>
          <w:tab/>
        </w:r>
        <w:r w:rsidR="00D834E3">
          <w:rPr>
            <w:noProof/>
            <w:webHidden/>
          </w:rPr>
          <w:fldChar w:fldCharType="begin"/>
        </w:r>
        <w:r w:rsidR="00D834E3">
          <w:rPr>
            <w:noProof/>
            <w:webHidden/>
          </w:rPr>
          <w:instrText xml:space="preserve"> PAGEREF _Toc396211703 \h </w:instrText>
        </w:r>
        <w:r w:rsidR="00D834E3">
          <w:rPr>
            <w:noProof/>
            <w:webHidden/>
          </w:rPr>
        </w:r>
        <w:r w:rsidR="00D834E3">
          <w:rPr>
            <w:noProof/>
            <w:webHidden/>
          </w:rPr>
          <w:fldChar w:fldCharType="separate"/>
        </w:r>
        <w:r>
          <w:rPr>
            <w:noProof/>
            <w:webHidden/>
          </w:rPr>
          <w:t>92</w:t>
        </w:r>
        <w:r w:rsidR="00D834E3">
          <w:rPr>
            <w:noProof/>
            <w:webHidden/>
          </w:rPr>
          <w:fldChar w:fldCharType="end"/>
        </w:r>
      </w:hyperlink>
    </w:p>
    <w:p w14:paraId="49F33BFD" w14:textId="77777777" w:rsidR="00D834E3" w:rsidRDefault="0044620B">
      <w:pPr>
        <w:pStyle w:val="TOC1"/>
        <w:rPr>
          <w:rFonts w:asciiTheme="minorHAnsi" w:eastAsiaTheme="minorEastAsia" w:hAnsiTheme="minorHAnsi"/>
          <w:b w:val="0"/>
          <w:bCs w:val="0"/>
          <w:noProof/>
          <w:sz w:val="22"/>
          <w:lang w:eastAsia="en-AU"/>
        </w:rPr>
      </w:pPr>
      <w:hyperlink w:anchor="_Toc396211704" w:history="1">
        <w:r w:rsidR="00D834E3" w:rsidRPr="00F83ED8">
          <w:rPr>
            <w:rStyle w:val="Hyperlink"/>
            <w:noProof/>
          </w:rPr>
          <w:t>Section D.</w:t>
        </w:r>
        <w:r w:rsidR="00D834E3">
          <w:rPr>
            <w:rFonts w:asciiTheme="minorHAnsi" w:eastAsiaTheme="minorEastAsia" w:hAnsiTheme="minorHAnsi"/>
            <w:b w:val="0"/>
            <w:bCs w:val="0"/>
            <w:noProof/>
            <w:sz w:val="22"/>
            <w:lang w:eastAsia="en-AU"/>
          </w:rPr>
          <w:tab/>
        </w:r>
        <w:r w:rsidR="00D834E3" w:rsidRPr="00F83ED8">
          <w:rPr>
            <w:rStyle w:val="Hyperlink"/>
            <w:noProof/>
          </w:rPr>
          <w:t>Economic evaluation for the main indication</w:t>
        </w:r>
        <w:r w:rsidR="00D834E3">
          <w:rPr>
            <w:noProof/>
            <w:webHidden/>
          </w:rPr>
          <w:tab/>
        </w:r>
        <w:r w:rsidR="00D834E3">
          <w:rPr>
            <w:noProof/>
            <w:webHidden/>
          </w:rPr>
          <w:fldChar w:fldCharType="begin"/>
        </w:r>
        <w:r w:rsidR="00D834E3">
          <w:rPr>
            <w:noProof/>
            <w:webHidden/>
          </w:rPr>
          <w:instrText xml:space="preserve"> PAGEREF _Toc396211704 \h </w:instrText>
        </w:r>
        <w:r w:rsidR="00D834E3">
          <w:rPr>
            <w:noProof/>
            <w:webHidden/>
          </w:rPr>
        </w:r>
        <w:r w:rsidR="00D834E3">
          <w:rPr>
            <w:noProof/>
            <w:webHidden/>
          </w:rPr>
          <w:fldChar w:fldCharType="separate"/>
        </w:r>
        <w:r>
          <w:rPr>
            <w:noProof/>
            <w:webHidden/>
          </w:rPr>
          <w:t>93</w:t>
        </w:r>
        <w:r w:rsidR="00D834E3">
          <w:rPr>
            <w:noProof/>
            <w:webHidden/>
          </w:rPr>
          <w:fldChar w:fldCharType="end"/>
        </w:r>
      </w:hyperlink>
    </w:p>
    <w:p w14:paraId="13513CDE"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5" w:history="1">
        <w:r w:rsidR="00D834E3" w:rsidRPr="00F83ED8">
          <w:rPr>
            <w:rStyle w:val="Hyperlink"/>
            <w:noProof/>
          </w:rPr>
          <w:t>D.1.</w:t>
        </w:r>
        <w:r w:rsidR="00D834E3">
          <w:rPr>
            <w:rFonts w:asciiTheme="minorHAnsi" w:eastAsiaTheme="minorEastAsia" w:hAnsiTheme="minorHAnsi"/>
            <w:bCs w:val="0"/>
            <w:noProof/>
            <w:sz w:val="22"/>
            <w:lang w:eastAsia="en-AU"/>
          </w:rPr>
          <w:tab/>
        </w:r>
        <w:r w:rsidR="00D834E3" w:rsidRPr="00F83ED8">
          <w:rPr>
            <w:rStyle w:val="Hyperlink"/>
            <w:noProof/>
          </w:rPr>
          <w:t>Overview of the economic evaluation</w:t>
        </w:r>
        <w:r w:rsidR="00D834E3">
          <w:rPr>
            <w:noProof/>
            <w:webHidden/>
          </w:rPr>
          <w:tab/>
        </w:r>
        <w:r w:rsidR="00D834E3">
          <w:rPr>
            <w:noProof/>
            <w:webHidden/>
          </w:rPr>
          <w:fldChar w:fldCharType="begin"/>
        </w:r>
        <w:r w:rsidR="00D834E3">
          <w:rPr>
            <w:noProof/>
            <w:webHidden/>
          </w:rPr>
          <w:instrText xml:space="preserve"> PAGEREF _Toc396211705 \h </w:instrText>
        </w:r>
        <w:r w:rsidR="00D834E3">
          <w:rPr>
            <w:noProof/>
            <w:webHidden/>
          </w:rPr>
        </w:r>
        <w:r w:rsidR="00D834E3">
          <w:rPr>
            <w:noProof/>
            <w:webHidden/>
          </w:rPr>
          <w:fldChar w:fldCharType="separate"/>
        </w:r>
        <w:r>
          <w:rPr>
            <w:noProof/>
            <w:webHidden/>
          </w:rPr>
          <w:t>93</w:t>
        </w:r>
        <w:r w:rsidR="00D834E3">
          <w:rPr>
            <w:noProof/>
            <w:webHidden/>
          </w:rPr>
          <w:fldChar w:fldCharType="end"/>
        </w:r>
      </w:hyperlink>
    </w:p>
    <w:p w14:paraId="2E98CFF7"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6" w:history="1">
        <w:r w:rsidR="00D834E3" w:rsidRPr="00F83ED8">
          <w:rPr>
            <w:rStyle w:val="Hyperlink"/>
            <w:noProof/>
          </w:rPr>
          <w:t>D.2.</w:t>
        </w:r>
        <w:r w:rsidR="00D834E3">
          <w:rPr>
            <w:rFonts w:asciiTheme="minorHAnsi" w:eastAsiaTheme="minorEastAsia" w:hAnsiTheme="minorHAnsi"/>
            <w:bCs w:val="0"/>
            <w:noProof/>
            <w:sz w:val="22"/>
            <w:lang w:eastAsia="en-AU"/>
          </w:rPr>
          <w:tab/>
        </w:r>
        <w:r w:rsidR="00D834E3" w:rsidRPr="00F83ED8">
          <w:rPr>
            <w:rStyle w:val="Hyperlink"/>
            <w:noProof/>
          </w:rPr>
          <w:t>Structure and rationale of the economic evaluation</w:t>
        </w:r>
        <w:r w:rsidR="00D834E3">
          <w:rPr>
            <w:noProof/>
            <w:webHidden/>
          </w:rPr>
          <w:tab/>
        </w:r>
        <w:r w:rsidR="00D834E3">
          <w:rPr>
            <w:noProof/>
            <w:webHidden/>
          </w:rPr>
          <w:fldChar w:fldCharType="begin"/>
        </w:r>
        <w:r w:rsidR="00D834E3">
          <w:rPr>
            <w:noProof/>
            <w:webHidden/>
          </w:rPr>
          <w:instrText xml:space="preserve"> PAGEREF _Toc396211706 \h </w:instrText>
        </w:r>
        <w:r w:rsidR="00D834E3">
          <w:rPr>
            <w:noProof/>
            <w:webHidden/>
          </w:rPr>
        </w:r>
        <w:r w:rsidR="00D834E3">
          <w:rPr>
            <w:noProof/>
            <w:webHidden/>
          </w:rPr>
          <w:fldChar w:fldCharType="separate"/>
        </w:r>
        <w:r>
          <w:rPr>
            <w:noProof/>
            <w:webHidden/>
          </w:rPr>
          <w:t>94</w:t>
        </w:r>
        <w:r w:rsidR="00D834E3">
          <w:rPr>
            <w:noProof/>
            <w:webHidden/>
          </w:rPr>
          <w:fldChar w:fldCharType="end"/>
        </w:r>
      </w:hyperlink>
    </w:p>
    <w:p w14:paraId="376EFCDD"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7" w:history="1">
        <w:r w:rsidR="00D834E3" w:rsidRPr="00F83ED8">
          <w:rPr>
            <w:rStyle w:val="Hyperlink"/>
            <w:noProof/>
          </w:rPr>
          <w:t>D.3.</w:t>
        </w:r>
        <w:r w:rsidR="00D834E3">
          <w:rPr>
            <w:rFonts w:asciiTheme="minorHAnsi" w:eastAsiaTheme="minorEastAsia" w:hAnsiTheme="minorHAnsi"/>
            <w:bCs w:val="0"/>
            <w:noProof/>
            <w:sz w:val="22"/>
            <w:lang w:eastAsia="en-AU"/>
          </w:rPr>
          <w:tab/>
        </w:r>
        <w:r w:rsidR="00D834E3" w:rsidRPr="00F83ED8">
          <w:rPr>
            <w:rStyle w:val="Hyperlink"/>
            <w:noProof/>
          </w:rPr>
          <w:t>Variables in the economic evaluation</w:t>
        </w:r>
        <w:r w:rsidR="00D834E3">
          <w:rPr>
            <w:noProof/>
            <w:webHidden/>
          </w:rPr>
          <w:tab/>
        </w:r>
        <w:r w:rsidR="00D834E3">
          <w:rPr>
            <w:noProof/>
            <w:webHidden/>
          </w:rPr>
          <w:fldChar w:fldCharType="begin"/>
        </w:r>
        <w:r w:rsidR="00D834E3">
          <w:rPr>
            <w:noProof/>
            <w:webHidden/>
          </w:rPr>
          <w:instrText xml:space="preserve"> PAGEREF _Toc396211707 \h </w:instrText>
        </w:r>
        <w:r w:rsidR="00D834E3">
          <w:rPr>
            <w:noProof/>
            <w:webHidden/>
          </w:rPr>
        </w:r>
        <w:r w:rsidR="00D834E3">
          <w:rPr>
            <w:noProof/>
            <w:webHidden/>
          </w:rPr>
          <w:fldChar w:fldCharType="separate"/>
        </w:r>
        <w:r>
          <w:rPr>
            <w:noProof/>
            <w:webHidden/>
          </w:rPr>
          <w:t>97</w:t>
        </w:r>
        <w:r w:rsidR="00D834E3">
          <w:rPr>
            <w:noProof/>
            <w:webHidden/>
          </w:rPr>
          <w:fldChar w:fldCharType="end"/>
        </w:r>
      </w:hyperlink>
    </w:p>
    <w:p w14:paraId="37E784B9"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8" w:history="1">
        <w:r w:rsidR="00D834E3" w:rsidRPr="00F83ED8">
          <w:rPr>
            <w:rStyle w:val="Hyperlink"/>
            <w:noProof/>
          </w:rPr>
          <w:t>D.4.</w:t>
        </w:r>
        <w:r w:rsidR="00D834E3">
          <w:rPr>
            <w:rFonts w:asciiTheme="minorHAnsi" w:eastAsiaTheme="minorEastAsia" w:hAnsiTheme="minorHAnsi"/>
            <w:bCs w:val="0"/>
            <w:noProof/>
            <w:sz w:val="22"/>
            <w:lang w:eastAsia="en-AU"/>
          </w:rPr>
          <w:tab/>
        </w:r>
        <w:r w:rsidR="00D834E3" w:rsidRPr="00F83ED8">
          <w:rPr>
            <w:rStyle w:val="Hyperlink"/>
            <w:noProof/>
          </w:rPr>
          <w:t>Results of the economic evaluation</w:t>
        </w:r>
        <w:r w:rsidR="00D834E3">
          <w:rPr>
            <w:noProof/>
            <w:webHidden/>
          </w:rPr>
          <w:tab/>
        </w:r>
        <w:r w:rsidR="00D834E3">
          <w:rPr>
            <w:noProof/>
            <w:webHidden/>
          </w:rPr>
          <w:fldChar w:fldCharType="begin"/>
        </w:r>
        <w:r w:rsidR="00D834E3">
          <w:rPr>
            <w:noProof/>
            <w:webHidden/>
          </w:rPr>
          <w:instrText xml:space="preserve"> PAGEREF _Toc396211708 \h </w:instrText>
        </w:r>
        <w:r w:rsidR="00D834E3">
          <w:rPr>
            <w:noProof/>
            <w:webHidden/>
          </w:rPr>
        </w:r>
        <w:r w:rsidR="00D834E3">
          <w:rPr>
            <w:noProof/>
            <w:webHidden/>
          </w:rPr>
          <w:fldChar w:fldCharType="separate"/>
        </w:r>
        <w:r>
          <w:rPr>
            <w:noProof/>
            <w:webHidden/>
          </w:rPr>
          <w:t>100</w:t>
        </w:r>
        <w:r w:rsidR="00D834E3">
          <w:rPr>
            <w:noProof/>
            <w:webHidden/>
          </w:rPr>
          <w:fldChar w:fldCharType="end"/>
        </w:r>
      </w:hyperlink>
    </w:p>
    <w:p w14:paraId="47DB9043"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09" w:history="1">
        <w:r w:rsidR="00D834E3" w:rsidRPr="00F83ED8">
          <w:rPr>
            <w:rStyle w:val="Hyperlink"/>
            <w:noProof/>
          </w:rPr>
          <w:t>D.5.</w:t>
        </w:r>
        <w:r w:rsidR="00D834E3">
          <w:rPr>
            <w:rFonts w:asciiTheme="minorHAnsi" w:eastAsiaTheme="minorEastAsia" w:hAnsiTheme="minorHAnsi"/>
            <w:bCs w:val="0"/>
            <w:noProof/>
            <w:sz w:val="22"/>
            <w:lang w:eastAsia="en-AU"/>
          </w:rPr>
          <w:tab/>
        </w:r>
        <w:r w:rsidR="00D834E3" w:rsidRPr="00F83ED8">
          <w:rPr>
            <w:rStyle w:val="Hyperlink"/>
            <w:noProof/>
          </w:rPr>
          <w:t>Sensitivity analyses</w:t>
        </w:r>
        <w:r w:rsidR="00D834E3">
          <w:rPr>
            <w:noProof/>
            <w:webHidden/>
          </w:rPr>
          <w:tab/>
        </w:r>
        <w:r w:rsidR="00D834E3">
          <w:rPr>
            <w:noProof/>
            <w:webHidden/>
          </w:rPr>
          <w:fldChar w:fldCharType="begin"/>
        </w:r>
        <w:r w:rsidR="00D834E3">
          <w:rPr>
            <w:noProof/>
            <w:webHidden/>
          </w:rPr>
          <w:instrText xml:space="preserve"> PAGEREF _Toc396211709 \h </w:instrText>
        </w:r>
        <w:r w:rsidR="00D834E3">
          <w:rPr>
            <w:noProof/>
            <w:webHidden/>
          </w:rPr>
        </w:r>
        <w:r w:rsidR="00D834E3">
          <w:rPr>
            <w:noProof/>
            <w:webHidden/>
          </w:rPr>
          <w:fldChar w:fldCharType="separate"/>
        </w:r>
        <w:r>
          <w:rPr>
            <w:noProof/>
            <w:webHidden/>
          </w:rPr>
          <w:t>103</w:t>
        </w:r>
        <w:r w:rsidR="00D834E3">
          <w:rPr>
            <w:noProof/>
            <w:webHidden/>
          </w:rPr>
          <w:fldChar w:fldCharType="end"/>
        </w:r>
      </w:hyperlink>
    </w:p>
    <w:p w14:paraId="4D3A3920" w14:textId="77777777" w:rsidR="00D834E3" w:rsidRDefault="0044620B">
      <w:pPr>
        <w:pStyle w:val="TOC1"/>
        <w:rPr>
          <w:rFonts w:asciiTheme="minorHAnsi" w:eastAsiaTheme="minorEastAsia" w:hAnsiTheme="minorHAnsi"/>
          <w:b w:val="0"/>
          <w:bCs w:val="0"/>
          <w:noProof/>
          <w:sz w:val="22"/>
          <w:lang w:eastAsia="en-AU"/>
        </w:rPr>
      </w:pPr>
      <w:hyperlink w:anchor="_Toc396211710" w:history="1">
        <w:r w:rsidR="00D834E3" w:rsidRPr="00F83ED8">
          <w:rPr>
            <w:rStyle w:val="Hyperlink"/>
            <w:noProof/>
          </w:rPr>
          <w:t>Section E.</w:t>
        </w:r>
        <w:r w:rsidR="00D834E3">
          <w:rPr>
            <w:rFonts w:asciiTheme="minorHAnsi" w:eastAsiaTheme="minorEastAsia" w:hAnsiTheme="minorHAnsi"/>
            <w:b w:val="0"/>
            <w:bCs w:val="0"/>
            <w:noProof/>
            <w:sz w:val="22"/>
            <w:lang w:eastAsia="en-AU"/>
          </w:rPr>
          <w:tab/>
        </w:r>
        <w:r w:rsidR="00D834E3" w:rsidRPr="00F83ED8">
          <w:rPr>
            <w:rStyle w:val="Hyperlink"/>
            <w:noProof/>
          </w:rPr>
          <w:t>Estimated utilisation and financial implications</w:t>
        </w:r>
        <w:r w:rsidR="00D834E3">
          <w:rPr>
            <w:noProof/>
            <w:webHidden/>
          </w:rPr>
          <w:tab/>
        </w:r>
        <w:r w:rsidR="00D834E3">
          <w:rPr>
            <w:noProof/>
            <w:webHidden/>
          </w:rPr>
          <w:fldChar w:fldCharType="begin"/>
        </w:r>
        <w:r w:rsidR="00D834E3">
          <w:rPr>
            <w:noProof/>
            <w:webHidden/>
          </w:rPr>
          <w:instrText xml:space="preserve"> PAGEREF _Toc396211710 \h </w:instrText>
        </w:r>
        <w:r w:rsidR="00D834E3">
          <w:rPr>
            <w:noProof/>
            <w:webHidden/>
          </w:rPr>
        </w:r>
        <w:r w:rsidR="00D834E3">
          <w:rPr>
            <w:noProof/>
            <w:webHidden/>
          </w:rPr>
          <w:fldChar w:fldCharType="separate"/>
        </w:r>
        <w:r>
          <w:rPr>
            <w:noProof/>
            <w:webHidden/>
          </w:rPr>
          <w:t>109</w:t>
        </w:r>
        <w:r w:rsidR="00D834E3">
          <w:rPr>
            <w:noProof/>
            <w:webHidden/>
          </w:rPr>
          <w:fldChar w:fldCharType="end"/>
        </w:r>
      </w:hyperlink>
    </w:p>
    <w:p w14:paraId="4DAE51D9"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11" w:history="1">
        <w:r w:rsidR="00D834E3" w:rsidRPr="00F83ED8">
          <w:rPr>
            <w:rStyle w:val="Hyperlink"/>
            <w:noProof/>
          </w:rPr>
          <w:t>E.1.</w:t>
        </w:r>
        <w:r w:rsidR="00D834E3">
          <w:rPr>
            <w:rFonts w:asciiTheme="minorHAnsi" w:eastAsiaTheme="minorEastAsia" w:hAnsiTheme="minorHAnsi"/>
            <w:bCs w:val="0"/>
            <w:noProof/>
            <w:sz w:val="22"/>
            <w:lang w:eastAsia="en-AU"/>
          </w:rPr>
          <w:tab/>
        </w:r>
        <w:r w:rsidR="00D834E3" w:rsidRPr="00F83ED8">
          <w:rPr>
            <w:rStyle w:val="Hyperlink"/>
            <w:noProof/>
          </w:rPr>
          <w:t>Justification of the selection of sources of data</w:t>
        </w:r>
        <w:r w:rsidR="00D834E3">
          <w:rPr>
            <w:noProof/>
            <w:webHidden/>
          </w:rPr>
          <w:tab/>
        </w:r>
        <w:r w:rsidR="00D834E3">
          <w:rPr>
            <w:noProof/>
            <w:webHidden/>
          </w:rPr>
          <w:fldChar w:fldCharType="begin"/>
        </w:r>
        <w:r w:rsidR="00D834E3">
          <w:rPr>
            <w:noProof/>
            <w:webHidden/>
          </w:rPr>
          <w:instrText xml:space="preserve"> PAGEREF _Toc396211711 \h </w:instrText>
        </w:r>
        <w:r w:rsidR="00D834E3">
          <w:rPr>
            <w:noProof/>
            <w:webHidden/>
          </w:rPr>
        </w:r>
        <w:r w:rsidR="00D834E3">
          <w:rPr>
            <w:noProof/>
            <w:webHidden/>
          </w:rPr>
          <w:fldChar w:fldCharType="separate"/>
        </w:r>
        <w:r>
          <w:rPr>
            <w:noProof/>
            <w:webHidden/>
          </w:rPr>
          <w:t>109</w:t>
        </w:r>
        <w:r w:rsidR="00D834E3">
          <w:rPr>
            <w:noProof/>
            <w:webHidden/>
          </w:rPr>
          <w:fldChar w:fldCharType="end"/>
        </w:r>
      </w:hyperlink>
    </w:p>
    <w:p w14:paraId="3386C7C7"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12" w:history="1">
        <w:r w:rsidR="00D834E3" w:rsidRPr="00F83ED8">
          <w:rPr>
            <w:rStyle w:val="Hyperlink"/>
            <w:noProof/>
          </w:rPr>
          <w:t>E.2.</w:t>
        </w:r>
        <w:r w:rsidR="00D834E3">
          <w:rPr>
            <w:rFonts w:asciiTheme="minorHAnsi" w:eastAsiaTheme="minorEastAsia" w:hAnsiTheme="minorHAnsi"/>
            <w:bCs w:val="0"/>
            <w:noProof/>
            <w:sz w:val="22"/>
            <w:lang w:eastAsia="en-AU"/>
          </w:rPr>
          <w:tab/>
        </w:r>
        <w:r w:rsidR="00D834E3" w:rsidRPr="00F83ED8">
          <w:rPr>
            <w:rStyle w:val="Hyperlink"/>
            <w:noProof/>
          </w:rPr>
          <w:t>Estimation of use and costs of the proposed medical service</w:t>
        </w:r>
        <w:r w:rsidR="00D834E3">
          <w:rPr>
            <w:noProof/>
            <w:webHidden/>
          </w:rPr>
          <w:tab/>
        </w:r>
        <w:r w:rsidR="00D834E3">
          <w:rPr>
            <w:noProof/>
            <w:webHidden/>
          </w:rPr>
          <w:fldChar w:fldCharType="begin"/>
        </w:r>
        <w:r w:rsidR="00D834E3">
          <w:rPr>
            <w:noProof/>
            <w:webHidden/>
          </w:rPr>
          <w:instrText xml:space="preserve"> PAGEREF _Toc396211712 \h </w:instrText>
        </w:r>
        <w:r w:rsidR="00D834E3">
          <w:rPr>
            <w:noProof/>
            <w:webHidden/>
          </w:rPr>
        </w:r>
        <w:r w:rsidR="00D834E3">
          <w:rPr>
            <w:noProof/>
            <w:webHidden/>
          </w:rPr>
          <w:fldChar w:fldCharType="separate"/>
        </w:r>
        <w:r>
          <w:rPr>
            <w:noProof/>
            <w:webHidden/>
          </w:rPr>
          <w:t>117</w:t>
        </w:r>
        <w:r w:rsidR="00D834E3">
          <w:rPr>
            <w:noProof/>
            <w:webHidden/>
          </w:rPr>
          <w:fldChar w:fldCharType="end"/>
        </w:r>
      </w:hyperlink>
    </w:p>
    <w:p w14:paraId="54AADDE1"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13" w:history="1">
        <w:r w:rsidR="00D834E3" w:rsidRPr="00F83ED8">
          <w:rPr>
            <w:rStyle w:val="Hyperlink"/>
            <w:noProof/>
          </w:rPr>
          <w:t>E.3.</w:t>
        </w:r>
        <w:r w:rsidR="00D834E3">
          <w:rPr>
            <w:rFonts w:asciiTheme="minorHAnsi" w:eastAsiaTheme="minorEastAsia" w:hAnsiTheme="minorHAnsi"/>
            <w:bCs w:val="0"/>
            <w:noProof/>
            <w:sz w:val="22"/>
            <w:lang w:eastAsia="en-AU"/>
          </w:rPr>
          <w:tab/>
        </w:r>
        <w:r w:rsidR="00D834E3" w:rsidRPr="00F83ED8">
          <w:rPr>
            <w:rStyle w:val="Hyperlink"/>
            <w:noProof/>
          </w:rPr>
          <w:t>Estimation of changes in use and cost of other services</w:t>
        </w:r>
        <w:r w:rsidR="00D834E3">
          <w:rPr>
            <w:noProof/>
            <w:webHidden/>
          </w:rPr>
          <w:tab/>
        </w:r>
        <w:r w:rsidR="00D834E3">
          <w:rPr>
            <w:noProof/>
            <w:webHidden/>
          </w:rPr>
          <w:fldChar w:fldCharType="begin"/>
        </w:r>
        <w:r w:rsidR="00D834E3">
          <w:rPr>
            <w:noProof/>
            <w:webHidden/>
          </w:rPr>
          <w:instrText xml:space="preserve"> PAGEREF _Toc396211713 \h </w:instrText>
        </w:r>
        <w:r w:rsidR="00D834E3">
          <w:rPr>
            <w:noProof/>
            <w:webHidden/>
          </w:rPr>
        </w:r>
        <w:r w:rsidR="00D834E3">
          <w:rPr>
            <w:noProof/>
            <w:webHidden/>
          </w:rPr>
          <w:fldChar w:fldCharType="separate"/>
        </w:r>
        <w:r>
          <w:rPr>
            <w:noProof/>
            <w:webHidden/>
          </w:rPr>
          <w:t>123</w:t>
        </w:r>
        <w:r w:rsidR="00D834E3">
          <w:rPr>
            <w:noProof/>
            <w:webHidden/>
          </w:rPr>
          <w:fldChar w:fldCharType="end"/>
        </w:r>
      </w:hyperlink>
    </w:p>
    <w:p w14:paraId="3A0EF09B"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14" w:history="1">
        <w:r w:rsidR="00D834E3" w:rsidRPr="00F83ED8">
          <w:rPr>
            <w:rStyle w:val="Hyperlink"/>
            <w:noProof/>
          </w:rPr>
          <w:t>E.4.</w:t>
        </w:r>
        <w:r w:rsidR="00D834E3">
          <w:rPr>
            <w:rFonts w:asciiTheme="minorHAnsi" w:eastAsiaTheme="minorEastAsia" w:hAnsiTheme="minorHAnsi"/>
            <w:bCs w:val="0"/>
            <w:noProof/>
            <w:sz w:val="22"/>
            <w:lang w:eastAsia="en-AU"/>
          </w:rPr>
          <w:tab/>
        </w:r>
        <w:r w:rsidR="00D834E3" w:rsidRPr="00F83ED8">
          <w:rPr>
            <w:rStyle w:val="Hyperlink"/>
            <w:noProof/>
          </w:rPr>
          <w:t>Estimated financial implications on the MBS</w:t>
        </w:r>
        <w:r w:rsidR="00D834E3">
          <w:rPr>
            <w:noProof/>
            <w:webHidden/>
          </w:rPr>
          <w:tab/>
        </w:r>
        <w:r w:rsidR="00D834E3">
          <w:rPr>
            <w:noProof/>
            <w:webHidden/>
          </w:rPr>
          <w:fldChar w:fldCharType="begin"/>
        </w:r>
        <w:r w:rsidR="00D834E3">
          <w:rPr>
            <w:noProof/>
            <w:webHidden/>
          </w:rPr>
          <w:instrText xml:space="preserve"> PAGEREF _Toc396211714 \h </w:instrText>
        </w:r>
        <w:r w:rsidR="00D834E3">
          <w:rPr>
            <w:noProof/>
            <w:webHidden/>
          </w:rPr>
        </w:r>
        <w:r w:rsidR="00D834E3">
          <w:rPr>
            <w:noProof/>
            <w:webHidden/>
          </w:rPr>
          <w:fldChar w:fldCharType="separate"/>
        </w:r>
        <w:r>
          <w:rPr>
            <w:noProof/>
            <w:webHidden/>
          </w:rPr>
          <w:t>127</w:t>
        </w:r>
        <w:r w:rsidR="00D834E3">
          <w:rPr>
            <w:noProof/>
            <w:webHidden/>
          </w:rPr>
          <w:fldChar w:fldCharType="end"/>
        </w:r>
      </w:hyperlink>
    </w:p>
    <w:p w14:paraId="6A314B6A"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15" w:history="1">
        <w:r w:rsidR="00D834E3" w:rsidRPr="00F83ED8">
          <w:rPr>
            <w:rStyle w:val="Hyperlink"/>
            <w:noProof/>
          </w:rPr>
          <w:t>E.5.</w:t>
        </w:r>
        <w:r w:rsidR="00D834E3">
          <w:rPr>
            <w:rFonts w:asciiTheme="minorHAnsi" w:eastAsiaTheme="minorEastAsia" w:hAnsiTheme="minorHAnsi"/>
            <w:bCs w:val="0"/>
            <w:noProof/>
            <w:sz w:val="22"/>
            <w:lang w:eastAsia="en-AU"/>
          </w:rPr>
          <w:tab/>
        </w:r>
        <w:r w:rsidR="00D834E3" w:rsidRPr="00F83ED8">
          <w:rPr>
            <w:rStyle w:val="Hyperlink"/>
            <w:noProof/>
          </w:rPr>
          <w:t>Estimated financial implications for Government health budgets</w:t>
        </w:r>
        <w:r w:rsidR="00D834E3">
          <w:rPr>
            <w:noProof/>
            <w:webHidden/>
          </w:rPr>
          <w:tab/>
        </w:r>
        <w:r w:rsidR="00D834E3">
          <w:rPr>
            <w:noProof/>
            <w:webHidden/>
          </w:rPr>
          <w:fldChar w:fldCharType="begin"/>
        </w:r>
        <w:r w:rsidR="00D834E3">
          <w:rPr>
            <w:noProof/>
            <w:webHidden/>
          </w:rPr>
          <w:instrText xml:space="preserve"> PAGEREF _Toc396211715 \h </w:instrText>
        </w:r>
        <w:r w:rsidR="00D834E3">
          <w:rPr>
            <w:noProof/>
            <w:webHidden/>
          </w:rPr>
        </w:r>
        <w:r w:rsidR="00D834E3">
          <w:rPr>
            <w:noProof/>
            <w:webHidden/>
          </w:rPr>
          <w:fldChar w:fldCharType="separate"/>
        </w:r>
        <w:r>
          <w:rPr>
            <w:noProof/>
            <w:webHidden/>
          </w:rPr>
          <w:t>129</w:t>
        </w:r>
        <w:r w:rsidR="00D834E3">
          <w:rPr>
            <w:noProof/>
            <w:webHidden/>
          </w:rPr>
          <w:fldChar w:fldCharType="end"/>
        </w:r>
      </w:hyperlink>
    </w:p>
    <w:p w14:paraId="00270AF0"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16" w:history="1">
        <w:r w:rsidR="00D834E3" w:rsidRPr="00F83ED8">
          <w:rPr>
            <w:rStyle w:val="Hyperlink"/>
            <w:noProof/>
          </w:rPr>
          <w:t>E.6.</w:t>
        </w:r>
        <w:r w:rsidR="00D834E3">
          <w:rPr>
            <w:rFonts w:asciiTheme="minorHAnsi" w:eastAsiaTheme="minorEastAsia" w:hAnsiTheme="minorHAnsi"/>
            <w:bCs w:val="0"/>
            <w:noProof/>
            <w:sz w:val="22"/>
            <w:lang w:eastAsia="en-AU"/>
          </w:rPr>
          <w:tab/>
        </w:r>
        <w:r w:rsidR="00D834E3" w:rsidRPr="00F83ED8">
          <w:rPr>
            <w:rStyle w:val="Hyperlink"/>
            <w:noProof/>
          </w:rPr>
          <w:t>Identification, estimation and reduction of uncertainty</w:t>
        </w:r>
        <w:r w:rsidR="00D834E3">
          <w:rPr>
            <w:noProof/>
            <w:webHidden/>
          </w:rPr>
          <w:tab/>
        </w:r>
        <w:r w:rsidR="00D834E3">
          <w:rPr>
            <w:noProof/>
            <w:webHidden/>
          </w:rPr>
          <w:fldChar w:fldCharType="begin"/>
        </w:r>
        <w:r w:rsidR="00D834E3">
          <w:rPr>
            <w:noProof/>
            <w:webHidden/>
          </w:rPr>
          <w:instrText xml:space="preserve"> PAGEREF _Toc396211716 \h </w:instrText>
        </w:r>
        <w:r w:rsidR="00D834E3">
          <w:rPr>
            <w:noProof/>
            <w:webHidden/>
          </w:rPr>
        </w:r>
        <w:r w:rsidR="00D834E3">
          <w:rPr>
            <w:noProof/>
            <w:webHidden/>
          </w:rPr>
          <w:fldChar w:fldCharType="separate"/>
        </w:r>
        <w:r>
          <w:rPr>
            <w:noProof/>
            <w:webHidden/>
          </w:rPr>
          <w:t>129</w:t>
        </w:r>
        <w:r w:rsidR="00D834E3">
          <w:rPr>
            <w:noProof/>
            <w:webHidden/>
          </w:rPr>
          <w:fldChar w:fldCharType="end"/>
        </w:r>
      </w:hyperlink>
    </w:p>
    <w:p w14:paraId="74DB3C1A" w14:textId="1662E3D3" w:rsidR="00D834E3" w:rsidRDefault="0044620B">
      <w:pPr>
        <w:pStyle w:val="TOC1"/>
        <w:rPr>
          <w:rFonts w:asciiTheme="minorHAnsi" w:eastAsiaTheme="minorEastAsia" w:hAnsiTheme="minorHAnsi"/>
          <w:b w:val="0"/>
          <w:bCs w:val="0"/>
          <w:noProof/>
          <w:sz w:val="22"/>
          <w:lang w:eastAsia="en-AU"/>
        </w:rPr>
      </w:pPr>
      <w:hyperlink w:anchor="_Toc396211717" w:history="1">
        <w:r w:rsidR="00D834E3" w:rsidRPr="00F83ED8">
          <w:rPr>
            <w:rStyle w:val="Hyperlink"/>
            <w:noProof/>
          </w:rPr>
          <w:t>Section F.</w:t>
        </w:r>
        <w:r w:rsidR="00D834E3">
          <w:rPr>
            <w:rFonts w:asciiTheme="minorHAnsi" w:eastAsiaTheme="minorEastAsia" w:hAnsiTheme="minorHAnsi"/>
            <w:b w:val="0"/>
            <w:bCs w:val="0"/>
            <w:noProof/>
            <w:sz w:val="22"/>
            <w:lang w:eastAsia="en-AU"/>
          </w:rPr>
          <w:tab/>
        </w:r>
        <w:r w:rsidR="00D834E3">
          <w:rPr>
            <w:rFonts w:asciiTheme="minorHAnsi" w:eastAsiaTheme="minorEastAsia" w:hAnsiTheme="minorHAnsi"/>
            <w:b w:val="0"/>
            <w:bCs w:val="0"/>
            <w:noProof/>
            <w:sz w:val="22"/>
            <w:lang w:eastAsia="en-AU"/>
          </w:rPr>
          <w:tab/>
        </w:r>
        <w:r w:rsidR="00D834E3" w:rsidRPr="00F83ED8">
          <w:rPr>
            <w:rStyle w:val="Hyperlink"/>
            <w:noProof/>
          </w:rPr>
          <w:t>Options to present additional relevant information</w:t>
        </w:r>
        <w:r w:rsidR="00D834E3">
          <w:rPr>
            <w:noProof/>
            <w:webHidden/>
          </w:rPr>
          <w:tab/>
        </w:r>
        <w:r w:rsidR="00D834E3">
          <w:rPr>
            <w:noProof/>
            <w:webHidden/>
          </w:rPr>
          <w:fldChar w:fldCharType="begin"/>
        </w:r>
        <w:r w:rsidR="00D834E3">
          <w:rPr>
            <w:noProof/>
            <w:webHidden/>
          </w:rPr>
          <w:instrText xml:space="preserve"> PAGEREF _Toc396211717 \h </w:instrText>
        </w:r>
        <w:r w:rsidR="00D834E3">
          <w:rPr>
            <w:noProof/>
            <w:webHidden/>
          </w:rPr>
        </w:r>
        <w:r w:rsidR="00D834E3">
          <w:rPr>
            <w:noProof/>
            <w:webHidden/>
          </w:rPr>
          <w:fldChar w:fldCharType="separate"/>
        </w:r>
        <w:r>
          <w:rPr>
            <w:noProof/>
            <w:webHidden/>
          </w:rPr>
          <w:t>134</w:t>
        </w:r>
        <w:r w:rsidR="00D834E3">
          <w:rPr>
            <w:noProof/>
            <w:webHidden/>
          </w:rPr>
          <w:fldChar w:fldCharType="end"/>
        </w:r>
      </w:hyperlink>
    </w:p>
    <w:p w14:paraId="199DA404" w14:textId="77777777" w:rsidR="00D834E3" w:rsidRDefault="0044620B">
      <w:pPr>
        <w:pStyle w:val="TOC2"/>
        <w:tabs>
          <w:tab w:val="left" w:pos="2160"/>
          <w:tab w:val="right" w:leader="dot" w:pos="9016"/>
        </w:tabs>
        <w:rPr>
          <w:rFonts w:asciiTheme="minorHAnsi" w:eastAsiaTheme="minorEastAsia" w:hAnsiTheme="minorHAnsi"/>
          <w:bCs w:val="0"/>
          <w:noProof/>
          <w:sz w:val="22"/>
          <w:lang w:eastAsia="en-AU"/>
        </w:rPr>
      </w:pPr>
      <w:hyperlink w:anchor="_Toc396211718" w:history="1">
        <w:r w:rsidR="00D834E3" w:rsidRPr="00F83ED8">
          <w:rPr>
            <w:rStyle w:val="Hyperlink"/>
            <w:noProof/>
          </w:rPr>
          <w:t>F.1.</w:t>
        </w:r>
        <w:r w:rsidR="00D834E3">
          <w:rPr>
            <w:rFonts w:asciiTheme="minorHAnsi" w:eastAsiaTheme="minorEastAsia" w:hAnsiTheme="minorHAnsi"/>
            <w:bCs w:val="0"/>
            <w:noProof/>
            <w:sz w:val="22"/>
            <w:lang w:eastAsia="en-AU"/>
          </w:rPr>
          <w:tab/>
        </w:r>
        <w:r w:rsidR="00D834E3" w:rsidRPr="00F83ED8">
          <w:rPr>
            <w:rStyle w:val="Hyperlink"/>
            <w:noProof/>
          </w:rPr>
          <w:t>Issues relating to equity principles</w:t>
        </w:r>
        <w:r w:rsidR="00D834E3">
          <w:rPr>
            <w:noProof/>
            <w:webHidden/>
          </w:rPr>
          <w:tab/>
        </w:r>
        <w:r w:rsidR="00D834E3">
          <w:rPr>
            <w:noProof/>
            <w:webHidden/>
          </w:rPr>
          <w:fldChar w:fldCharType="begin"/>
        </w:r>
        <w:r w:rsidR="00D834E3">
          <w:rPr>
            <w:noProof/>
            <w:webHidden/>
          </w:rPr>
          <w:instrText xml:space="preserve"> PAGEREF _Toc396211718 \h </w:instrText>
        </w:r>
        <w:r w:rsidR="00D834E3">
          <w:rPr>
            <w:noProof/>
            <w:webHidden/>
          </w:rPr>
        </w:r>
        <w:r w:rsidR="00D834E3">
          <w:rPr>
            <w:noProof/>
            <w:webHidden/>
          </w:rPr>
          <w:fldChar w:fldCharType="separate"/>
        </w:r>
        <w:r>
          <w:rPr>
            <w:noProof/>
            <w:webHidden/>
          </w:rPr>
          <w:t>134</w:t>
        </w:r>
        <w:r w:rsidR="00D834E3">
          <w:rPr>
            <w:noProof/>
            <w:webHidden/>
          </w:rPr>
          <w:fldChar w:fldCharType="end"/>
        </w:r>
      </w:hyperlink>
    </w:p>
    <w:p w14:paraId="4FA9E4F9" w14:textId="77777777" w:rsidR="00D834E3" w:rsidRDefault="0044620B">
      <w:pPr>
        <w:pStyle w:val="TOC1"/>
        <w:rPr>
          <w:rFonts w:asciiTheme="minorHAnsi" w:eastAsiaTheme="minorEastAsia" w:hAnsiTheme="minorHAnsi"/>
          <w:b w:val="0"/>
          <w:bCs w:val="0"/>
          <w:noProof/>
          <w:sz w:val="22"/>
          <w:lang w:eastAsia="en-AU"/>
        </w:rPr>
      </w:pPr>
      <w:hyperlink w:anchor="_Toc396211719" w:history="1">
        <w:r w:rsidR="00D834E3" w:rsidRPr="00F83ED8">
          <w:rPr>
            <w:rStyle w:val="Hyperlink"/>
            <w:noProof/>
          </w:rPr>
          <w:t>Appendix 1.</w:t>
        </w:r>
        <w:r w:rsidR="00D834E3">
          <w:rPr>
            <w:rFonts w:asciiTheme="minorHAnsi" w:eastAsiaTheme="minorEastAsia" w:hAnsiTheme="minorHAnsi"/>
            <w:b w:val="0"/>
            <w:bCs w:val="0"/>
            <w:noProof/>
            <w:sz w:val="22"/>
            <w:lang w:eastAsia="en-AU"/>
          </w:rPr>
          <w:tab/>
        </w:r>
        <w:r w:rsidR="00D834E3" w:rsidRPr="00F83ED8">
          <w:rPr>
            <w:rStyle w:val="Hyperlink"/>
            <w:noProof/>
          </w:rPr>
          <w:t>Health Expert Standing Panel and Assessment Group</w:t>
        </w:r>
        <w:r w:rsidR="00D834E3">
          <w:rPr>
            <w:noProof/>
            <w:webHidden/>
          </w:rPr>
          <w:tab/>
        </w:r>
        <w:r w:rsidR="00D834E3">
          <w:rPr>
            <w:noProof/>
            <w:webHidden/>
          </w:rPr>
          <w:fldChar w:fldCharType="begin"/>
        </w:r>
        <w:r w:rsidR="00D834E3">
          <w:rPr>
            <w:noProof/>
            <w:webHidden/>
          </w:rPr>
          <w:instrText xml:space="preserve"> PAGEREF _Toc396211719 \h </w:instrText>
        </w:r>
        <w:r w:rsidR="00D834E3">
          <w:rPr>
            <w:noProof/>
            <w:webHidden/>
          </w:rPr>
        </w:r>
        <w:r w:rsidR="00D834E3">
          <w:rPr>
            <w:noProof/>
            <w:webHidden/>
          </w:rPr>
          <w:fldChar w:fldCharType="separate"/>
        </w:r>
        <w:r>
          <w:rPr>
            <w:noProof/>
            <w:webHidden/>
          </w:rPr>
          <w:t>135</w:t>
        </w:r>
        <w:r w:rsidR="00D834E3">
          <w:rPr>
            <w:noProof/>
            <w:webHidden/>
          </w:rPr>
          <w:fldChar w:fldCharType="end"/>
        </w:r>
      </w:hyperlink>
    </w:p>
    <w:p w14:paraId="43C21526" w14:textId="77777777" w:rsidR="00D834E3" w:rsidRDefault="0044620B">
      <w:pPr>
        <w:pStyle w:val="TOC1"/>
        <w:rPr>
          <w:rFonts w:asciiTheme="minorHAnsi" w:eastAsiaTheme="minorEastAsia" w:hAnsiTheme="minorHAnsi"/>
          <w:b w:val="0"/>
          <w:bCs w:val="0"/>
          <w:noProof/>
          <w:sz w:val="22"/>
          <w:lang w:eastAsia="en-AU"/>
        </w:rPr>
      </w:pPr>
      <w:hyperlink w:anchor="_Toc396211720" w:history="1">
        <w:r w:rsidR="00D834E3" w:rsidRPr="00F83ED8">
          <w:rPr>
            <w:rStyle w:val="Hyperlink"/>
            <w:noProof/>
          </w:rPr>
          <w:t>Appendix 2.</w:t>
        </w:r>
        <w:r w:rsidR="00D834E3">
          <w:rPr>
            <w:rFonts w:asciiTheme="minorHAnsi" w:eastAsiaTheme="minorEastAsia" w:hAnsiTheme="minorHAnsi"/>
            <w:b w:val="0"/>
            <w:bCs w:val="0"/>
            <w:noProof/>
            <w:sz w:val="22"/>
            <w:lang w:eastAsia="en-AU"/>
          </w:rPr>
          <w:tab/>
        </w:r>
        <w:r w:rsidR="00D834E3" w:rsidRPr="00F83ED8">
          <w:rPr>
            <w:rStyle w:val="Hyperlink"/>
            <w:noProof/>
          </w:rPr>
          <w:t>Item numbers and descriptors</w:t>
        </w:r>
        <w:r w:rsidR="00D834E3">
          <w:rPr>
            <w:noProof/>
            <w:webHidden/>
          </w:rPr>
          <w:tab/>
        </w:r>
        <w:r w:rsidR="00D834E3">
          <w:rPr>
            <w:noProof/>
            <w:webHidden/>
          </w:rPr>
          <w:fldChar w:fldCharType="begin"/>
        </w:r>
        <w:r w:rsidR="00D834E3">
          <w:rPr>
            <w:noProof/>
            <w:webHidden/>
          </w:rPr>
          <w:instrText xml:space="preserve"> PAGEREF _Toc396211720 \h </w:instrText>
        </w:r>
        <w:r w:rsidR="00D834E3">
          <w:rPr>
            <w:noProof/>
            <w:webHidden/>
          </w:rPr>
        </w:r>
        <w:r w:rsidR="00D834E3">
          <w:rPr>
            <w:noProof/>
            <w:webHidden/>
          </w:rPr>
          <w:fldChar w:fldCharType="separate"/>
        </w:r>
        <w:r>
          <w:rPr>
            <w:noProof/>
            <w:webHidden/>
          </w:rPr>
          <w:t>136</w:t>
        </w:r>
        <w:r w:rsidR="00D834E3">
          <w:rPr>
            <w:noProof/>
            <w:webHidden/>
          </w:rPr>
          <w:fldChar w:fldCharType="end"/>
        </w:r>
      </w:hyperlink>
    </w:p>
    <w:p w14:paraId="07B233D7" w14:textId="77777777" w:rsidR="00D834E3" w:rsidRDefault="0044620B">
      <w:pPr>
        <w:pStyle w:val="TOC1"/>
        <w:rPr>
          <w:rFonts w:asciiTheme="minorHAnsi" w:eastAsiaTheme="minorEastAsia" w:hAnsiTheme="minorHAnsi"/>
          <w:b w:val="0"/>
          <w:bCs w:val="0"/>
          <w:noProof/>
          <w:sz w:val="22"/>
          <w:lang w:eastAsia="en-AU"/>
        </w:rPr>
      </w:pPr>
      <w:hyperlink w:anchor="_Toc396211721" w:history="1">
        <w:r w:rsidR="00D834E3" w:rsidRPr="00F83ED8">
          <w:rPr>
            <w:rStyle w:val="Hyperlink"/>
            <w:noProof/>
          </w:rPr>
          <w:t>Appendix 3.</w:t>
        </w:r>
        <w:r w:rsidR="00D834E3">
          <w:rPr>
            <w:rFonts w:asciiTheme="minorHAnsi" w:eastAsiaTheme="minorEastAsia" w:hAnsiTheme="minorHAnsi"/>
            <w:b w:val="0"/>
            <w:bCs w:val="0"/>
            <w:noProof/>
            <w:sz w:val="22"/>
            <w:lang w:eastAsia="en-AU"/>
          </w:rPr>
          <w:tab/>
        </w:r>
        <w:r w:rsidR="00D834E3" w:rsidRPr="00F83ED8">
          <w:rPr>
            <w:rStyle w:val="Hyperlink"/>
            <w:noProof/>
          </w:rPr>
          <w:t>Search strategies</w:t>
        </w:r>
        <w:r w:rsidR="00D834E3">
          <w:rPr>
            <w:noProof/>
            <w:webHidden/>
          </w:rPr>
          <w:tab/>
        </w:r>
        <w:r w:rsidR="00D834E3">
          <w:rPr>
            <w:noProof/>
            <w:webHidden/>
          </w:rPr>
          <w:fldChar w:fldCharType="begin"/>
        </w:r>
        <w:r w:rsidR="00D834E3">
          <w:rPr>
            <w:noProof/>
            <w:webHidden/>
          </w:rPr>
          <w:instrText xml:space="preserve"> PAGEREF _Toc396211721 \h </w:instrText>
        </w:r>
        <w:r w:rsidR="00D834E3">
          <w:rPr>
            <w:noProof/>
            <w:webHidden/>
          </w:rPr>
        </w:r>
        <w:r w:rsidR="00D834E3">
          <w:rPr>
            <w:noProof/>
            <w:webHidden/>
          </w:rPr>
          <w:fldChar w:fldCharType="separate"/>
        </w:r>
        <w:r>
          <w:rPr>
            <w:noProof/>
            <w:webHidden/>
          </w:rPr>
          <w:t>151</w:t>
        </w:r>
        <w:r w:rsidR="00D834E3">
          <w:rPr>
            <w:noProof/>
            <w:webHidden/>
          </w:rPr>
          <w:fldChar w:fldCharType="end"/>
        </w:r>
      </w:hyperlink>
    </w:p>
    <w:p w14:paraId="5A7B7B32" w14:textId="77777777" w:rsidR="00D834E3" w:rsidRDefault="0044620B">
      <w:pPr>
        <w:pStyle w:val="TOC1"/>
        <w:rPr>
          <w:rFonts w:asciiTheme="minorHAnsi" w:eastAsiaTheme="minorEastAsia" w:hAnsiTheme="minorHAnsi"/>
          <w:b w:val="0"/>
          <w:bCs w:val="0"/>
          <w:noProof/>
          <w:sz w:val="22"/>
          <w:lang w:eastAsia="en-AU"/>
        </w:rPr>
      </w:pPr>
      <w:hyperlink w:anchor="_Toc396211722" w:history="1">
        <w:r w:rsidR="00D834E3" w:rsidRPr="00F83ED8">
          <w:rPr>
            <w:rStyle w:val="Hyperlink"/>
            <w:noProof/>
          </w:rPr>
          <w:t>Appendix 4.</w:t>
        </w:r>
        <w:r w:rsidR="00D834E3">
          <w:rPr>
            <w:rFonts w:asciiTheme="minorHAnsi" w:eastAsiaTheme="minorEastAsia" w:hAnsiTheme="minorHAnsi"/>
            <w:b w:val="0"/>
            <w:bCs w:val="0"/>
            <w:noProof/>
            <w:sz w:val="22"/>
            <w:lang w:eastAsia="en-AU"/>
          </w:rPr>
          <w:tab/>
        </w:r>
        <w:r w:rsidR="00D834E3" w:rsidRPr="00F83ED8">
          <w:rPr>
            <w:rStyle w:val="Hyperlink"/>
            <w:noProof/>
          </w:rPr>
          <w:t>Minor discrepancy rates</w:t>
        </w:r>
        <w:r w:rsidR="00D834E3">
          <w:rPr>
            <w:noProof/>
            <w:webHidden/>
          </w:rPr>
          <w:tab/>
        </w:r>
        <w:r w:rsidR="00D834E3">
          <w:rPr>
            <w:noProof/>
            <w:webHidden/>
          </w:rPr>
          <w:fldChar w:fldCharType="begin"/>
        </w:r>
        <w:r w:rsidR="00D834E3">
          <w:rPr>
            <w:noProof/>
            <w:webHidden/>
          </w:rPr>
          <w:instrText xml:space="preserve"> PAGEREF _Toc396211722 \h </w:instrText>
        </w:r>
        <w:r w:rsidR="00D834E3">
          <w:rPr>
            <w:noProof/>
            <w:webHidden/>
          </w:rPr>
        </w:r>
        <w:r w:rsidR="00D834E3">
          <w:rPr>
            <w:noProof/>
            <w:webHidden/>
          </w:rPr>
          <w:fldChar w:fldCharType="separate"/>
        </w:r>
        <w:r>
          <w:rPr>
            <w:noProof/>
            <w:webHidden/>
          </w:rPr>
          <w:t>152</w:t>
        </w:r>
        <w:r w:rsidR="00D834E3">
          <w:rPr>
            <w:noProof/>
            <w:webHidden/>
          </w:rPr>
          <w:fldChar w:fldCharType="end"/>
        </w:r>
      </w:hyperlink>
    </w:p>
    <w:p w14:paraId="4E3220ED" w14:textId="77777777" w:rsidR="00D834E3" w:rsidRDefault="0044620B">
      <w:pPr>
        <w:pStyle w:val="TOC1"/>
        <w:rPr>
          <w:rFonts w:asciiTheme="minorHAnsi" w:eastAsiaTheme="minorEastAsia" w:hAnsiTheme="minorHAnsi"/>
          <w:b w:val="0"/>
          <w:bCs w:val="0"/>
          <w:noProof/>
          <w:sz w:val="22"/>
          <w:lang w:eastAsia="en-AU"/>
        </w:rPr>
      </w:pPr>
      <w:hyperlink w:anchor="_Toc396211723" w:history="1">
        <w:r w:rsidR="00D834E3" w:rsidRPr="00F83ED8">
          <w:rPr>
            <w:rStyle w:val="Hyperlink"/>
            <w:noProof/>
          </w:rPr>
          <w:t>Appendix 5.</w:t>
        </w:r>
        <w:r w:rsidR="00D834E3">
          <w:rPr>
            <w:rFonts w:asciiTheme="minorHAnsi" w:eastAsiaTheme="minorEastAsia" w:hAnsiTheme="minorHAnsi"/>
            <w:b w:val="0"/>
            <w:bCs w:val="0"/>
            <w:noProof/>
            <w:sz w:val="22"/>
            <w:lang w:eastAsia="en-AU"/>
          </w:rPr>
          <w:tab/>
        </w:r>
        <w:r w:rsidR="00D834E3" w:rsidRPr="00F83ED8">
          <w:rPr>
            <w:rStyle w:val="Hyperlink"/>
            <w:noProof/>
          </w:rPr>
          <w:t>Expert opinion survey</w:t>
        </w:r>
        <w:r w:rsidR="00D834E3">
          <w:rPr>
            <w:noProof/>
            <w:webHidden/>
          </w:rPr>
          <w:tab/>
        </w:r>
        <w:r w:rsidR="00D834E3">
          <w:rPr>
            <w:noProof/>
            <w:webHidden/>
          </w:rPr>
          <w:fldChar w:fldCharType="begin"/>
        </w:r>
        <w:r w:rsidR="00D834E3">
          <w:rPr>
            <w:noProof/>
            <w:webHidden/>
          </w:rPr>
          <w:instrText xml:space="preserve"> PAGEREF _Toc396211723 \h </w:instrText>
        </w:r>
        <w:r w:rsidR="00D834E3">
          <w:rPr>
            <w:noProof/>
            <w:webHidden/>
          </w:rPr>
        </w:r>
        <w:r w:rsidR="00D834E3">
          <w:rPr>
            <w:noProof/>
            <w:webHidden/>
          </w:rPr>
          <w:fldChar w:fldCharType="separate"/>
        </w:r>
        <w:r>
          <w:rPr>
            <w:noProof/>
            <w:webHidden/>
          </w:rPr>
          <w:t>155</w:t>
        </w:r>
        <w:r w:rsidR="00D834E3">
          <w:rPr>
            <w:noProof/>
            <w:webHidden/>
          </w:rPr>
          <w:fldChar w:fldCharType="end"/>
        </w:r>
      </w:hyperlink>
    </w:p>
    <w:p w14:paraId="74261649" w14:textId="77777777" w:rsidR="00D834E3" w:rsidRDefault="0044620B">
      <w:pPr>
        <w:pStyle w:val="TOC1"/>
        <w:rPr>
          <w:rFonts w:asciiTheme="minorHAnsi" w:eastAsiaTheme="minorEastAsia" w:hAnsiTheme="minorHAnsi"/>
          <w:b w:val="0"/>
          <w:bCs w:val="0"/>
          <w:noProof/>
          <w:sz w:val="22"/>
          <w:lang w:eastAsia="en-AU"/>
        </w:rPr>
      </w:pPr>
      <w:hyperlink w:anchor="_Toc396211724" w:history="1">
        <w:r w:rsidR="00D834E3" w:rsidRPr="00F83ED8">
          <w:rPr>
            <w:rStyle w:val="Hyperlink"/>
            <w:noProof/>
          </w:rPr>
          <w:t>Appendix 6.</w:t>
        </w:r>
        <w:r w:rsidR="00D834E3">
          <w:rPr>
            <w:rFonts w:asciiTheme="minorHAnsi" w:eastAsiaTheme="minorEastAsia" w:hAnsiTheme="minorHAnsi"/>
            <w:b w:val="0"/>
            <w:bCs w:val="0"/>
            <w:noProof/>
            <w:sz w:val="22"/>
            <w:lang w:eastAsia="en-AU"/>
          </w:rPr>
          <w:tab/>
        </w:r>
        <w:r w:rsidR="00D834E3" w:rsidRPr="00F83ED8">
          <w:rPr>
            <w:rStyle w:val="Hyperlink"/>
            <w:noProof/>
          </w:rPr>
          <w:t>Additional economic information</w:t>
        </w:r>
        <w:r w:rsidR="00D834E3">
          <w:rPr>
            <w:noProof/>
            <w:webHidden/>
          </w:rPr>
          <w:tab/>
        </w:r>
        <w:r w:rsidR="00D834E3">
          <w:rPr>
            <w:noProof/>
            <w:webHidden/>
          </w:rPr>
          <w:fldChar w:fldCharType="begin"/>
        </w:r>
        <w:r w:rsidR="00D834E3">
          <w:rPr>
            <w:noProof/>
            <w:webHidden/>
          </w:rPr>
          <w:instrText xml:space="preserve"> PAGEREF _Toc396211724 \h </w:instrText>
        </w:r>
        <w:r w:rsidR="00D834E3">
          <w:rPr>
            <w:noProof/>
            <w:webHidden/>
          </w:rPr>
        </w:r>
        <w:r w:rsidR="00D834E3">
          <w:rPr>
            <w:noProof/>
            <w:webHidden/>
          </w:rPr>
          <w:fldChar w:fldCharType="separate"/>
        </w:r>
        <w:r>
          <w:rPr>
            <w:noProof/>
            <w:webHidden/>
          </w:rPr>
          <w:t>161</w:t>
        </w:r>
        <w:r w:rsidR="00D834E3">
          <w:rPr>
            <w:noProof/>
            <w:webHidden/>
          </w:rPr>
          <w:fldChar w:fldCharType="end"/>
        </w:r>
      </w:hyperlink>
    </w:p>
    <w:p w14:paraId="7431E7D3" w14:textId="5D11FEA5" w:rsidR="00D834E3" w:rsidRDefault="0044620B">
      <w:pPr>
        <w:pStyle w:val="TOC1"/>
        <w:rPr>
          <w:rFonts w:asciiTheme="minorHAnsi" w:eastAsiaTheme="minorEastAsia" w:hAnsiTheme="minorHAnsi"/>
          <w:b w:val="0"/>
          <w:bCs w:val="0"/>
          <w:noProof/>
          <w:sz w:val="22"/>
          <w:lang w:eastAsia="en-AU"/>
        </w:rPr>
      </w:pPr>
      <w:hyperlink w:anchor="_Toc396211725" w:history="1">
        <w:r w:rsidR="00D834E3" w:rsidRPr="00F83ED8">
          <w:rPr>
            <w:rStyle w:val="Hyperlink"/>
            <w:noProof/>
          </w:rPr>
          <w:t>References</w:t>
        </w:r>
        <w:r w:rsidR="00D834E3">
          <w:rPr>
            <w:noProof/>
            <w:webHidden/>
          </w:rPr>
          <w:tab/>
        </w:r>
        <w:r w:rsidR="00D834E3">
          <w:rPr>
            <w:noProof/>
            <w:webHidden/>
          </w:rPr>
          <w:tab/>
        </w:r>
        <w:r w:rsidR="00D834E3">
          <w:rPr>
            <w:noProof/>
            <w:webHidden/>
          </w:rPr>
          <w:fldChar w:fldCharType="begin"/>
        </w:r>
        <w:r w:rsidR="00D834E3">
          <w:rPr>
            <w:noProof/>
            <w:webHidden/>
          </w:rPr>
          <w:instrText xml:space="preserve"> PAGEREF _Toc396211725 \h </w:instrText>
        </w:r>
        <w:r w:rsidR="00D834E3">
          <w:rPr>
            <w:noProof/>
            <w:webHidden/>
          </w:rPr>
        </w:r>
        <w:r w:rsidR="00D834E3">
          <w:rPr>
            <w:noProof/>
            <w:webHidden/>
          </w:rPr>
          <w:fldChar w:fldCharType="separate"/>
        </w:r>
        <w:r>
          <w:rPr>
            <w:noProof/>
            <w:webHidden/>
          </w:rPr>
          <w:t>165</w:t>
        </w:r>
        <w:r w:rsidR="00D834E3">
          <w:rPr>
            <w:noProof/>
            <w:webHidden/>
          </w:rPr>
          <w:fldChar w:fldCharType="end"/>
        </w:r>
      </w:hyperlink>
    </w:p>
    <w:p w14:paraId="60A2F591" w14:textId="676DF777" w:rsidR="00B51828" w:rsidRDefault="0095400D" w:rsidP="002101D2">
      <w:pPr>
        <w:rPr>
          <w:rFonts w:asciiTheme="minorHAnsi" w:hAnsiTheme="minorHAnsi"/>
          <w:b/>
          <w:bCs/>
          <w:sz w:val="22"/>
        </w:rPr>
      </w:pPr>
      <w:r>
        <w:rPr>
          <w:rFonts w:asciiTheme="minorHAnsi" w:hAnsiTheme="minorHAnsi"/>
          <w:sz w:val="22"/>
        </w:rPr>
        <w:fldChar w:fldCharType="end"/>
      </w:r>
    </w:p>
    <w:p w14:paraId="66B39DAE" w14:textId="77777777" w:rsidR="00B51828" w:rsidRDefault="00B51828" w:rsidP="002101D2">
      <w:pPr>
        <w:rPr>
          <w:highlight w:val="yellow"/>
        </w:rPr>
      </w:pPr>
    </w:p>
    <w:p w14:paraId="13B50C88" w14:textId="77777777" w:rsidR="00B51828" w:rsidRDefault="00B51828">
      <w:pPr>
        <w:spacing w:after="160" w:line="259" w:lineRule="auto"/>
        <w:ind w:left="0"/>
        <w:rPr>
          <w:highlight w:val="yellow"/>
        </w:rPr>
      </w:pPr>
      <w:r>
        <w:rPr>
          <w:highlight w:val="yellow"/>
        </w:rPr>
        <w:br w:type="page"/>
      </w:r>
    </w:p>
    <w:p w14:paraId="23AE7B99" w14:textId="77777777" w:rsidR="00B51828" w:rsidRPr="00E5076E" w:rsidRDefault="00B51828" w:rsidP="002101D2">
      <w:pPr>
        <w:pStyle w:val="Heading1"/>
        <w:ind w:left="851" w:hanging="851"/>
      </w:pPr>
      <w:bookmarkStart w:id="2" w:name="_Toc396211676"/>
      <w:r w:rsidRPr="00E5076E">
        <w:lastRenderedPageBreak/>
        <w:t>List of tables</w:t>
      </w:r>
      <w:bookmarkEnd w:id="2"/>
    </w:p>
    <w:p w14:paraId="72F950F0" w14:textId="77777777" w:rsidR="00D834E3" w:rsidRDefault="00B51828">
      <w:pPr>
        <w:pStyle w:val="TableofFigures"/>
        <w:tabs>
          <w:tab w:val="left" w:pos="2160"/>
          <w:tab w:val="right" w:leader="dot" w:pos="9016"/>
        </w:tabs>
        <w:rPr>
          <w:rFonts w:asciiTheme="minorHAnsi" w:eastAsiaTheme="minorEastAsia" w:hAnsiTheme="minorHAnsi"/>
          <w:noProof/>
          <w:sz w:val="22"/>
          <w:lang w:eastAsia="en-AU"/>
        </w:rPr>
      </w:pPr>
      <w:r>
        <w:rPr>
          <w:highlight w:val="yellow"/>
        </w:rPr>
        <w:fldChar w:fldCharType="begin"/>
      </w:r>
      <w:r>
        <w:rPr>
          <w:highlight w:val="yellow"/>
        </w:rPr>
        <w:instrText xml:space="preserve"> TOC \h \z \c "Table" </w:instrText>
      </w:r>
      <w:r>
        <w:rPr>
          <w:highlight w:val="yellow"/>
        </w:rPr>
        <w:fldChar w:fldCharType="separate"/>
      </w:r>
      <w:hyperlink w:anchor="_Toc396211726" w:history="1">
        <w:r w:rsidR="00D834E3" w:rsidRPr="00FE2F89">
          <w:rPr>
            <w:rStyle w:val="Hyperlink"/>
            <w:noProof/>
          </w:rPr>
          <w:t>Table A.1</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Items addressed in the revised Final Protocol and Assessment Report</w:t>
        </w:r>
        <w:r w:rsidR="00D834E3">
          <w:rPr>
            <w:noProof/>
            <w:webHidden/>
          </w:rPr>
          <w:tab/>
        </w:r>
        <w:r w:rsidR="00D834E3">
          <w:rPr>
            <w:noProof/>
            <w:webHidden/>
          </w:rPr>
          <w:fldChar w:fldCharType="begin"/>
        </w:r>
        <w:r w:rsidR="00D834E3">
          <w:rPr>
            <w:noProof/>
            <w:webHidden/>
          </w:rPr>
          <w:instrText xml:space="preserve"> PAGEREF _Toc396211726 \h </w:instrText>
        </w:r>
        <w:r w:rsidR="00D834E3">
          <w:rPr>
            <w:noProof/>
            <w:webHidden/>
          </w:rPr>
        </w:r>
        <w:r w:rsidR="00D834E3">
          <w:rPr>
            <w:noProof/>
            <w:webHidden/>
          </w:rPr>
          <w:fldChar w:fldCharType="separate"/>
        </w:r>
        <w:r w:rsidR="0044620B">
          <w:rPr>
            <w:noProof/>
            <w:webHidden/>
          </w:rPr>
          <w:t>23</w:t>
        </w:r>
        <w:r w:rsidR="00D834E3">
          <w:rPr>
            <w:noProof/>
            <w:webHidden/>
          </w:rPr>
          <w:fldChar w:fldCharType="end"/>
        </w:r>
      </w:hyperlink>
    </w:p>
    <w:p w14:paraId="61A2F3D6"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27" w:history="1">
        <w:r w:rsidR="00D834E3" w:rsidRPr="00FE2F89">
          <w:rPr>
            <w:rStyle w:val="Hyperlink"/>
            <w:noProof/>
          </w:rPr>
          <w:t>Table A.2</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Relevant Medicare items in Group P1 (Haematology)</w:t>
        </w:r>
        <w:r w:rsidR="00D834E3">
          <w:rPr>
            <w:noProof/>
            <w:webHidden/>
          </w:rPr>
          <w:tab/>
        </w:r>
        <w:r w:rsidR="00D834E3">
          <w:rPr>
            <w:noProof/>
            <w:webHidden/>
          </w:rPr>
          <w:fldChar w:fldCharType="begin"/>
        </w:r>
        <w:r w:rsidR="00D834E3">
          <w:rPr>
            <w:noProof/>
            <w:webHidden/>
          </w:rPr>
          <w:instrText xml:space="preserve"> PAGEREF _Toc396211727 \h </w:instrText>
        </w:r>
        <w:r w:rsidR="00D834E3">
          <w:rPr>
            <w:noProof/>
            <w:webHidden/>
          </w:rPr>
        </w:r>
        <w:r w:rsidR="00D834E3">
          <w:rPr>
            <w:noProof/>
            <w:webHidden/>
          </w:rPr>
          <w:fldChar w:fldCharType="separate"/>
        </w:r>
        <w:r>
          <w:rPr>
            <w:noProof/>
            <w:webHidden/>
          </w:rPr>
          <w:t>29</w:t>
        </w:r>
        <w:r w:rsidR="00D834E3">
          <w:rPr>
            <w:noProof/>
            <w:webHidden/>
          </w:rPr>
          <w:fldChar w:fldCharType="end"/>
        </w:r>
      </w:hyperlink>
    </w:p>
    <w:p w14:paraId="437131D5"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28" w:history="1">
        <w:r w:rsidR="00D834E3" w:rsidRPr="00FE2F89">
          <w:rPr>
            <w:rStyle w:val="Hyperlink"/>
            <w:noProof/>
          </w:rPr>
          <w:t>Table A.2</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Medicare items in Group P5 (Tissue pathology)</w:t>
        </w:r>
        <w:r w:rsidR="00D834E3">
          <w:rPr>
            <w:noProof/>
            <w:webHidden/>
          </w:rPr>
          <w:tab/>
        </w:r>
        <w:r w:rsidR="00D834E3">
          <w:rPr>
            <w:noProof/>
            <w:webHidden/>
          </w:rPr>
          <w:fldChar w:fldCharType="begin"/>
        </w:r>
        <w:r w:rsidR="00D834E3">
          <w:rPr>
            <w:noProof/>
            <w:webHidden/>
          </w:rPr>
          <w:instrText xml:space="preserve"> PAGEREF _Toc396211728 \h </w:instrText>
        </w:r>
        <w:r w:rsidR="00D834E3">
          <w:rPr>
            <w:noProof/>
            <w:webHidden/>
          </w:rPr>
        </w:r>
        <w:r w:rsidR="00D834E3">
          <w:rPr>
            <w:noProof/>
            <w:webHidden/>
          </w:rPr>
          <w:fldChar w:fldCharType="separate"/>
        </w:r>
        <w:r>
          <w:rPr>
            <w:noProof/>
            <w:webHidden/>
          </w:rPr>
          <w:t>30</w:t>
        </w:r>
        <w:r w:rsidR="00D834E3">
          <w:rPr>
            <w:noProof/>
            <w:webHidden/>
          </w:rPr>
          <w:fldChar w:fldCharType="end"/>
        </w:r>
      </w:hyperlink>
    </w:p>
    <w:p w14:paraId="68919118"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29" w:history="1">
        <w:r w:rsidR="00D834E3" w:rsidRPr="00FE2F89">
          <w:rPr>
            <w:rStyle w:val="Hyperlink"/>
            <w:noProof/>
          </w:rPr>
          <w:t>Table A.2</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Complexity levels for histopathology items</w:t>
        </w:r>
        <w:r w:rsidR="00D834E3">
          <w:rPr>
            <w:noProof/>
            <w:webHidden/>
          </w:rPr>
          <w:tab/>
        </w:r>
        <w:r w:rsidR="00D834E3">
          <w:rPr>
            <w:noProof/>
            <w:webHidden/>
          </w:rPr>
          <w:fldChar w:fldCharType="begin"/>
        </w:r>
        <w:r w:rsidR="00D834E3">
          <w:rPr>
            <w:noProof/>
            <w:webHidden/>
          </w:rPr>
          <w:instrText xml:space="preserve"> PAGEREF _Toc396211729 \h </w:instrText>
        </w:r>
        <w:r w:rsidR="00D834E3">
          <w:rPr>
            <w:noProof/>
            <w:webHidden/>
          </w:rPr>
        </w:r>
        <w:r w:rsidR="00D834E3">
          <w:rPr>
            <w:noProof/>
            <w:webHidden/>
          </w:rPr>
          <w:fldChar w:fldCharType="separate"/>
        </w:r>
        <w:r>
          <w:rPr>
            <w:noProof/>
            <w:webHidden/>
          </w:rPr>
          <w:t>31</w:t>
        </w:r>
        <w:r w:rsidR="00D834E3">
          <w:rPr>
            <w:noProof/>
            <w:webHidden/>
          </w:rPr>
          <w:fldChar w:fldCharType="end"/>
        </w:r>
      </w:hyperlink>
    </w:p>
    <w:p w14:paraId="337821F5"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0" w:history="1">
        <w:r w:rsidR="00D834E3" w:rsidRPr="00FE2F89">
          <w:rPr>
            <w:rStyle w:val="Hyperlink"/>
            <w:noProof/>
          </w:rPr>
          <w:t>Table A.2</w:t>
        </w:r>
        <w:r w:rsidR="00D834E3" w:rsidRPr="00FE2F89">
          <w:rPr>
            <w:rStyle w:val="Hyperlink"/>
            <w:noProof/>
          </w:rPr>
          <w:noBreakHyphen/>
          <w:t>4</w:t>
        </w:r>
        <w:r w:rsidR="00D834E3">
          <w:rPr>
            <w:rFonts w:asciiTheme="minorHAnsi" w:eastAsiaTheme="minorEastAsia" w:hAnsiTheme="minorHAnsi"/>
            <w:noProof/>
            <w:sz w:val="22"/>
            <w:lang w:eastAsia="en-AU"/>
          </w:rPr>
          <w:tab/>
        </w:r>
        <w:r w:rsidR="00D834E3" w:rsidRPr="00FE2F89">
          <w:rPr>
            <w:rStyle w:val="Hyperlink"/>
            <w:noProof/>
          </w:rPr>
          <w:t>Medicare items in Group P6 (Cytology)</w:t>
        </w:r>
        <w:r w:rsidR="00D834E3">
          <w:rPr>
            <w:noProof/>
            <w:webHidden/>
          </w:rPr>
          <w:tab/>
        </w:r>
        <w:r w:rsidR="00D834E3">
          <w:rPr>
            <w:noProof/>
            <w:webHidden/>
          </w:rPr>
          <w:fldChar w:fldCharType="begin"/>
        </w:r>
        <w:r w:rsidR="00D834E3">
          <w:rPr>
            <w:noProof/>
            <w:webHidden/>
          </w:rPr>
          <w:instrText xml:space="preserve"> PAGEREF _Toc396211730 \h </w:instrText>
        </w:r>
        <w:r w:rsidR="00D834E3">
          <w:rPr>
            <w:noProof/>
            <w:webHidden/>
          </w:rPr>
        </w:r>
        <w:r w:rsidR="00D834E3">
          <w:rPr>
            <w:noProof/>
            <w:webHidden/>
          </w:rPr>
          <w:fldChar w:fldCharType="separate"/>
        </w:r>
        <w:r>
          <w:rPr>
            <w:noProof/>
            <w:webHidden/>
          </w:rPr>
          <w:t>34</w:t>
        </w:r>
        <w:r w:rsidR="00D834E3">
          <w:rPr>
            <w:noProof/>
            <w:webHidden/>
          </w:rPr>
          <w:fldChar w:fldCharType="end"/>
        </w:r>
      </w:hyperlink>
    </w:p>
    <w:p w14:paraId="22BB7E7C"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1" w:history="1">
        <w:r w:rsidR="00D834E3" w:rsidRPr="00FE2F89">
          <w:rPr>
            <w:rStyle w:val="Hyperlink"/>
            <w:noProof/>
          </w:rPr>
          <w:t>Table A.3</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Proposed MBS item descriptor for a non-complex, second, expert opinion on a patient sample</w:t>
        </w:r>
        <w:r w:rsidR="00D834E3">
          <w:rPr>
            <w:noProof/>
            <w:webHidden/>
          </w:rPr>
          <w:tab/>
        </w:r>
        <w:r w:rsidR="00D834E3">
          <w:rPr>
            <w:noProof/>
            <w:webHidden/>
          </w:rPr>
          <w:fldChar w:fldCharType="begin"/>
        </w:r>
        <w:r w:rsidR="00D834E3">
          <w:rPr>
            <w:noProof/>
            <w:webHidden/>
          </w:rPr>
          <w:instrText xml:space="preserve"> PAGEREF _Toc396211731 \h </w:instrText>
        </w:r>
        <w:r w:rsidR="00D834E3">
          <w:rPr>
            <w:noProof/>
            <w:webHidden/>
          </w:rPr>
        </w:r>
        <w:r w:rsidR="00D834E3">
          <w:rPr>
            <w:noProof/>
            <w:webHidden/>
          </w:rPr>
          <w:fldChar w:fldCharType="separate"/>
        </w:r>
        <w:r>
          <w:rPr>
            <w:noProof/>
            <w:webHidden/>
          </w:rPr>
          <w:t>37</w:t>
        </w:r>
        <w:r w:rsidR="00D834E3">
          <w:rPr>
            <w:noProof/>
            <w:webHidden/>
          </w:rPr>
          <w:fldChar w:fldCharType="end"/>
        </w:r>
      </w:hyperlink>
    </w:p>
    <w:p w14:paraId="0DF023A8"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2" w:history="1">
        <w:r w:rsidR="00D834E3" w:rsidRPr="00FE2F89">
          <w:rPr>
            <w:rStyle w:val="Hyperlink"/>
            <w:noProof/>
          </w:rPr>
          <w:t>Table A.3</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Proposed MBS item descriptor for a complex, second, expert opinion on a patient sample</w:t>
        </w:r>
        <w:r w:rsidR="00D834E3">
          <w:rPr>
            <w:noProof/>
            <w:webHidden/>
          </w:rPr>
          <w:tab/>
        </w:r>
        <w:r w:rsidR="00D834E3">
          <w:rPr>
            <w:noProof/>
            <w:webHidden/>
          </w:rPr>
          <w:fldChar w:fldCharType="begin"/>
        </w:r>
        <w:r w:rsidR="00D834E3">
          <w:rPr>
            <w:noProof/>
            <w:webHidden/>
          </w:rPr>
          <w:instrText xml:space="preserve"> PAGEREF _Toc396211732 \h </w:instrText>
        </w:r>
        <w:r w:rsidR="00D834E3">
          <w:rPr>
            <w:noProof/>
            <w:webHidden/>
          </w:rPr>
        </w:r>
        <w:r w:rsidR="00D834E3">
          <w:rPr>
            <w:noProof/>
            <w:webHidden/>
          </w:rPr>
          <w:fldChar w:fldCharType="separate"/>
        </w:r>
        <w:r>
          <w:rPr>
            <w:noProof/>
            <w:webHidden/>
          </w:rPr>
          <w:t>37</w:t>
        </w:r>
        <w:r w:rsidR="00D834E3">
          <w:rPr>
            <w:noProof/>
            <w:webHidden/>
          </w:rPr>
          <w:fldChar w:fldCharType="end"/>
        </w:r>
      </w:hyperlink>
    </w:p>
    <w:p w14:paraId="509497E2"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3" w:history="1">
        <w:r w:rsidR="00D834E3" w:rsidRPr="00FE2F89">
          <w:rPr>
            <w:rStyle w:val="Hyperlink"/>
            <w:noProof/>
          </w:rPr>
          <w:t>Table A.8</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Summary of PPICO for the assessment of second, expert pathology opinion</w:t>
        </w:r>
        <w:r w:rsidR="00D834E3">
          <w:rPr>
            <w:noProof/>
            <w:webHidden/>
          </w:rPr>
          <w:tab/>
        </w:r>
        <w:r w:rsidR="00D834E3">
          <w:rPr>
            <w:noProof/>
            <w:webHidden/>
          </w:rPr>
          <w:fldChar w:fldCharType="begin"/>
        </w:r>
        <w:r w:rsidR="00D834E3">
          <w:rPr>
            <w:noProof/>
            <w:webHidden/>
          </w:rPr>
          <w:instrText xml:space="preserve"> PAGEREF _Toc396211733 \h </w:instrText>
        </w:r>
        <w:r w:rsidR="00D834E3">
          <w:rPr>
            <w:noProof/>
            <w:webHidden/>
          </w:rPr>
        </w:r>
        <w:r w:rsidR="00D834E3">
          <w:rPr>
            <w:noProof/>
            <w:webHidden/>
          </w:rPr>
          <w:fldChar w:fldCharType="separate"/>
        </w:r>
        <w:r>
          <w:rPr>
            <w:noProof/>
            <w:webHidden/>
          </w:rPr>
          <w:t>43</w:t>
        </w:r>
        <w:r w:rsidR="00D834E3">
          <w:rPr>
            <w:noProof/>
            <w:webHidden/>
          </w:rPr>
          <w:fldChar w:fldCharType="end"/>
        </w:r>
      </w:hyperlink>
    </w:p>
    <w:p w14:paraId="6F938740"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4" w:history="1">
        <w:r w:rsidR="00D834E3" w:rsidRPr="00FE2F89">
          <w:rPr>
            <w:rStyle w:val="Hyperlink"/>
            <w:noProof/>
          </w:rPr>
          <w:t>Table A.8</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Definitions of second opinion terms used in the literature</w:t>
        </w:r>
        <w:r w:rsidR="00D834E3">
          <w:rPr>
            <w:noProof/>
            <w:webHidden/>
          </w:rPr>
          <w:tab/>
        </w:r>
        <w:r w:rsidR="00D834E3">
          <w:rPr>
            <w:noProof/>
            <w:webHidden/>
          </w:rPr>
          <w:fldChar w:fldCharType="begin"/>
        </w:r>
        <w:r w:rsidR="00D834E3">
          <w:rPr>
            <w:noProof/>
            <w:webHidden/>
          </w:rPr>
          <w:instrText xml:space="preserve"> PAGEREF _Toc396211734 \h </w:instrText>
        </w:r>
        <w:r w:rsidR="00D834E3">
          <w:rPr>
            <w:noProof/>
            <w:webHidden/>
          </w:rPr>
        </w:r>
        <w:r w:rsidR="00D834E3">
          <w:rPr>
            <w:noProof/>
            <w:webHidden/>
          </w:rPr>
          <w:fldChar w:fldCharType="separate"/>
        </w:r>
        <w:r>
          <w:rPr>
            <w:noProof/>
            <w:webHidden/>
          </w:rPr>
          <w:t>44</w:t>
        </w:r>
        <w:r w:rsidR="00D834E3">
          <w:rPr>
            <w:noProof/>
            <w:webHidden/>
          </w:rPr>
          <w:fldChar w:fldCharType="end"/>
        </w:r>
      </w:hyperlink>
    </w:p>
    <w:p w14:paraId="09B88D6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5" w:history="1">
        <w:r w:rsidR="00D834E3" w:rsidRPr="00FE2F89">
          <w:rPr>
            <w:rStyle w:val="Hyperlink"/>
            <w:noProof/>
          </w:rPr>
          <w:t>Table B.1</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Summary of the process used to identify relevant studies</w:t>
        </w:r>
        <w:r w:rsidR="00D834E3">
          <w:rPr>
            <w:noProof/>
            <w:webHidden/>
          </w:rPr>
          <w:tab/>
        </w:r>
        <w:r w:rsidR="00D834E3">
          <w:rPr>
            <w:noProof/>
            <w:webHidden/>
          </w:rPr>
          <w:fldChar w:fldCharType="begin"/>
        </w:r>
        <w:r w:rsidR="00D834E3">
          <w:rPr>
            <w:noProof/>
            <w:webHidden/>
          </w:rPr>
          <w:instrText xml:space="preserve"> PAGEREF _Toc396211735 \h </w:instrText>
        </w:r>
        <w:r w:rsidR="00D834E3">
          <w:rPr>
            <w:noProof/>
            <w:webHidden/>
          </w:rPr>
        </w:r>
        <w:r w:rsidR="00D834E3">
          <w:rPr>
            <w:noProof/>
            <w:webHidden/>
          </w:rPr>
          <w:fldChar w:fldCharType="separate"/>
        </w:r>
        <w:r>
          <w:rPr>
            <w:noProof/>
            <w:webHidden/>
          </w:rPr>
          <w:t>48</w:t>
        </w:r>
        <w:r w:rsidR="00D834E3">
          <w:rPr>
            <w:noProof/>
            <w:webHidden/>
          </w:rPr>
          <w:fldChar w:fldCharType="end"/>
        </w:r>
      </w:hyperlink>
    </w:p>
    <w:p w14:paraId="0815524E"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6" w:history="1">
        <w:r w:rsidR="00D834E3" w:rsidRPr="00FE2F89">
          <w:rPr>
            <w:rStyle w:val="Hyperlink"/>
            <w:noProof/>
          </w:rPr>
          <w:t>Table B.2</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Citations details and study characteristics for all included studies</w:t>
        </w:r>
        <w:r w:rsidR="00D834E3">
          <w:rPr>
            <w:noProof/>
            <w:webHidden/>
          </w:rPr>
          <w:tab/>
        </w:r>
        <w:r w:rsidR="00D834E3">
          <w:rPr>
            <w:noProof/>
            <w:webHidden/>
          </w:rPr>
          <w:fldChar w:fldCharType="begin"/>
        </w:r>
        <w:r w:rsidR="00D834E3">
          <w:rPr>
            <w:noProof/>
            <w:webHidden/>
          </w:rPr>
          <w:instrText xml:space="preserve"> PAGEREF _Toc396211736 \h </w:instrText>
        </w:r>
        <w:r w:rsidR="00D834E3">
          <w:rPr>
            <w:noProof/>
            <w:webHidden/>
          </w:rPr>
        </w:r>
        <w:r w:rsidR="00D834E3">
          <w:rPr>
            <w:noProof/>
            <w:webHidden/>
          </w:rPr>
          <w:fldChar w:fldCharType="separate"/>
        </w:r>
        <w:r>
          <w:rPr>
            <w:noProof/>
            <w:webHidden/>
          </w:rPr>
          <w:t>50</w:t>
        </w:r>
        <w:r w:rsidR="00D834E3">
          <w:rPr>
            <w:noProof/>
            <w:webHidden/>
          </w:rPr>
          <w:fldChar w:fldCharType="end"/>
        </w:r>
      </w:hyperlink>
    </w:p>
    <w:p w14:paraId="3503426B"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7" w:history="1">
        <w:r w:rsidR="00D834E3" w:rsidRPr="00FE2F89">
          <w:rPr>
            <w:rStyle w:val="Hyperlink"/>
            <w:noProof/>
          </w:rPr>
          <w:t>Table B.2</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Comparative summary of characteristics of clinical studies relating to second, expert opinion: excluded studies</w:t>
        </w:r>
        <w:r w:rsidR="00D834E3">
          <w:rPr>
            <w:noProof/>
            <w:webHidden/>
          </w:rPr>
          <w:tab/>
        </w:r>
        <w:r w:rsidR="00D834E3">
          <w:rPr>
            <w:noProof/>
            <w:webHidden/>
          </w:rPr>
          <w:fldChar w:fldCharType="begin"/>
        </w:r>
        <w:r w:rsidR="00D834E3">
          <w:rPr>
            <w:noProof/>
            <w:webHidden/>
          </w:rPr>
          <w:instrText xml:space="preserve"> PAGEREF _Toc396211737 \h </w:instrText>
        </w:r>
        <w:r w:rsidR="00D834E3">
          <w:rPr>
            <w:noProof/>
            <w:webHidden/>
          </w:rPr>
        </w:r>
        <w:r w:rsidR="00D834E3">
          <w:rPr>
            <w:noProof/>
            <w:webHidden/>
          </w:rPr>
          <w:fldChar w:fldCharType="separate"/>
        </w:r>
        <w:r>
          <w:rPr>
            <w:noProof/>
            <w:webHidden/>
          </w:rPr>
          <w:t>53</w:t>
        </w:r>
        <w:r w:rsidR="00D834E3">
          <w:rPr>
            <w:noProof/>
            <w:webHidden/>
          </w:rPr>
          <w:fldChar w:fldCharType="end"/>
        </w:r>
      </w:hyperlink>
    </w:p>
    <w:p w14:paraId="5917D2AB"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8" w:history="1">
        <w:r w:rsidR="00D834E3" w:rsidRPr="00FE2F89">
          <w:rPr>
            <w:rStyle w:val="Hyperlink"/>
            <w:noProof/>
          </w:rPr>
          <w:t>Table B.2</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Reasons to exclude each study from further detailed assessment</w:t>
        </w:r>
        <w:r w:rsidR="00D834E3">
          <w:rPr>
            <w:noProof/>
            <w:webHidden/>
          </w:rPr>
          <w:tab/>
        </w:r>
        <w:r w:rsidR="00D834E3">
          <w:rPr>
            <w:noProof/>
            <w:webHidden/>
          </w:rPr>
          <w:fldChar w:fldCharType="begin"/>
        </w:r>
        <w:r w:rsidR="00D834E3">
          <w:rPr>
            <w:noProof/>
            <w:webHidden/>
          </w:rPr>
          <w:instrText xml:space="preserve"> PAGEREF _Toc396211738 \h </w:instrText>
        </w:r>
        <w:r w:rsidR="00D834E3">
          <w:rPr>
            <w:noProof/>
            <w:webHidden/>
          </w:rPr>
        </w:r>
        <w:r w:rsidR="00D834E3">
          <w:rPr>
            <w:noProof/>
            <w:webHidden/>
          </w:rPr>
          <w:fldChar w:fldCharType="separate"/>
        </w:r>
        <w:r>
          <w:rPr>
            <w:noProof/>
            <w:webHidden/>
          </w:rPr>
          <w:t>57</w:t>
        </w:r>
        <w:r w:rsidR="00D834E3">
          <w:rPr>
            <w:noProof/>
            <w:webHidden/>
          </w:rPr>
          <w:fldChar w:fldCharType="end"/>
        </w:r>
      </w:hyperlink>
    </w:p>
    <w:p w14:paraId="01F9D51F"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39" w:history="1">
        <w:r w:rsidR="00D834E3" w:rsidRPr="00FE2F89">
          <w:rPr>
            <w:rStyle w:val="Hyperlink"/>
            <w:noProof/>
          </w:rPr>
          <w:t>Table B.4</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 xml:space="preserve">Comparative summary of characteristics of clinical studies relating to external expert opinion: </w:t>
        </w:r>
        <w:r w:rsidR="00D834E3" w:rsidRPr="00FE2F89">
          <w:rPr>
            <w:rStyle w:val="Hyperlink"/>
            <w:i/>
            <w:noProof/>
          </w:rPr>
          <w:t>Scenario 1</w:t>
        </w:r>
        <w:r w:rsidR="00D834E3" w:rsidRPr="00FE2F89">
          <w:rPr>
            <w:rStyle w:val="Hyperlink"/>
            <w:noProof/>
          </w:rPr>
          <w:t xml:space="preserve"> studies</w:t>
        </w:r>
        <w:r w:rsidR="00D834E3">
          <w:rPr>
            <w:noProof/>
            <w:webHidden/>
          </w:rPr>
          <w:tab/>
        </w:r>
        <w:r w:rsidR="00D834E3">
          <w:rPr>
            <w:noProof/>
            <w:webHidden/>
          </w:rPr>
          <w:fldChar w:fldCharType="begin"/>
        </w:r>
        <w:r w:rsidR="00D834E3">
          <w:rPr>
            <w:noProof/>
            <w:webHidden/>
          </w:rPr>
          <w:instrText xml:space="preserve"> PAGEREF _Toc396211739 \h </w:instrText>
        </w:r>
        <w:r w:rsidR="00D834E3">
          <w:rPr>
            <w:noProof/>
            <w:webHidden/>
          </w:rPr>
        </w:r>
        <w:r w:rsidR="00D834E3">
          <w:rPr>
            <w:noProof/>
            <w:webHidden/>
          </w:rPr>
          <w:fldChar w:fldCharType="separate"/>
        </w:r>
        <w:r>
          <w:rPr>
            <w:noProof/>
            <w:webHidden/>
          </w:rPr>
          <w:t>63</w:t>
        </w:r>
        <w:r w:rsidR="00D834E3">
          <w:rPr>
            <w:noProof/>
            <w:webHidden/>
          </w:rPr>
          <w:fldChar w:fldCharType="end"/>
        </w:r>
      </w:hyperlink>
    </w:p>
    <w:p w14:paraId="6871C86C"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0" w:history="1">
        <w:r w:rsidR="00D834E3" w:rsidRPr="00FE2F89">
          <w:rPr>
            <w:rStyle w:val="Hyperlink"/>
            <w:noProof/>
          </w:rPr>
          <w:t>Table B.4</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 xml:space="preserve">Comparative summary of characteristics of clinical studies relating to second, expert opinion: </w:t>
        </w:r>
        <w:r w:rsidR="00D834E3" w:rsidRPr="00FE2F89">
          <w:rPr>
            <w:rStyle w:val="Hyperlink"/>
            <w:i/>
            <w:noProof/>
          </w:rPr>
          <w:t>Scenario 2</w:t>
        </w:r>
        <w:r w:rsidR="00D834E3" w:rsidRPr="00FE2F89">
          <w:rPr>
            <w:rStyle w:val="Hyperlink"/>
            <w:noProof/>
          </w:rPr>
          <w:t xml:space="preserve"> studies</w:t>
        </w:r>
        <w:r w:rsidR="00D834E3">
          <w:rPr>
            <w:noProof/>
            <w:webHidden/>
          </w:rPr>
          <w:tab/>
        </w:r>
        <w:r w:rsidR="00D834E3">
          <w:rPr>
            <w:noProof/>
            <w:webHidden/>
          </w:rPr>
          <w:fldChar w:fldCharType="begin"/>
        </w:r>
        <w:r w:rsidR="00D834E3">
          <w:rPr>
            <w:noProof/>
            <w:webHidden/>
          </w:rPr>
          <w:instrText xml:space="preserve"> PAGEREF _Toc396211740 \h </w:instrText>
        </w:r>
        <w:r w:rsidR="00D834E3">
          <w:rPr>
            <w:noProof/>
            <w:webHidden/>
          </w:rPr>
        </w:r>
        <w:r w:rsidR="00D834E3">
          <w:rPr>
            <w:noProof/>
            <w:webHidden/>
          </w:rPr>
          <w:fldChar w:fldCharType="separate"/>
        </w:r>
        <w:r>
          <w:rPr>
            <w:noProof/>
            <w:webHidden/>
          </w:rPr>
          <w:t>68</w:t>
        </w:r>
        <w:r w:rsidR="00D834E3">
          <w:rPr>
            <w:noProof/>
            <w:webHidden/>
          </w:rPr>
          <w:fldChar w:fldCharType="end"/>
        </w:r>
      </w:hyperlink>
    </w:p>
    <w:p w14:paraId="7022BFFC"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1" w:history="1">
        <w:r w:rsidR="00D834E3" w:rsidRPr="00FE2F89">
          <w:rPr>
            <w:rStyle w:val="Hyperlink"/>
            <w:noProof/>
          </w:rPr>
          <w:t>Table B.5</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 xml:space="preserve">Matrix showing outcomes specified in the PPICO criteria that were reported in the </w:t>
        </w:r>
        <w:r w:rsidR="00D834E3" w:rsidRPr="00FE2F89">
          <w:rPr>
            <w:rStyle w:val="Hyperlink"/>
            <w:i/>
            <w:noProof/>
          </w:rPr>
          <w:t xml:space="preserve">Scenario 1 </w:t>
        </w:r>
        <w:r w:rsidR="00D834E3" w:rsidRPr="00FE2F89">
          <w:rPr>
            <w:rStyle w:val="Hyperlink"/>
            <w:noProof/>
          </w:rPr>
          <w:t>studies</w:t>
        </w:r>
        <w:r w:rsidR="00D834E3">
          <w:rPr>
            <w:noProof/>
            <w:webHidden/>
          </w:rPr>
          <w:tab/>
        </w:r>
        <w:r w:rsidR="00D834E3">
          <w:rPr>
            <w:noProof/>
            <w:webHidden/>
          </w:rPr>
          <w:fldChar w:fldCharType="begin"/>
        </w:r>
        <w:r w:rsidR="00D834E3">
          <w:rPr>
            <w:noProof/>
            <w:webHidden/>
          </w:rPr>
          <w:instrText xml:space="preserve"> PAGEREF _Toc396211741 \h </w:instrText>
        </w:r>
        <w:r w:rsidR="00D834E3">
          <w:rPr>
            <w:noProof/>
            <w:webHidden/>
          </w:rPr>
        </w:r>
        <w:r w:rsidR="00D834E3">
          <w:rPr>
            <w:noProof/>
            <w:webHidden/>
          </w:rPr>
          <w:fldChar w:fldCharType="separate"/>
        </w:r>
        <w:r>
          <w:rPr>
            <w:noProof/>
            <w:webHidden/>
          </w:rPr>
          <w:t>72</w:t>
        </w:r>
        <w:r w:rsidR="00D834E3">
          <w:rPr>
            <w:noProof/>
            <w:webHidden/>
          </w:rPr>
          <w:fldChar w:fldCharType="end"/>
        </w:r>
      </w:hyperlink>
    </w:p>
    <w:p w14:paraId="002C14D8"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2" w:history="1">
        <w:r w:rsidR="00D834E3" w:rsidRPr="00FE2F89">
          <w:rPr>
            <w:rStyle w:val="Hyperlink"/>
            <w:noProof/>
          </w:rPr>
          <w:t>Table B.5</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 xml:space="preserve">Matrix showing outcomes specified in the PPICO criteria that were reported in the </w:t>
        </w:r>
        <w:r w:rsidR="00D834E3" w:rsidRPr="00FE2F89">
          <w:rPr>
            <w:rStyle w:val="Hyperlink"/>
            <w:i/>
            <w:noProof/>
          </w:rPr>
          <w:t xml:space="preserve">Scenario 2 </w:t>
        </w:r>
        <w:r w:rsidR="00D834E3" w:rsidRPr="00FE2F89">
          <w:rPr>
            <w:rStyle w:val="Hyperlink"/>
            <w:noProof/>
          </w:rPr>
          <w:t>studies</w:t>
        </w:r>
        <w:r w:rsidR="00D834E3">
          <w:rPr>
            <w:noProof/>
            <w:webHidden/>
          </w:rPr>
          <w:tab/>
        </w:r>
        <w:r w:rsidR="00D834E3">
          <w:rPr>
            <w:noProof/>
            <w:webHidden/>
          </w:rPr>
          <w:fldChar w:fldCharType="begin"/>
        </w:r>
        <w:r w:rsidR="00D834E3">
          <w:rPr>
            <w:noProof/>
            <w:webHidden/>
          </w:rPr>
          <w:instrText xml:space="preserve"> PAGEREF _Toc396211742 \h </w:instrText>
        </w:r>
        <w:r w:rsidR="00D834E3">
          <w:rPr>
            <w:noProof/>
            <w:webHidden/>
          </w:rPr>
        </w:r>
        <w:r w:rsidR="00D834E3">
          <w:rPr>
            <w:noProof/>
            <w:webHidden/>
          </w:rPr>
          <w:fldChar w:fldCharType="separate"/>
        </w:r>
        <w:r>
          <w:rPr>
            <w:noProof/>
            <w:webHidden/>
          </w:rPr>
          <w:t>73</w:t>
        </w:r>
        <w:r w:rsidR="00D834E3">
          <w:rPr>
            <w:noProof/>
            <w:webHidden/>
          </w:rPr>
          <w:fldChar w:fldCharType="end"/>
        </w:r>
      </w:hyperlink>
    </w:p>
    <w:p w14:paraId="36286455"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3" w:history="1">
        <w:r w:rsidR="00D834E3" w:rsidRPr="00FE2F89">
          <w:rPr>
            <w:rStyle w:val="Hyperlink"/>
            <w:noProof/>
          </w:rPr>
          <w:t>Table B.5</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Definitions of major discrepancies or an equivalent outcome – as reported in the included studies</w:t>
        </w:r>
        <w:r w:rsidR="00D834E3">
          <w:rPr>
            <w:noProof/>
            <w:webHidden/>
          </w:rPr>
          <w:tab/>
        </w:r>
        <w:r w:rsidR="00D834E3">
          <w:rPr>
            <w:noProof/>
            <w:webHidden/>
          </w:rPr>
          <w:fldChar w:fldCharType="begin"/>
        </w:r>
        <w:r w:rsidR="00D834E3">
          <w:rPr>
            <w:noProof/>
            <w:webHidden/>
          </w:rPr>
          <w:instrText xml:space="preserve"> PAGEREF _Toc396211743 \h </w:instrText>
        </w:r>
        <w:r w:rsidR="00D834E3">
          <w:rPr>
            <w:noProof/>
            <w:webHidden/>
          </w:rPr>
        </w:r>
        <w:r w:rsidR="00D834E3">
          <w:rPr>
            <w:noProof/>
            <w:webHidden/>
          </w:rPr>
          <w:fldChar w:fldCharType="separate"/>
        </w:r>
        <w:r>
          <w:rPr>
            <w:noProof/>
            <w:webHidden/>
          </w:rPr>
          <w:t>74</w:t>
        </w:r>
        <w:r w:rsidR="00D834E3">
          <w:rPr>
            <w:noProof/>
            <w:webHidden/>
          </w:rPr>
          <w:fldChar w:fldCharType="end"/>
        </w:r>
      </w:hyperlink>
    </w:p>
    <w:p w14:paraId="469DDDC2"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4" w:history="1">
        <w:r w:rsidR="00D834E3" w:rsidRPr="00FE2F89">
          <w:rPr>
            <w:rStyle w:val="Hyperlink"/>
            <w:noProof/>
          </w:rPr>
          <w:t>Table B.6</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 xml:space="preserve">Summary of the nature of initial and expert pathology opinions – </w:t>
        </w:r>
        <w:r w:rsidR="00D834E3" w:rsidRPr="00FE2F89">
          <w:rPr>
            <w:rStyle w:val="Hyperlink"/>
            <w:i/>
            <w:noProof/>
          </w:rPr>
          <w:t>Scenario 1 studies</w:t>
        </w:r>
        <w:r w:rsidR="00D834E3">
          <w:rPr>
            <w:noProof/>
            <w:webHidden/>
          </w:rPr>
          <w:tab/>
        </w:r>
        <w:r w:rsidR="00D834E3">
          <w:rPr>
            <w:noProof/>
            <w:webHidden/>
          </w:rPr>
          <w:fldChar w:fldCharType="begin"/>
        </w:r>
        <w:r w:rsidR="00D834E3">
          <w:rPr>
            <w:noProof/>
            <w:webHidden/>
          </w:rPr>
          <w:instrText xml:space="preserve"> PAGEREF _Toc396211744 \h </w:instrText>
        </w:r>
        <w:r w:rsidR="00D834E3">
          <w:rPr>
            <w:noProof/>
            <w:webHidden/>
          </w:rPr>
        </w:r>
        <w:r w:rsidR="00D834E3">
          <w:rPr>
            <w:noProof/>
            <w:webHidden/>
          </w:rPr>
          <w:fldChar w:fldCharType="separate"/>
        </w:r>
        <w:r>
          <w:rPr>
            <w:noProof/>
            <w:webHidden/>
          </w:rPr>
          <w:t>76</w:t>
        </w:r>
        <w:r w:rsidR="00D834E3">
          <w:rPr>
            <w:noProof/>
            <w:webHidden/>
          </w:rPr>
          <w:fldChar w:fldCharType="end"/>
        </w:r>
      </w:hyperlink>
    </w:p>
    <w:p w14:paraId="31512B4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5" w:history="1">
        <w:r w:rsidR="00D834E3" w:rsidRPr="00FE2F89">
          <w:rPr>
            <w:rStyle w:val="Hyperlink"/>
            <w:noProof/>
          </w:rPr>
          <w:t>Table B.6</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 xml:space="preserve">Summary of the nature of initial and expert pathology opinions – </w:t>
        </w:r>
        <w:r w:rsidR="00D834E3" w:rsidRPr="00FE2F89">
          <w:rPr>
            <w:rStyle w:val="Hyperlink"/>
            <w:i/>
            <w:noProof/>
          </w:rPr>
          <w:t>Scenario 2 studies</w:t>
        </w:r>
        <w:r w:rsidR="00D834E3">
          <w:rPr>
            <w:noProof/>
            <w:webHidden/>
          </w:rPr>
          <w:tab/>
        </w:r>
        <w:r w:rsidR="00D834E3">
          <w:rPr>
            <w:noProof/>
            <w:webHidden/>
          </w:rPr>
          <w:fldChar w:fldCharType="begin"/>
        </w:r>
        <w:r w:rsidR="00D834E3">
          <w:rPr>
            <w:noProof/>
            <w:webHidden/>
          </w:rPr>
          <w:instrText xml:space="preserve"> PAGEREF _Toc396211745 \h </w:instrText>
        </w:r>
        <w:r w:rsidR="00D834E3">
          <w:rPr>
            <w:noProof/>
            <w:webHidden/>
          </w:rPr>
        </w:r>
        <w:r w:rsidR="00D834E3">
          <w:rPr>
            <w:noProof/>
            <w:webHidden/>
          </w:rPr>
          <w:fldChar w:fldCharType="separate"/>
        </w:r>
        <w:r>
          <w:rPr>
            <w:noProof/>
            <w:webHidden/>
          </w:rPr>
          <w:t>79</w:t>
        </w:r>
        <w:r w:rsidR="00D834E3">
          <w:rPr>
            <w:noProof/>
            <w:webHidden/>
          </w:rPr>
          <w:fldChar w:fldCharType="end"/>
        </w:r>
      </w:hyperlink>
    </w:p>
    <w:p w14:paraId="11F6076E"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6" w:history="1">
        <w:r w:rsidR="00D834E3" w:rsidRPr="00FE2F89">
          <w:rPr>
            <w:rStyle w:val="Hyperlink"/>
            <w:noProof/>
          </w:rPr>
          <w:t>Table B.6</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 xml:space="preserve">Diagnostic accuracy: level of concordance and/or discordance between initial and expert pathology opinion – </w:t>
        </w:r>
        <w:r w:rsidR="00D834E3" w:rsidRPr="00FE2F89">
          <w:rPr>
            <w:rStyle w:val="Hyperlink"/>
            <w:i/>
            <w:noProof/>
          </w:rPr>
          <w:t>Scenario 1 studies</w:t>
        </w:r>
        <w:r w:rsidR="00D834E3">
          <w:rPr>
            <w:noProof/>
            <w:webHidden/>
          </w:rPr>
          <w:tab/>
        </w:r>
        <w:r w:rsidR="00D834E3">
          <w:rPr>
            <w:noProof/>
            <w:webHidden/>
          </w:rPr>
          <w:fldChar w:fldCharType="begin"/>
        </w:r>
        <w:r w:rsidR="00D834E3">
          <w:rPr>
            <w:noProof/>
            <w:webHidden/>
          </w:rPr>
          <w:instrText xml:space="preserve"> PAGEREF _Toc396211746 \h </w:instrText>
        </w:r>
        <w:r w:rsidR="00D834E3">
          <w:rPr>
            <w:noProof/>
            <w:webHidden/>
          </w:rPr>
        </w:r>
        <w:r w:rsidR="00D834E3">
          <w:rPr>
            <w:noProof/>
            <w:webHidden/>
          </w:rPr>
          <w:fldChar w:fldCharType="separate"/>
        </w:r>
        <w:r>
          <w:rPr>
            <w:noProof/>
            <w:webHidden/>
          </w:rPr>
          <w:t>81</w:t>
        </w:r>
        <w:r w:rsidR="00D834E3">
          <w:rPr>
            <w:noProof/>
            <w:webHidden/>
          </w:rPr>
          <w:fldChar w:fldCharType="end"/>
        </w:r>
      </w:hyperlink>
    </w:p>
    <w:p w14:paraId="2687C920"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7" w:history="1">
        <w:r w:rsidR="00D834E3" w:rsidRPr="00FE2F89">
          <w:rPr>
            <w:rStyle w:val="Hyperlink"/>
            <w:noProof/>
          </w:rPr>
          <w:t>Table B.6</w:t>
        </w:r>
        <w:r w:rsidR="00D834E3" w:rsidRPr="00FE2F89">
          <w:rPr>
            <w:rStyle w:val="Hyperlink"/>
            <w:noProof/>
          </w:rPr>
          <w:noBreakHyphen/>
          <w:t>4</w:t>
        </w:r>
        <w:r w:rsidR="00D834E3">
          <w:rPr>
            <w:rFonts w:asciiTheme="minorHAnsi" w:eastAsiaTheme="minorEastAsia" w:hAnsiTheme="minorHAnsi"/>
            <w:noProof/>
            <w:sz w:val="22"/>
            <w:lang w:eastAsia="en-AU"/>
          </w:rPr>
          <w:tab/>
        </w:r>
        <w:r w:rsidR="00D834E3" w:rsidRPr="00FE2F89">
          <w:rPr>
            <w:rStyle w:val="Hyperlink"/>
            <w:noProof/>
          </w:rPr>
          <w:t xml:space="preserve">Diagnostic accuracy: level of concordance and/or discordance between initial and expert pathology opinion – </w:t>
        </w:r>
        <w:r w:rsidR="00D834E3" w:rsidRPr="00FE2F89">
          <w:rPr>
            <w:rStyle w:val="Hyperlink"/>
            <w:i/>
            <w:noProof/>
          </w:rPr>
          <w:t>Scenario 2 studies</w:t>
        </w:r>
        <w:r w:rsidR="00D834E3">
          <w:rPr>
            <w:noProof/>
            <w:webHidden/>
          </w:rPr>
          <w:tab/>
        </w:r>
        <w:r w:rsidR="00D834E3">
          <w:rPr>
            <w:noProof/>
            <w:webHidden/>
          </w:rPr>
          <w:fldChar w:fldCharType="begin"/>
        </w:r>
        <w:r w:rsidR="00D834E3">
          <w:rPr>
            <w:noProof/>
            <w:webHidden/>
          </w:rPr>
          <w:instrText xml:space="preserve"> PAGEREF _Toc396211747 \h </w:instrText>
        </w:r>
        <w:r w:rsidR="00D834E3">
          <w:rPr>
            <w:noProof/>
            <w:webHidden/>
          </w:rPr>
        </w:r>
        <w:r w:rsidR="00D834E3">
          <w:rPr>
            <w:noProof/>
            <w:webHidden/>
          </w:rPr>
          <w:fldChar w:fldCharType="separate"/>
        </w:r>
        <w:r>
          <w:rPr>
            <w:noProof/>
            <w:webHidden/>
          </w:rPr>
          <w:t>83</w:t>
        </w:r>
        <w:r w:rsidR="00D834E3">
          <w:rPr>
            <w:noProof/>
            <w:webHidden/>
          </w:rPr>
          <w:fldChar w:fldCharType="end"/>
        </w:r>
      </w:hyperlink>
    </w:p>
    <w:p w14:paraId="423B9303"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8" w:history="1">
        <w:r w:rsidR="00D834E3" w:rsidRPr="00FE2F89">
          <w:rPr>
            <w:rStyle w:val="Hyperlink"/>
            <w:noProof/>
          </w:rPr>
          <w:t>Table B.6</w:t>
        </w:r>
        <w:r w:rsidR="00D834E3" w:rsidRPr="00FE2F89">
          <w:rPr>
            <w:rStyle w:val="Hyperlink"/>
            <w:noProof/>
          </w:rPr>
          <w:noBreakHyphen/>
          <w:t>5</w:t>
        </w:r>
        <w:r w:rsidR="00D834E3">
          <w:rPr>
            <w:rFonts w:asciiTheme="minorHAnsi" w:eastAsiaTheme="minorEastAsia" w:hAnsiTheme="minorHAnsi"/>
            <w:noProof/>
            <w:sz w:val="22"/>
            <w:lang w:eastAsia="en-AU"/>
          </w:rPr>
          <w:tab/>
        </w:r>
        <w:r w:rsidR="00D834E3" w:rsidRPr="00FE2F89">
          <w:rPr>
            <w:rStyle w:val="Hyperlink"/>
            <w:noProof/>
          </w:rPr>
          <w:t xml:space="preserve">Major discrepancies between initial and expert pathology opinions – </w:t>
        </w:r>
        <w:r w:rsidR="00D834E3" w:rsidRPr="00FE2F89">
          <w:rPr>
            <w:rStyle w:val="Hyperlink"/>
            <w:i/>
            <w:noProof/>
          </w:rPr>
          <w:t>Scenario 1 studies</w:t>
        </w:r>
        <w:r w:rsidR="00D834E3">
          <w:rPr>
            <w:noProof/>
            <w:webHidden/>
          </w:rPr>
          <w:tab/>
        </w:r>
        <w:r w:rsidR="00D834E3">
          <w:rPr>
            <w:noProof/>
            <w:webHidden/>
          </w:rPr>
          <w:fldChar w:fldCharType="begin"/>
        </w:r>
        <w:r w:rsidR="00D834E3">
          <w:rPr>
            <w:noProof/>
            <w:webHidden/>
          </w:rPr>
          <w:instrText xml:space="preserve"> PAGEREF _Toc396211748 \h </w:instrText>
        </w:r>
        <w:r w:rsidR="00D834E3">
          <w:rPr>
            <w:noProof/>
            <w:webHidden/>
          </w:rPr>
        </w:r>
        <w:r w:rsidR="00D834E3">
          <w:rPr>
            <w:noProof/>
            <w:webHidden/>
          </w:rPr>
          <w:fldChar w:fldCharType="separate"/>
        </w:r>
        <w:r>
          <w:rPr>
            <w:noProof/>
            <w:webHidden/>
          </w:rPr>
          <w:t>85</w:t>
        </w:r>
        <w:r w:rsidR="00D834E3">
          <w:rPr>
            <w:noProof/>
            <w:webHidden/>
          </w:rPr>
          <w:fldChar w:fldCharType="end"/>
        </w:r>
      </w:hyperlink>
    </w:p>
    <w:p w14:paraId="0283B163"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49" w:history="1">
        <w:r w:rsidR="00D834E3" w:rsidRPr="00FE2F89">
          <w:rPr>
            <w:rStyle w:val="Hyperlink"/>
            <w:noProof/>
          </w:rPr>
          <w:t>Table B.6</w:t>
        </w:r>
        <w:r w:rsidR="00D834E3" w:rsidRPr="00FE2F89">
          <w:rPr>
            <w:rStyle w:val="Hyperlink"/>
            <w:noProof/>
          </w:rPr>
          <w:noBreakHyphen/>
          <w:t>6</w:t>
        </w:r>
        <w:r w:rsidR="00D834E3">
          <w:rPr>
            <w:rFonts w:asciiTheme="minorHAnsi" w:eastAsiaTheme="minorEastAsia" w:hAnsiTheme="minorHAnsi"/>
            <w:noProof/>
            <w:sz w:val="22"/>
            <w:lang w:eastAsia="en-AU"/>
          </w:rPr>
          <w:tab/>
        </w:r>
        <w:r w:rsidR="00D834E3" w:rsidRPr="00FE2F89">
          <w:rPr>
            <w:rStyle w:val="Hyperlink"/>
            <w:noProof/>
          </w:rPr>
          <w:t xml:space="preserve">Major discrepancies between initial and expert pathology opinions – </w:t>
        </w:r>
        <w:r w:rsidR="00D834E3" w:rsidRPr="00FE2F89">
          <w:rPr>
            <w:rStyle w:val="Hyperlink"/>
            <w:i/>
            <w:noProof/>
          </w:rPr>
          <w:t>Scenario 2 studies</w:t>
        </w:r>
        <w:r w:rsidR="00D834E3">
          <w:rPr>
            <w:noProof/>
            <w:webHidden/>
          </w:rPr>
          <w:tab/>
        </w:r>
        <w:r w:rsidR="00D834E3">
          <w:rPr>
            <w:noProof/>
            <w:webHidden/>
          </w:rPr>
          <w:fldChar w:fldCharType="begin"/>
        </w:r>
        <w:r w:rsidR="00D834E3">
          <w:rPr>
            <w:noProof/>
            <w:webHidden/>
          </w:rPr>
          <w:instrText xml:space="preserve"> PAGEREF _Toc396211749 \h </w:instrText>
        </w:r>
        <w:r w:rsidR="00D834E3">
          <w:rPr>
            <w:noProof/>
            <w:webHidden/>
          </w:rPr>
        </w:r>
        <w:r w:rsidR="00D834E3">
          <w:rPr>
            <w:noProof/>
            <w:webHidden/>
          </w:rPr>
          <w:fldChar w:fldCharType="separate"/>
        </w:r>
        <w:r>
          <w:rPr>
            <w:noProof/>
            <w:webHidden/>
          </w:rPr>
          <w:t>87</w:t>
        </w:r>
        <w:r w:rsidR="00D834E3">
          <w:rPr>
            <w:noProof/>
            <w:webHidden/>
          </w:rPr>
          <w:fldChar w:fldCharType="end"/>
        </w:r>
      </w:hyperlink>
    </w:p>
    <w:p w14:paraId="1138C788"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0" w:history="1">
        <w:r w:rsidR="00D834E3" w:rsidRPr="00FE2F89">
          <w:rPr>
            <w:rStyle w:val="Hyperlink"/>
            <w:noProof/>
          </w:rPr>
          <w:t>Table B.6</w:t>
        </w:r>
        <w:r w:rsidR="00D834E3" w:rsidRPr="00FE2F89">
          <w:rPr>
            <w:rStyle w:val="Hyperlink"/>
            <w:noProof/>
          </w:rPr>
          <w:noBreakHyphen/>
          <w:t>7</w:t>
        </w:r>
        <w:r w:rsidR="00D834E3">
          <w:rPr>
            <w:rFonts w:asciiTheme="minorHAnsi" w:eastAsiaTheme="minorEastAsia" w:hAnsiTheme="minorHAnsi"/>
            <w:noProof/>
            <w:sz w:val="22"/>
            <w:lang w:eastAsia="en-AU"/>
          </w:rPr>
          <w:tab/>
        </w:r>
        <w:r w:rsidR="00D834E3" w:rsidRPr="00FE2F89">
          <w:rPr>
            <w:rStyle w:val="Hyperlink"/>
            <w:noProof/>
          </w:rPr>
          <w:t>Summary of findings from the study by Hsu et al (2010)</w:t>
        </w:r>
        <w:r w:rsidR="00D834E3">
          <w:rPr>
            <w:noProof/>
            <w:webHidden/>
          </w:rPr>
          <w:tab/>
        </w:r>
        <w:r w:rsidR="00D834E3">
          <w:rPr>
            <w:noProof/>
            <w:webHidden/>
          </w:rPr>
          <w:fldChar w:fldCharType="begin"/>
        </w:r>
        <w:r w:rsidR="00D834E3">
          <w:rPr>
            <w:noProof/>
            <w:webHidden/>
          </w:rPr>
          <w:instrText xml:space="preserve"> PAGEREF _Toc396211750 \h </w:instrText>
        </w:r>
        <w:r w:rsidR="00D834E3">
          <w:rPr>
            <w:noProof/>
            <w:webHidden/>
          </w:rPr>
        </w:r>
        <w:r w:rsidR="00D834E3">
          <w:rPr>
            <w:noProof/>
            <w:webHidden/>
          </w:rPr>
          <w:fldChar w:fldCharType="separate"/>
        </w:r>
        <w:r>
          <w:rPr>
            <w:noProof/>
            <w:webHidden/>
          </w:rPr>
          <w:t>88</w:t>
        </w:r>
        <w:r w:rsidR="00D834E3">
          <w:rPr>
            <w:noProof/>
            <w:webHidden/>
          </w:rPr>
          <w:fldChar w:fldCharType="end"/>
        </w:r>
      </w:hyperlink>
    </w:p>
    <w:p w14:paraId="4A4B7876"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1" w:history="1">
        <w:r w:rsidR="00D834E3" w:rsidRPr="00FE2F89">
          <w:rPr>
            <w:rStyle w:val="Hyperlink"/>
            <w:noProof/>
          </w:rPr>
          <w:t>Table B.6</w:t>
        </w:r>
        <w:r w:rsidR="00D834E3" w:rsidRPr="00FE2F89">
          <w:rPr>
            <w:rStyle w:val="Hyperlink"/>
            <w:noProof/>
          </w:rPr>
          <w:noBreakHyphen/>
          <w:t>8</w:t>
        </w:r>
        <w:r w:rsidR="00D834E3">
          <w:rPr>
            <w:rFonts w:asciiTheme="minorHAnsi" w:eastAsiaTheme="minorEastAsia" w:hAnsiTheme="minorHAnsi"/>
            <w:noProof/>
            <w:sz w:val="22"/>
            <w:lang w:eastAsia="en-AU"/>
          </w:rPr>
          <w:tab/>
        </w:r>
        <w:r w:rsidR="00D834E3" w:rsidRPr="00FE2F89">
          <w:rPr>
            <w:rStyle w:val="Hyperlink"/>
            <w:noProof/>
          </w:rPr>
          <w:t>Incorrect diagnosis or interpretation according to follow-up information</w:t>
        </w:r>
        <w:r w:rsidR="00D834E3">
          <w:rPr>
            <w:noProof/>
            <w:webHidden/>
          </w:rPr>
          <w:tab/>
        </w:r>
        <w:r w:rsidR="00D834E3">
          <w:rPr>
            <w:noProof/>
            <w:webHidden/>
          </w:rPr>
          <w:fldChar w:fldCharType="begin"/>
        </w:r>
        <w:r w:rsidR="00D834E3">
          <w:rPr>
            <w:noProof/>
            <w:webHidden/>
          </w:rPr>
          <w:instrText xml:space="preserve"> PAGEREF _Toc396211751 \h </w:instrText>
        </w:r>
        <w:r w:rsidR="00D834E3">
          <w:rPr>
            <w:noProof/>
            <w:webHidden/>
          </w:rPr>
        </w:r>
        <w:r w:rsidR="00D834E3">
          <w:rPr>
            <w:noProof/>
            <w:webHidden/>
          </w:rPr>
          <w:fldChar w:fldCharType="separate"/>
        </w:r>
        <w:r>
          <w:rPr>
            <w:noProof/>
            <w:webHidden/>
          </w:rPr>
          <w:t>89</w:t>
        </w:r>
        <w:r w:rsidR="00D834E3">
          <w:rPr>
            <w:noProof/>
            <w:webHidden/>
          </w:rPr>
          <w:fldChar w:fldCharType="end"/>
        </w:r>
      </w:hyperlink>
    </w:p>
    <w:p w14:paraId="4C591F5B"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2" w:history="1">
        <w:r w:rsidR="00D834E3" w:rsidRPr="00FE2F89">
          <w:rPr>
            <w:rStyle w:val="Hyperlink"/>
            <w:noProof/>
          </w:rPr>
          <w:t>Table C.4</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Data from the Expert Opinion Survey used to inform the economic evaluation</w:t>
        </w:r>
        <w:r w:rsidR="00D834E3">
          <w:rPr>
            <w:noProof/>
            <w:webHidden/>
          </w:rPr>
          <w:tab/>
        </w:r>
        <w:r w:rsidR="00D834E3">
          <w:rPr>
            <w:noProof/>
            <w:webHidden/>
          </w:rPr>
          <w:fldChar w:fldCharType="begin"/>
        </w:r>
        <w:r w:rsidR="00D834E3">
          <w:rPr>
            <w:noProof/>
            <w:webHidden/>
          </w:rPr>
          <w:instrText xml:space="preserve"> PAGEREF _Toc396211752 \h </w:instrText>
        </w:r>
        <w:r w:rsidR="00D834E3">
          <w:rPr>
            <w:noProof/>
            <w:webHidden/>
          </w:rPr>
        </w:r>
        <w:r w:rsidR="00D834E3">
          <w:rPr>
            <w:noProof/>
            <w:webHidden/>
          </w:rPr>
          <w:fldChar w:fldCharType="separate"/>
        </w:r>
        <w:r>
          <w:rPr>
            <w:noProof/>
            <w:webHidden/>
          </w:rPr>
          <w:t>92</w:t>
        </w:r>
        <w:r w:rsidR="00D834E3">
          <w:rPr>
            <w:noProof/>
            <w:webHidden/>
          </w:rPr>
          <w:fldChar w:fldCharType="end"/>
        </w:r>
      </w:hyperlink>
    </w:p>
    <w:p w14:paraId="1214D3C2"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3" w:history="1">
        <w:r w:rsidR="00D834E3" w:rsidRPr="00FE2F89">
          <w:rPr>
            <w:rStyle w:val="Hyperlink"/>
            <w:noProof/>
          </w:rPr>
          <w:t>Table D.3</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Unit costs applied to the economic evaluation for healthcare resource items</w:t>
        </w:r>
        <w:r w:rsidR="00D834E3">
          <w:rPr>
            <w:noProof/>
            <w:webHidden/>
          </w:rPr>
          <w:tab/>
        </w:r>
        <w:r w:rsidR="00D834E3">
          <w:rPr>
            <w:noProof/>
            <w:webHidden/>
          </w:rPr>
          <w:fldChar w:fldCharType="begin"/>
        </w:r>
        <w:r w:rsidR="00D834E3">
          <w:rPr>
            <w:noProof/>
            <w:webHidden/>
          </w:rPr>
          <w:instrText xml:space="preserve"> PAGEREF _Toc396211753 \h </w:instrText>
        </w:r>
        <w:r w:rsidR="00D834E3">
          <w:rPr>
            <w:noProof/>
            <w:webHidden/>
          </w:rPr>
        </w:r>
        <w:r w:rsidR="00D834E3">
          <w:rPr>
            <w:noProof/>
            <w:webHidden/>
          </w:rPr>
          <w:fldChar w:fldCharType="separate"/>
        </w:r>
        <w:r>
          <w:rPr>
            <w:noProof/>
            <w:webHidden/>
          </w:rPr>
          <w:t>97</w:t>
        </w:r>
        <w:r w:rsidR="00D834E3">
          <w:rPr>
            <w:noProof/>
            <w:webHidden/>
          </w:rPr>
          <w:fldChar w:fldCharType="end"/>
        </w:r>
      </w:hyperlink>
    </w:p>
    <w:p w14:paraId="440C69F5"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4" w:history="1">
        <w:r w:rsidR="00D834E3" w:rsidRPr="00FE2F89">
          <w:rPr>
            <w:rStyle w:val="Hyperlink"/>
            <w:noProof/>
          </w:rPr>
          <w:t>Table D.3</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All ‘non-core’ ancillary MBS items in Groups P5 and P6 processed Jul 2012 to Jun 2013</w:t>
        </w:r>
        <w:r w:rsidR="00D834E3">
          <w:rPr>
            <w:noProof/>
            <w:webHidden/>
          </w:rPr>
          <w:tab/>
        </w:r>
        <w:r w:rsidR="00D834E3">
          <w:rPr>
            <w:noProof/>
            <w:webHidden/>
          </w:rPr>
          <w:fldChar w:fldCharType="begin"/>
        </w:r>
        <w:r w:rsidR="00D834E3">
          <w:rPr>
            <w:noProof/>
            <w:webHidden/>
          </w:rPr>
          <w:instrText xml:space="preserve"> PAGEREF _Toc396211754 \h </w:instrText>
        </w:r>
        <w:r w:rsidR="00D834E3">
          <w:rPr>
            <w:noProof/>
            <w:webHidden/>
          </w:rPr>
        </w:r>
        <w:r w:rsidR="00D834E3">
          <w:rPr>
            <w:noProof/>
            <w:webHidden/>
          </w:rPr>
          <w:fldChar w:fldCharType="separate"/>
        </w:r>
        <w:r>
          <w:rPr>
            <w:noProof/>
            <w:webHidden/>
          </w:rPr>
          <w:t>98</w:t>
        </w:r>
        <w:r w:rsidR="00D834E3">
          <w:rPr>
            <w:noProof/>
            <w:webHidden/>
          </w:rPr>
          <w:fldChar w:fldCharType="end"/>
        </w:r>
      </w:hyperlink>
    </w:p>
    <w:p w14:paraId="2B49A37D"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5" w:history="1">
        <w:r w:rsidR="00D834E3" w:rsidRPr="00FE2F89">
          <w:rPr>
            <w:rStyle w:val="Hyperlink"/>
            <w:noProof/>
          </w:rPr>
          <w:t>Table D.3</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Major discrepancies with provisional diagnosis applied to the base case economic evaluation</w:t>
        </w:r>
        <w:r w:rsidR="00D834E3">
          <w:rPr>
            <w:noProof/>
            <w:webHidden/>
          </w:rPr>
          <w:tab/>
        </w:r>
        <w:r w:rsidR="00D834E3">
          <w:rPr>
            <w:noProof/>
            <w:webHidden/>
          </w:rPr>
          <w:fldChar w:fldCharType="begin"/>
        </w:r>
        <w:r w:rsidR="00D834E3">
          <w:rPr>
            <w:noProof/>
            <w:webHidden/>
          </w:rPr>
          <w:instrText xml:space="preserve"> PAGEREF _Toc396211755 \h </w:instrText>
        </w:r>
        <w:r w:rsidR="00D834E3">
          <w:rPr>
            <w:noProof/>
            <w:webHidden/>
          </w:rPr>
        </w:r>
        <w:r w:rsidR="00D834E3">
          <w:rPr>
            <w:noProof/>
            <w:webHidden/>
          </w:rPr>
          <w:fldChar w:fldCharType="separate"/>
        </w:r>
        <w:r>
          <w:rPr>
            <w:noProof/>
            <w:webHidden/>
          </w:rPr>
          <w:t>99</w:t>
        </w:r>
        <w:r w:rsidR="00D834E3">
          <w:rPr>
            <w:noProof/>
            <w:webHidden/>
          </w:rPr>
          <w:fldChar w:fldCharType="end"/>
        </w:r>
      </w:hyperlink>
    </w:p>
    <w:p w14:paraId="4311B0D3"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6" w:history="1">
        <w:r w:rsidR="00D834E3" w:rsidRPr="00FE2F89">
          <w:rPr>
            <w:rStyle w:val="Hyperlink"/>
            <w:noProof/>
          </w:rPr>
          <w:t>Table D.3</w:t>
        </w:r>
        <w:r w:rsidR="00D834E3" w:rsidRPr="00FE2F89">
          <w:rPr>
            <w:rStyle w:val="Hyperlink"/>
            <w:noProof/>
          </w:rPr>
          <w:noBreakHyphen/>
          <w:t>4</w:t>
        </w:r>
        <w:r w:rsidR="00D834E3">
          <w:rPr>
            <w:rFonts w:asciiTheme="minorHAnsi" w:eastAsiaTheme="minorEastAsia" w:hAnsiTheme="minorHAnsi"/>
            <w:noProof/>
            <w:sz w:val="22"/>
            <w:lang w:eastAsia="en-AU"/>
          </w:rPr>
          <w:tab/>
        </w:r>
        <w:r w:rsidR="00D834E3" w:rsidRPr="00FE2F89">
          <w:rPr>
            <w:rStyle w:val="Hyperlink"/>
            <w:noProof/>
          </w:rPr>
          <w:t>Data from the Expert Opinion Survey used to inform the base case economic evaluation</w:t>
        </w:r>
        <w:r w:rsidR="00D834E3">
          <w:rPr>
            <w:noProof/>
            <w:webHidden/>
          </w:rPr>
          <w:tab/>
        </w:r>
        <w:r w:rsidR="00D834E3">
          <w:rPr>
            <w:noProof/>
            <w:webHidden/>
          </w:rPr>
          <w:fldChar w:fldCharType="begin"/>
        </w:r>
        <w:r w:rsidR="00D834E3">
          <w:rPr>
            <w:noProof/>
            <w:webHidden/>
          </w:rPr>
          <w:instrText xml:space="preserve"> PAGEREF _Toc396211756 \h </w:instrText>
        </w:r>
        <w:r w:rsidR="00D834E3">
          <w:rPr>
            <w:noProof/>
            <w:webHidden/>
          </w:rPr>
        </w:r>
        <w:r w:rsidR="00D834E3">
          <w:rPr>
            <w:noProof/>
            <w:webHidden/>
          </w:rPr>
          <w:fldChar w:fldCharType="separate"/>
        </w:r>
        <w:r>
          <w:rPr>
            <w:noProof/>
            <w:webHidden/>
          </w:rPr>
          <w:t>100</w:t>
        </w:r>
        <w:r w:rsidR="00D834E3">
          <w:rPr>
            <w:noProof/>
            <w:webHidden/>
          </w:rPr>
          <w:fldChar w:fldCharType="end"/>
        </w:r>
      </w:hyperlink>
    </w:p>
    <w:p w14:paraId="18B97442"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7" w:history="1">
        <w:r w:rsidR="00D834E3" w:rsidRPr="00FE2F89">
          <w:rPr>
            <w:rStyle w:val="Hyperlink"/>
            <w:noProof/>
          </w:rPr>
          <w:t>Table D.4</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Healthcare resource items and summary of incremental cost, average cost per patient</w:t>
        </w:r>
        <w:r w:rsidR="00D834E3">
          <w:rPr>
            <w:noProof/>
            <w:webHidden/>
          </w:rPr>
          <w:tab/>
        </w:r>
        <w:r w:rsidR="00D834E3">
          <w:rPr>
            <w:noProof/>
            <w:webHidden/>
          </w:rPr>
          <w:fldChar w:fldCharType="begin"/>
        </w:r>
        <w:r w:rsidR="00D834E3">
          <w:rPr>
            <w:noProof/>
            <w:webHidden/>
          </w:rPr>
          <w:instrText xml:space="preserve"> PAGEREF _Toc396211757 \h </w:instrText>
        </w:r>
        <w:r w:rsidR="00D834E3">
          <w:rPr>
            <w:noProof/>
            <w:webHidden/>
          </w:rPr>
        </w:r>
        <w:r w:rsidR="00D834E3">
          <w:rPr>
            <w:noProof/>
            <w:webHidden/>
          </w:rPr>
          <w:fldChar w:fldCharType="separate"/>
        </w:r>
        <w:r>
          <w:rPr>
            <w:noProof/>
            <w:webHidden/>
          </w:rPr>
          <w:t>101</w:t>
        </w:r>
        <w:r w:rsidR="00D834E3">
          <w:rPr>
            <w:noProof/>
            <w:webHidden/>
          </w:rPr>
          <w:fldChar w:fldCharType="end"/>
        </w:r>
      </w:hyperlink>
    </w:p>
    <w:p w14:paraId="1DADC725"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8" w:history="1">
        <w:r w:rsidR="00D834E3" w:rsidRPr="00FE2F89">
          <w:rPr>
            <w:rStyle w:val="Hyperlink"/>
            <w:noProof/>
          </w:rPr>
          <w:t>Table D.4</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Health states and summary of cost impacts</w:t>
        </w:r>
        <w:r w:rsidR="00D834E3">
          <w:rPr>
            <w:noProof/>
            <w:webHidden/>
          </w:rPr>
          <w:tab/>
        </w:r>
        <w:r w:rsidR="00D834E3">
          <w:rPr>
            <w:noProof/>
            <w:webHidden/>
          </w:rPr>
          <w:fldChar w:fldCharType="begin"/>
        </w:r>
        <w:r w:rsidR="00D834E3">
          <w:rPr>
            <w:noProof/>
            <w:webHidden/>
          </w:rPr>
          <w:instrText xml:space="preserve"> PAGEREF _Toc396211758 \h </w:instrText>
        </w:r>
        <w:r w:rsidR="00D834E3">
          <w:rPr>
            <w:noProof/>
            <w:webHidden/>
          </w:rPr>
        </w:r>
        <w:r w:rsidR="00D834E3">
          <w:rPr>
            <w:noProof/>
            <w:webHidden/>
          </w:rPr>
          <w:fldChar w:fldCharType="separate"/>
        </w:r>
        <w:r>
          <w:rPr>
            <w:noProof/>
            <w:webHidden/>
          </w:rPr>
          <w:t>102</w:t>
        </w:r>
        <w:r w:rsidR="00D834E3">
          <w:rPr>
            <w:noProof/>
            <w:webHidden/>
          </w:rPr>
          <w:fldChar w:fldCharType="end"/>
        </w:r>
      </w:hyperlink>
    </w:p>
    <w:p w14:paraId="2EBD8EA4"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59" w:history="1">
        <w:r w:rsidR="00D834E3" w:rsidRPr="00FE2F89">
          <w:rPr>
            <w:rStyle w:val="Hyperlink"/>
            <w:noProof/>
          </w:rPr>
          <w:t>Table D.4</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Health states and significant changes in diagnosis, per patient</w:t>
        </w:r>
        <w:r w:rsidR="00D834E3">
          <w:rPr>
            <w:noProof/>
            <w:webHidden/>
          </w:rPr>
          <w:tab/>
        </w:r>
        <w:r w:rsidR="00D834E3">
          <w:rPr>
            <w:noProof/>
            <w:webHidden/>
          </w:rPr>
          <w:fldChar w:fldCharType="begin"/>
        </w:r>
        <w:r w:rsidR="00D834E3">
          <w:rPr>
            <w:noProof/>
            <w:webHidden/>
          </w:rPr>
          <w:instrText xml:space="preserve"> PAGEREF _Toc396211759 \h </w:instrText>
        </w:r>
        <w:r w:rsidR="00D834E3">
          <w:rPr>
            <w:noProof/>
            <w:webHidden/>
          </w:rPr>
        </w:r>
        <w:r w:rsidR="00D834E3">
          <w:rPr>
            <w:noProof/>
            <w:webHidden/>
          </w:rPr>
          <w:fldChar w:fldCharType="separate"/>
        </w:r>
        <w:r>
          <w:rPr>
            <w:noProof/>
            <w:webHidden/>
          </w:rPr>
          <w:t>102</w:t>
        </w:r>
        <w:r w:rsidR="00D834E3">
          <w:rPr>
            <w:noProof/>
            <w:webHidden/>
          </w:rPr>
          <w:fldChar w:fldCharType="end"/>
        </w:r>
      </w:hyperlink>
    </w:p>
    <w:p w14:paraId="3915E5E5"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0" w:history="1">
        <w:r w:rsidR="00D834E3" w:rsidRPr="00FE2F89">
          <w:rPr>
            <w:rStyle w:val="Hyperlink"/>
            <w:noProof/>
          </w:rPr>
          <w:t>Table D.4</w:t>
        </w:r>
        <w:r w:rsidR="00D834E3" w:rsidRPr="00FE2F89">
          <w:rPr>
            <w:rStyle w:val="Hyperlink"/>
            <w:noProof/>
          </w:rPr>
          <w:noBreakHyphen/>
          <w:t>4</w:t>
        </w:r>
        <w:r w:rsidR="00D834E3">
          <w:rPr>
            <w:rFonts w:asciiTheme="minorHAnsi" w:eastAsiaTheme="minorEastAsia" w:hAnsiTheme="minorHAnsi"/>
            <w:noProof/>
            <w:sz w:val="22"/>
            <w:lang w:eastAsia="en-AU"/>
          </w:rPr>
          <w:tab/>
        </w:r>
        <w:r w:rsidR="00D834E3" w:rsidRPr="00FE2F89">
          <w:rPr>
            <w:rStyle w:val="Hyperlink"/>
            <w:noProof/>
          </w:rPr>
          <w:t>Incremental cost per significant (clinically relevant) change in diagnosis or interpretation</w:t>
        </w:r>
        <w:r w:rsidR="00D834E3">
          <w:rPr>
            <w:noProof/>
            <w:webHidden/>
          </w:rPr>
          <w:tab/>
        </w:r>
        <w:r w:rsidR="00D834E3">
          <w:rPr>
            <w:noProof/>
            <w:webHidden/>
          </w:rPr>
          <w:fldChar w:fldCharType="begin"/>
        </w:r>
        <w:r w:rsidR="00D834E3">
          <w:rPr>
            <w:noProof/>
            <w:webHidden/>
          </w:rPr>
          <w:instrText xml:space="preserve"> PAGEREF _Toc396211760 \h </w:instrText>
        </w:r>
        <w:r w:rsidR="00D834E3">
          <w:rPr>
            <w:noProof/>
            <w:webHidden/>
          </w:rPr>
        </w:r>
        <w:r w:rsidR="00D834E3">
          <w:rPr>
            <w:noProof/>
            <w:webHidden/>
          </w:rPr>
          <w:fldChar w:fldCharType="separate"/>
        </w:r>
        <w:r>
          <w:rPr>
            <w:noProof/>
            <w:webHidden/>
          </w:rPr>
          <w:t>103</w:t>
        </w:r>
        <w:r w:rsidR="00D834E3">
          <w:rPr>
            <w:noProof/>
            <w:webHidden/>
          </w:rPr>
          <w:fldChar w:fldCharType="end"/>
        </w:r>
      </w:hyperlink>
    </w:p>
    <w:p w14:paraId="18216480"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1" w:history="1">
        <w:r w:rsidR="00D834E3" w:rsidRPr="00FE2F89">
          <w:rPr>
            <w:rStyle w:val="Hyperlink"/>
            <w:noProof/>
          </w:rPr>
          <w:t>Table D.5</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Data from the Expert Opinion Survey used to inform the sensitivity analysis, cytopathology</w:t>
        </w:r>
        <w:r w:rsidR="00D834E3">
          <w:rPr>
            <w:noProof/>
            <w:webHidden/>
          </w:rPr>
          <w:tab/>
        </w:r>
        <w:r w:rsidR="00D834E3">
          <w:rPr>
            <w:noProof/>
            <w:webHidden/>
          </w:rPr>
          <w:fldChar w:fldCharType="begin"/>
        </w:r>
        <w:r w:rsidR="00D834E3">
          <w:rPr>
            <w:noProof/>
            <w:webHidden/>
          </w:rPr>
          <w:instrText xml:space="preserve"> PAGEREF _Toc396211761 \h </w:instrText>
        </w:r>
        <w:r w:rsidR="00D834E3">
          <w:rPr>
            <w:noProof/>
            <w:webHidden/>
          </w:rPr>
        </w:r>
        <w:r w:rsidR="00D834E3">
          <w:rPr>
            <w:noProof/>
            <w:webHidden/>
          </w:rPr>
          <w:fldChar w:fldCharType="separate"/>
        </w:r>
        <w:r>
          <w:rPr>
            <w:noProof/>
            <w:webHidden/>
          </w:rPr>
          <w:t>104</w:t>
        </w:r>
        <w:r w:rsidR="00D834E3">
          <w:rPr>
            <w:noProof/>
            <w:webHidden/>
          </w:rPr>
          <w:fldChar w:fldCharType="end"/>
        </w:r>
      </w:hyperlink>
    </w:p>
    <w:p w14:paraId="541941F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2" w:history="1">
        <w:r w:rsidR="00D834E3" w:rsidRPr="00FE2F89">
          <w:rPr>
            <w:rStyle w:val="Hyperlink"/>
            <w:noProof/>
          </w:rPr>
          <w:t>Table D.5</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Major discrepancies with provisional diagnosis applied to the sensitivity analysis</w:t>
        </w:r>
        <w:r w:rsidR="00D834E3">
          <w:rPr>
            <w:noProof/>
            <w:webHidden/>
          </w:rPr>
          <w:tab/>
        </w:r>
        <w:r w:rsidR="00D834E3">
          <w:rPr>
            <w:noProof/>
            <w:webHidden/>
          </w:rPr>
          <w:fldChar w:fldCharType="begin"/>
        </w:r>
        <w:r w:rsidR="00D834E3">
          <w:rPr>
            <w:noProof/>
            <w:webHidden/>
          </w:rPr>
          <w:instrText xml:space="preserve"> PAGEREF _Toc396211762 \h </w:instrText>
        </w:r>
        <w:r w:rsidR="00D834E3">
          <w:rPr>
            <w:noProof/>
            <w:webHidden/>
          </w:rPr>
        </w:r>
        <w:r w:rsidR="00D834E3">
          <w:rPr>
            <w:noProof/>
            <w:webHidden/>
          </w:rPr>
          <w:fldChar w:fldCharType="separate"/>
        </w:r>
        <w:r>
          <w:rPr>
            <w:noProof/>
            <w:webHidden/>
          </w:rPr>
          <w:t>105</w:t>
        </w:r>
        <w:r w:rsidR="00D834E3">
          <w:rPr>
            <w:noProof/>
            <w:webHidden/>
          </w:rPr>
          <w:fldChar w:fldCharType="end"/>
        </w:r>
      </w:hyperlink>
    </w:p>
    <w:p w14:paraId="680474CC"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3" w:history="1">
        <w:r w:rsidR="00D834E3" w:rsidRPr="00FE2F89">
          <w:rPr>
            <w:rStyle w:val="Hyperlink"/>
            <w:noProof/>
          </w:rPr>
          <w:t>Table D.5</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Major discrepancies with provisional diagnosis applied to sensitivity analysis, no initial diagnosis data included</w:t>
        </w:r>
        <w:r w:rsidR="00D834E3">
          <w:rPr>
            <w:noProof/>
            <w:webHidden/>
          </w:rPr>
          <w:tab/>
        </w:r>
        <w:r w:rsidR="00D834E3">
          <w:rPr>
            <w:noProof/>
            <w:webHidden/>
          </w:rPr>
          <w:fldChar w:fldCharType="begin"/>
        </w:r>
        <w:r w:rsidR="00D834E3">
          <w:rPr>
            <w:noProof/>
            <w:webHidden/>
          </w:rPr>
          <w:instrText xml:space="preserve"> PAGEREF _Toc396211763 \h </w:instrText>
        </w:r>
        <w:r w:rsidR="00D834E3">
          <w:rPr>
            <w:noProof/>
            <w:webHidden/>
          </w:rPr>
        </w:r>
        <w:r w:rsidR="00D834E3">
          <w:rPr>
            <w:noProof/>
            <w:webHidden/>
          </w:rPr>
          <w:fldChar w:fldCharType="separate"/>
        </w:r>
        <w:r>
          <w:rPr>
            <w:noProof/>
            <w:webHidden/>
          </w:rPr>
          <w:t>106</w:t>
        </w:r>
        <w:r w:rsidR="00D834E3">
          <w:rPr>
            <w:noProof/>
            <w:webHidden/>
          </w:rPr>
          <w:fldChar w:fldCharType="end"/>
        </w:r>
      </w:hyperlink>
    </w:p>
    <w:p w14:paraId="0E01AEAC"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4" w:history="1">
        <w:r w:rsidR="00D834E3" w:rsidRPr="00FE2F89">
          <w:rPr>
            <w:rStyle w:val="Hyperlink"/>
            <w:noProof/>
          </w:rPr>
          <w:t>Table D.5</w:t>
        </w:r>
        <w:r w:rsidR="00D834E3" w:rsidRPr="00FE2F89">
          <w:rPr>
            <w:rStyle w:val="Hyperlink"/>
            <w:noProof/>
          </w:rPr>
          <w:noBreakHyphen/>
          <w:t>4</w:t>
        </w:r>
        <w:r w:rsidR="00D834E3">
          <w:rPr>
            <w:rFonts w:asciiTheme="minorHAnsi" w:eastAsiaTheme="minorEastAsia" w:hAnsiTheme="minorHAnsi"/>
            <w:noProof/>
            <w:sz w:val="22"/>
            <w:lang w:eastAsia="en-AU"/>
          </w:rPr>
          <w:tab/>
        </w:r>
        <w:r w:rsidR="00D834E3" w:rsidRPr="00FE2F89">
          <w:rPr>
            <w:rStyle w:val="Hyperlink"/>
            <w:noProof/>
          </w:rPr>
          <w:t>Sensitivity analyses conducted over the course of the economic evaluation</w:t>
        </w:r>
        <w:r w:rsidR="00D834E3">
          <w:rPr>
            <w:noProof/>
            <w:webHidden/>
          </w:rPr>
          <w:tab/>
        </w:r>
        <w:r w:rsidR="00D834E3">
          <w:rPr>
            <w:noProof/>
            <w:webHidden/>
          </w:rPr>
          <w:fldChar w:fldCharType="begin"/>
        </w:r>
        <w:r w:rsidR="00D834E3">
          <w:rPr>
            <w:noProof/>
            <w:webHidden/>
          </w:rPr>
          <w:instrText xml:space="preserve"> PAGEREF _Toc396211764 \h </w:instrText>
        </w:r>
        <w:r w:rsidR="00D834E3">
          <w:rPr>
            <w:noProof/>
            <w:webHidden/>
          </w:rPr>
        </w:r>
        <w:r w:rsidR="00D834E3">
          <w:rPr>
            <w:noProof/>
            <w:webHidden/>
          </w:rPr>
          <w:fldChar w:fldCharType="separate"/>
        </w:r>
        <w:r>
          <w:rPr>
            <w:noProof/>
            <w:webHidden/>
          </w:rPr>
          <w:t>106</w:t>
        </w:r>
        <w:r w:rsidR="00D834E3">
          <w:rPr>
            <w:noProof/>
            <w:webHidden/>
          </w:rPr>
          <w:fldChar w:fldCharType="end"/>
        </w:r>
      </w:hyperlink>
    </w:p>
    <w:p w14:paraId="7196B9EC"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5" w:history="1">
        <w:r w:rsidR="00D834E3" w:rsidRPr="00FE2F89">
          <w:rPr>
            <w:rStyle w:val="Hyperlink"/>
            <w:noProof/>
          </w:rPr>
          <w:t>Table E.1</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Rates of second, expert opinion – as reported in the included studies</w:t>
        </w:r>
        <w:r w:rsidR="00D834E3">
          <w:rPr>
            <w:noProof/>
            <w:webHidden/>
          </w:rPr>
          <w:tab/>
        </w:r>
        <w:r w:rsidR="00D834E3">
          <w:rPr>
            <w:noProof/>
            <w:webHidden/>
          </w:rPr>
          <w:fldChar w:fldCharType="begin"/>
        </w:r>
        <w:r w:rsidR="00D834E3">
          <w:rPr>
            <w:noProof/>
            <w:webHidden/>
          </w:rPr>
          <w:instrText xml:space="preserve"> PAGEREF _Toc396211765 \h </w:instrText>
        </w:r>
        <w:r w:rsidR="00D834E3">
          <w:rPr>
            <w:noProof/>
            <w:webHidden/>
          </w:rPr>
        </w:r>
        <w:r w:rsidR="00D834E3">
          <w:rPr>
            <w:noProof/>
            <w:webHidden/>
          </w:rPr>
          <w:fldChar w:fldCharType="separate"/>
        </w:r>
        <w:r>
          <w:rPr>
            <w:noProof/>
            <w:webHidden/>
          </w:rPr>
          <w:t>109</w:t>
        </w:r>
        <w:r w:rsidR="00D834E3">
          <w:rPr>
            <w:noProof/>
            <w:webHidden/>
          </w:rPr>
          <w:fldChar w:fldCharType="end"/>
        </w:r>
      </w:hyperlink>
    </w:p>
    <w:p w14:paraId="3E6790D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6" w:history="1">
        <w:r w:rsidR="00D834E3" w:rsidRPr="00FE2F89">
          <w:rPr>
            <w:rStyle w:val="Hyperlink"/>
            <w:noProof/>
          </w:rPr>
          <w:t>Table E.1</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Estimated number of services for ‘core’ MBS items for initial pathology opinions, over the first five years of the proposed MBS listing</w:t>
        </w:r>
        <w:r w:rsidR="00D834E3">
          <w:rPr>
            <w:noProof/>
            <w:webHidden/>
          </w:rPr>
          <w:tab/>
        </w:r>
        <w:r w:rsidR="00D834E3">
          <w:rPr>
            <w:noProof/>
            <w:webHidden/>
          </w:rPr>
          <w:fldChar w:fldCharType="begin"/>
        </w:r>
        <w:r w:rsidR="00D834E3">
          <w:rPr>
            <w:noProof/>
            <w:webHidden/>
          </w:rPr>
          <w:instrText xml:space="preserve"> PAGEREF _Toc396211766 \h </w:instrText>
        </w:r>
        <w:r w:rsidR="00D834E3">
          <w:rPr>
            <w:noProof/>
            <w:webHidden/>
          </w:rPr>
        </w:r>
        <w:r w:rsidR="00D834E3">
          <w:rPr>
            <w:noProof/>
            <w:webHidden/>
          </w:rPr>
          <w:fldChar w:fldCharType="separate"/>
        </w:r>
        <w:r>
          <w:rPr>
            <w:noProof/>
            <w:webHidden/>
          </w:rPr>
          <w:t>111</w:t>
        </w:r>
        <w:r w:rsidR="00D834E3">
          <w:rPr>
            <w:noProof/>
            <w:webHidden/>
          </w:rPr>
          <w:fldChar w:fldCharType="end"/>
        </w:r>
      </w:hyperlink>
    </w:p>
    <w:p w14:paraId="262C568F"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7" w:history="1">
        <w:r w:rsidR="00D834E3" w:rsidRPr="00FE2F89">
          <w:rPr>
            <w:rStyle w:val="Hyperlink"/>
            <w:noProof/>
          </w:rPr>
          <w:t>Table E.1</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Base case estimates of proportion of cases referred for second, expert opinion</w:t>
        </w:r>
        <w:r w:rsidR="00D834E3">
          <w:rPr>
            <w:noProof/>
            <w:webHidden/>
          </w:rPr>
          <w:tab/>
        </w:r>
        <w:r w:rsidR="00D834E3">
          <w:rPr>
            <w:noProof/>
            <w:webHidden/>
          </w:rPr>
          <w:fldChar w:fldCharType="begin"/>
        </w:r>
        <w:r w:rsidR="00D834E3">
          <w:rPr>
            <w:noProof/>
            <w:webHidden/>
          </w:rPr>
          <w:instrText xml:space="preserve"> PAGEREF _Toc396211767 \h </w:instrText>
        </w:r>
        <w:r w:rsidR="00D834E3">
          <w:rPr>
            <w:noProof/>
            <w:webHidden/>
          </w:rPr>
        </w:r>
        <w:r w:rsidR="00D834E3">
          <w:rPr>
            <w:noProof/>
            <w:webHidden/>
          </w:rPr>
          <w:fldChar w:fldCharType="separate"/>
        </w:r>
        <w:r>
          <w:rPr>
            <w:noProof/>
            <w:webHidden/>
          </w:rPr>
          <w:t>112</w:t>
        </w:r>
        <w:r w:rsidR="00D834E3">
          <w:rPr>
            <w:noProof/>
            <w:webHidden/>
          </w:rPr>
          <w:fldChar w:fldCharType="end"/>
        </w:r>
      </w:hyperlink>
    </w:p>
    <w:p w14:paraId="0E01663F"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8" w:history="1">
        <w:r w:rsidR="00D834E3" w:rsidRPr="00FE2F89">
          <w:rPr>
            <w:rStyle w:val="Hyperlink"/>
            <w:noProof/>
          </w:rPr>
          <w:t>Table E.1</w:t>
        </w:r>
        <w:r w:rsidR="00D834E3" w:rsidRPr="00FE2F89">
          <w:rPr>
            <w:rStyle w:val="Hyperlink"/>
            <w:noProof/>
          </w:rPr>
          <w:noBreakHyphen/>
          <w:t>4</w:t>
        </w:r>
        <w:r w:rsidR="00D834E3">
          <w:rPr>
            <w:rFonts w:asciiTheme="minorHAnsi" w:eastAsiaTheme="minorEastAsia" w:hAnsiTheme="minorHAnsi"/>
            <w:noProof/>
            <w:sz w:val="22"/>
            <w:lang w:eastAsia="en-AU"/>
          </w:rPr>
          <w:tab/>
        </w:r>
        <w:r w:rsidR="00D834E3" w:rsidRPr="00FE2F89">
          <w:rPr>
            <w:rStyle w:val="Hyperlink"/>
            <w:noProof/>
          </w:rPr>
          <w:t>Base case estimates of proportion of second, expert opinions which are ‘complex’ and ‘non-complex’</w:t>
        </w:r>
        <w:r w:rsidR="00D834E3">
          <w:rPr>
            <w:noProof/>
            <w:webHidden/>
          </w:rPr>
          <w:tab/>
        </w:r>
        <w:r w:rsidR="00D834E3">
          <w:rPr>
            <w:noProof/>
            <w:webHidden/>
          </w:rPr>
          <w:fldChar w:fldCharType="begin"/>
        </w:r>
        <w:r w:rsidR="00D834E3">
          <w:rPr>
            <w:noProof/>
            <w:webHidden/>
          </w:rPr>
          <w:instrText xml:space="preserve"> PAGEREF _Toc396211768 \h </w:instrText>
        </w:r>
        <w:r w:rsidR="00D834E3">
          <w:rPr>
            <w:noProof/>
            <w:webHidden/>
          </w:rPr>
        </w:r>
        <w:r w:rsidR="00D834E3">
          <w:rPr>
            <w:noProof/>
            <w:webHidden/>
          </w:rPr>
          <w:fldChar w:fldCharType="separate"/>
        </w:r>
        <w:r>
          <w:rPr>
            <w:noProof/>
            <w:webHidden/>
          </w:rPr>
          <w:t>113</w:t>
        </w:r>
        <w:r w:rsidR="00D834E3">
          <w:rPr>
            <w:noProof/>
            <w:webHidden/>
          </w:rPr>
          <w:fldChar w:fldCharType="end"/>
        </w:r>
      </w:hyperlink>
    </w:p>
    <w:p w14:paraId="66BC3E80"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69" w:history="1">
        <w:r w:rsidR="00D834E3" w:rsidRPr="00FE2F89">
          <w:rPr>
            <w:rStyle w:val="Hyperlink"/>
            <w:noProof/>
          </w:rPr>
          <w:t>Table E.1</w:t>
        </w:r>
        <w:r w:rsidR="00D834E3" w:rsidRPr="00FE2F89">
          <w:rPr>
            <w:rStyle w:val="Hyperlink"/>
            <w:noProof/>
          </w:rPr>
          <w:noBreakHyphen/>
          <w:t>5</w:t>
        </w:r>
        <w:r w:rsidR="00D834E3">
          <w:rPr>
            <w:rFonts w:asciiTheme="minorHAnsi" w:eastAsiaTheme="minorEastAsia" w:hAnsiTheme="minorHAnsi"/>
            <w:noProof/>
            <w:sz w:val="22"/>
            <w:lang w:eastAsia="en-AU"/>
          </w:rPr>
          <w:tab/>
        </w:r>
        <w:r w:rsidR="00D834E3" w:rsidRPr="00FE2F89">
          <w:rPr>
            <w:rStyle w:val="Hyperlink"/>
            <w:noProof/>
          </w:rPr>
          <w:t>Base case estimates of changes in use of ancillary tests according to availability of MBS funding for second, expert opinions</w:t>
        </w:r>
        <w:r w:rsidR="00D834E3">
          <w:rPr>
            <w:noProof/>
            <w:webHidden/>
          </w:rPr>
          <w:tab/>
        </w:r>
        <w:r w:rsidR="00D834E3">
          <w:rPr>
            <w:noProof/>
            <w:webHidden/>
          </w:rPr>
          <w:fldChar w:fldCharType="begin"/>
        </w:r>
        <w:r w:rsidR="00D834E3">
          <w:rPr>
            <w:noProof/>
            <w:webHidden/>
          </w:rPr>
          <w:instrText xml:space="preserve"> PAGEREF _Toc396211769 \h </w:instrText>
        </w:r>
        <w:r w:rsidR="00D834E3">
          <w:rPr>
            <w:noProof/>
            <w:webHidden/>
          </w:rPr>
        </w:r>
        <w:r w:rsidR="00D834E3">
          <w:rPr>
            <w:noProof/>
            <w:webHidden/>
          </w:rPr>
          <w:fldChar w:fldCharType="separate"/>
        </w:r>
        <w:r>
          <w:rPr>
            <w:noProof/>
            <w:webHidden/>
          </w:rPr>
          <w:t>113</w:t>
        </w:r>
        <w:r w:rsidR="00D834E3">
          <w:rPr>
            <w:noProof/>
            <w:webHidden/>
          </w:rPr>
          <w:fldChar w:fldCharType="end"/>
        </w:r>
      </w:hyperlink>
    </w:p>
    <w:p w14:paraId="5EB69681"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0" w:history="1">
        <w:r w:rsidR="00D834E3" w:rsidRPr="00FE2F89">
          <w:rPr>
            <w:rStyle w:val="Hyperlink"/>
            <w:noProof/>
          </w:rPr>
          <w:t>Table E.1</w:t>
        </w:r>
        <w:r w:rsidR="00D834E3" w:rsidRPr="00FE2F89">
          <w:rPr>
            <w:rStyle w:val="Hyperlink"/>
            <w:noProof/>
          </w:rPr>
          <w:noBreakHyphen/>
          <w:t>6</w:t>
        </w:r>
        <w:r w:rsidR="00D834E3">
          <w:rPr>
            <w:rFonts w:asciiTheme="minorHAnsi" w:eastAsiaTheme="minorEastAsia" w:hAnsiTheme="minorHAnsi"/>
            <w:noProof/>
            <w:sz w:val="22"/>
            <w:lang w:eastAsia="en-AU"/>
          </w:rPr>
          <w:tab/>
        </w:r>
        <w:r w:rsidR="00D834E3" w:rsidRPr="00FE2F89">
          <w:rPr>
            <w:rStyle w:val="Hyperlink"/>
            <w:noProof/>
          </w:rPr>
          <w:t>Base case estimates of changes in use of other associated MBS items</w:t>
        </w:r>
        <w:r w:rsidR="00D834E3">
          <w:rPr>
            <w:noProof/>
            <w:webHidden/>
          </w:rPr>
          <w:tab/>
        </w:r>
        <w:r w:rsidR="00D834E3">
          <w:rPr>
            <w:noProof/>
            <w:webHidden/>
          </w:rPr>
          <w:fldChar w:fldCharType="begin"/>
        </w:r>
        <w:r w:rsidR="00D834E3">
          <w:rPr>
            <w:noProof/>
            <w:webHidden/>
          </w:rPr>
          <w:instrText xml:space="preserve"> PAGEREF _Toc396211770 \h </w:instrText>
        </w:r>
        <w:r w:rsidR="00D834E3">
          <w:rPr>
            <w:noProof/>
            <w:webHidden/>
          </w:rPr>
        </w:r>
        <w:r w:rsidR="00D834E3">
          <w:rPr>
            <w:noProof/>
            <w:webHidden/>
          </w:rPr>
          <w:fldChar w:fldCharType="separate"/>
        </w:r>
        <w:r>
          <w:rPr>
            <w:noProof/>
            <w:webHidden/>
          </w:rPr>
          <w:t>114</w:t>
        </w:r>
        <w:r w:rsidR="00D834E3">
          <w:rPr>
            <w:noProof/>
            <w:webHidden/>
          </w:rPr>
          <w:fldChar w:fldCharType="end"/>
        </w:r>
      </w:hyperlink>
    </w:p>
    <w:p w14:paraId="1DB8C32F"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1" w:history="1">
        <w:r w:rsidR="00D834E3" w:rsidRPr="00FE2F89">
          <w:rPr>
            <w:rStyle w:val="Hyperlink"/>
            <w:noProof/>
          </w:rPr>
          <w:t>Table E.1</w:t>
        </w:r>
        <w:r w:rsidR="00D834E3" w:rsidRPr="00FE2F89">
          <w:rPr>
            <w:rStyle w:val="Hyperlink"/>
            <w:noProof/>
          </w:rPr>
          <w:noBreakHyphen/>
          <w:t>7</w:t>
        </w:r>
        <w:r w:rsidR="00D834E3">
          <w:rPr>
            <w:rFonts w:asciiTheme="minorHAnsi" w:eastAsiaTheme="minorEastAsia" w:hAnsiTheme="minorHAnsi"/>
            <w:noProof/>
            <w:sz w:val="22"/>
            <w:lang w:eastAsia="en-AU"/>
          </w:rPr>
          <w:tab/>
        </w:r>
        <w:r w:rsidR="00D834E3" w:rsidRPr="00FE2F89">
          <w:rPr>
            <w:rStyle w:val="Hyperlink"/>
            <w:noProof/>
          </w:rPr>
          <w:t>Key assumptions and data sources used for the financial analysis</w:t>
        </w:r>
        <w:r w:rsidR="00D834E3">
          <w:rPr>
            <w:noProof/>
            <w:webHidden/>
          </w:rPr>
          <w:tab/>
        </w:r>
        <w:r w:rsidR="00D834E3">
          <w:rPr>
            <w:noProof/>
            <w:webHidden/>
          </w:rPr>
          <w:fldChar w:fldCharType="begin"/>
        </w:r>
        <w:r w:rsidR="00D834E3">
          <w:rPr>
            <w:noProof/>
            <w:webHidden/>
          </w:rPr>
          <w:instrText xml:space="preserve"> PAGEREF _Toc396211771 \h </w:instrText>
        </w:r>
        <w:r w:rsidR="00D834E3">
          <w:rPr>
            <w:noProof/>
            <w:webHidden/>
          </w:rPr>
        </w:r>
        <w:r w:rsidR="00D834E3">
          <w:rPr>
            <w:noProof/>
            <w:webHidden/>
          </w:rPr>
          <w:fldChar w:fldCharType="separate"/>
        </w:r>
        <w:r>
          <w:rPr>
            <w:noProof/>
            <w:webHidden/>
          </w:rPr>
          <w:t>115</w:t>
        </w:r>
        <w:r w:rsidR="00D834E3">
          <w:rPr>
            <w:noProof/>
            <w:webHidden/>
          </w:rPr>
          <w:fldChar w:fldCharType="end"/>
        </w:r>
      </w:hyperlink>
    </w:p>
    <w:p w14:paraId="5424A044"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2" w:history="1">
        <w:r w:rsidR="00D834E3" w:rsidRPr="00FE2F89">
          <w:rPr>
            <w:rStyle w:val="Hyperlink"/>
            <w:noProof/>
          </w:rPr>
          <w:t>Table E.1</w:t>
        </w:r>
        <w:r w:rsidR="00D834E3" w:rsidRPr="00FE2F89">
          <w:rPr>
            <w:rStyle w:val="Hyperlink"/>
            <w:noProof/>
          </w:rPr>
          <w:noBreakHyphen/>
          <w:t>8</w:t>
        </w:r>
        <w:r w:rsidR="00D834E3">
          <w:rPr>
            <w:rFonts w:asciiTheme="minorHAnsi" w:eastAsiaTheme="minorEastAsia" w:hAnsiTheme="minorHAnsi"/>
            <w:noProof/>
            <w:sz w:val="22"/>
            <w:lang w:eastAsia="en-AU"/>
          </w:rPr>
          <w:tab/>
        </w:r>
        <w:r w:rsidR="00D834E3" w:rsidRPr="00FE2F89">
          <w:rPr>
            <w:rStyle w:val="Hyperlink"/>
            <w:noProof/>
          </w:rPr>
          <w:t>Second, expert opinion items and fees used in the base case financial analysis</w:t>
        </w:r>
        <w:r w:rsidR="00D834E3">
          <w:rPr>
            <w:noProof/>
            <w:webHidden/>
          </w:rPr>
          <w:tab/>
        </w:r>
        <w:r w:rsidR="00D834E3">
          <w:rPr>
            <w:noProof/>
            <w:webHidden/>
          </w:rPr>
          <w:fldChar w:fldCharType="begin"/>
        </w:r>
        <w:r w:rsidR="00D834E3">
          <w:rPr>
            <w:noProof/>
            <w:webHidden/>
          </w:rPr>
          <w:instrText xml:space="preserve"> PAGEREF _Toc396211772 \h </w:instrText>
        </w:r>
        <w:r w:rsidR="00D834E3">
          <w:rPr>
            <w:noProof/>
            <w:webHidden/>
          </w:rPr>
        </w:r>
        <w:r w:rsidR="00D834E3">
          <w:rPr>
            <w:noProof/>
            <w:webHidden/>
          </w:rPr>
          <w:fldChar w:fldCharType="separate"/>
        </w:r>
        <w:r>
          <w:rPr>
            <w:noProof/>
            <w:webHidden/>
          </w:rPr>
          <w:t>116</w:t>
        </w:r>
        <w:r w:rsidR="00D834E3">
          <w:rPr>
            <w:noProof/>
            <w:webHidden/>
          </w:rPr>
          <w:fldChar w:fldCharType="end"/>
        </w:r>
      </w:hyperlink>
    </w:p>
    <w:p w14:paraId="1C25216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3" w:history="1">
        <w:r w:rsidR="00D834E3" w:rsidRPr="00FE2F89">
          <w:rPr>
            <w:rStyle w:val="Hyperlink"/>
            <w:noProof/>
          </w:rPr>
          <w:t>Table E.1</w:t>
        </w:r>
        <w:r w:rsidR="00D834E3" w:rsidRPr="00FE2F89">
          <w:rPr>
            <w:rStyle w:val="Hyperlink"/>
            <w:noProof/>
          </w:rPr>
          <w:noBreakHyphen/>
          <w:t>9</w:t>
        </w:r>
        <w:r w:rsidR="00D834E3">
          <w:rPr>
            <w:rFonts w:asciiTheme="minorHAnsi" w:eastAsiaTheme="minorEastAsia" w:hAnsiTheme="minorHAnsi"/>
            <w:noProof/>
            <w:sz w:val="22"/>
            <w:lang w:eastAsia="en-AU"/>
          </w:rPr>
          <w:tab/>
        </w:r>
        <w:r w:rsidR="00D834E3" w:rsidRPr="00FE2F89">
          <w:rPr>
            <w:rStyle w:val="Hyperlink"/>
            <w:noProof/>
          </w:rPr>
          <w:t>Ancillary items and fees used in the financial analysis</w:t>
        </w:r>
        <w:r w:rsidR="00D834E3">
          <w:rPr>
            <w:noProof/>
            <w:webHidden/>
          </w:rPr>
          <w:tab/>
        </w:r>
        <w:r w:rsidR="00D834E3">
          <w:rPr>
            <w:noProof/>
            <w:webHidden/>
          </w:rPr>
          <w:fldChar w:fldCharType="begin"/>
        </w:r>
        <w:r w:rsidR="00D834E3">
          <w:rPr>
            <w:noProof/>
            <w:webHidden/>
          </w:rPr>
          <w:instrText xml:space="preserve"> PAGEREF _Toc396211773 \h </w:instrText>
        </w:r>
        <w:r w:rsidR="00D834E3">
          <w:rPr>
            <w:noProof/>
            <w:webHidden/>
          </w:rPr>
        </w:r>
        <w:r w:rsidR="00D834E3">
          <w:rPr>
            <w:noProof/>
            <w:webHidden/>
          </w:rPr>
          <w:fldChar w:fldCharType="separate"/>
        </w:r>
        <w:r>
          <w:rPr>
            <w:noProof/>
            <w:webHidden/>
          </w:rPr>
          <w:t>117</w:t>
        </w:r>
        <w:r w:rsidR="00D834E3">
          <w:rPr>
            <w:noProof/>
            <w:webHidden/>
          </w:rPr>
          <w:fldChar w:fldCharType="end"/>
        </w:r>
      </w:hyperlink>
    </w:p>
    <w:p w14:paraId="577F37F2"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4" w:history="1">
        <w:r w:rsidR="00D834E3" w:rsidRPr="00FE2F89">
          <w:rPr>
            <w:rStyle w:val="Hyperlink"/>
            <w:noProof/>
          </w:rPr>
          <w:t>Table E.1</w:t>
        </w:r>
        <w:r w:rsidR="00D834E3" w:rsidRPr="00FE2F89">
          <w:rPr>
            <w:rStyle w:val="Hyperlink"/>
            <w:noProof/>
          </w:rPr>
          <w:noBreakHyphen/>
          <w:t>10</w:t>
        </w:r>
        <w:r w:rsidR="00D834E3">
          <w:rPr>
            <w:rFonts w:asciiTheme="minorHAnsi" w:eastAsiaTheme="minorEastAsia" w:hAnsiTheme="minorHAnsi"/>
            <w:noProof/>
            <w:sz w:val="22"/>
            <w:lang w:eastAsia="en-AU"/>
          </w:rPr>
          <w:tab/>
        </w:r>
        <w:r w:rsidR="00D834E3" w:rsidRPr="00FE2F89">
          <w:rPr>
            <w:rStyle w:val="Hyperlink"/>
            <w:noProof/>
          </w:rPr>
          <w:t>Other associated MBS items and fees used in the financial analysis</w:t>
        </w:r>
        <w:r w:rsidR="00D834E3">
          <w:rPr>
            <w:noProof/>
            <w:webHidden/>
          </w:rPr>
          <w:tab/>
        </w:r>
        <w:r w:rsidR="00D834E3">
          <w:rPr>
            <w:noProof/>
            <w:webHidden/>
          </w:rPr>
          <w:fldChar w:fldCharType="begin"/>
        </w:r>
        <w:r w:rsidR="00D834E3">
          <w:rPr>
            <w:noProof/>
            <w:webHidden/>
          </w:rPr>
          <w:instrText xml:space="preserve"> PAGEREF _Toc396211774 \h </w:instrText>
        </w:r>
        <w:r w:rsidR="00D834E3">
          <w:rPr>
            <w:noProof/>
            <w:webHidden/>
          </w:rPr>
        </w:r>
        <w:r w:rsidR="00D834E3">
          <w:rPr>
            <w:noProof/>
            <w:webHidden/>
          </w:rPr>
          <w:fldChar w:fldCharType="separate"/>
        </w:r>
        <w:r>
          <w:rPr>
            <w:noProof/>
            <w:webHidden/>
          </w:rPr>
          <w:t>117</w:t>
        </w:r>
        <w:r w:rsidR="00D834E3">
          <w:rPr>
            <w:noProof/>
            <w:webHidden/>
          </w:rPr>
          <w:fldChar w:fldCharType="end"/>
        </w:r>
      </w:hyperlink>
    </w:p>
    <w:p w14:paraId="46921C59"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5" w:history="1">
        <w:r w:rsidR="00D834E3" w:rsidRPr="00FE2F89">
          <w:rPr>
            <w:rStyle w:val="Hyperlink"/>
            <w:noProof/>
          </w:rPr>
          <w:t>Table E.2</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Estimated number of MBS services for second, expert opinions, over the first five years of the proposed MBS listing</w:t>
        </w:r>
        <w:r w:rsidR="00D834E3">
          <w:rPr>
            <w:noProof/>
            <w:webHidden/>
          </w:rPr>
          <w:tab/>
        </w:r>
        <w:r w:rsidR="00D834E3">
          <w:rPr>
            <w:noProof/>
            <w:webHidden/>
          </w:rPr>
          <w:fldChar w:fldCharType="begin"/>
        </w:r>
        <w:r w:rsidR="00D834E3">
          <w:rPr>
            <w:noProof/>
            <w:webHidden/>
          </w:rPr>
          <w:instrText xml:space="preserve"> PAGEREF _Toc396211775 \h </w:instrText>
        </w:r>
        <w:r w:rsidR="00D834E3">
          <w:rPr>
            <w:noProof/>
            <w:webHidden/>
          </w:rPr>
        </w:r>
        <w:r w:rsidR="00D834E3">
          <w:rPr>
            <w:noProof/>
            <w:webHidden/>
          </w:rPr>
          <w:fldChar w:fldCharType="separate"/>
        </w:r>
        <w:r>
          <w:rPr>
            <w:noProof/>
            <w:webHidden/>
          </w:rPr>
          <w:t>118</w:t>
        </w:r>
        <w:r w:rsidR="00D834E3">
          <w:rPr>
            <w:noProof/>
            <w:webHidden/>
          </w:rPr>
          <w:fldChar w:fldCharType="end"/>
        </w:r>
      </w:hyperlink>
    </w:p>
    <w:p w14:paraId="6E566F93"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6" w:history="1">
        <w:r w:rsidR="00D834E3" w:rsidRPr="00FE2F89">
          <w:rPr>
            <w:rStyle w:val="Hyperlink"/>
            <w:noProof/>
          </w:rPr>
          <w:t>Table E.2</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Estimated number of MBS services for second, expert opinions, over the first five years of the proposed MBS listing – Proposed funding arrangements</w:t>
        </w:r>
        <w:r w:rsidR="00D834E3">
          <w:rPr>
            <w:noProof/>
            <w:webHidden/>
          </w:rPr>
          <w:tab/>
        </w:r>
        <w:r w:rsidR="00D834E3">
          <w:rPr>
            <w:noProof/>
            <w:webHidden/>
          </w:rPr>
          <w:fldChar w:fldCharType="begin"/>
        </w:r>
        <w:r w:rsidR="00D834E3">
          <w:rPr>
            <w:noProof/>
            <w:webHidden/>
          </w:rPr>
          <w:instrText xml:space="preserve"> PAGEREF _Toc396211776 \h </w:instrText>
        </w:r>
        <w:r w:rsidR="00D834E3">
          <w:rPr>
            <w:noProof/>
            <w:webHidden/>
          </w:rPr>
        </w:r>
        <w:r w:rsidR="00D834E3">
          <w:rPr>
            <w:noProof/>
            <w:webHidden/>
          </w:rPr>
          <w:fldChar w:fldCharType="separate"/>
        </w:r>
        <w:r>
          <w:rPr>
            <w:noProof/>
            <w:webHidden/>
          </w:rPr>
          <w:t>119</w:t>
        </w:r>
        <w:r w:rsidR="00D834E3">
          <w:rPr>
            <w:noProof/>
            <w:webHidden/>
          </w:rPr>
          <w:fldChar w:fldCharType="end"/>
        </w:r>
      </w:hyperlink>
    </w:p>
    <w:p w14:paraId="0503542A"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7" w:history="1">
        <w:r w:rsidR="00D834E3" w:rsidRPr="00FE2F89">
          <w:rPr>
            <w:rStyle w:val="Hyperlink"/>
            <w:noProof/>
          </w:rPr>
          <w:t>Table E.2</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Estimated number of MBS services for second, expert opinions, over the first five years of the proposed MBS listing – Current funding arrangements</w:t>
        </w:r>
        <w:r w:rsidR="00D834E3">
          <w:rPr>
            <w:noProof/>
            <w:webHidden/>
          </w:rPr>
          <w:tab/>
        </w:r>
        <w:r w:rsidR="00D834E3">
          <w:rPr>
            <w:noProof/>
            <w:webHidden/>
          </w:rPr>
          <w:fldChar w:fldCharType="begin"/>
        </w:r>
        <w:r w:rsidR="00D834E3">
          <w:rPr>
            <w:noProof/>
            <w:webHidden/>
          </w:rPr>
          <w:instrText xml:space="preserve"> PAGEREF _Toc396211777 \h </w:instrText>
        </w:r>
        <w:r w:rsidR="00D834E3">
          <w:rPr>
            <w:noProof/>
            <w:webHidden/>
          </w:rPr>
        </w:r>
        <w:r w:rsidR="00D834E3">
          <w:rPr>
            <w:noProof/>
            <w:webHidden/>
          </w:rPr>
          <w:fldChar w:fldCharType="separate"/>
        </w:r>
        <w:r>
          <w:rPr>
            <w:noProof/>
            <w:webHidden/>
          </w:rPr>
          <w:t>120</w:t>
        </w:r>
        <w:r w:rsidR="00D834E3">
          <w:rPr>
            <w:noProof/>
            <w:webHidden/>
          </w:rPr>
          <w:fldChar w:fldCharType="end"/>
        </w:r>
      </w:hyperlink>
    </w:p>
    <w:p w14:paraId="6BC0892D"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8" w:history="1">
        <w:r w:rsidR="00D834E3" w:rsidRPr="00FE2F89">
          <w:rPr>
            <w:rStyle w:val="Hyperlink"/>
            <w:noProof/>
          </w:rPr>
          <w:t>Table E.2</w:t>
        </w:r>
        <w:r w:rsidR="00D834E3" w:rsidRPr="00FE2F89">
          <w:rPr>
            <w:rStyle w:val="Hyperlink"/>
            <w:noProof/>
          </w:rPr>
          <w:noBreakHyphen/>
          <w:t>4</w:t>
        </w:r>
        <w:r w:rsidR="00D834E3">
          <w:rPr>
            <w:rFonts w:asciiTheme="minorHAnsi" w:eastAsiaTheme="minorEastAsia" w:hAnsiTheme="minorHAnsi"/>
            <w:noProof/>
            <w:sz w:val="22"/>
            <w:lang w:eastAsia="en-AU"/>
          </w:rPr>
          <w:tab/>
        </w:r>
        <w:r w:rsidR="00D834E3" w:rsidRPr="00FE2F89">
          <w:rPr>
            <w:rStyle w:val="Hyperlink"/>
            <w:noProof/>
          </w:rPr>
          <w:t>Incremental number of MBS services for second, expert opinions, over the first five years of the proposed MBS listing</w:t>
        </w:r>
        <w:r w:rsidR="00D834E3">
          <w:rPr>
            <w:noProof/>
            <w:webHidden/>
          </w:rPr>
          <w:tab/>
        </w:r>
        <w:r w:rsidR="00D834E3">
          <w:rPr>
            <w:noProof/>
            <w:webHidden/>
          </w:rPr>
          <w:fldChar w:fldCharType="begin"/>
        </w:r>
        <w:r w:rsidR="00D834E3">
          <w:rPr>
            <w:noProof/>
            <w:webHidden/>
          </w:rPr>
          <w:instrText xml:space="preserve"> PAGEREF _Toc396211778 \h </w:instrText>
        </w:r>
        <w:r w:rsidR="00D834E3">
          <w:rPr>
            <w:noProof/>
            <w:webHidden/>
          </w:rPr>
        </w:r>
        <w:r w:rsidR="00D834E3">
          <w:rPr>
            <w:noProof/>
            <w:webHidden/>
          </w:rPr>
          <w:fldChar w:fldCharType="separate"/>
        </w:r>
        <w:r>
          <w:rPr>
            <w:noProof/>
            <w:webHidden/>
          </w:rPr>
          <w:t>121</w:t>
        </w:r>
        <w:r w:rsidR="00D834E3">
          <w:rPr>
            <w:noProof/>
            <w:webHidden/>
          </w:rPr>
          <w:fldChar w:fldCharType="end"/>
        </w:r>
      </w:hyperlink>
    </w:p>
    <w:p w14:paraId="545B6CD9"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79" w:history="1">
        <w:r w:rsidR="00D834E3" w:rsidRPr="00FE2F89">
          <w:rPr>
            <w:rStyle w:val="Hyperlink"/>
            <w:noProof/>
          </w:rPr>
          <w:t>Table E.2</w:t>
        </w:r>
        <w:r w:rsidR="00D834E3" w:rsidRPr="00FE2F89">
          <w:rPr>
            <w:rStyle w:val="Hyperlink"/>
            <w:noProof/>
          </w:rPr>
          <w:noBreakHyphen/>
          <w:t>5</w:t>
        </w:r>
        <w:r w:rsidR="00D834E3">
          <w:rPr>
            <w:rFonts w:asciiTheme="minorHAnsi" w:eastAsiaTheme="minorEastAsia" w:hAnsiTheme="minorHAnsi"/>
            <w:noProof/>
            <w:sz w:val="22"/>
            <w:lang w:eastAsia="en-AU"/>
          </w:rPr>
          <w:tab/>
        </w:r>
        <w:r w:rsidR="00D834E3" w:rsidRPr="00FE2F89">
          <w:rPr>
            <w:rStyle w:val="Hyperlink"/>
            <w:noProof/>
          </w:rPr>
          <w:t>Estimated cost to the MBS of the proposed items for second, expert opinions, over the first five years of listing – Proposed funding arrangements</w:t>
        </w:r>
        <w:r w:rsidR="00D834E3">
          <w:rPr>
            <w:noProof/>
            <w:webHidden/>
          </w:rPr>
          <w:tab/>
        </w:r>
        <w:r w:rsidR="00D834E3">
          <w:rPr>
            <w:noProof/>
            <w:webHidden/>
          </w:rPr>
          <w:fldChar w:fldCharType="begin"/>
        </w:r>
        <w:r w:rsidR="00D834E3">
          <w:rPr>
            <w:noProof/>
            <w:webHidden/>
          </w:rPr>
          <w:instrText xml:space="preserve"> PAGEREF _Toc396211779 \h </w:instrText>
        </w:r>
        <w:r w:rsidR="00D834E3">
          <w:rPr>
            <w:noProof/>
            <w:webHidden/>
          </w:rPr>
        </w:r>
        <w:r w:rsidR="00D834E3">
          <w:rPr>
            <w:noProof/>
            <w:webHidden/>
          </w:rPr>
          <w:fldChar w:fldCharType="separate"/>
        </w:r>
        <w:r>
          <w:rPr>
            <w:noProof/>
            <w:webHidden/>
          </w:rPr>
          <w:t>122</w:t>
        </w:r>
        <w:r w:rsidR="00D834E3">
          <w:rPr>
            <w:noProof/>
            <w:webHidden/>
          </w:rPr>
          <w:fldChar w:fldCharType="end"/>
        </w:r>
      </w:hyperlink>
    </w:p>
    <w:p w14:paraId="526B9114"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0" w:history="1">
        <w:r w:rsidR="00D834E3" w:rsidRPr="00FE2F89">
          <w:rPr>
            <w:rStyle w:val="Hyperlink"/>
            <w:noProof/>
          </w:rPr>
          <w:t>Table E.3</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Estimated number of services for other associated MBS items, over the first five years of the proposed MBS listing – Proposed funding arrangements</w:t>
        </w:r>
        <w:r w:rsidR="00D834E3">
          <w:rPr>
            <w:noProof/>
            <w:webHidden/>
          </w:rPr>
          <w:tab/>
        </w:r>
        <w:r w:rsidR="00D834E3">
          <w:rPr>
            <w:noProof/>
            <w:webHidden/>
          </w:rPr>
          <w:fldChar w:fldCharType="begin"/>
        </w:r>
        <w:r w:rsidR="00D834E3">
          <w:rPr>
            <w:noProof/>
            <w:webHidden/>
          </w:rPr>
          <w:instrText xml:space="preserve"> PAGEREF _Toc396211780 \h </w:instrText>
        </w:r>
        <w:r w:rsidR="00D834E3">
          <w:rPr>
            <w:noProof/>
            <w:webHidden/>
          </w:rPr>
        </w:r>
        <w:r w:rsidR="00D834E3">
          <w:rPr>
            <w:noProof/>
            <w:webHidden/>
          </w:rPr>
          <w:fldChar w:fldCharType="separate"/>
        </w:r>
        <w:r>
          <w:rPr>
            <w:noProof/>
            <w:webHidden/>
          </w:rPr>
          <w:t>123</w:t>
        </w:r>
        <w:r w:rsidR="00D834E3">
          <w:rPr>
            <w:noProof/>
            <w:webHidden/>
          </w:rPr>
          <w:fldChar w:fldCharType="end"/>
        </w:r>
      </w:hyperlink>
    </w:p>
    <w:p w14:paraId="03A99AB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1" w:history="1">
        <w:r w:rsidR="00D834E3" w:rsidRPr="00FE2F89">
          <w:rPr>
            <w:rStyle w:val="Hyperlink"/>
            <w:noProof/>
          </w:rPr>
          <w:t>Table E.3</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Estimated number of services for other associated MBS items, over the first five years of the proposed MBS listing – Current funding arrangements</w:t>
        </w:r>
        <w:r w:rsidR="00D834E3">
          <w:rPr>
            <w:noProof/>
            <w:webHidden/>
          </w:rPr>
          <w:tab/>
        </w:r>
        <w:r w:rsidR="00D834E3">
          <w:rPr>
            <w:noProof/>
            <w:webHidden/>
          </w:rPr>
          <w:fldChar w:fldCharType="begin"/>
        </w:r>
        <w:r w:rsidR="00D834E3">
          <w:rPr>
            <w:noProof/>
            <w:webHidden/>
          </w:rPr>
          <w:instrText xml:space="preserve"> PAGEREF _Toc396211781 \h </w:instrText>
        </w:r>
        <w:r w:rsidR="00D834E3">
          <w:rPr>
            <w:noProof/>
            <w:webHidden/>
          </w:rPr>
        </w:r>
        <w:r w:rsidR="00D834E3">
          <w:rPr>
            <w:noProof/>
            <w:webHidden/>
          </w:rPr>
          <w:fldChar w:fldCharType="separate"/>
        </w:r>
        <w:r>
          <w:rPr>
            <w:noProof/>
            <w:webHidden/>
          </w:rPr>
          <w:t>124</w:t>
        </w:r>
        <w:r w:rsidR="00D834E3">
          <w:rPr>
            <w:noProof/>
            <w:webHidden/>
          </w:rPr>
          <w:fldChar w:fldCharType="end"/>
        </w:r>
      </w:hyperlink>
    </w:p>
    <w:p w14:paraId="1CA107EB"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2" w:history="1">
        <w:r w:rsidR="00D834E3" w:rsidRPr="00FE2F89">
          <w:rPr>
            <w:rStyle w:val="Hyperlink"/>
            <w:noProof/>
          </w:rPr>
          <w:t>Table E.3</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Incremental number of services for other associated MBS items, over the first five years of the proposed MBS listing</w:t>
        </w:r>
        <w:r w:rsidR="00D834E3">
          <w:rPr>
            <w:noProof/>
            <w:webHidden/>
          </w:rPr>
          <w:tab/>
        </w:r>
        <w:r w:rsidR="00D834E3">
          <w:rPr>
            <w:noProof/>
            <w:webHidden/>
          </w:rPr>
          <w:fldChar w:fldCharType="begin"/>
        </w:r>
        <w:r w:rsidR="00D834E3">
          <w:rPr>
            <w:noProof/>
            <w:webHidden/>
          </w:rPr>
          <w:instrText xml:space="preserve"> PAGEREF _Toc396211782 \h </w:instrText>
        </w:r>
        <w:r w:rsidR="00D834E3">
          <w:rPr>
            <w:noProof/>
            <w:webHidden/>
          </w:rPr>
        </w:r>
        <w:r w:rsidR="00D834E3">
          <w:rPr>
            <w:noProof/>
            <w:webHidden/>
          </w:rPr>
          <w:fldChar w:fldCharType="separate"/>
        </w:r>
        <w:r>
          <w:rPr>
            <w:noProof/>
            <w:webHidden/>
          </w:rPr>
          <w:t>125</w:t>
        </w:r>
        <w:r w:rsidR="00D834E3">
          <w:rPr>
            <w:noProof/>
            <w:webHidden/>
          </w:rPr>
          <w:fldChar w:fldCharType="end"/>
        </w:r>
      </w:hyperlink>
    </w:p>
    <w:p w14:paraId="68B98701"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3" w:history="1">
        <w:r w:rsidR="00D834E3" w:rsidRPr="00FE2F89">
          <w:rPr>
            <w:rStyle w:val="Hyperlink"/>
            <w:noProof/>
          </w:rPr>
          <w:t>Table E.3</w:t>
        </w:r>
        <w:r w:rsidR="00D834E3" w:rsidRPr="00FE2F89">
          <w:rPr>
            <w:rStyle w:val="Hyperlink"/>
            <w:noProof/>
          </w:rPr>
          <w:noBreakHyphen/>
          <w:t>4</w:t>
        </w:r>
        <w:r w:rsidR="00D834E3">
          <w:rPr>
            <w:rFonts w:asciiTheme="minorHAnsi" w:eastAsiaTheme="minorEastAsia" w:hAnsiTheme="minorHAnsi"/>
            <w:noProof/>
            <w:sz w:val="22"/>
            <w:lang w:eastAsia="en-AU"/>
          </w:rPr>
          <w:tab/>
        </w:r>
        <w:r w:rsidR="00D834E3" w:rsidRPr="00FE2F89">
          <w:rPr>
            <w:rStyle w:val="Hyperlink"/>
            <w:noProof/>
          </w:rPr>
          <w:t>Estimated cost of other associated MBS items, over the first five years of the proposed MBS listing – Proposed funding arrangements</w:t>
        </w:r>
        <w:r w:rsidR="00D834E3">
          <w:rPr>
            <w:noProof/>
            <w:webHidden/>
          </w:rPr>
          <w:tab/>
        </w:r>
        <w:r w:rsidR="00D834E3">
          <w:rPr>
            <w:noProof/>
            <w:webHidden/>
          </w:rPr>
          <w:fldChar w:fldCharType="begin"/>
        </w:r>
        <w:r w:rsidR="00D834E3">
          <w:rPr>
            <w:noProof/>
            <w:webHidden/>
          </w:rPr>
          <w:instrText xml:space="preserve"> PAGEREF _Toc396211783 \h </w:instrText>
        </w:r>
        <w:r w:rsidR="00D834E3">
          <w:rPr>
            <w:noProof/>
            <w:webHidden/>
          </w:rPr>
        </w:r>
        <w:r w:rsidR="00D834E3">
          <w:rPr>
            <w:noProof/>
            <w:webHidden/>
          </w:rPr>
          <w:fldChar w:fldCharType="separate"/>
        </w:r>
        <w:r>
          <w:rPr>
            <w:noProof/>
            <w:webHidden/>
          </w:rPr>
          <w:t>126</w:t>
        </w:r>
        <w:r w:rsidR="00D834E3">
          <w:rPr>
            <w:noProof/>
            <w:webHidden/>
          </w:rPr>
          <w:fldChar w:fldCharType="end"/>
        </w:r>
      </w:hyperlink>
    </w:p>
    <w:p w14:paraId="307D19E4"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4" w:history="1">
        <w:r w:rsidR="00D834E3" w:rsidRPr="00FE2F89">
          <w:rPr>
            <w:rStyle w:val="Hyperlink"/>
            <w:noProof/>
          </w:rPr>
          <w:t>Table E.4</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Estimated total cost to the MBS of second, expert opinion and associated services, over the first five years of the proposed MBS listing</w:t>
        </w:r>
        <w:r w:rsidR="00D834E3">
          <w:rPr>
            <w:noProof/>
            <w:webHidden/>
          </w:rPr>
          <w:tab/>
        </w:r>
        <w:r w:rsidR="00D834E3">
          <w:rPr>
            <w:noProof/>
            <w:webHidden/>
          </w:rPr>
          <w:fldChar w:fldCharType="begin"/>
        </w:r>
        <w:r w:rsidR="00D834E3">
          <w:rPr>
            <w:noProof/>
            <w:webHidden/>
          </w:rPr>
          <w:instrText xml:space="preserve"> PAGEREF _Toc396211784 \h </w:instrText>
        </w:r>
        <w:r w:rsidR="00D834E3">
          <w:rPr>
            <w:noProof/>
            <w:webHidden/>
          </w:rPr>
        </w:r>
        <w:r w:rsidR="00D834E3">
          <w:rPr>
            <w:noProof/>
            <w:webHidden/>
          </w:rPr>
          <w:fldChar w:fldCharType="separate"/>
        </w:r>
        <w:r>
          <w:rPr>
            <w:noProof/>
            <w:webHidden/>
          </w:rPr>
          <w:t>128</w:t>
        </w:r>
        <w:r w:rsidR="00D834E3">
          <w:rPr>
            <w:noProof/>
            <w:webHidden/>
          </w:rPr>
          <w:fldChar w:fldCharType="end"/>
        </w:r>
      </w:hyperlink>
    </w:p>
    <w:p w14:paraId="4A57023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5" w:history="1">
        <w:r w:rsidR="00D834E3" w:rsidRPr="00FE2F89">
          <w:rPr>
            <w:rStyle w:val="Hyperlink"/>
            <w:noProof/>
          </w:rPr>
          <w:t>Table E.4</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Summary of total incremental cost of second, expert opinion and associated services, over the first five years of the proposed MBS listing</w:t>
        </w:r>
        <w:r w:rsidR="00D834E3">
          <w:rPr>
            <w:noProof/>
            <w:webHidden/>
          </w:rPr>
          <w:tab/>
        </w:r>
        <w:r w:rsidR="00D834E3">
          <w:rPr>
            <w:noProof/>
            <w:webHidden/>
          </w:rPr>
          <w:fldChar w:fldCharType="begin"/>
        </w:r>
        <w:r w:rsidR="00D834E3">
          <w:rPr>
            <w:noProof/>
            <w:webHidden/>
          </w:rPr>
          <w:instrText xml:space="preserve"> PAGEREF _Toc396211785 \h </w:instrText>
        </w:r>
        <w:r w:rsidR="00D834E3">
          <w:rPr>
            <w:noProof/>
            <w:webHidden/>
          </w:rPr>
        </w:r>
        <w:r w:rsidR="00D834E3">
          <w:rPr>
            <w:noProof/>
            <w:webHidden/>
          </w:rPr>
          <w:fldChar w:fldCharType="separate"/>
        </w:r>
        <w:r>
          <w:rPr>
            <w:noProof/>
            <w:webHidden/>
          </w:rPr>
          <w:t>129</w:t>
        </w:r>
        <w:r w:rsidR="00D834E3">
          <w:rPr>
            <w:noProof/>
            <w:webHidden/>
          </w:rPr>
          <w:fldChar w:fldCharType="end"/>
        </w:r>
      </w:hyperlink>
    </w:p>
    <w:p w14:paraId="06FCCF4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6" w:history="1">
        <w:r w:rsidR="00D834E3" w:rsidRPr="00FE2F89">
          <w:rPr>
            <w:rStyle w:val="Hyperlink"/>
            <w:noProof/>
          </w:rPr>
          <w:t>Table E.6</w:t>
        </w:r>
        <w:r w:rsidR="00D834E3" w:rsidRPr="00FE2F89">
          <w:rPr>
            <w:rStyle w:val="Hyperlink"/>
            <w:noProof/>
          </w:rPr>
          <w:noBreakHyphen/>
          <w:t>1</w:t>
        </w:r>
        <w:r w:rsidR="00D834E3">
          <w:rPr>
            <w:rFonts w:asciiTheme="minorHAnsi" w:eastAsiaTheme="minorEastAsia" w:hAnsiTheme="minorHAnsi"/>
            <w:noProof/>
            <w:sz w:val="22"/>
            <w:lang w:eastAsia="en-AU"/>
          </w:rPr>
          <w:tab/>
        </w:r>
        <w:r w:rsidR="00D834E3" w:rsidRPr="00FE2F89">
          <w:rPr>
            <w:rStyle w:val="Hyperlink"/>
            <w:noProof/>
          </w:rPr>
          <w:t>Proportion of cases referred for second, expert opinion under the proposed funding arrangements – estimates used in sensitivity analyses</w:t>
        </w:r>
        <w:r w:rsidR="00D834E3">
          <w:rPr>
            <w:noProof/>
            <w:webHidden/>
          </w:rPr>
          <w:tab/>
        </w:r>
        <w:r w:rsidR="00D834E3">
          <w:rPr>
            <w:noProof/>
            <w:webHidden/>
          </w:rPr>
          <w:fldChar w:fldCharType="begin"/>
        </w:r>
        <w:r w:rsidR="00D834E3">
          <w:rPr>
            <w:noProof/>
            <w:webHidden/>
          </w:rPr>
          <w:instrText xml:space="preserve"> PAGEREF _Toc396211786 \h </w:instrText>
        </w:r>
        <w:r w:rsidR="00D834E3">
          <w:rPr>
            <w:noProof/>
            <w:webHidden/>
          </w:rPr>
        </w:r>
        <w:r w:rsidR="00D834E3">
          <w:rPr>
            <w:noProof/>
            <w:webHidden/>
          </w:rPr>
          <w:fldChar w:fldCharType="separate"/>
        </w:r>
        <w:r>
          <w:rPr>
            <w:noProof/>
            <w:webHidden/>
          </w:rPr>
          <w:t>131</w:t>
        </w:r>
        <w:r w:rsidR="00D834E3">
          <w:rPr>
            <w:noProof/>
            <w:webHidden/>
          </w:rPr>
          <w:fldChar w:fldCharType="end"/>
        </w:r>
      </w:hyperlink>
    </w:p>
    <w:p w14:paraId="2BA87B5C"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7" w:history="1">
        <w:r w:rsidR="00D834E3" w:rsidRPr="00FE2F89">
          <w:rPr>
            <w:rStyle w:val="Hyperlink"/>
            <w:noProof/>
          </w:rPr>
          <w:t>Table E.6</w:t>
        </w:r>
        <w:r w:rsidR="00D834E3" w:rsidRPr="00FE2F89">
          <w:rPr>
            <w:rStyle w:val="Hyperlink"/>
            <w:noProof/>
          </w:rPr>
          <w:noBreakHyphen/>
          <w:t>2</w:t>
        </w:r>
        <w:r w:rsidR="00D834E3">
          <w:rPr>
            <w:rFonts w:asciiTheme="minorHAnsi" w:eastAsiaTheme="minorEastAsia" w:hAnsiTheme="minorHAnsi"/>
            <w:noProof/>
            <w:sz w:val="22"/>
            <w:lang w:eastAsia="en-AU"/>
          </w:rPr>
          <w:tab/>
        </w:r>
        <w:r w:rsidR="00D834E3" w:rsidRPr="00FE2F89">
          <w:rPr>
            <w:rStyle w:val="Hyperlink"/>
            <w:noProof/>
          </w:rPr>
          <w:t>Estimated total incremental costs of the proposed and associated services over the first five years of the proposed MBS listing: Results of sensitivity analyses</w:t>
        </w:r>
        <w:r w:rsidR="00D834E3">
          <w:rPr>
            <w:noProof/>
            <w:webHidden/>
          </w:rPr>
          <w:tab/>
        </w:r>
        <w:r w:rsidR="00D834E3">
          <w:rPr>
            <w:noProof/>
            <w:webHidden/>
          </w:rPr>
          <w:fldChar w:fldCharType="begin"/>
        </w:r>
        <w:r w:rsidR="00D834E3">
          <w:rPr>
            <w:noProof/>
            <w:webHidden/>
          </w:rPr>
          <w:instrText xml:space="preserve"> PAGEREF _Toc396211787 \h </w:instrText>
        </w:r>
        <w:r w:rsidR="00D834E3">
          <w:rPr>
            <w:noProof/>
            <w:webHidden/>
          </w:rPr>
        </w:r>
        <w:r w:rsidR="00D834E3">
          <w:rPr>
            <w:noProof/>
            <w:webHidden/>
          </w:rPr>
          <w:fldChar w:fldCharType="separate"/>
        </w:r>
        <w:r>
          <w:rPr>
            <w:noProof/>
            <w:webHidden/>
          </w:rPr>
          <w:t>132</w:t>
        </w:r>
        <w:r w:rsidR="00D834E3">
          <w:rPr>
            <w:noProof/>
            <w:webHidden/>
          </w:rPr>
          <w:fldChar w:fldCharType="end"/>
        </w:r>
      </w:hyperlink>
    </w:p>
    <w:p w14:paraId="79914479"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88" w:history="1">
        <w:r w:rsidR="00D834E3" w:rsidRPr="00FE2F89">
          <w:rPr>
            <w:rStyle w:val="Hyperlink"/>
            <w:noProof/>
          </w:rPr>
          <w:t>Table E.6</w:t>
        </w:r>
        <w:r w:rsidR="00D834E3" w:rsidRPr="00FE2F89">
          <w:rPr>
            <w:rStyle w:val="Hyperlink"/>
            <w:noProof/>
          </w:rPr>
          <w:noBreakHyphen/>
          <w:t>3</w:t>
        </w:r>
        <w:r w:rsidR="00D834E3">
          <w:rPr>
            <w:rFonts w:asciiTheme="minorHAnsi" w:eastAsiaTheme="minorEastAsia" w:hAnsiTheme="minorHAnsi"/>
            <w:noProof/>
            <w:sz w:val="22"/>
            <w:lang w:eastAsia="en-AU"/>
          </w:rPr>
          <w:tab/>
        </w:r>
        <w:r w:rsidR="00D834E3" w:rsidRPr="00FE2F89">
          <w:rPr>
            <w:rStyle w:val="Hyperlink"/>
            <w:noProof/>
          </w:rPr>
          <w:t>Estimated total incremental costs of the proposed and associated services over the first five years of the proposed MBS listing: Results of sensitivity analysis</w:t>
        </w:r>
        <w:r w:rsidR="00D834E3">
          <w:rPr>
            <w:noProof/>
            <w:webHidden/>
          </w:rPr>
          <w:tab/>
        </w:r>
        <w:r w:rsidR="00D834E3">
          <w:rPr>
            <w:noProof/>
            <w:webHidden/>
          </w:rPr>
          <w:fldChar w:fldCharType="begin"/>
        </w:r>
        <w:r w:rsidR="00D834E3">
          <w:rPr>
            <w:noProof/>
            <w:webHidden/>
          </w:rPr>
          <w:instrText xml:space="preserve"> PAGEREF _Toc396211788 \h </w:instrText>
        </w:r>
        <w:r w:rsidR="00D834E3">
          <w:rPr>
            <w:noProof/>
            <w:webHidden/>
          </w:rPr>
        </w:r>
        <w:r w:rsidR="00D834E3">
          <w:rPr>
            <w:noProof/>
            <w:webHidden/>
          </w:rPr>
          <w:fldChar w:fldCharType="separate"/>
        </w:r>
        <w:r>
          <w:rPr>
            <w:noProof/>
            <w:webHidden/>
          </w:rPr>
          <w:t>133</w:t>
        </w:r>
        <w:r w:rsidR="00D834E3">
          <w:rPr>
            <w:noProof/>
            <w:webHidden/>
          </w:rPr>
          <w:fldChar w:fldCharType="end"/>
        </w:r>
      </w:hyperlink>
    </w:p>
    <w:p w14:paraId="3B921E6F" w14:textId="77777777" w:rsidR="00B51828" w:rsidRPr="00F3726C" w:rsidRDefault="00B51828" w:rsidP="002101D2">
      <w:pPr>
        <w:rPr>
          <w:highlight w:val="yellow"/>
        </w:rPr>
      </w:pPr>
      <w:r>
        <w:rPr>
          <w:highlight w:val="yellow"/>
        </w:rPr>
        <w:fldChar w:fldCharType="end"/>
      </w:r>
    </w:p>
    <w:p w14:paraId="6FA655F3" w14:textId="77777777" w:rsidR="00B51828" w:rsidRPr="00AF356E" w:rsidRDefault="00B51828" w:rsidP="002101D2">
      <w:pPr>
        <w:rPr>
          <w:highlight w:val="yellow"/>
        </w:rPr>
      </w:pPr>
      <w:r w:rsidRPr="00AF356E">
        <w:rPr>
          <w:highlight w:val="yellow"/>
        </w:rPr>
        <w:br w:type="page"/>
      </w:r>
    </w:p>
    <w:p w14:paraId="5B3C2C02" w14:textId="77777777" w:rsidR="00B51828" w:rsidRPr="00E5076E" w:rsidRDefault="00B51828" w:rsidP="002101D2">
      <w:pPr>
        <w:pStyle w:val="Heading1"/>
        <w:ind w:left="851" w:hanging="851"/>
      </w:pPr>
      <w:bookmarkStart w:id="3" w:name="_Toc396211677"/>
      <w:r w:rsidRPr="00E5076E">
        <w:lastRenderedPageBreak/>
        <w:t>List of figures</w:t>
      </w:r>
      <w:bookmarkEnd w:id="3"/>
    </w:p>
    <w:p w14:paraId="5AF1D067" w14:textId="77777777" w:rsidR="00D834E3" w:rsidRDefault="00B51828">
      <w:pPr>
        <w:pStyle w:val="TableofFigures"/>
        <w:tabs>
          <w:tab w:val="left" w:pos="2160"/>
          <w:tab w:val="right" w:leader="dot" w:pos="9016"/>
        </w:tabs>
        <w:rPr>
          <w:rFonts w:asciiTheme="minorHAnsi" w:eastAsiaTheme="minorEastAsia" w:hAnsiTheme="minorHAnsi"/>
          <w:noProof/>
          <w:sz w:val="22"/>
          <w:lang w:eastAsia="en-AU"/>
        </w:rPr>
      </w:pPr>
      <w:r>
        <w:rPr>
          <w:highlight w:val="yellow"/>
        </w:rPr>
        <w:fldChar w:fldCharType="begin"/>
      </w:r>
      <w:r>
        <w:rPr>
          <w:highlight w:val="yellow"/>
        </w:rPr>
        <w:instrText xml:space="preserve"> TOC \h \z \c "Figure" </w:instrText>
      </w:r>
      <w:r>
        <w:rPr>
          <w:highlight w:val="yellow"/>
        </w:rPr>
        <w:fldChar w:fldCharType="separate"/>
      </w:r>
      <w:hyperlink w:anchor="_Toc396211789" w:history="1">
        <w:r w:rsidR="00D834E3" w:rsidRPr="00AC22E3">
          <w:rPr>
            <w:rStyle w:val="Hyperlink"/>
            <w:noProof/>
          </w:rPr>
          <w:t>Figure A</w:t>
        </w:r>
        <w:r w:rsidR="00D834E3" w:rsidRPr="00AC22E3">
          <w:rPr>
            <w:rStyle w:val="Hyperlink"/>
            <w:noProof/>
          </w:rPr>
          <w:noBreakHyphen/>
          <w:t>1</w:t>
        </w:r>
        <w:r w:rsidR="00D834E3">
          <w:rPr>
            <w:rFonts w:asciiTheme="minorHAnsi" w:eastAsiaTheme="minorEastAsia" w:hAnsiTheme="minorHAnsi"/>
            <w:noProof/>
            <w:sz w:val="22"/>
            <w:lang w:eastAsia="en-AU"/>
          </w:rPr>
          <w:tab/>
        </w:r>
        <w:r w:rsidR="00D834E3" w:rsidRPr="00AC22E3">
          <w:rPr>
            <w:rStyle w:val="Hyperlink"/>
            <w:noProof/>
          </w:rPr>
          <w:t>Clinical management algorithm depicting current scenario (no second opinion funded)</w:t>
        </w:r>
        <w:r w:rsidR="00D834E3">
          <w:rPr>
            <w:noProof/>
            <w:webHidden/>
          </w:rPr>
          <w:tab/>
        </w:r>
        <w:r w:rsidR="00D834E3">
          <w:rPr>
            <w:noProof/>
            <w:webHidden/>
          </w:rPr>
          <w:fldChar w:fldCharType="begin"/>
        </w:r>
        <w:r w:rsidR="00D834E3">
          <w:rPr>
            <w:noProof/>
            <w:webHidden/>
          </w:rPr>
          <w:instrText xml:space="preserve"> PAGEREF _Toc396211789 \h </w:instrText>
        </w:r>
        <w:r w:rsidR="00D834E3">
          <w:rPr>
            <w:noProof/>
            <w:webHidden/>
          </w:rPr>
        </w:r>
        <w:r w:rsidR="00D834E3">
          <w:rPr>
            <w:noProof/>
            <w:webHidden/>
          </w:rPr>
          <w:fldChar w:fldCharType="separate"/>
        </w:r>
        <w:r w:rsidR="0044620B">
          <w:rPr>
            <w:noProof/>
            <w:webHidden/>
          </w:rPr>
          <w:t>39</w:t>
        </w:r>
        <w:r w:rsidR="00D834E3">
          <w:rPr>
            <w:noProof/>
            <w:webHidden/>
          </w:rPr>
          <w:fldChar w:fldCharType="end"/>
        </w:r>
      </w:hyperlink>
    </w:p>
    <w:p w14:paraId="09D4F895"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90" w:history="1">
        <w:r w:rsidR="00D834E3" w:rsidRPr="00AC22E3">
          <w:rPr>
            <w:rStyle w:val="Hyperlink"/>
            <w:noProof/>
          </w:rPr>
          <w:t>Figure A</w:t>
        </w:r>
        <w:r w:rsidR="00D834E3" w:rsidRPr="00AC22E3">
          <w:rPr>
            <w:rStyle w:val="Hyperlink"/>
            <w:noProof/>
          </w:rPr>
          <w:noBreakHyphen/>
          <w:t>2</w:t>
        </w:r>
        <w:r w:rsidR="00D834E3">
          <w:rPr>
            <w:rFonts w:asciiTheme="minorHAnsi" w:eastAsiaTheme="minorEastAsia" w:hAnsiTheme="minorHAnsi"/>
            <w:noProof/>
            <w:sz w:val="22"/>
            <w:lang w:eastAsia="en-AU"/>
          </w:rPr>
          <w:tab/>
        </w:r>
        <w:r w:rsidR="00D834E3" w:rsidRPr="00AC22E3">
          <w:rPr>
            <w:rStyle w:val="Hyperlink"/>
            <w:noProof/>
          </w:rPr>
          <w:t>Clinical management algorithm including proposed MBS item for second pathology opinion (</w:t>
        </w:r>
        <w:r w:rsidR="00D834E3" w:rsidRPr="00AC22E3">
          <w:rPr>
            <w:rStyle w:val="Hyperlink"/>
            <w:i/>
            <w:noProof/>
          </w:rPr>
          <w:t>Scenario 1</w:t>
        </w:r>
        <w:r w:rsidR="00D834E3" w:rsidRPr="00AC22E3">
          <w:rPr>
            <w:rStyle w:val="Hyperlink"/>
            <w:noProof/>
          </w:rPr>
          <w:t>)</w:t>
        </w:r>
        <w:r w:rsidR="00D834E3">
          <w:rPr>
            <w:noProof/>
            <w:webHidden/>
          </w:rPr>
          <w:tab/>
        </w:r>
        <w:r w:rsidR="00D834E3">
          <w:rPr>
            <w:noProof/>
            <w:webHidden/>
          </w:rPr>
          <w:fldChar w:fldCharType="begin"/>
        </w:r>
        <w:r w:rsidR="00D834E3">
          <w:rPr>
            <w:noProof/>
            <w:webHidden/>
          </w:rPr>
          <w:instrText xml:space="preserve"> PAGEREF _Toc396211790 \h </w:instrText>
        </w:r>
        <w:r w:rsidR="00D834E3">
          <w:rPr>
            <w:noProof/>
            <w:webHidden/>
          </w:rPr>
        </w:r>
        <w:r w:rsidR="00D834E3">
          <w:rPr>
            <w:noProof/>
            <w:webHidden/>
          </w:rPr>
          <w:fldChar w:fldCharType="separate"/>
        </w:r>
        <w:r>
          <w:rPr>
            <w:noProof/>
            <w:webHidden/>
          </w:rPr>
          <w:t>40</w:t>
        </w:r>
        <w:r w:rsidR="00D834E3">
          <w:rPr>
            <w:noProof/>
            <w:webHidden/>
          </w:rPr>
          <w:fldChar w:fldCharType="end"/>
        </w:r>
      </w:hyperlink>
    </w:p>
    <w:p w14:paraId="4A511497"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91" w:history="1">
        <w:r w:rsidR="00D834E3" w:rsidRPr="00AC22E3">
          <w:rPr>
            <w:rStyle w:val="Hyperlink"/>
            <w:noProof/>
          </w:rPr>
          <w:t>Figure A</w:t>
        </w:r>
        <w:r w:rsidR="00D834E3" w:rsidRPr="00AC22E3">
          <w:rPr>
            <w:rStyle w:val="Hyperlink"/>
            <w:noProof/>
          </w:rPr>
          <w:noBreakHyphen/>
          <w:t>3</w:t>
        </w:r>
        <w:r w:rsidR="00D834E3">
          <w:rPr>
            <w:rFonts w:asciiTheme="minorHAnsi" w:eastAsiaTheme="minorEastAsia" w:hAnsiTheme="minorHAnsi"/>
            <w:noProof/>
            <w:sz w:val="22"/>
            <w:lang w:eastAsia="en-AU"/>
          </w:rPr>
          <w:tab/>
        </w:r>
        <w:r w:rsidR="00D834E3" w:rsidRPr="00AC22E3">
          <w:rPr>
            <w:rStyle w:val="Hyperlink"/>
            <w:noProof/>
          </w:rPr>
          <w:t>Clinical management algorithm including proposed MBS item for second pathology opinion (</w:t>
        </w:r>
        <w:r w:rsidR="00D834E3" w:rsidRPr="00AC22E3">
          <w:rPr>
            <w:rStyle w:val="Hyperlink"/>
            <w:i/>
            <w:noProof/>
          </w:rPr>
          <w:t>Scenario 2</w:t>
        </w:r>
        <w:r w:rsidR="00D834E3" w:rsidRPr="00AC22E3">
          <w:rPr>
            <w:rStyle w:val="Hyperlink"/>
            <w:noProof/>
          </w:rPr>
          <w:t>)</w:t>
        </w:r>
        <w:r w:rsidR="00D834E3">
          <w:rPr>
            <w:noProof/>
            <w:webHidden/>
          </w:rPr>
          <w:tab/>
        </w:r>
        <w:r w:rsidR="00D834E3">
          <w:rPr>
            <w:noProof/>
            <w:webHidden/>
          </w:rPr>
          <w:fldChar w:fldCharType="begin"/>
        </w:r>
        <w:r w:rsidR="00D834E3">
          <w:rPr>
            <w:noProof/>
            <w:webHidden/>
          </w:rPr>
          <w:instrText xml:space="preserve"> PAGEREF _Toc396211791 \h </w:instrText>
        </w:r>
        <w:r w:rsidR="00D834E3">
          <w:rPr>
            <w:noProof/>
            <w:webHidden/>
          </w:rPr>
        </w:r>
        <w:r w:rsidR="00D834E3">
          <w:rPr>
            <w:noProof/>
            <w:webHidden/>
          </w:rPr>
          <w:fldChar w:fldCharType="separate"/>
        </w:r>
        <w:r>
          <w:rPr>
            <w:noProof/>
            <w:webHidden/>
          </w:rPr>
          <w:t>41</w:t>
        </w:r>
        <w:r w:rsidR="00D834E3">
          <w:rPr>
            <w:noProof/>
            <w:webHidden/>
          </w:rPr>
          <w:fldChar w:fldCharType="end"/>
        </w:r>
      </w:hyperlink>
    </w:p>
    <w:p w14:paraId="238FC1FE" w14:textId="77777777" w:rsidR="00D834E3" w:rsidRDefault="0044620B">
      <w:pPr>
        <w:pStyle w:val="TableofFigures"/>
        <w:tabs>
          <w:tab w:val="left" w:pos="2160"/>
          <w:tab w:val="right" w:leader="dot" w:pos="9016"/>
        </w:tabs>
        <w:rPr>
          <w:rFonts w:asciiTheme="minorHAnsi" w:eastAsiaTheme="minorEastAsia" w:hAnsiTheme="minorHAnsi"/>
          <w:noProof/>
          <w:sz w:val="22"/>
          <w:lang w:eastAsia="en-AU"/>
        </w:rPr>
      </w:pPr>
      <w:hyperlink w:anchor="_Toc396211792" w:history="1">
        <w:r w:rsidR="00D834E3" w:rsidRPr="00AC22E3">
          <w:rPr>
            <w:rStyle w:val="Hyperlink"/>
            <w:noProof/>
          </w:rPr>
          <w:t>Figure D</w:t>
        </w:r>
        <w:r w:rsidR="00D834E3" w:rsidRPr="00AC22E3">
          <w:rPr>
            <w:rStyle w:val="Hyperlink"/>
            <w:noProof/>
          </w:rPr>
          <w:noBreakHyphen/>
          <w:t>1</w:t>
        </w:r>
        <w:r w:rsidR="00D834E3">
          <w:rPr>
            <w:rFonts w:asciiTheme="minorHAnsi" w:eastAsiaTheme="minorEastAsia" w:hAnsiTheme="minorHAnsi"/>
            <w:noProof/>
            <w:sz w:val="22"/>
            <w:lang w:eastAsia="en-AU"/>
          </w:rPr>
          <w:tab/>
        </w:r>
        <w:r w:rsidR="00D834E3" w:rsidRPr="00AC22E3">
          <w:rPr>
            <w:rStyle w:val="Hyperlink"/>
            <w:noProof/>
          </w:rPr>
          <w:t>Decision tree summarising structure of the economic evaluation</w:t>
        </w:r>
        <w:r w:rsidR="00D834E3">
          <w:rPr>
            <w:noProof/>
            <w:webHidden/>
          </w:rPr>
          <w:tab/>
        </w:r>
        <w:r w:rsidR="00D834E3">
          <w:rPr>
            <w:noProof/>
            <w:webHidden/>
          </w:rPr>
          <w:fldChar w:fldCharType="begin"/>
        </w:r>
        <w:r w:rsidR="00D834E3">
          <w:rPr>
            <w:noProof/>
            <w:webHidden/>
          </w:rPr>
          <w:instrText xml:space="preserve"> PAGEREF _Toc396211792 \h </w:instrText>
        </w:r>
        <w:r w:rsidR="00D834E3">
          <w:rPr>
            <w:noProof/>
            <w:webHidden/>
          </w:rPr>
        </w:r>
        <w:r w:rsidR="00D834E3">
          <w:rPr>
            <w:noProof/>
            <w:webHidden/>
          </w:rPr>
          <w:fldChar w:fldCharType="separate"/>
        </w:r>
        <w:r>
          <w:rPr>
            <w:noProof/>
            <w:webHidden/>
          </w:rPr>
          <w:t>96</w:t>
        </w:r>
        <w:r w:rsidR="00D834E3">
          <w:rPr>
            <w:noProof/>
            <w:webHidden/>
          </w:rPr>
          <w:fldChar w:fldCharType="end"/>
        </w:r>
      </w:hyperlink>
    </w:p>
    <w:p w14:paraId="63113C8A" w14:textId="77777777" w:rsidR="00B51828" w:rsidRPr="00F3726C" w:rsidRDefault="00B51828" w:rsidP="002101D2">
      <w:pPr>
        <w:rPr>
          <w:highlight w:val="yellow"/>
        </w:rPr>
      </w:pPr>
      <w:r>
        <w:rPr>
          <w:highlight w:val="yellow"/>
        </w:rPr>
        <w:fldChar w:fldCharType="end"/>
      </w:r>
    </w:p>
    <w:p w14:paraId="274C594B" w14:textId="77777777" w:rsidR="00B51828" w:rsidRDefault="00B51828" w:rsidP="002101D2">
      <w:pPr>
        <w:pStyle w:val="Heading1"/>
        <w:ind w:left="851" w:hanging="851"/>
      </w:pPr>
      <w:bookmarkStart w:id="4" w:name="_Toc396211678"/>
      <w:r>
        <w:lastRenderedPageBreak/>
        <w:t>Abbreviations</w:t>
      </w:r>
      <w:bookmarkEnd w:id="1"/>
      <w:bookmarkEnd w:id="4"/>
    </w:p>
    <w:p w14:paraId="5ECA11E8" w14:textId="171D76A1" w:rsidR="0053366E" w:rsidRDefault="0053366E" w:rsidP="002101D2">
      <w:r>
        <w:t>APA</w:t>
      </w:r>
      <w:r>
        <w:tab/>
      </w:r>
      <w:r>
        <w:tab/>
      </w:r>
      <w:r w:rsidRPr="0053366E">
        <w:t>Approved Pathology Authority</w:t>
      </w:r>
    </w:p>
    <w:p w14:paraId="091DD8E9" w14:textId="1DCE259A" w:rsidR="0053366E" w:rsidRDefault="0053366E" w:rsidP="002101D2">
      <w:r>
        <w:t>APP</w:t>
      </w:r>
      <w:r>
        <w:tab/>
      </w:r>
      <w:r>
        <w:tab/>
      </w:r>
      <w:r w:rsidRPr="0053366E">
        <w:t>Approved Pathology Practitioners</w:t>
      </w:r>
    </w:p>
    <w:p w14:paraId="66EC0718" w14:textId="2501CBAA" w:rsidR="0053366E" w:rsidRDefault="0053366E" w:rsidP="002101D2">
      <w:r>
        <w:t>CAP</w:t>
      </w:r>
      <w:r>
        <w:tab/>
      </w:r>
      <w:r>
        <w:tab/>
      </w:r>
      <w:r w:rsidRPr="0053366E">
        <w:t>College of American Pathologists</w:t>
      </w:r>
    </w:p>
    <w:p w14:paraId="240FAE9E" w14:textId="77777777" w:rsidR="00B51828" w:rsidRDefault="00B51828" w:rsidP="002101D2">
      <w:r>
        <w:t>EEO</w:t>
      </w:r>
      <w:r>
        <w:tab/>
      </w:r>
      <w:r>
        <w:tab/>
        <w:t>external expert opinion</w:t>
      </w:r>
    </w:p>
    <w:p w14:paraId="26ADDB7E" w14:textId="45D645F2" w:rsidR="0053366E" w:rsidRDefault="0053366E" w:rsidP="002101D2">
      <w:r>
        <w:t>EMSN</w:t>
      </w:r>
      <w:r w:rsidR="00E7540C">
        <w:tab/>
      </w:r>
      <w:r w:rsidR="00E7540C">
        <w:tab/>
      </w:r>
      <w:r w:rsidR="00E7540C" w:rsidRPr="00E7540C">
        <w:t>Extended Medicare Safety Net</w:t>
      </w:r>
    </w:p>
    <w:p w14:paraId="08AAA5DD" w14:textId="77777777" w:rsidR="00B51828" w:rsidRDefault="00B51828" w:rsidP="002101D2">
      <w:r>
        <w:t>HESP</w:t>
      </w:r>
      <w:r>
        <w:tab/>
      </w:r>
      <w:r>
        <w:tab/>
        <w:t>Health Expert Standing Panel</w:t>
      </w:r>
    </w:p>
    <w:p w14:paraId="15A9C72F" w14:textId="77777777" w:rsidR="00B51828" w:rsidRDefault="00B51828" w:rsidP="002101D2">
      <w:r>
        <w:t>HTA</w:t>
      </w:r>
      <w:r>
        <w:tab/>
      </w:r>
      <w:r>
        <w:tab/>
        <w:t>Health Technology Assessment</w:t>
      </w:r>
    </w:p>
    <w:p w14:paraId="2D4B1CE2" w14:textId="77777777" w:rsidR="00B51828" w:rsidRPr="00F6084B" w:rsidRDefault="00B51828" w:rsidP="002101D2">
      <w:r w:rsidRPr="00F6084B">
        <w:t>ICC</w:t>
      </w:r>
      <w:r w:rsidRPr="00F6084B">
        <w:tab/>
      </w:r>
      <w:r w:rsidRPr="00F6084B">
        <w:tab/>
        <w:t>immunocytochemistry</w:t>
      </w:r>
    </w:p>
    <w:p w14:paraId="359FD688" w14:textId="77777777" w:rsidR="00B51828" w:rsidRPr="00F6084B" w:rsidRDefault="00B51828" w:rsidP="002101D2">
      <w:r w:rsidRPr="00F6084B">
        <w:t>ICER</w:t>
      </w:r>
      <w:r w:rsidRPr="00F6084B">
        <w:tab/>
      </w:r>
      <w:r w:rsidRPr="00F6084B">
        <w:tab/>
        <w:t>incremental cost-effectiveness ratio</w:t>
      </w:r>
    </w:p>
    <w:p w14:paraId="4FF5DD5F" w14:textId="77777777" w:rsidR="00B51828" w:rsidRPr="00F6084B" w:rsidRDefault="00B51828" w:rsidP="002101D2">
      <w:r w:rsidRPr="00F6084B">
        <w:t>IHC</w:t>
      </w:r>
      <w:r w:rsidRPr="00F6084B">
        <w:tab/>
      </w:r>
      <w:r w:rsidRPr="00F6084B">
        <w:tab/>
        <w:t>immunohistochemistry</w:t>
      </w:r>
    </w:p>
    <w:p w14:paraId="44D4B1CD" w14:textId="4D86F977" w:rsidR="0053366E" w:rsidRDefault="0053366E" w:rsidP="002101D2">
      <w:r>
        <w:t>LSG</w:t>
      </w:r>
      <w:r w:rsidR="00E7540C">
        <w:tab/>
      </w:r>
      <w:r w:rsidR="00E7540C">
        <w:tab/>
        <w:t>l</w:t>
      </w:r>
      <w:r w:rsidR="00E7540C" w:rsidRPr="00E7540C">
        <w:t>abial salivary gland</w:t>
      </w:r>
    </w:p>
    <w:p w14:paraId="263A67AB" w14:textId="77777777" w:rsidR="00B51828" w:rsidRPr="00F6084B" w:rsidRDefault="00B51828" w:rsidP="002101D2">
      <w:r w:rsidRPr="00F6084B">
        <w:t>MBS</w:t>
      </w:r>
      <w:r w:rsidRPr="00F6084B">
        <w:tab/>
      </w:r>
      <w:r w:rsidRPr="00F6084B">
        <w:tab/>
        <w:t>Medicare Benefits Schedule</w:t>
      </w:r>
    </w:p>
    <w:p w14:paraId="29A7E303" w14:textId="77777777" w:rsidR="00B51828" w:rsidRPr="00F6084B" w:rsidRDefault="00B51828" w:rsidP="002101D2">
      <w:r w:rsidRPr="00F6084B">
        <w:t>MSAC</w:t>
      </w:r>
      <w:r w:rsidRPr="00F6084B">
        <w:tab/>
      </w:r>
      <w:r w:rsidRPr="00F6084B">
        <w:tab/>
        <w:t>Medical Services Advisory Committee</w:t>
      </w:r>
    </w:p>
    <w:p w14:paraId="51FA00AE" w14:textId="201C03E1" w:rsidR="0053366E" w:rsidRDefault="0053366E" w:rsidP="0053366E">
      <w:r>
        <w:t>NATA</w:t>
      </w:r>
      <w:r w:rsidR="00E7540C">
        <w:tab/>
      </w:r>
      <w:r w:rsidR="00E7540C">
        <w:tab/>
      </w:r>
      <w:r w:rsidR="00E7540C" w:rsidRPr="00E7540C">
        <w:t>National Association of Testing Authorities</w:t>
      </w:r>
    </w:p>
    <w:p w14:paraId="28BCC667" w14:textId="38E823D6" w:rsidR="00B51828" w:rsidRDefault="0053366E" w:rsidP="002101D2">
      <w:r>
        <w:t>NCSP</w:t>
      </w:r>
      <w:r w:rsidR="00E7540C">
        <w:tab/>
      </w:r>
      <w:r w:rsidR="00E7540C">
        <w:tab/>
      </w:r>
      <w:r w:rsidR="00E7540C" w:rsidRPr="00E7540C">
        <w:t>National Cervical Screening Program</w:t>
      </w:r>
    </w:p>
    <w:p w14:paraId="2D3522B4" w14:textId="04E63875" w:rsidR="0053366E" w:rsidRPr="00F6084B" w:rsidRDefault="0053366E" w:rsidP="002101D2">
      <w:r>
        <w:t>NHS</w:t>
      </w:r>
      <w:r w:rsidR="00E7540C">
        <w:tab/>
      </w:r>
      <w:r w:rsidR="00E7540C">
        <w:tab/>
      </w:r>
      <w:r w:rsidR="00E7540C" w:rsidRPr="00E7540C">
        <w:t>National Health Service</w:t>
      </w:r>
    </w:p>
    <w:p w14:paraId="6D142EDD" w14:textId="77777777" w:rsidR="00B51828" w:rsidRPr="00F6084B" w:rsidRDefault="00B51828" w:rsidP="002101D2">
      <w:r w:rsidRPr="00F6084B">
        <w:t>PASC</w:t>
      </w:r>
      <w:r w:rsidRPr="00F6084B">
        <w:tab/>
      </w:r>
      <w:r w:rsidRPr="00F6084B">
        <w:tab/>
        <w:t>Protocol Advisory Sub-Committee</w:t>
      </w:r>
    </w:p>
    <w:p w14:paraId="3A56BF22" w14:textId="77777777" w:rsidR="00B51828" w:rsidRPr="00F6084B" w:rsidRDefault="00B51828" w:rsidP="002101D2">
      <w:r w:rsidRPr="00F6084B">
        <w:t>PICO</w:t>
      </w:r>
      <w:r w:rsidRPr="00F6084B">
        <w:tab/>
      </w:r>
      <w:r w:rsidRPr="00F6084B">
        <w:tab/>
        <w:t>population, intervention, comparator, outcomes</w:t>
      </w:r>
    </w:p>
    <w:p w14:paraId="2CEF5617" w14:textId="77777777" w:rsidR="00B51828" w:rsidRPr="00F6084B" w:rsidRDefault="00B51828" w:rsidP="002101D2">
      <w:r w:rsidRPr="00F6084B">
        <w:t>QALY</w:t>
      </w:r>
      <w:r w:rsidRPr="00F6084B">
        <w:tab/>
      </w:r>
      <w:r w:rsidRPr="00F6084B">
        <w:tab/>
        <w:t>quality-adjusted life year</w:t>
      </w:r>
    </w:p>
    <w:p w14:paraId="74C688EB" w14:textId="77777777" w:rsidR="00B51828" w:rsidRPr="00F6084B" w:rsidRDefault="00B51828" w:rsidP="002101D2">
      <w:r w:rsidRPr="00F6084B">
        <w:t>RCPA</w:t>
      </w:r>
      <w:r w:rsidRPr="00F6084B">
        <w:tab/>
      </w:r>
      <w:r w:rsidRPr="00F6084B">
        <w:tab/>
        <w:t xml:space="preserve">The Royal College of Pathologists Australasia </w:t>
      </w:r>
    </w:p>
    <w:p w14:paraId="5C5EF010" w14:textId="77777777" w:rsidR="00B51828" w:rsidRPr="00F6084B" w:rsidRDefault="00B51828" w:rsidP="002101D2">
      <w:r w:rsidRPr="00F6084B">
        <w:t>SO</w:t>
      </w:r>
      <w:r w:rsidRPr="00F6084B">
        <w:tab/>
      </w:r>
      <w:r w:rsidRPr="00F6084B">
        <w:tab/>
        <w:t>second opinion</w:t>
      </w:r>
    </w:p>
    <w:p w14:paraId="1E6E94C6" w14:textId="05B558F0" w:rsidR="0053366E" w:rsidRDefault="0053366E" w:rsidP="002101D2">
      <w:r>
        <w:t>UK</w:t>
      </w:r>
      <w:r w:rsidR="00E7540C">
        <w:tab/>
      </w:r>
      <w:r w:rsidR="00E7540C">
        <w:tab/>
      </w:r>
      <w:r w:rsidR="00E7540C" w:rsidRPr="00E7540C">
        <w:t>United Kingdom</w:t>
      </w:r>
    </w:p>
    <w:p w14:paraId="64E03C01" w14:textId="77777777" w:rsidR="00B51828" w:rsidRPr="000172DE" w:rsidRDefault="00B51828" w:rsidP="002101D2"/>
    <w:p w14:paraId="096AE5FB" w14:textId="77777777" w:rsidR="00B51828" w:rsidRDefault="00B51828" w:rsidP="002101D2">
      <w:pPr>
        <w:pStyle w:val="Nonumberheading"/>
        <w:sectPr w:rsidR="00B51828" w:rsidSect="002101D2">
          <w:footerReference w:type="default" r:id="rId11"/>
          <w:pgSz w:w="11906" w:h="16838" w:code="9"/>
          <w:pgMar w:top="1440" w:right="1440" w:bottom="1440" w:left="1440" w:header="680" w:footer="1021" w:gutter="0"/>
          <w:cols w:space="708"/>
          <w:docGrid w:linePitch="360"/>
        </w:sectPr>
      </w:pPr>
    </w:p>
    <w:p w14:paraId="65058C13" w14:textId="77777777" w:rsidR="00B51828" w:rsidRDefault="00B51828" w:rsidP="002101D2">
      <w:pPr>
        <w:pStyle w:val="Heading1"/>
        <w:ind w:left="851" w:hanging="851"/>
      </w:pPr>
      <w:bookmarkStart w:id="7" w:name="_Toc382219918"/>
      <w:bookmarkStart w:id="8" w:name="_Toc396211679"/>
      <w:r>
        <w:lastRenderedPageBreak/>
        <w:t>Executive summary</w:t>
      </w:r>
      <w:bookmarkEnd w:id="7"/>
      <w:bookmarkEnd w:id="8"/>
    </w:p>
    <w:p w14:paraId="20DB9018"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8"/>
          <w:szCs w:val="28"/>
        </w:rPr>
      </w:pPr>
      <w:bookmarkStart w:id="9" w:name="_Toc382219919"/>
      <w:r w:rsidRPr="006E5544">
        <w:rPr>
          <w:rFonts w:ascii="Tahoma" w:eastAsiaTheme="majorEastAsia" w:hAnsi="Tahoma" w:cstheme="majorBidi"/>
          <w:b/>
          <w:sz w:val="28"/>
          <w:szCs w:val="28"/>
        </w:rPr>
        <w:t xml:space="preserve">Assessment of </w:t>
      </w:r>
      <w:bookmarkEnd w:id="9"/>
      <w:r w:rsidRPr="006E5544">
        <w:rPr>
          <w:rFonts w:ascii="Tahoma" w:eastAsiaTheme="majorEastAsia" w:hAnsi="Tahoma" w:cstheme="majorBidi"/>
          <w:b/>
          <w:sz w:val="28"/>
          <w:szCs w:val="28"/>
        </w:rPr>
        <w:t>external expert opinions for morphological pathology (histology and cytopathology)</w:t>
      </w:r>
    </w:p>
    <w:p w14:paraId="22339E5F" w14:textId="77777777" w:rsidR="00B51828" w:rsidRPr="004D06BC" w:rsidRDefault="00B51828" w:rsidP="004D06BC">
      <w:pPr>
        <w:rPr>
          <w:rFonts w:ascii="Tahoma" w:hAnsi="Tahoma" w:cs="Tahoma"/>
          <w:b/>
        </w:rPr>
      </w:pPr>
      <w:r w:rsidRPr="004D06BC">
        <w:rPr>
          <w:rFonts w:ascii="Tahoma" w:hAnsi="Tahoma" w:cs="Tahoma"/>
          <w:b/>
        </w:rPr>
        <w:t>Purpose of application</w:t>
      </w:r>
    </w:p>
    <w:p w14:paraId="314F5816" w14:textId="759C0EFE" w:rsidR="00B51828" w:rsidRPr="006E5544" w:rsidRDefault="00B51828" w:rsidP="002101D2">
      <w:r w:rsidRPr="006E5544">
        <w:t>In September 2012, the Department of Health</w:t>
      </w:r>
      <w:r w:rsidR="00713649">
        <w:t xml:space="preserve"> and Ageing</w:t>
      </w:r>
      <w:r w:rsidRPr="006E5544">
        <w:t xml:space="preserve"> received an application from The Royal College of Pathologists of Australasia (RCPA) requesting M</w:t>
      </w:r>
      <w:r w:rsidR="008A4EDD">
        <w:t>edicare Benefits Schedule (MBS)</w:t>
      </w:r>
      <w:r w:rsidRPr="006E5544">
        <w:t xml:space="preserve"> reimbursement of external expert opinions for morphological pathology (histology, cytopathology, haematology, microbiology and genetic pathology). The application was initially considered in August 2013 by the Protocol Advisory Sub-Committee (PASC) of the Medical Services Advisory Committee (MSAC), and was reconsidered by PASC in April 2014. The Final Protocol, dated May 2014, restricted the scope of the assessment to external expert opinions for bone marrow specimens (included in Group P1), all tissue pathology (which includes Group P5 items) and all cytopathology (which includes Group P6 items).</w:t>
      </w:r>
    </w:p>
    <w:p w14:paraId="4BF318F6" w14:textId="77777777" w:rsidR="00B51828" w:rsidRPr="006E5544" w:rsidRDefault="00B51828" w:rsidP="002101D2">
      <w:pPr>
        <w:spacing w:after="120"/>
        <w:rPr>
          <w:szCs w:val="24"/>
        </w:rPr>
      </w:pPr>
      <w:r w:rsidRPr="006E5544">
        <w:t xml:space="preserve">PASC advised that public funding for the proposed service should only apply in </w:t>
      </w:r>
      <w:r w:rsidRPr="006E5544">
        <w:rPr>
          <w:szCs w:val="24"/>
        </w:rPr>
        <w:t xml:space="preserve">circumstances where: </w:t>
      </w:r>
    </w:p>
    <w:p w14:paraId="48116E75" w14:textId="77777777" w:rsidR="00B51828" w:rsidRPr="006E5544" w:rsidRDefault="00B51828" w:rsidP="002101D2">
      <w:pPr>
        <w:spacing w:after="120"/>
        <w:rPr>
          <w:szCs w:val="24"/>
        </w:rPr>
      </w:pPr>
      <w:r w:rsidRPr="006E5544">
        <w:rPr>
          <w:i/>
          <w:szCs w:val="24"/>
        </w:rPr>
        <w:t xml:space="preserve">Scenario 1 </w:t>
      </w:r>
      <w:r w:rsidRPr="006E5544">
        <w:rPr>
          <w:szCs w:val="24"/>
        </w:rPr>
        <w:t xml:space="preserve">– the initial pathologist communicates with the clinician in charge of patient management, and suggests referral to an external expert pathologist, due to a rare, unusual or complex case where a primary or definitive diagnosis cannot be confidently made. It would then be at the discretion of the treating clinician to decide whether expert opinion is necessary (i.e. the service is not pathologist determinable). </w:t>
      </w:r>
    </w:p>
    <w:p w14:paraId="5FC75738" w14:textId="3213D371" w:rsidR="00B51828" w:rsidRPr="006E5544" w:rsidRDefault="00B51828" w:rsidP="002101D2">
      <w:pPr>
        <w:spacing w:after="120"/>
        <w:rPr>
          <w:szCs w:val="24"/>
        </w:rPr>
      </w:pPr>
      <w:r w:rsidRPr="006E5544">
        <w:rPr>
          <w:i/>
          <w:szCs w:val="24"/>
        </w:rPr>
        <w:t xml:space="preserve">Scenario 2 – </w:t>
      </w:r>
      <w:r w:rsidRPr="006E5544">
        <w:rPr>
          <w:szCs w:val="24"/>
        </w:rPr>
        <w:t>the clinician in charge of patient management wants the initial pathology opinion verified or refined by a second, expert pathol</w:t>
      </w:r>
      <w:r w:rsidR="00713649">
        <w:rPr>
          <w:szCs w:val="24"/>
        </w:rPr>
        <w:t>ogist or by their preferred</w:t>
      </w:r>
      <w:r w:rsidRPr="006E5544">
        <w:rPr>
          <w:szCs w:val="24"/>
        </w:rPr>
        <w:t xml:space="preserve"> pathologist, irrespective of whether the initial pathologist cited uncertainty in their initial diagnosis or not.</w:t>
      </w:r>
    </w:p>
    <w:p w14:paraId="7D69DB94" w14:textId="77777777" w:rsidR="00B51828" w:rsidRPr="006E5544" w:rsidRDefault="00B51828" w:rsidP="002101D2">
      <w:pPr>
        <w:spacing w:after="120"/>
        <w:rPr>
          <w:szCs w:val="24"/>
        </w:rPr>
      </w:pPr>
      <w:r w:rsidRPr="006E5544">
        <w:rPr>
          <w:szCs w:val="24"/>
        </w:rPr>
        <w:t>Clinician-initiated expert opinion (</w:t>
      </w:r>
      <w:r w:rsidRPr="006E5544">
        <w:rPr>
          <w:i/>
          <w:szCs w:val="24"/>
        </w:rPr>
        <w:t>Scenario 2</w:t>
      </w:r>
      <w:r w:rsidRPr="006E5544">
        <w:rPr>
          <w:szCs w:val="24"/>
        </w:rPr>
        <w:t>) typically occurs at a tertiary centre to which a patient (most often an oncology patient) has been referred for further management. The initial pathology report may provide insufficient information to effectively manage the patient and the clinician may request an expert opinion from a pathologist who would normally provide the service to the treatment centre. In this case, the requesting clinician and the expert pathologist may be co-located; nevertheless, the expert pathologist would still need to provide a comprehensive written report in order for the service to be eligible for MBS funding.</w:t>
      </w:r>
    </w:p>
    <w:p w14:paraId="6119AD9B" w14:textId="77777777" w:rsidR="00B51828" w:rsidRPr="006E5544" w:rsidRDefault="00B51828" w:rsidP="002101D2">
      <w:pPr>
        <w:spacing w:after="120"/>
        <w:rPr>
          <w:szCs w:val="24"/>
        </w:rPr>
      </w:pPr>
      <w:r w:rsidRPr="006E5544">
        <w:rPr>
          <w:szCs w:val="24"/>
        </w:rPr>
        <w:t xml:space="preserve">PASC advised that second, expert opinions requested by a treating clinician should only be considered for public funding when there is insufficient information or uncertainty in the diagnosis. The intention of the proposed MBS items is not to provide funding for mandatory or routine review of all cases referred to treatment centres. </w:t>
      </w:r>
    </w:p>
    <w:p w14:paraId="3126026E" w14:textId="77777777" w:rsidR="00B51828" w:rsidRPr="006E5544" w:rsidRDefault="00B51828" w:rsidP="002101D2">
      <w:pPr>
        <w:spacing w:after="120"/>
        <w:rPr>
          <w:szCs w:val="24"/>
        </w:rPr>
      </w:pPr>
      <w:r w:rsidRPr="006E5544">
        <w:rPr>
          <w:szCs w:val="24"/>
        </w:rPr>
        <w:t>Furthermore, it is not intended that expert opinion provided within the original pathologist’s laboratory (i.e. intra-departmental or intra-institutional) is funded under the proposed items.</w:t>
      </w:r>
    </w:p>
    <w:p w14:paraId="1A37F7C0"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lastRenderedPageBreak/>
        <w:t>Current arrangement for public reimbursement</w:t>
      </w:r>
    </w:p>
    <w:p w14:paraId="702846A8" w14:textId="77777777" w:rsidR="00B51828" w:rsidRPr="006E5544" w:rsidRDefault="00B51828" w:rsidP="002101D2">
      <w:r w:rsidRPr="006E5544">
        <w:t>Currently, public reimbursement of pathology opinions only applies to the initial pathology report. In circumstances where an expert pathology opinion is considered necessary for patient management, it is requested and provided though approved laboratories but this extra service is not eligible for MBS reimbursement.</w:t>
      </w:r>
    </w:p>
    <w:p w14:paraId="542B86ED" w14:textId="77777777" w:rsidR="00B51828" w:rsidRPr="006E5544" w:rsidRDefault="00B51828" w:rsidP="002101D2">
      <w:r w:rsidRPr="006E5544">
        <w:t>Expert opinions are becoming a large component of specialist pathologists’ workload and the introduction of MBS items will provide an avenue for reimbursement for complicated work that is both time- and resource-consuming.</w:t>
      </w:r>
    </w:p>
    <w:p w14:paraId="24E42185"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Proposed MBS listing sought</w:t>
      </w:r>
    </w:p>
    <w:p w14:paraId="5EE6A29D" w14:textId="77777777" w:rsidR="00B51828" w:rsidRPr="006E5544" w:rsidRDefault="00B51828" w:rsidP="002101D2">
      <w:r w:rsidRPr="006E5544">
        <w:t xml:space="preserve">There is not necessarily a correlation between the complexity level of the initial MBS item and the complexity level (and therefore the appropriate reimbursement) for a second morphological opinion. The Applicant has therefore suggested a simple, two-tier fee structure with different rebates for ‘non-complex’ and ‘complex’ expert opinions. It would be up to the expert pathologist to determine the workload involved in providing the second opinion and bill the service accordingly (similar to the situation where a clinician is allowed to determine whether they bill for a short or long consultation). </w:t>
      </w:r>
    </w:p>
    <w:p w14:paraId="50F93CD2" w14:textId="77777777" w:rsidR="00B51828" w:rsidRPr="006E5544" w:rsidRDefault="00B51828" w:rsidP="002101D2">
      <w:r w:rsidRPr="006E5544">
        <w:t xml:space="preserve">The proposed Schedule fee for the ‘non-complex’ expert opinion item (Table ES-1) is approximately equal to the fee for initial examination of a complexity level 4 biopsy with at least 12 separately identified specimens; the proposed fee for ‘complex’ expert opinion (and Table ES-2) is approximately equal to the average of the initial fees for examination of complexity level 5 and 7 biopsy materials. Section A.2.5 of the Assessment Report provides a full list of the existing services and fees </w:t>
      </w:r>
      <w:r w:rsidRPr="006E5544">
        <w:rPr>
          <w:lang w:val="en-US" w:eastAsia="ja-JP"/>
        </w:rPr>
        <w:t>for morphological pathology</w:t>
      </w:r>
      <w:r w:rsidRPr="006E5544">
        <w:t xml:space="preserve"> and a list of the complexity levels assigned to tissue types from different anatomic sites.</w:t>
      </w:r>
    </w:p>
    <w:p w14:paraId="049F31B0" w14:textId="77777777" w:rsidR="00B51828" w:rsidRPr="006E5544" w:rsidRDefault="00B51828" w:rsidP="002101D2">
      <w:r w:rsidRPr="006E5544">
        <w:t xml:space="preserve">Rather than differentiate the two proposed items on the basis of complexity, the Department has worded the item descriptors to reflect the amount of time taken to process and examine the specimen and prepare a full written report (either </w:t>
      </w:r>
      <w:r w:rsidRPr="006E5544">
        <w:rPr>
          <w:rFonts w:eastAsia="SimSun" w:cs="Tahoma"/>
          <w:lang w:val="en-US" w:eastAsia="ja-JP"/>
        </w:rPr>
        <w:t>≤30 minutes</w:t>
      </w:r>
      <w:r w:rsidRPr="006E5544">
        <w:t xml:space="preserve"> or &gt;30 minutes). </w:t>
      </w:r>
    </w:p>
    <w:p w14:paraId="6A41E7E7" w14:textId="77777777" w:rsidR="00B51828" w:rsidRPr="006E5544" w:rsidRDefault="00B51828" w:rsidP="002101D2">
      <w:r w:rsidRPr="006E5544">
        <w:t>It is possible that some patients may receive a second, expert pathology opinion as an inpatient; however, the majority of services are expected to be provided in an outpatient setting. Explanatory notes are needed to limit second, expert opinion to tissue pathology, cytology and bone marrow items.</w:t>
      </w:r>
    </w:p>
    <w:p w14:paraId="7D6A873E" w14:textId="77777777" w:rsidR="00B51828" w:rsidRPr="006E5544" w:rsidRDefault="00B51828" w:rsidP="002101D2">
      <w:pPr>
        <w:keepNext/>
        <w:spacing w:before="40" w:after="40"/>
        <w:ind w:left="2126" w:hanging="1406"/>
        <w:rPr>
          <w:rFonts w:ascii="Arial Narrow" w:hAnsi="Arial Narrow"/>
          <w:b/>
          <w:iCs/>
          <w:sz w:val="20"/>
          <w:szCs w:val="18"/>
        </w:rPr>
      </w:pPr>
      <w:r w:rsidRPr="006E5544">
        <w:rPr>
          <w:rFonts w:ascii="Arial Narrow" w:hAnsi="Arial Narrow"/>
          <w:b/>
          <w:iCs/>
          <w:sz w:val="20"/>
          <w:szCs w:val="18"/>
        </w:rPr>
        <w:t>Table ES-1</w:t>
      </w:r>
      <w:r w:rsidRPr="006E5544">
        <w:rPr>
          <w:rFonts w:ascii="Arial Narrow" w:hAnsi="Arial Narrow"/>
          <w:b/>
          <w:iCs/>
          <w:sz w:val="20"/>
          <w:szCs w:val="18"/>
        </w:rPr>
        <w:tab/>
        <w:t>Proposed MBS item descriptor for non-complex, second, expert opinion on a patient sample</w:t>
      </w:r>
    </w:p>
    <w:tbl>
      <w:tblPr>
        <w:tblStyle w:val="TableGrid"/>
        <w:tblW w:w="0" w:type="auto"/>
        <w:tblInd w:w="720" w:type="dxa"/>
        <w:tblLook w:val="04A0" w:firstRow="1" w:lastRow="0" w:firstColumn="1" w:lastColumn="0" w:noHBand="0" w:noVBand="1"/>
        <w:tblCaption w:val="Proposed MBS item descriptor for non-complex, second, expert opinion on a patient sample"/>
        <w:tblDescription w:val="The propsed fee, item descriptor and some explanatory notes for the proposed MBS item for 'non-complex' second, expert opinions."/>
      </w:tblPr>
      <w:tblGrid>
        <w:gridCol w:w="8296"/>
      </w:tblGrid>
      <w:tr w:rsidR="00B51828" w:rsidRPr="006E5544" w14:paraId="19F6C206" w14:textId="77777777" w:rsidTr="002101D2">
        <w:trPr>
          <w:tblHeader/>
        </w:trPr>
        <w:tc>
          <w:tcPr>
            <w:tcW w:w="8296" w:type="dxa"/>
          </w:tcPr>
          <w:p w14:paraId="7AD35F2A" w14:textId="77777777" w:rsidR="00B51828" w:rsidRPr="006E5544" w:rsidRDefault="00B51828" w:rsidP="002101D2">
            <w:pPr>
              <w:keepNext/>
              <w:spacing w:after="0"/>
              <w:ind w:left="0"/>
              <w:jc w:val="right"/>
              <w:rPr>
                <w:rFonts w:ascii="Arial Narrow" w:eastAsia="Times New Roman" w:hAnsi="Arial Narrow" w:cs="Arial"/>
                <w:b/>
                <w:sz w:val="20"/>
                <w:szCs w:val="20"/>
              </w:rPr>
            </w:pPr>
            <w:r w:rsidRPr="006E5544">
              <w:rPr>
                <w:rFonts w:ascii="Arial Narrow" w:eastAsia="Times New Roman" w:hAnsi="Arial Narrow" w:cs="Arial"/>
                <w:b/>
                <w:sz w:val="20"/>
                <w:szCs w:val="20"/>
              </w:rPr>
              <w:t>Category 6 - Pathology</w:t>
            </w:r>
          </w:p>
        </w:tc>
      </w:tr>
      <w:tr w:rsidR="00B51828" w:rsidRPr="006E5544" w14:paraId="04FD3527" w14:textId="77777777" w:rsidTr="002101D2">
        <w:tc>
          <w:tcPr>
            <w:tcW w:w="8296" w:type="dxa"/>
          </w:tcPr>
          <w:p w14:paraId="2A7E2C15" w14:textId="77777777" w:rsidR="00B51828" w:rsidRPr="006E5544" w:rsidRDefault="00B51828" w:rsidP="002101D2">
            <w:pPr>
              <w:keepNext/>
              <w:spacing w:after="120"/>
              <w:ind w:left="0"/>
              <w:jc w:val="both"/>
              <w:rPr>
                <w:rFonts w:ascii="Arial Narrow" w:eastAsia="SimSun" w:hAnsi="Arial Narrow" w:cs="Tahoma"/>
                <w:b/>
                <w:sz w:val="20"/>
                <w:szCs w:val="20"/>
                <w:lang w:val="en-US" w:eastAsia="ja-JP"/>
              </w:rPr>
            </w:pPr>
            <w:r w:rsidRPr="006E5544">
              <w:rPr>
                <w:rFonts w:ascii="Arial Narrow" w:eastAsia="SimSun" w:hAnsi="Arial Narrow" w:cs="Tahoma"/>
                <w:b/>
                <w:sz w:val="20"/>
                <w:szCs w:val="20"/>
                <w:lang w:val="en-US" w:eastAsia="ja-JP"/>
              </w:rPr>
              <w:t>MBS item number (</w:t>
            </w:r>
            <w:r w:rsidRPr="006E5544">
              <w:rPr>
                <w:rFonts w:ascii="Arial Narrow" w:eastAsia="SimSun" w:hAnsi="Arial Narrow" w:cs="Tahoma"/>
                <w:b/>
                <w:i/>
                <w:sz w:val="20"/>
                <w:szCs w:val="20"/>
                <w:lang w:val="en-US" w:eastAsia="ja-JP"/>
              </w:rPr>
              <w:t>assigned by the Department if listed</w:t>
            </w:r>
            <w:r w:rsidRPr="006E5544">
              <w:rPr>
                <w:rFonts w:ascii="Arial Narrow" w:eastAsia="SimSun" w:hAnsi="Arial Narrow" w:cs="Tahoma"/>
                <w:b/>
                <w:sz w:val="20"/>
                <w:szCs w:val="20"/>
                <w:lang w:val="en-US" w:eastAsia="ja-JP"/>
              </w:rPr>
              <w:t>)</w:t>
            </w:r>
          </w:p>
          <w:p w14:paraId="456DFB8B" w14:textId="77777777" w:rsidR="00B51828" w:rsidRPr="006E5544" w:rsidRDefault="00B51828" w:rsidP="002101D2">
            <w:pPr>
              <w:keepNext/>
              <w:spacing w:after="120"/>
              <w:ind w:left="0"/>
              <w:jc w:val="both"/>
              <w:rPr>
                <w:rFonts w:ascii="Arial Narrow" w:eastAsia="SimSun" w:hAnsi="Arial Narrow" w:cs="Tahoma"/>
                <w:sz w:val="20"/>
                <w:szCs w:val="20"/>
                <w:lang w:val="en-US" w:eastAsia="ja-JP"/>
              </w:rPr>
            </w:pPr>
            <w:r w:rsidRPr="006E5544">
              <w:rPr>
                <w:rFonts w:ascii="Arial Narrow" w:eastAsia="SimSun" w:hAnsi="Arial Narrow" w:cs="Tahoma"/>
                <w:sz w:val="20"/>
                <w:szCs w:val="20"/>
                <w:lang w:val="en-US" w:eastAsia="ja-JP"/>
              </w:rPr>
              <w:t xml:space="preserve">A no more than </w:t>
            </w:r>
            <w:r w:rsidRPr="006E5544">
              <w:rPr>
                <w:rFonts w:ascii="Arial Narrow" w:eastAsia="SimSun" w:hAnsi="Arial Narrow" w:cs="Tahoma"/>
                <w:sz w:val="20"/>
                <w:szCs w:val="20"/>
                <w:lang w:eastAsia="zh-CN"/>
              </w:rPr>
              <w:t>30 minute limit</w:t>
            </w:r>
            <w:r w:rsidRPr="006E5544">
              <w:rPr>
                <w:rFonts w:ascii="Arial Narrow" w:eastAsia="SimSun" w:hAnsi="Arial Narrow" w:cs="Tahoma"/>
                <w:sz w:val="20"/>
                <w:szCs w:val="20"/>
                <w:lang w:val="en-US" w:eastAsia="ja-JP"/>
              </w:rPr>
              <w:t xml:space="preserve">, expert opinion and detailed written report on a patient sample, requested by a treating clinician, where further information is needed for accurate diagnosis and appropriate patient management. </w:t>
            </w:r>
          </w:p>
          <w:p w14:paraId="2757DC23" w14:textId="77777777" w:rsidR="00B51828" w:rsidRPr="006E5544" w:rsidRDefault="00B51828" w:rsidP="002101D2">
            <w:pPr>
              <w:keepNext/>
              <w:spacing w:after="120"/>
              <w:ind w:left="0"/>
              <w:jc w:val="both"/>
              <w:rPr>
                <w:rFonts w:ascii="Arial Narrow" w:eastAsia="SimSun" w:hAnsi="Arial Narrow" w:cs="Tahoma"/>
                <w:sz w:val="20"/>
                <w:szCs w:val="20"/>
                <w:lang w:val="en-US" w:eastAsia="ja-JP"/>
              </w:rPr>
            </w:pPr>
            <w:r w:rsidRPr="006E5544">
              <w:rPr>
                <w:rFonts w:ascii="Arial Narrow" w:eastAsia="SimSun" w:hAnsi="Arial Narrow" w:cs="Tahoma"/>
                <w:sz w:val="20"/>
                <w:szCs w:val="20"/>
                <w:lang w:val="en-US" w:eastAsia="ja-JP"/>
              </w:rPr>
              <w:t>Fee: $180.00</w:t>
            </w:r>
          </w:p>
          <w:p w14:paraId="70A4FFFB" w14:textId="77777777" w:rsidR="00B51828" w:rsidRPr="006E5544" w:rsidRDefault="00B51828" w:rsidP="002101D2">
            <w:pPr>
              <w:keepNext/>
              <w:spacing w:after="0"/>
              <w:ind w:left="0"/>
              <w:rPr>
                <w:rFonts w:ascii="Arial Narrow" w:eastAsia="Times New Roman" w:hAnsi="Arial Narrow" w:cs="Arial"/>
                <w:b/>
                <w:sz w:val="20"/>
                <w:szCs w:val="20"/>
              </w:rPr>
            </w:pPr>
            <w:r w:rsidRPr="006E5544">
              <w:rPr>
                <w:rFonts w:ascii="Arial Narrow" w:eastAsia="SimSun" w:hAnsi="Arial Narrow" w:cs="Tahoma"/>
                <w:sz w:val="20"/>
                <w:szCs w:val="20"/>
                <w:lang w:val="en-US" w:eastAsia="ja-JP"/>
              </w:rPr>
              <w:t>The service will be initiated upon the request of the referring clinician where there is uncertainty in the initial morphological diagnosis, or when the clinician involved in the care of the patient requests a second opinion. The item is applicable to cases where the expert pathologist is able to examine and/or re-process case material and produce a full written report in ≤30 minutes. The fee will not be payable if the service is provided within the same Approved Pathology Laboratory.</w:t>
            </w:r>
          </w:p>
        </w:tc>
      </w:tr>
    </w:tbl>
    <w:p w14:paraId="00ECBB1D" w14:textId="77777777" w:rsidR="00B51828" w:rsidRPr="006E5544" w:rsidRDefault="00B51828" w:rsidP="002101D2">
      <w:pPr>
        <w:spacing w:after="360"/>
        <w:contextualSpacing/>
        <w:rPr>
          <w:rFonts w:ascii="Arial Narrow" w:hAnsi="Arial Narrow"/>
          <w:sz w:val="16"/>
          <w:szCs w:val="16"/>
        </w:rPr>
      </w:pPr>
      <w:r w:rsidRPr="006E5544">
        <w:rPr>
          <w:rFonts w:ascii="Arial Narrow" w:hAnsi="Arial Narrow"/>
          <w:sz w:val="16"/>
          <w:szCs w:val="16"/>
        </w:rPr>
        <w:t>Abbreviations: MBS, Medicare Benefits Schedule</w:t>
      </w:r>
    </w:p>
    <w:p w14:paraId="14D305E1" w14:textId="77777777" w:rsidR="00B51828" w:rsidRPr="006E5544" w:rsidRDefault="00B51828" w:rsidP="002101D2">
      <w:pPr>
        <w:contextualSpacing/>
        <w:rPr>
          <w:rFonts w:ascii="Arial Narrow" w:hAnsi="Arial Narrow"/>
          <w:sz w:val="16"/>
          <w:szCs w:val="16"/>
        </w:rPr>
      </w:pPr>
      <w:r w:rsidRPr="006E5544">
        <w:rPr>
          <w:rFonts w:ascii="Arial Narrow" w:hAnsi="Arial Narrow"/>
          <w:sz w:val="16"/>
          <w:szCs w:val="16"/>
        </w:rPr>
        <w:t>Source: Final Protocol May 2014</w:t>
      </w:r>
    </w:p>
    <w:p w14:paraId="7E954102" w14:textId="77777777" w:rsidR="00B51828" w:rsidRPr="006E5544" w:rsidRDefault="00B51828" w:rsidP="002101D2">
      <w:pPr>
        <w:keepNext/>
        <w:spacing w:before="40" w:after="40"/>
        <w:ind w:left="2127" w:hanging="1407"/>
        <w:rPr>
          <w:rFonts w:ascii="Arial Narrow" w:hAnsi="Arial Narrow"/>
          <w:b/>
          <w:iCs/>
          <w:sz w:val="20"/>
          <w:szCs w:val="18"/>
        </w:rPr>
      </w:pPr>
      <w:r w:rsidRPr="006E5544">
        <w:rPr>
          <w:rFonts w:ascii="Arial Narrow" w:hAnsi="Arial Narrow"/>
          <w:b/>
          <w:iCs/>
          <w:sz w:val="20"/>
          <w:szCs w:val="18"/>
        </w:rPr>
        <w:lastRenderedPageBreak/>
        <w:t>Table ES-2</w:t>
      </w:r>
      <w:r w:rsidRPr="006E5544">
        <w:rPr>
          <w:rFonts w:ascii="Arial Narrow" w:hAnsi="Arial Narrow"/>
          <w:b/>
          <w:iCs/>
          <w:sz w:val="20"/>
          <w:szCs w:val="18"/>
        </w:rPr>
        <w:tab/>
        <w:t>Proposed MBS item descriptor for complex, second, expert opinion on a patient sample</w:t>
      </w:r>
    </w:p>
    <w:tbl>
      <w:tblPr>
        <w:tblStyle w:val="TableGrid"/>
        <w:tblW w:w="0" w:type="auto"/>
        <w:tblInd w:w="720" w:type="dxa"/>
        <w:tblLook w:val="04A0" w:firstRow="1" w:lastRow="0" w:firstColumn="1" w:lastColumn="0" w:noHBand="0" w:noVBand="1"/>
        <w:tblCaption w:val="Proposed MBS item descriptor for complex, second, expert opinion on a patient sample"/>
        <w:tblDescription w:val="The propsed fee, item descriptor and some explanatory notes for the proposed MBS item for 'complex' second, expert opinions."/>
      </w:tblPr>
      <w:tblGrid>
        <w:gridCol w:w="8296"/>
      </w:tblGrid>
      <w:tr w:rsidR="00B51828" w:rsidRPr="006E5544" w14:paraId="79D2243E" w14:textId="77777777" w:rsidTr="002101D2">
        <w:trPr>
          <w:tblHeader/>
        </w:trPr>
        <w:tc>
          <w:tcPr>
            <w:tcW w:w="8296" w:type="dxa"/>
          </w:tcPr>
          <w:p w14:paraId="3EEBDEE1" w14:textId="77777777" w:rsidR="00B51828" w:rsidRPr="006E5544" w:rsidRDefault="00B51828" w:rsidP="002101D2">
            <w:pPr>
              <w:keepNext/>
              <w:spacing w:after="0"/>
              <w:ind w:left="0"/>
              <w:jc w:val="right"/>
              <w:rPr>
                <w:rFonts w:ascii="Arial Narrow" w:eastAsia="Times New Roman" w:hAnsi="Arial Narrow" w:cs="Arial"/>
                <w:b/>
                <w:sz w:val="20"/>
                <w:szCs w:val="20"/>
              </w:rPr>
            </w:pPr>
            <w:r w:rsidRPr="006E5544">
              <w:rPr>
                <w:rFonts w:ascii="Arial Narrow" w:eastAsia="Times New Roman" w:hAnsi="Arial Narrow" w:cs="Arial"/>
                <w:b/>
                <w:sz w:val="20"/>
                <w:szCs w:val="20"/>
              </w:rPr>
              <w:t>Category 6 - Pathology</w:t>
            </w:r>
          </w:p>
        </w:tc>
      </w:tr>
      <w:tr w:rsidR="00B51828" w:rsidRPr="006E5544" w14:paraId="6952AB28" w14:textId="77777777" w:rsidTr="002101D2">
        <w:tc>
          <w:tcPr>
            <w:tcW w:w="8296" w:type="dxa"/>
          </w:tcPr>
          <w:p w14:paraId="0DC55BCF" w14:textId="77777777" w:rsidR="00B51828" w:rsidRPr="006E5544" w:rsidRDefault="00B51828" w:rsidP="002101D2">
            <w:pPr>
              <w:spacing w:after="120"/>
              <w:ind w:left="0"/>
              <w:jc w:val="both"/>
              <w:rPr>
                <w:rFonts w:ascii="Arial Narrow" w:eastAsia="SimSun" w:hAnsi="Arial Narrow" w:cs="Tahoma"/>
                <w:b/>
                <w:sz w:val="20"/>
                <w:szCs w:val="20"/>
                <w:lang w:val="en-US" w:eastAsia="ja-JP"/>
              </w:rPr>
            </w:pPr>
            <w:r w:rsidRPr="006E5544">
              <w:rPr>
                <w:rFonts w:ascii="Arial Narrow" w:eastAsia="SimSun" w:hAnsi="Arial Narrow" w:cs="Tahoma"/>
                <w:b/>
                <w:sz w:val="20"/>
                <w:szCs w:val="20"/>
                <w:lang w:val="en-US" w:eastAsia="ja-JP"/>
              </w:rPr>
              <w:t>MBS item number (</w:t>
            </w:r>
            <w:r w:rsidRPr="006E5544">
              <w:rPr>
                <w:rFonts w:ascii="Arial Narrow" w:eastAsia="SimSun" w:hAnsi="Arial Narrow" w:cs="Tahoma"/>
                <w:b/>
                <w:i/>
                <w:sz w:val="20"/>
                <w:szCs w:val="20"/>
                <w:lang w:val="en-US" w:eastAsia="ja-JP"/>
              </w:rPr>
              <w:t>assigned by the Department if listed</w:t>
            </w:r>
            <w:r w:rsidRPr="006E5544">
              <w:rPr>
                <w:rFonts w:ascii="Arial Narrow" w:eastAsia="SimSun" w:hAnsi="Arial Narrow" w:cs="Tahoma"/>
                <w:b/>
                <w:sz w:val="20"/>
                <w:szCs w:val="20"/>
                <w:lang w:val="en-US" w:eastAsia="ja-JP"/>
              </w:rPr>
              <w:t>)</w:t>
            </w:r>
          </w:p>
          <w:p w14:paraId="675FBC49" w14:textId="77777777" w:rsidR="00B51828" w:rsidRPr="006E5544" w:rsidRDefault="00B51828" w:rsidP="002101D2">
            <w:pPr>
              <w:spacing w:after="120"/>
              <w:ind w:left="0"/>
              <w:jc w:val="both"/>
              <w:rPr>
                <w:rFonts w:ascii="Arial Narrow" w:eastAsia="SimSun" w:hAnsi="Arial Narrow" w:cs="Tahoma"/>
                <w:sz w:val="20"/>
                <w:szCs w:val="20"/>
                <w:lang w:val="en-US" w:eastAsia="ja-JP"/>
              </w:rPr>
            </w:pPr>
            <w:r w:rsidRPr="006E5544">
              <w:rPr>
                <w:rFonts w:ascii="Arial Narrow" w:eastAsia="SimSun" w:hAnsi="Arial Narrow" w:cs="Tahoma"/>
                <w:sz w:val="20"/>
                <w:szCs w:val="20"/>
                <w:lang w:val="en-US" w:eastAsia="ja-JP"/>
              </w:rPr>
              <w:t>A greater than 30 minute, second, expert opinion and detailed written report on a patient sample, requested by a treating clinician, where further information is needed for accurate diagnosis and appropriate patient management.</w:t>
            </w:r>
          </w:p>
          <w:p w14:paraId="5EC71D2D" w14:textId="77777777" w:rsidR="00B51828" w:rsidRPr="006E5544" w:rsidRDefault="00B51828" w:rsidP="002101D2">
            <w:pPr>
              <w:spacing w:after="120"/>
              <w:ind w:left="0"/>
              <w:jc w:val="both"/>
              <w:rPr>
                <w:rFonts w:ascii="Arial Narrow" w:eastAsia="SimSun" w:hAnsi="Arial Narrow" w:cs="Tahoma"/>
                <w:sz w:val="20"/>
                <w:szCs w:val="20"/>
                <w:lang w:val="en-US" w:eastAsia="ja-JP"/>
              </w:rPr>
            </w:pPr>
            <w:r w:rsidRPr="006E5544">
              <w:rPr>
                <w:rFonts w:ascii="Arial Narrow" w:eastAsia="SimSun" w:hAnsi="Arial Narrow" w:cs="Tahoma"/>
                <w:sz w:val="20"/>
                <w:szCs w:val="20"/>
                <w:lang w:val="en-US" w:eastAsia="ja-JP"/>
              </w:rPr>
              <w:t>Fee: $370.00</w:t>
            </w:r>
          </w:p>
          <w:p w14:paraId="17B72D54" w14:textId="77777777" w:rsidR="00B51828" w:rsidRPr="006E5544" w:rsidRDefault="00B51828" w:rsidP="002101D2">
            <w:pPr>
              <w:keepNext/>
              <w:spacing w:after="0"/>
              <w:ind w:left="0"/>
              <w:rPr>
                <w:rFonts w:ascii="Arial Narrow" w:eastAsia="Times New Roman" w:hAnsi="Arial Narrow" w:cs="Arial"/>
                <w:b/>
                <w:sz w:val="20"/>
                <w:szCs w:val="20"/>
              </w:rPr>
            </w:pPr>
            <w:r w:rsidRPr="006E5544">
              <w:rPr>
                <w:rFonts w:ascii="Arial Narrow" w:eastAsia="SimSun" w:hAnsi="Arial Narrow" w:cs="Tahoma"/>
                <w:sz w:val="20"/>
                <w:szCs w:val="20"/>
                <w:lang w:val="en-US" w:eastAsia="ja-JP"/>
              </w:rPr>
              <w:t>The service will be initiated upon the request of the referring clinician where there is uncertainty in the initial morphological diagnosis, or when the clinician involved in the care of the patient requests a second opinion. The item is applicable to cases that are not obvious or straightforward, where the examination and/or re-processing of case material and the production of a full written report takes more than 30 minutes. The fee will not be payable if the service is provided within the same Approved Pathology Laboratory.</w:t>
            </w:r>
          </w:p>
        </w:tc>
      </w:tr>
    </w:tbl>
    <w:p w14:paraId="237D0DDA" w14:textId="77777777" w:rsidR="00B51828" w:rsidRPr="006E5544" w:rsidRDefault="00B51828" w:rsidP="002101D2">
      <w:pPr>
        <w:contextualSpacing/>
        <w:rPr>
          <w:rFonts w:ascii="Arial Narrow" w:hAnsi="Arial Narrow"/>
          <w:sz w:val="16"/>
          <w:szCs w:val="16"/>
        </w:rPr>
      </w:pPr>
      <w:r w:rsidRPr="006E5544">
        <w:rPr>
          <w:rFonts w:ascii="Arial Narrow" w:hAnsi="Arial Narrow"/>
          <w:sz w:val="16"/>
          <w:szCs w:val="16"/>
        </w:rPr>
        <w:t>Abbreviations: MBS, Medicare Benefits Schedule</w:t>
      </w:r>
    </w:p>
    <w:p w14:paraId="0F892264" w14:textId="77777777" w:rsidR="00B51828" w:rsidRPr="006E5544" w:rsidRDefault="00B51828" w:rsidP="002101D2">
      <w:pPr>
        <w:rPr>
          <w:rFonts w:ascii="Arial Narrow" w:hAnsi="Arial Narrow"/>
          <w:sz w:val="16"/>
          <w:szCs w:val="16"/>
        </w:rPr>
      </w:pPr>
      <w:r w:rsidRPr="006E5544">
        <w:rPr>
          <w:rFonts w:ascii="Arial Narrow" w:hAnsi="Arial Narrow"/>
          <w:sz w:val="16"/>
          <w:szCs w:val="16"/>
        </w:rPr>
        <w:t>Source: Final Protocol May 2014</w:t>
      </w:r>
    </w:p>
    <w:p w14:paraId="1AF900AA"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Background</w:t>
      </w:r>
    </w:p>
    <w:p w14:paraId="5D9B4549" w14:textId="77777777" w:rsidR="00B51828" w:rsidRPr="006E5544" w:rsidRDefault="00B51828" w:rsidP="002101D2">
      <w:r w:rsidRPr="006E5544">
        <w:t>The intended purpose of a benefit payable for second opinion is to assist the initial pathologist and/or the clinician in charge of patient management to arrive at a definitive diagnosis in difficult cases with the help of an external expert pathologist. Morphological diagnosis and staging is integral to the management of many diseases. Once a definitive diagnosis has been made, appropriate management of the disease process can proceed.</w:t>
      </w:r>
    </w:p>
    <w:p w14:paraId="28BDDEF5" w14:textId="77777777" w:rsidR="00B51828" w:rsidRPr="006E5544" w:rsidRDefault="00B51828" w:rsidP="002101D2">
      <w:r w:rsidRPr="006E5544">
        <w:t>There are a number of reasons why a pathologist may not be able to provide a primary or definitive diagnosis or why a clinician may lack confidence in the initial pathologist’s diagnosis: the rare or esoteric nature of the lesion; complexity of, or lack of familiarity with, a particular cancer classification scheme; the type, quantity or quality of the diagnostic biopsy specimen; or the requirement for special ancillary stains or tests to aid interpretation.</w:t>
      </w:r>
    </w:p>
    <w:p w14:paraId="171F23E4" w14:textId="77777777" w:rsidR="00B51828" w:rsidRPr="006E5544" w:rsidRDefault="00B51828" w:rsidP="002101D2">
      <w:pPr>
        <w:rPr>
          <w:rFonts w:cs="Garamond"/>
          <w:szCs w:val="24"/>
          <w:lang w:val="en"/>
        </w:rPr>
      </w:pPr>
      <w:r w:rsidRPr="006E5544">
        <w:t>Second, expert opinions for morphological pathology are undertaken using the specimens/samples/slides used to inform the initial opinion/diagnosis from the initial pathologist. However, where necessary, the expert pathologist may repeat or conduct ‘ancillary’ tests (such as immunohistochemistry, immunocytochemistry or molecular testing) to provide a more refined diagnosis. It is anticipated that any ancillary services undertaken in conjunction with a second, expert opinion could be reimbursed through the MBS in the normal way, as the fee for these additional services reflects the cost of performing and interpreting the tests.</w:t>
      </w:r>
      <w:r w:rsidRPr="006E5544">
        <w:rPr>
          <w:rFonts w:cs="Garamond"/>
          <w:szCs w:val="24"/>
          <w:lang w:val="en"/>
        </w:rPr>
        <w:t xml:space="preserve"> </w:t>
      </w:r>
      <w:r w:rsidRPr="006E5544">
        <w:t xml:space="preserve">The need to repeat or conduct ancillary tests will vary according to the clinical condition under review. </w:t>
      </w:r>
    </w:p>
    <w:p w14:paraId="20B08EDD" w14:textId="77777777" w:rsidR="00B51828" w:rsidRPr="006E5544" w:rsidRDefault="00B51828" w:rsidP="002101D2">
      <w:pPr>
        <w:rPr>
          <w:szCs w:val="24"/>
        </w:rPr>
      </w:pPr>
      <w:r w:rsidRPr="006E5544">
        <w:rPr>
          <w:szCs w:val="24"/>
        </w:rPr>
        <w:t>The provision of external expert opinion is also associated with administrative and handling costs relating to transferring the original specimens/slides to and from an external expert pathologist. The ‘specimen referred fee’ (MBS Group 11, item 73940) may be appropriate to cover some of these costs, but can only be claimed by the second laboratory. PASC suggested that handling costs require separate consideration, similar to MSAC Application 1331</w:t>
      </w:r>
      <w:r w:rsidRPr="006E5544">
        <w:rPr>
          <w:szCs w:val="24"/>
          <w:vertAlign w:val="superscript"/>
        </w:rPr>
        <w:footnoteReference w:id="1"/>
      </w:r>
      <w:r w:rsidRPr="006E5544">
        <w:rPr>
          <w:szCs w:val="24"/>
        </w:rPr>
        <w:t xml:space="preserve">. </w:t>
      </w:r>
    </w:p>
    <w:p w14:paraId="30656E22" w14:textId="77777777" w:rsidR="00B51828" w:rsidRPr="006E5544" w:rsidRDefault="00B51828" w:rsidP="002101D2">
      <w:r w:rsidRPr="006E5544">
        <w:t xml:space="preserve">It would be expected that a second, expert opinion on any specific pathology service episode would only be requested once. However, it is possible that a third opinion may </w:t>
      </w:r>
      <w:r w:rsidRPr="006E5544">
        <w:lastRenderedPageBreak/>
        <w:t>be sought if the expert pathologist was unable to provide a definitive diagnosis, or if the clinician had concerns regarding the diagnosis provided by the expert pathologist.</w:t>
      </w:r>
    </w:p>
    <w:p w14:paraId="3E3ECA85" w14:textId="7943B815" w:rsidR="00B51828" w:rsidRPr="006E5544" w:rsidRDefault="00B51828" w:rsidP="002101D2">
      <w:r w:rsidRPr="006E5544">
        <w:t xml:space="preserve">Second, expert opinions for morphological pathology would be provided by pathologists and laboratories operating under the same regulatory requirements as those for initial pathology opinions; that is, Approved Pathology Practitioners (APP) operating in National Association of Testing Authorities (NATA) and RCPA accredited laboratories (Approved Pathology Laboratory; </w:t>
      </w:r>
      <w:r w:rsidR="00713649" w:rsidRPr="006E5544">
        <w:t>APL</w:t>
      </w:r>
      <w:r w:rsidRPr="006E5544">
        <w:t>)</w:t>
      </w:r>
      <w:r w:rsidR="00001D6F">
        <w:t xml:space="preserve"> within Australia</w:t>
      </w:r>
      <w:r w:rsidRPr="006E5544">
        <w:t xml:space="preserve">. </w:t>
      </w:r>
    </w:p>
    <w:p w14:paraId="09EC24B0" w14:textId="14508C44" w:rsidR="00B51828" w:rsidRPr="006E5544" w:rsidRDefault="00B51828" w:rsidP="002101D2">
      <w:r w:rsidRPr="006E5544">
        <w:t xml:space="preserve">Under the proposed funding arrangements, an expert pathology opinion could be sought from within the same Approved Pathology Authority (APA), but must be conducted by a pathologist from a different APL. This requirement has been proposed by the Applicant to avoid any concern that inappropriate internal pathologist referrals might be made to generate revenue. Consideration should be given as to whether there could also be inappropriate referrals between a clinician and an expert pathologist who are co-located at a tertiary treatment </w:t>
      </w:r>
      <w:r w:rsidR="00713649" w:rsidRPr="006E5544">
        <w:t>centre.</w:t>
      </w:r>
    </w:p>
    <w:p w14:paraId="43483BA5"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Clinical need</w:t>
      </w:r>
    </w:p>
    <w:p w14:paraId="4524FC43" w14:textId="57EA510C" w:rsidR="00B51828" w:rsidRPr="006E5544" w:rsidRDefault="00B51828" w:rsidP="002101D2">
      <w:pPr>
        <w:rPr>
          <w:szCs w:val="24"/>
        </w:rPr>
      </w:pPr>
      <w:r w:rsidRPr="006E5544">
        <w:t xml:space="preserve">It is anticipated that second, expert opinion requests will cover a range of conditions, including cancer-related diagnoses, dermatopathology (such as inflammatory skin), difficult liver biopsies, and difficult transplant biopsies, such as surveillance biopsies on heart or liver transplants. </w:t>
      </w:r>
      <w:r w:rsidRPr="006E5544">
        <w:rPr>
          <w:szCs w:val="24"/>
        </w:rPr>
        <w:t xml:space="preserve">The rate of referral for expert </w:t>
      </w:r>
      <w:r w:rsidR="00F014C0">
        <w:rPr>
          <w:szCs w:val="24"/>
        </w:rPr>
        <w:t>opinion</w:t>
      </w:r>
      <w:r w:rsidR="00F014C0" w:rsidRPr="006E5544">
        <w:rPr>
          <w:szCs w:val="24"/>
        </w:rPr>
        <w:t xml:space="preserve"> </w:t>
      </w:r>
      <w:r w:rsidRPr="006E5544">
        <w:rPr>
          <w:szCs w:val="24"/>
        </w:rPr>
        <w:t xml:space="preserve">will depend on the expertise of the original pathology staff and the case mix of the institution. </w:t>
      </w:r>
    </w:p>
    <w:p w14:paraId="36EE6F95" w14:textId="77777777" w:rsidR="00B51828" w:rsidRPr="006E5544" w:rsidRDefault="00B51828" w:rsidP="002101D2">
      <w:r w:rsidRPr="006E5544">
        <w:t xml:space="preserve">The proposed MBS items are intended to cover second, expert opinion on bone marrow specimens (bone marrow aspirates and sections of bone marrow trephine biopsies), tissue pathology specimens (primarily biopsy material) and cytology specimens (including smears from the skin, lip, mouth, nose, vagina, cervix or anus, or liquid discharges such as sputum, urine or discharge from the nipple). </w:t>
      </w:r>
    </w:p>
    <w:p w14:paraId="743B676A" w14:textId="77777777" w:rsidR="00B51828" w:rsidRPr="006E5544" w:rsidRDefault="00B51828" w:rsidP="002101D2">
      <w:r w:rsidRPr="006E5544">
        <w:t xml:space="preserve">In many instances, cytology is undertaken as a screening or preliminary test. Difficult cases are usually reported as suspicious or indeterminate and a formal histological biopsy suggested. It would be rare that a second, expert opinion would be required on a cytology item, except where it is difficult to re-biopsy sites (such as the pancreas). </w:t>
      </w:r>
    </w:p>
    <w:p w14:paraId="25FB47DE" w14:textId="77777777" w:rsidR="00B51828" w:rsidRPr="006E5544" w:rsidRDefault="00B51828" w:rsidP="002101D2">
      <w:r w:rsidRPr="006E5544">
        <w:t>There is an argument for excluding gynaecological cytology from the proposed MBS listing as most cases are for screening rather than diagnostic purposes, and it is relatively cheap ($19.45) to repeat the initial smear. However, given the inconvenience and discomfort of obtaining a smear, repeat sampling can be problematic, particularly for women in rural and remote areas.</w:t>
      </w:r>
    </w:p>
    <w:p w14:paraId="3400DAF4" w14:textId="77777777" w:rsidR="00B51828" w:rsidRPr="006E5544" w:rsidRDefault="00B51828" w:rsidP="002101D2">
      <w:r w:rsidRPr="006E5544">
        <w:t>Currently, approximately three-quarters of all initial cytopathology claims relate to MBS item 73053 for routine Pap smear screening, which is promoted through the National Cervical Screening Program (NCSP). However, this is likely to change substantially from 2016, when changes to the NCSP, recently recommended by MSAC, are anticipated to come into effect.</w:t>
      </w:r>
    </w:p>
    <w:p w14:paraId="1FDC8B2C"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Clinical claim</w:t>
      </w:r>
    </w:p>
    <w:p w14:paraId="6AD3EA3A" w14:textId="3DE5136F" w:rsidR="00B51828" w:rsidRPr="006E5544" w:rsidRDefault="00B51828" w:rsidP="002101D2">
      <w:r w:rsidRPr="006E5544">
        <w:t>Incorrect or incomplete diagnoses may lead to delayed or sub</w:t>
      </w:r>
      <w:r w:rsidR="00DB23AB">
        <w:t>-optimal</w:t>
      </w:r>
      <w:r w:rsidRPr="006E5544">
        <w:t xml:space="preserve"> care, adversely affecting clinical outcomes and resulting in inefficient use of resources. The purpose of seeking MBS funding for expert opinions for morphological pathology is therefore to </w:t>
      </w:r>
      <w:r w:rsidRPr="006E5544">
        <w:lastRenderedPageBreak/>
        <w:t>facilitate access to expert pathologists for review of rare, unusual or complex cases, thereby decreasing the frequency of incorrect, missing or incomplete pathology opinions.</w:t>
      </w:r>
    </w:p>
    <w:p w14:paraId="5ECDABB4" w14:textId="77777777" w:rsidR="00B51828" w:rsidRPr="006E5544" w:rsidRDefault="00B51828" w:rsidP="002101D2">
      <w:pPr>
        <w:rPr>
          <w:szCs w:val="24"/>
        </w:rPr>
      </w:pPr>
      <w:r w:rsidRPr="006E5544">
        <w:t xml:space="preserve">Expert pathologists often have to prioritise routine work over unfunded expert opinions and therefore the introduction of MBS items could result in more timely and optimal diagnosis and treatment of patients. </w:t>
      </w:r>
      <w:r w:rsidRPr="006E5544">
        <w:rPr>
          <w:szCs w:val="24"/>
        </w:rPr>
        <w:t xml:space="preserve">There is also anecdotal evidence that second, expert opinions are not sought as frequently as they should be (particularly from isolated regional or remote pathologists) due to the cost, lack of funding, and/or perceived impost on colleagues. This can lead to a sub-optimal diagnosis or report being provided to the treating clinician, or in some cases, referral without a diagnosis. </w:t>
      </w:r>
    </w:p>
    <w:p w14:paraId="13410351" w14:textId="77777777" w:rsidR="00B51828" w:rsidRPr="006E5544" w:rsidRDefault="00B51828" w:rsidP="002101D2">
      <w:r w:rsidRPr="006E5544">
        <w:t xml:space="preserve">Thus, the ability for clinicians to obtain a funded second, expert opinion has the potential to positively impact on patient care via the more accurate classification of disease and thus more appropriate planning and selection of therapy; and more rapid diagnosis of rare and diagnostically challenging cases. </w:t>
      </w:r>
    </w:p>
    <w:p w14:paraId="4028F59F"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Comparator</w:t>
      </w:r>
    </w:p>
    <w:p w14:paraId="7E639B44" w14:textId="77777777" w:rsidR="00B51828" w:rsidRPr="006E5544" w:rsidRDefault="00B51828" w:rsidP="002101D2">
      <w:pPr>
        <w:spacing w:after="120"/>
      </w:pPr>
      <w:r w:rsidRPr="006E5544">
        <w:t>The comparator is the standard management which currently applies. Under current arrangements, the MBS does not provide reimbursement for second, expert opinions for pathology. However, there are circumstances where the primary pathologist or the treating clinician may require an expert opinion to optimise patient management. In those instances, a number of alternative pathways may be followed:</w:t>
      </w:r>
    </w:p>
    <w:p w14:paraId="4E487CFC" w14:textId="77777777" w:rsidR="00B51828" w:rsidRPr="006E5544" w:rsidRDefault="00B51828" w:rsidP="00B51828">
      <w:pPr>
        <w:numPr>
          <w:ilvl w:val="0"/>
          <w:numId w:val="9"/>
        </w:numPr>
        <w:spacing w:after="120"/>
        <w:rPr>
          <w:rFonts w:eastAsia="Times New Roman" w:cs="Times New Roman"/>
          <w:szCs w:val="24"/>
        </w:rPr>
      </w:pPr>
      <w:r w:rsidRPr="006E5544">
        <w:rPr>
          <w:rFonts w:eastAsia="Times New Roman" w:cs="Times New Roman"/>
          <w:szCs w:val="24"/>
        </w:rPr>
        <w:t>The original pathologist may request an expert opinion from an external pathologist who provides the opinion at no cost (but may be obliged to place low priority on the request), or the second pathology laboratory charges the initial laboratory privately. It is very difficult in these circumstances to charge the patient, as they would not have consented to pay for a second opinion; or</w:t>
      </w:r>
    </w:p>
    <w:p w14:paraId="4DEF9DFF" w14:textId="77777777" w:rsidR="00B51828" w:rsidRPr="006E5544" w:rsidRDefault="00B51828" w:rsidP="00B51828">
      <w:pPr>
        <w:numPr>
          <w:ilvl w:val="0"/>
          <w:numId w:val="9"/>
        </w:numPr>
        <w:ind w:left="1066" w:hanging="357"/>
        <w:rPr>
          <w:rFonts w:eastAsia="Times New Roman" w:cs="Times New Roman"/>
          <w:szCs w:val="24"/>
        </w:rPr>
      </w:pPr>
      <w:r w:rsidRPr="006E5544">
        <w:rPr>
          <w:rFonts w:eastAsia="Times New Roman" w:cs="Times New Roman"/>
          <w:szCs w:val="24"/>
        </w:rPr>
        <w:t>The treating clinician requests an expert opinion from a pathology provider, and this is provided either at no cost (gratis) or at cost to the patient (privately) or the clinical unit.</w:t>
      </w:r>
    </w:p>
    <w:p w14:paraId="7C8D204A" w14:textId="77777777" w:rsidR="00B51828" w:rsidRPr="006E5544" w:rsidRDefault="00B51828" w:rsidP="002101D2">
      <w:r w:rsidRPr="006E5544">
        <w:t xml:space="preserve">The Applicant claims that in some cases, an expert opinion would be desirable but the costs associated with providing a second opinion and the lack of funding means that an expert opinion is not sought. </w:t>
      </w:r>
    </w:p>
    <w:p w14:paraId="4D1CC339"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Scientific basis of comparison</w:t>
      </w:r>
    </w:p>
    <w:p w14:paraId="637A43C9" w14:textId="77777777" w:rsidR="00B51828" w:rsidRPr="006E5544" w:rsidRDefault="00B51828" w:rsidP="002101D2">
      <w:pPr>
        <w:rPr>
          <w:szCs w:val="24"/>
        </w:rPr>
      </w:pPr>
      <w:r w:rsidRPr="006E5544">
        <w:t>Although there is a relatively large body of evidence that relates to second pathology opinion in cases where routine review is mandated by institutional policies, this evidence was excluded from the assessment due to inherent differences in the type and complexity of cases referred for second opinion. I</w:t>
      </w:r>
      <w:r w:rsidRPr="006E5544">
        <w:rPr>
          <w:szCs w:val="24"/>
        </w:rPr>
        <w:t xml:space="preserve">n studies where expert opinions are exclusively requested due to pathologist or clinician uncertainty or a clinical need for diagnostic refinement, a larger proportion of cases will have no initial diagnostic opinion or be missing pertinent clinical information that is required to effectively manage the patient. In contrast, </w:t>
      </w:r>
      <w:r w:rsidRPr="006E5544">
        <w:t xml:space="preserve">studies assessing the value of routine review of all pathology cases may report lower discrepancy rates because they include a higher proportion of cases where the specimen types are unlikely to be misdiagnosed or the initial pathologist was confident in their diagnostic opinion. </w:t>
      </w:r>
      <w:r w:rsidRPr="006E5544">
        <w:rPr>
          <w:szCs w:val="24"/>
        </w:rPr>
        <w:t>Thus, the findings of studies relating to routine review of all pathology cases are not applicable to the proposed scenarios for public funding.</w:t>
      </w:r>
    </w:p>
    <w:p w14:paraId="64876D4E" w14:textId="77777777" w:rsidR="00B51828" w:rsidRPr="006E5544" w:rsidRDefault="00B51828" w:rsidP="002101D2">
      <w:r w:rsidRPr="006E5544">
        <w:rPr>
          <w:szCs w:val="24"/>
        </w:rPr>
        <w:lastRenderedPageBreak/>
        <w:t>No studies were identified that compared publicly funded second, expert opinion with unfunded second, expert opinion. However, 14 studies (</w:t>
      </w:r>
      <w:r w:rsidRPr="006E5544">
        <w:t>prospective and retrospective)</w:t>
      </w:r>
      <w:r w:rsidRPr="006E5544">
        <w:rPr>
          <w:szCs w:val="24"/>
        </w:rPr>
        <w:t xml:space="preserve"> were identified that compared second, expert opinion with initial pathology opinion (i.e. no second, expert opinion). </w:t>
      </w:r>
      <w:r w:rsidRPr="006E5544">
        <w:t xml:space="preserve">The 14 studies were heterogeneous, with sample sizes that ranged from 60 cases to 2,686 cases. </w:t>
      </w:r>
      <w:r w:rsidRPr="006E5544">
        <w:rPr>
          <w:szCs w:val="24"/>
        </w:rPr>
        <w:t xml:space="preserve">Many of the studies reported a single institution’s experience of second, expert opinion, and as such, there is considerable variation across the studies, depending on factors such as the case mix of patients encountered by the initial pathologist, </w:t>
      </w:r>
      <w:r w:rsidRPr="006E5544">
        <w:t xml:space="preserve">the complexity of the tissue being studied, </w:t>
      </w:r>
      <w:r w:rsidRPr="006E5544">
        <w:rPr>
          <w:szCs w:val="24"/>
        </w:rPr>
        <w:t>the availability of intra-institutional consultation prior to referral, and the experience and qualifications of the expert pathologist who reviewed the case. T</w:t>
      </w:r>
      <w:r w:rsidRPr="006E5544">
        <w:t>he availability of funding for expert opinions may also alter referral patterns. None of the studies were conducted in Australia.</w:t>
      </w:r>
    </w:p>
    <w:p w14:paraId="3A7929C5" w14:textId="091246D2" w:rsidR="00B51828" w:rsidRPr="006E5544" w:rsidRDefault="00B51828" w:rsidP="002101D2">
      <w:r w:rsidRPr="006E5544">
        <w:t xml:space="preserve">There were 10 studies that met the inclusion criteria for </w:t>
      </w:r>
      <w:r w:rsidRPr="006E5544">
        <w:rPr>
          <w:i/>
        </w:rPr>
        <w:t>Scenario 1</w:t>
      </w:r>
      <w:r w:rsidRPr="006E5544">
        <w:t xml:space="preserve"> – i.e. cases in which an external expert opinion was sought by the initial pathologist due to diagnostic uncertainty. Two studies included all surgical pathology cases while the remaining eight focus</w:t>
      </w:r>
      <w:r w:rsidR="005414B7">
        <w:t>sed</w:t>
      </w:r>
      <w:r w:rsidRPr="006E5544">
        <w:t xml:space="preserve"> on subspecialty areas (dermatology, sarcoma, lung biopsies, oral and maxillofacial pathology, and urothelial lesions). Four additional studies were identified that met the inclusion criteria for </w:t>
      </w:r>
      <w:r w:rsidRPr="006E5544">
        <w:rPr>
          <w:i/>
        </w:rPr>
        <w:t xml:space="preserve">Scenario 2 </w:t>
      </w:r>
      <w:r w:rsidRPr="006E5544">
        <w:t>– i.e. cases where an initial pathology opinion may have been provided, but where uncertainty or insufficient detail regarding the diagnosis remains. One of the four studies examined all surgical pathology cases while the remaining three focus</w:t>
      </w:r>
      <w:r w:rsidR="005414B7">
        <w:t>sed</w:t>
      </w:r>
      <w:r w:rsidRPr="006E5544">
        <w:t xml:space="preserve"> on prostate biopsies, brain and spinal cord specimens, and labial salivary gland biopsies. The 10 studies that met the inclusion criteria for </w:t>
      </w:r>
      <w:r w:rsidRPr="006E5544">
        <w:rPr>
          <w:i/>
        </w:rPr>
        <w:t>Scenario 1</w:t>
      </w:r>
      <w:r w:rsidRPr="006E5544">
        <w:t xml:space="preserve"> are also relevant to </w:t>
      </w:r>
      <w:r w:rsidRPr="006E5544">
        <w:rPr>
          <w:i/>
        </w:rPr>
        <w:t>Scenario 2</w:t>
      </w:r>
      <w:r w:rsidRPr="006E5544">
        <w:t xml:space="preserve">, as an ambiguous or equivocal report from the initial pathologist would be likely to result in clinician uncertainty. </w:t>
      </w:r>
    </w:p>
    <w:p w14:paraId="55443BA3" w14:textId="77777777" w:rsidR="00B51828" w:rsidRPr="006E5544" w:rsidRDefault="00B51828" w:rsidP="002101D2">
      <w:pPr>
        <w:rPr>
          <w:szCs w:val="24"/>
        </w:rPr>
      </w:pPr>
      <w:r w:rsidRPr="006E5544">
        <w:rPr>
          <w:szCs w:val="24"/>
        </w:rPr>
        <w:t xml:space="preserve">The gold standard in diagnostic morphological pathology is good clinical correlation and adequate follow-up. </w:t>
      </w:r>
      <w:r w:rsidRPr="006E5544">
        <w:t xml:space="preserve">In the majority of included studies there was an underlying assumption that the opinion of the expert pathologist was 100% accurate and that any discordance was due to misdiagnosis on the part of the initial pathologist. Follow-up data was rarely available to confirm the assumption that, in discrepant cases, the second, expert opinion was accurate. </w:t>
      </w:r>
      <w:r w:rsidRPr="006E5544">
        <w:rPr>
          <w:szCs w:val="24"/>
        </w:rPr>
        <w:t>Numerous studies have reported a high degree of discordance between expert pathologists when diagnosing difficult lesions, and this has been substantiated in studies that have undertaken patient follow-up. Thus, studies that report discrepancy rates without patient follow-up or, at the very least, consensus pathology opinion, should be interpreted with caution.</w:t>
      </w:r>
    </w:p>
    <w:p w14:paraId="35B0CA96"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Diagnostic accuracy</w:t>
      </w:r>
    </w:p>
    <w:p w14:paraId="5A58A552" w14:textId="77777777" w:rsidR="00B51828" w:rsidRPr="006E5544" w:rsidRDefault="00B51828" w:rsidP="002101D2">
      <w:r w:rsidRPr="006E5544">
        <w:t>All studies assessed diagnostic accuracy by comparing the initial pathology diagnosis (usually undertaken by a general, non-expert pathologist) with that of an expert pathologist. While the nature of the initial pathology opinion is not an outcome explicitly evaluated in the Assessment Report, the interpretation of diagnostic accuracy requires consideration of whether or not a provisional diagnosis was provided by the initial pathologist. In particular, in circumstances where the initial pathologist does not provide a diagnosis, the expert opinion would not usually be regarded as a true diagnostic discrepancy, as it would technically be the first diagnosis upon which patient management decisions could be based. The proportion of cases referred for expert opinion with no initial diagnosis varied substantially between the included studies, from 0.3% (in a study that included pathology specimens from any anatomical site) to 46.8% (in a study that included soft tissue lesions only).</w:t>
      </w:r>
    </w:p>
    <w:p w14:paraId="15CB29E9" w14:textId="77777777" w:rsidR="00B51828" w:rsidRPr="006E5544" w:rsidRDefault="00B51828" w:rsidP="002101D2">
      <w:r w:rsidRPr="006E5544">
        <w:lastRenderedPageBreak/>
        <w:t>Rates of discordance between the initial and expert pathologist varied across the studies from 31% (in a study of all histopathology from any organ system) to 88% (in a study of granulomatous or giant cell reactions in the lung). While misdiagnosis by the initial pathologist was often cited as the cause of discordance, some studies also reported discordance related to the different reporting styles or classification systems used by the initial and expert pathologists. Thus, the different definitions of what constitutes discordance limits interpretation and comparisons across studies.</w:t>
      </w:r>
    </w:p>
    <w:p w14:paraId="2E13916F"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Change in management</w:t>
      </w:r>
    </w:p>
    <w:p w14:paraId="3FBF153C" w14:textId="652A819E" w:rsidR="00B51828" w:rsidRPr="006E5544" w:rsidRDefault="00B51828" w:rsidP="002101D2">
      <w:r w:rsidRPr="006E5544">
        <w:t>The majority of the included studies used the terminology ‘major discrepancy’ to refer to clinically</w:t>
      </w:r>
      <w:r w:rsidR="0053670C">
        <w:t xml:space="preserve"> </w:t>
      </w:r>
      <w:r w:rsidRPr="006E5544">
        <w:t xml:space="preserve">relevant changes in diagnosis that would result in a change in patient management. It could therefore be argued that the rate of major discrepancies represents the best available evidence from the body of literature to determine the value of second, expert opinions. </w:t>
      </w:r>
    </w:p>
    <w:p w14:paraId="209E6455" w14:textId="63A483C8" w:rsidR="00B51828" w:rsidRPr="006E5544" w:rsidRDefault="00B51828" w:rsidP="002101D2">
      <w:r w:rsidRPr="006E5544">
        <w:t>The highest major discrepancy rates (23-27% of cases) were reported in studies of skin lesions and soft</w:t>
      </w:r>
      <w:r w:rsidR="00DB23AB">
        <w:t xml:space="preserve"> </w:t>
      </w:r>
      <w:r w:rsidRPr="006E5544">
        <w:t>tissue sarcoma. In contrast, studies of all surgical pathology (from any organ system) found major discrepancy rates of 12-18%, indicating that major discrepancies between initial and expert pathologists are uncommon in some tissue types. Due to heterogeneity across studies, no conclusions could be drawn regarding major discrepancy rates from pathologist-initiated compared with clinician-initiated second, expert opinions.</w:t>
      </w:r>
    </w:p>
    <w:p w14:paraId="777BD9EE" w14:textId="77777777" w:rsidR="00B51828" w:rsidRPr="006E5544" w:rsidRDefault="00B51828" w:rsidP="002101D2">
      <w:r w:rsidRPr="006E5544">
        <w:t xml:space="preserve">It is important to acknowledge that there are major limitations associated with using major discrepancies as a surrogate for change in management. In most cases of diagnostic uncertainty, treatment is withheld until after an expert diagnosis is received. Thus, a major discrepancy between the initial and expert pathologist does not necessarily translate into a change in management, but rather </w:t>
      </w:r>
      <w:r w:rsidRPr="006E5544">
        <w:rPr>
          <w:szCs w:val="24"/>
        </w:rPr>
        <w:t>the potential for more accurate classification of disease. This, in turn, could lead to more appropriate planning and selection of therapy, which should translate into better health outcomes and more effective utilisation of resources</w:t>
      </w:r>
      <w:r w:rsidRPr="006E5544">
        <w:t xml:space="preserve">. However, due to lack of reliable follow-up data, this claim was not substantiated on the basis of the existing evidence. </w:t>
      </w:r>
    </w:p>
    <w:p w14:paraId="6564837C" w14:textId="77777777" w:rsidR="00B51828" w:rsidRPr="006E5544" w:rsidRDefault="00B51828" w:rsidP="002101D2">
      <w:r w:rsidRPr="006E5544">
        <w:t>Nonetheless, the high proportion of major discrepancies across some tissue types provides a compelling clinical argument for second, expert opinions when there is diagnostic uncertainty or a rare or complex case that warrants verification.</w:t>
      </w:r>
    </w:p>
    <w:p w14:paraId="5C1507FC"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Safety</w:t>
      </w:r>
    </w:p>
    <w:p w14:paraId="2DE02384" w14:textId="77777777" w:rsidR="00B51828" w:rsidRPr="006E5544" w:rsidRDefault="00B51828" w:rsidP="002101D2">
      <w:pPr>
        <w:tabs>
          <w:tab w:val="left" w:pos="2855"/>
        </w:tabs>
        <w:ind w:left="709"/>
      </w:pPr>
      <w:r w:rsidRPr="006E5544">
        <w:t xml:space="preserve">Only two of the included studies provided any patient follow-up information upon which an assessment of the safety (i.e. accuracy) of the expert pathologist’s diagnosis could be made. However, in both cases, follow-up was inadequate and the results were therefore uninterpretable or unreliable. While several of the included studies provided information regarding turnaround time, none of the studies attempted to quantify harms due to a delay in diagnosis. </w:t>
      </w:r>
    </w:p>
    <w:p w14:paraId="0ABF580C"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Effectiveness</w:t>
      </w:r>
    </w:p>
    <w:p w14:paraId="69A176B5" w14:textId="77777777" w:rsidR="00B51828" w:rsidRPr="006E5544" w:rsidRDefault="00B51828" w:rsidP="002101D2">
      <w:r w:rsidRPr="006E5544">
        <w:t xml:space="preserve">None of the included studies reported relevant effectiveness outcomes such as mortality, morbidity or quality of life. </w:t>
      </w:r>
    </w:p>
    <w:p w14:paraId="7254005A" w14:textId="6FBAD841"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lastRenderedPageBreak/>
        <w:t>Pre</w:t>
      </w:r>
      <w:r w:rsidR="00DB23AB">
        <w:rPr>
          <w:rFonts w:ascii="Tahoma" w:eastAsiaTheme="majorEastAsia" w:hAnsi="Tahoma" w:cstheme="majorBidi"/>
          <w:b/>
          <w:sz w:val="22"/>
          <w:szCs w:val="24"/>
        </w:rPr>
        <w:t>-modelling</w:t>
      </w:r>
      <w:r w:rsidRPr="006E5544">
        <w:rPr>
          <w:rFonts w:ascii="Tahoma" w:eastAsiaTheme="majorEastAsia" w:hAnsi="Tahoma" w:cstheme="majorBidi"/>
          <w:b/>
          <w:sz w:val="22"/>
          <w:szCs w:val="24"/>
        </w:rPr>
        <w:t xml:space="preserve"> studies</w:t>
      </w:r>
    </w:p>
    <w:p w14:paraId="1B9E6D8A" w14:textId="77777777" w:rsidR="00B51828" w:rsidRPr="006E5544" w:rsidRDefault="00B51828" w:rsidP="002101D2">
      <w:pPr>
        <w:rPr>
          <w:rFonts w:cs="Garamond"/>
          <w:szCs w:val="24"/>
          <w:lang w:val="en"/>
        </w:rPr>
      </w:pPr>
      <w:r w:rsidRPr="006E5544">
        <w:rPr>
          <w:szCs w:val="24"/>
        </w:rPr>
        <w:t xml:space="preserve">In lieu of reliable published data, anticipated rates of second, expert opinion were obtained from an Expert Opinion Survey (detailed in Appendix 5). </w:t>
      </w:r>
      <w:r w:rsidRPr="006E5544">
        <w:rPr>
          <w:rFonts w:cs="Garamond"/>
          <w:szCs w:val="24"/>
          <w:lang w:val="en"/>
        </w:rPr>
        <w:t xml:space="preserve">The survey was developed to obtain quantitative estimates from large public and private pathology laboratories about the number and nature of tissue pathology and non-gynaecological cytology cases that are currently referred for second, expert opinion in Australia, and any potential changes that would result from MBS funding of second, expert opinions. </w:t>
      </w:r>
    </w:p>
    <w:p w14:paraId="27DD0FE4" w14:textId="77777777" w:rsidR="00B51828" w:rsidRPr="006E5544" w:rsidRDefault="00B51828" w:rsidP="002101D2">
      <w:pPr>
        <w:rPr>
          <w:rFonts w:cs="Garamond"/>
          <w:szCs w:val="24"/>
          <w:lang w:val="en"/>
        </w:rPr>
      </w:pPr>
      <w:r w:rsidRPr="006E5544">
        <w:rPr>
          <w:rFonts w:cs="Garamond"/>
          <w:szCs w:val="24"/>
          <w:lang w:val="en"/>
        </w:rPr>
        <w:t>The survey captured information relating to the two circumstances for funding (</w:t>
      </w:r>
      <w:r w:rsidRPr="006E5544">
        <w:rPr>
          <w:rFonts w:cs="Garamond"/>
          <w:i/>
          <w:szCs w:val="24"/>
          <w:lang w:val="en"/>
        </w:rPr>
        <w:t>Scenario 1</w:t>
      </w:r>
      <w:r w:rsidRPr="006E5544">
        <w:rPr>
          <w:rFonts w:cs="Garamond"/>
          <w:szCs w:val="24"/>
          <w:lang w:val="en"/>
        </w:rPr>
        <w:t xml:space="preserve"> and </w:t>
      </w:r>
      <w:r w:rsidRPr="006E5544">
        <w:rPr>
          <w:rFonts w:cs="Garamond"/>
          <w:i/>
          <w:szCs w:val="24"/>
          <w:lang w:val="en"/>
        </w:rPr>
        <w:t>Scenario 2</w:t>
      </w:r>
      <w:r w:rsidRPr="006E5544">
        <w:rPr>
          <w:rFonts w:cs="Garamond"/>
          <w:szCs w:val="24"/>
          <w:lang w:val="en"/>
        </w:rPr>
        <w:t>), the two proposed complexity levels (≤30 mins and &gt;30 mins) and the use of ancillary tests. The survey results are shown in Section C.4 and were used in the economic evaluation and the financial impact analysis.</w:t>
      </w:r>
    </w:p>
    <w:p w14:paraId="66B75F9D"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Economic evaluation</w:t>
      </w:r>
    </w:p>
    <w:p w14:paraId="23DBF64F" w14:textId="177CD732" w:rsidR="00B51828" w:rsidRPr="006E5544" w:rsidRDefault="00B51828" w:rsidP="002101D2">
      <w:pPr>
        <w:widowControl w:val="0"/>
        <w:suppressAutoHyphens/>
        <w:autoSpaceDE w:val="0"/>
        <w:autoSpaceDN w:val="0"/>
        <w:adjustRightInd w:val="0"/>
        <w:spacing w:line="100" w:lineRule="atLeast"/>
        <w:rPr>
          <w:rFonts w:cs="Garamond"/>
          <w:szCs w:val="24"/>
          <w:lang w:val="en"/>
        </w:rPr>
      </w:pPr>
      <w:r w:rsidRPr="006E5544">
        <w:rPr>
          <w:rFonts w:cs="Garamond"/>
          <w:szCs w:val="24"/>
          <w:lang w:val="en"/>
        </w:rPr>
        <w:t>The economic model is based upon the Decision Analytic structure presented in the Final Protocol, with structural changes (discussed in Section D.1) due to limitations in the evidence base. Health outcomes are derived from the rate of major discrepancies between the initial (provisional) diagnosis and the expert pathologist diagnosis, from studies that included all surgical pathology from any organ system. Such cases are representative of those that could potentially result in a change in clinical management due to second, expert opinion. These cases are often those in which diagnosis is modified from benign to malignant or vice</w:t>
      </w:r>
      <w:r w:rsidR="00DB23AB">
        <w:rPr>
          <w:rFonts w:cs="Garamond"/>
          <w:szCs w:val="24"/>
          <w:lang w:val="en"/>
        </w:rPr>
        <w:t xml:space="preserve"> </w:t>
      </w:r>
      <w:r w:rsidRPr="006E5544">
        <w:rPr>
          <w:rFonts w:cs="Garamond"/>
          <w:szCs w:val="24"/>
          <w:lang w:val="en"/>
        </w:rPr>
        <w:t>versa and can, therefore, be thought of as ‘significant’.</w:t>
      </w:r>
    </w:p>
    <w:p w14:paraId="4884FA3C" w14:textId="2A5642BF" w:rsidR="00B51828" w:rsidRPr="006E5544" w:rsidRDefault="00B51828" w:rsidP="002101D2">
      <w:pPr>
        <w:widowControl w:val="0"/>
        <w:suppressAutoHyphens/>
        <w:autoSpaceDE w:val="0"/>
        <w:autoSpaceDN w:val="0"/>
        <w:adjustRightInd w:val="0"/>
        <w:spacing w:after="120" w:line="100" w:lineRule="atLeast"/>
        <w:rPr>
          <w:rFonts w:cs="Garamond"/>
          <w:szCs w:val="24"/>
          <w:lang w:val="en"/>
        </w:rPr>
      </w:pPr>
      <w:r w:rsidRPr="006E5544">
        <w:rPr>
          <w:rFonts w:cs="Garamond"/>
          <w:szCs w:val="24"/>
          <w:lang w:val="en"/>
        </w:rPr>
        <w:t>The most notable simplification of the structure is that there is no explicit consideration of either improved or inferior treatment outcomes. Instead, on the basis of available data, the economic evaluation estimates the incremental cost per significant (clinically</w:t>
      </w:r>
      <w:r w:rsidR="0053670C">
        <w:rPr>
          <w:rFonts w:cs="Garamond"/>
          <w:szCs w:val="24"/>
          <w:lang w:val="en"/>
        </w:rPr>
        <w:t xml:space="preserve"> </w:t>
      </w:r>
      <w:r w:rsidRPr="006E5544">
        <w:rPr>
          <w:rFonts w:cs="Garamond"/>
          <w:szCs w:val="24"/>
          <w:lang w:val="en"/>
        </w:rPr>
        <w:t>relevant) change in diagnosis or interpretation. The focus is therefore on the attainment of a definitive diagnosis and, as a consequence, the economic evaluation does not extrapolate to final health outcomes. While it may be argued that comprehensive modelling beyond this point would be warranted, there are several reasons why this is unlikely to be informative:</w:t>
      </w:r>
    </w:p>
    <w:p w14:paraId="308098DA" w14:textId="77777777" w:rsidR="00B51828" w:rsidRPr="006E5544" w:rsidRDefault="00B51828" w:rsidP="00B51828">
      <w:pPr>
        <w:widowControl w:val="0"/>
        <w:numPr>
          <w:ilvl w:val="0"/>
          <w:numId w:val="60"/>
        </w:numPr>
        <w:suppressAutoHyphens/>
        <w:autoSpaceDE w:val="0"/>
        <w:autoSpaceDN w:val="0"/>
        <w:adjustRightInd w:val="0"/>
        <w:spacing w:line="100" w:lineRule="atLeast"/>
        <w:contextualSpacing/>
        <w:rPr>
          <w:rFonts w:cs="Garamond"/>
          <w:szCs w:val="24"/>
          <w:lang w:val="en"/>
        </w:rPr>
      </w:pPr>
      <w:r w:rsidRPr="006E5544">
        <w:rPr>
          <w:rFonts w:cs="Garamond"/>
          <w:i/>
          <w:iCs/>
          <w:szCs w:val="24"/>
          <w:lang w:val="en"/>
        </w:rPr>
        <w:t xml:space="preserve">The general nature of the requested listings render it very difficult to accurately assess the cost-effectiveness beyond the point of definitive diagnosis. </w:t>
      </w:r>
      <w:r w:rsidRPr="006E5544">
        <w:rPr>
          <w:rFonts w:cs="Garamond"/>
          <w:szCs w:val="24"/>
          <w:lang w:val="en"/>
        </w:rPr>
        <w:t>It is not feasible to comprehensively consider the differential impacts of significant changes in diagnosis on all conditions to which the listing would apply; the range of conditions means that the range of different treatments, natural histories and subsequent mortality/morbidity implications is enormous. As such, a pragmatic approach was taken. To do otherwise would introduce unreasonable uncertainty to the model, rendering it misleading and/or impossible to interpret.</w:t>
      </w:r>
    </w:p>
    <w:p w14:paraId="5074C0DB" w14:textId="3A084828" w:rsidR="00B51828" w:rsidRPr="006E5544" w:rsidRDefault="00B51828" w:rsidP="00B51828">
      <w:pPr>
        <w:widowControl w:val="0"/>
        <w:numPr>
          <w:ilvl w:val="0"/>
          <w:numId w:val="60"/>
        </w:numPr>
        <w:suppressAutoHyphens/>
        <w:autoSpaceDE w:val="0"/>
        <w:autoSpaceDN w:val="0"/>
        <w:adjustRightInd w:val="0"/>
        <w:spacing w:line="100" w:lineRule="atLeast"/>
        <w:ind w:left="1088" w:hanging="357"/>
        <w:contextualSpacing/>
        <w:rPr>
          <w:rFonts w:cs="Garamond"/>
          <w:i/>
          <w:iCs/>
          <w:szCs w:val="24"/>
          <w:lang w:val="en"/>
        </w:rPr>
      </w:pPr>
      <w:r w:rsidRPr="006E5544">
        <w:rPr>
          <w:rFonts w:cs="Garamond"/>
          <w:i/>
          <w:iCs/>
          <w:szCs w:val="24"/>
          <w:lang w:val="en"/>
        </w:rPr>
        <w:t xml:space="preserve">The paucity of data imposes very real limitations on the ability to extrapolate beyond diagnosis. </w:t>
      </w:r>
      <w:r w:rsidRPr="006E5544">
        <w:rPr>
          <w:rFonts w:cs="Garamond"/>
          <w:szCs w:val="24"/>
          <w:lang w:val="en"/>
        </w:rPr>
        <w:t>Long</w:t>
      </w:r>
      <w:r w:rsidR="00DB23AB">
        <w:rPr>
          <w:rFonts w:cs="Garamond"/>
          <w:szCs w:val="24"/>
          <w:lang w:val="en"/>
        </w:rPr>
        <w:t xml:space="preserve"> </w:t>
      </w:r>
      <w:r w:rsidRPr="006E5544">
        <w:rPr>
          <w:rFonts w:cs="Garamond"/>
          <w:szCs w:val="24"/>
          <w:lang w:val="en"/>
        </w:rPr>
        <w:t xml:space="preserve">term data describing the transition from final diagnosis to mortality (and intermediate morbidity) do not exist for the research questions at hand. </w:t>
      </w:r>
    </w:p>
    <w:p w14:paraId="2A176D59" w14:textId="77777777" w:rsidR="00B51828" w:rsidRPr="006E5544" w:rsidRDefault="00B51828" w:rsidP="002101D2">
      <w:pPr>
        <w:widowControl w:val="0"/>
        <w:suppressAutoHyphens/>
        <w:autoSpaceDE w:val="0"/>
        <w:autoSpaceDN w:val="0"/>
        <w:adjustRightInd w:val="0"/>
        <w:spacing w:line="100" w:lineRule="atLeast"/>
        <w:ind w:left="731"/>
        <w:contextualSpacing/>
        <w:rPr>
          <w:rFonts w:cs="Garamond"/>
          <w:i/>
          <w:iCs/>
          <w:szCs w:val="24"/>
          <w:lang w:val="en"/>
        </w:rPr>
      </w:pPr>
    </w:p>
    <w:p w14:paraId="5FCAB65D" w14:textId="77777777" w:rsidR="00B51828" w:rsidRPr="006E5544" w:rsidRDefault="00B51828" w:rsidP="002101D2">
      <w:pPr>
        <w:widowControl w:val="0"/>
        <w:suppressAutoHyphens/>
        <w:autoSpaceDE w:val="0"/>
        <w:autoSpaceDN w:val="0"/>
        <w:adjustRightInd w:val="0"/>
        <w:spacing w:line="100" w:lineRule="atLeast"/>
        <w:rPr>
          <w:rFonts w:cs="Garamond"/>
          <w:szCs w:val="24"/>
          <w:lang w:val="en"/>
        </w:rPr>
      </w:pPr>
      <w:r w:rsidRPr="006E5544">
        <w:rPr>
          <w:rFonts w:cs="Garamond"/>
          <w:szCs w:val="24"/>
          <w:lang w:val="en"/>
        </w:rPr>
        <w:t>Rather than attempting complex downstream modelling of a wide range of illnesses, the evaluation focusses on providing decision-makers with the most informative assessment of cost-effectiveness. Specifically, the evaluation provides an assessment of how much it will cost, on average, to provide information to trigger a change in diagnosis where required if second, expert opinions are funded by the MBS.</w:t>
      </w:r>
    </w:p>
    <w:p w14:paraId="7EC2EF1D" w14:textId="77777777" w:rsidR="00B51828" w:rsidRPr="006E5544" w:rsidRDefault="00B51828" w:rsidP="002101D2">
      <w:pPr>
        <w:suppressAutoHyphens/>
        <w:autoSpaceDE w:val="0"/>
        <w:autoSpaceDN w:val="0"/>
        <w:adjustRightInd w:val="0"/>
        <w:spacing w:line="100" w:lineRule="atLeast"/>
        <w:rPr>
          <w:rFonts w:cs="Garamond"/>
          <w:szCs w:val="24"/>
          <w:lang w:val="en"/>
        </w:rPr>
      </w:pPr>
      <w:r w:rsidRPr="006E5544">
        <w:rPr>
          <w:rFonts w:cs="Garamond"/>
          <w:szCs w:val="24"/>
          <w:lang w:val="en"/>
        </w:rPr>
        <w:lastRenderedPageBreak/>
        <w:t xml:space="preserve">Cases in which no diagnosis is offered by the initial pathologist are excluded from the model as no data are available to inform how such patients may be managed, or how clinical management may change in the event of a second, expert opinion. </w:t>
      </w:r>
    </w:p>
    <w:p w14:paraId="175C29DE" w14:textId="77777777" w:rsidR="00B51828" w:rsidRPr="006E5544" w:rsidRDefault="00B51828" w:rsidP="002101D2">
      <w:pPr>
        <w:widowControl w:val="0"/>
        <w:suppressAutoHyphens/>
        <w:autoSpaceDE w:val="0"/>
        <w:autoSpaceDN w:val="0"/>
        <w:adjustRightInd w:val="0"/>
        <w:spacing w:line="100" w:lineRule="atLeast"/>
        <w:rPr>
          <w:rFonts w:cs="Garamond"/>
          <w:szCs w:val="24"/>
          <w:lang w:val="en"/>
        </w:rPr>
      </w:pPr>
      <w:r w:rsidRPr="006E5544">
        <w:rPr>
          <w:rFonts w:cs="Garamond"/>
          <w:szCs w:val="24"/>
          <w:lang w:val="en"/>
        </w:rPr>
        <w:t xml:space="preserve">The economic evaluation considers tissue pathology and cytopathology independently, appropriately applying data relevant to each analysis. Due to data limitations, cytopathology is considered in a sensitivity analysis while tissue pathology forms the base case analysis. </w:t>
      </w:r>
    </w:p>
    <w:p w14:paraId="45BEE6B7" w14:textId="77777777" w:rsidR="00B51828" w:rsidRPr="006E5544" w:rsidRDefault="00B51828" w:rsidP="002101D2">
      <w:pPr>
        <w:widowControl w:val="0"/>
        <w:suppressAutoHyphens/>
        <w:autoSpaceDE w:val="0"/>
        <w:autoSpaceDN w:val="0"/>
        <w:adjustRightInd w:val="0"/>
        <w:spacing w:line="100" w:lineRule="atLeast"/>
        <w:rPr>
          <w:rFonts w:cs="Garamond"/>
          <w:szCs w:val="24"/>
          <w:lang w:val="en"/>
        </w:rPr>
      </w:pPr>
      <w:r w:rsidRPr="006E5544">
        <w:rPr>
          <w:rFonts w:cs="Garamond"/>
          <w:szCs w:val="24"/>
          <w:lang w:val="en"/>
        </w:rPr>
        <w:t>In addition to claiming reimbursement for the second opinion, expert pathologists would have the ability to recharge for ancillary items in conjunction with one of the proposed new items. These costs are also factored into the evaluation.</w:t>
      </w:r>
    </w:p>
    <w:p w14:paraId="47A5D5BE" w14:textId="69103FB5" w:rsidR="00B51828" w:rsidRPr="006E5544" w:rsidRDefault="00B51828" w:rsidP="002101D2">
      <w:pPr>
        <w:rPr>
          <w:rFonts w:cs="Garamond"/>
          <w:szCs w:val="24"/>
          <w:lang w:val="en"/>
        </w:rPr>
      </w:pPr>
      <w:r w:rsidRPr="006E5544">
        <w:rPr>
          <w:rFonts w:cs="Garamond"/>
          <w:szCs w:val="24"/>
          <w:lang w:val="en"/>
        </w:rPr>
        <w:t>The incremental cost-effectiveness is shown in Table ES-3. The economic evaluation demonstrates that if second, expert opinions were to be funded by the MBS as per the requested listing, it would cost an additional $3</w:t>
      </w:r>
      <w:r w:rsidR="008321D6">
        <w:rPr>
          <w:rFonts w:cs="Garamond"/>
          <w:szCs w:val="24"/>
          <w:lang w:val="en"/>
        </w:rPr>
        <w:t>,838 to generate one</w:t>
      </w:r>
      <w:r w:rsidRPr="006E5544">
        <w:rPr>
          <w:rFonts w:cs="Garamond"/>
          <w:szCs w:val="24"/>
          <w:lang w:val="en"/>
        </w:rPr>
        <w:t xml:space="preserve"> significant change in diagnosis in the case of tissue pathology.</w:t>
      </w:r>
    </w:p>
    <w:p w14:paraId="4005BD01" w14:textId="4CB27117" w:rsidR="00B51828" w:rsidRPr="006E5544" w:rsidRDefault="00B51828" w:rsidP="002101D2">
      <w:pPr>
        <w:keepNext/>
        <w:spacing w:before="40" w:after="40"/>
        <w:ind w:left="2127" w:hanging="1407"/>
        <w:rPr>
          <w:rFonts w:ascii="Arial Narrow" w:hAnsi="Arial Narrow"/>
          <w:b/>
          <w:iCs/>
          <w:sz w:val="20"/>
          <w:szCs w:val="18"/>
        </w:rPr>
      </w:pPr>
      <w:r w:rsidRPr="006E5544">
        <w:rPr>
          <w:rFonts w:ascii="Arial Narrow" w:hAnsi="Arial Narrow"/>
          <w:b/>
          <w:iCs/>
          <w:sz w:val="20"/>
          <w:szCs w:val="18"/>
        </w:rPr>
        <w:t>Table ES-3</w:t>
      </w:r>
      <w:r w:rsidRPr="006E5544">
        <w:rPr>
          <w:rFonts w:ascii="Arial Narrow" w:hAnsi="Arial Narrow"/>
          <w:b/>
          <w:iCs/>
          <w:sz w:val="20"/>
          <w:szCs w:val="18"/>
        </w:rPr>
        <w:tab/>
        <w:t>Incremental cost per significant (clinically</w:t>
      </w:r>
      <w:r w:rsidR="0053670C">
        <w:rPr>
          <w:rFonts w:ascii="Arial Narrow" w:hAnsi="Arial Narrow"/>
          <w:b/>
          <w:iCs/>
          <w:sz w:val="20"/>
          <w:szCs w:val="18"/>
        </w:rPr>
        <w:t xml:space="preserve"> </w:t>
      </w:r>
      <w:r w:rsidRPr="006E5544">
        <w:rPr>
          <w:rFonts w:ascii="Arial Narrow" w:hAnsi="Arial Narrow"/>
          <w:b/>
          <w:iCs/>
          <w:sz w:val="20"/>
          <w:szCs w:val="18"/>
        </w:rPr>
        <w:t>relevant) change in diagnosis or interpretation</w:t>
      </w:r>
    </w:p>
    <w:tbl>
      <w:tblPr>
        <w:tblW w:w="8222" w:type="dxa"/>
        <w:tblInd w:w="706" w:type="dxa"/>
        <w:tblLayout w:type="fixed"/>
        <w:tblCellMar>
          <w:left w:w="27" w:type="dxa"/>
          <w:right w:w="27" w:type="dxa"/>
        </w:tblCellMar>
        <w:tblLook w:val="0000" w:firstRow="0" w:lastRow="0" w:firstColumn="0" w:lastColumn="0" w:noHBand="0" w:noVBand="0"/>
        <w:tblCaption w:val="Incremental cost per significant (clinically relevant) change in diagnosis or interpretation"/>
        <w:tblDescription w:val="The additional cost to the MBS to generate one significant change in diagnosis in the case of tissue pathology"/>
      </w:tblPr>
      <w:tblGrid>
        <w:gridCol w:w="3827"/>
        <w:gridCol w:w="1701"/>
        <w:gridCol w:w="1560"/>
        <w:gridCol w:w="1134"/>
      </w:tblGrid>
      <w:tr w:rsidR="00B51828" w:rsidRPr="006E5544" w14:paraId="30ABA730" w14:textId="77777777" w:rsidTr="00495426">
        <w:trPr>
          <w:trHeight w:val="1"/>
          <w:tblHeader/>
        </w:trPr>
        <w:tc>
          <w:tcPr>
            <w:tcW w:w="3827" w:type="dxa"/>
            <w:tcBorders>
              <w:top w:val="single" w:sz="2" w:space="0" w:color="000000"/>
              <w:left w:val="single" w:sz="2" w:space="0" w:color="000000"/>
              <w:bottom w:val="single" w:sz="2" w:space="0" w:color="000000"/>
              <w:right w:val="nil"/>
            </w:tcBorders>
            <w:shd w:val="clear" w:color="000000" w:fill="auto"/>
          </w:tcPr>
          <w:p w14:paraId="3730A72E" w14:textId="77777777" w:rsidR="00B51828" w:rsidRPr="006E5544" w:rsidRDefault="00B51828" w:rsidP="002101D2">
            <w:pPr>
              <w:keepNext/>
              <w:widowControl w:val="0"/>
              <w:suppressAutoHyphens/>
              <w:autoSpaceDE w:val="0"/>
              <w:autoSpaceDN w:val="0"/>
              <w:adjustRightInd w:val="0"/>
              <w:spacing w:before="20" w:after="20"/>
              <w:ind w:left="144" w:right="180"/>
              <w:rPr>
                <w:rFonts w:ascii="Calibri" w:hAnsi="Calibri" w:cs="Calibri"/>
                <w:sz w:val="22"/>
                <w:lang w:val="en"/>
              </w:rPr>
            </w:pPr>
          </w:p>
        </w:tc>
        <w:tc>
          <w:tcPr>
            <w:tcW w:w="1701" w:type="dxa"/>
            <w:tcBorders>
              <w:top w:val="single" w:sz="2" w:space="0" w:color="000000"/>
              <w:left w:val="single" w:sz="2" w:space="0" w:color="000000"/>
              <w:bottom w:val="single" w:sz="2" w:space="0" w:color="000000"/>
              <w:right w:val="nil"/>
            </w:tcBorders>
            <w:shd w:val="clear" w:color="000000" w:fill="auto"/>
          </w:tcPr>
          <w:p w14:paraId="608A650D" w14:textId="77777777" w:rsidR="00B51828" w:rsidRPr="006E554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6E5544">
              <w:rPr>
                <w:rFonts w:ascii="Arial Narrow" w:hAnsi="Arial Narrow" w:cs="Arial Narrow"/>
                <w:b/>
                <w:bCs/>
                <w:sz w:val="20"/>
                <w:szCs w:val="20"/>
                <w:lang w:val="en"/>
              </w:rPr>
              <w:t>Proposed funding arrangements</w:t>
            </w:r>
          </w:p>
        </w:tc>
        <w:tc>
          <w:tcPr>
            <w:tcW w:w="1560" w:type="dxa"/>
            <w:tcBorders>
              <w:top w:val="single" w:sz="2" w:space="0" w:color="000000"/>
              <w:left w:val="single" w:sz="2" w:space="0" w:color="000000"/>
              <w:bottom w:val="single" w:sz="2" w:space="0" w:color="000000"/>
              <w:right w:val="nil"/>
            </w:tcBorders>
            <w:shd w:val="clear" w:color="000000" w:fill="auto"/>
          </w:tcPr>
          <w:p w14:paraId="38539FA8" w14:textId="77777777" w:rsidR="00B51828" w:rsidRPr="006E5544" w:rsidRDefault="00B51828" w:rsidP="002101D2">
            <w:pPr>
              <w:keepNext/>
              <w:widowControl w:val="0"/>
              <w:suppressAutoHyphens/>
              <w:autoSpaceDE w:val="0"/>
              <w:autoSpaceDN w:val="0"/>
              <w:adjustRightInd w:val="0"/>
              <w:spacing w:before="20" w:after="20"/>
              <w:ind w:left="132" w:right="120"/>
              <w:jc w:val="right"/>
              <w:rPr>
                <w:rFonts w:ascii="Calibri" w:hAnsi="Calibri" w:cs="Calibri"/>
                <w:sz w:val="22"/>
                <w:lang w:val="en"/>
              </w:rPr>
            </w:pPr>
            <w:r w:rsidRPr="006E5544">
              <w:rPr>
                <w:rFonts w:ascii="Arial Narrow" w:hAnsi="Arial Narrow" w:cs="Arial Narrow"/>
                <w:b/>
                <w:bCs/>
                <w:sz w:val="20"/>
                <w:szCs w:val="20"/>
                <w:lang w:val="en"/>
              </w:rPr>
              <w:t>Current funding arrangements</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7B20B423" w14:textId="77777777" w:rsidR="00B51828" w:rsidRPr="006E5544" w:rsidRDefault="00B51828" w:rsidP="002101D2">
            <w:pPr>
              <w:keepNext/>
              <w:widowControl w:val="0"/>
              <w:suppressAutoHyphens/>
              <w:autoSpaceDE w:val="0"/>
              <w:autoSpaceDN w:val="0"/>
              <w:adjustRightInd w:val="0"/>
              <w:spacing w:before="20" w:after="20"/>
              <w:ind w:left="84" w:right="60"/>
              <w:jc w:val="right"/>
              <w:rPr>
                <w:rFonts w:ascii="Calibri" w:hAnsi="Calibri" w:cs="Calibri"/>
                <w:sz w:val="22"/>
                <w:lang w:val="en"/>
              </w:rPr>
            </w:pPr>
            <w:r w:rsidRPr="006E5544">
              <w:rPr>
                <w:rFonts w:ascii="Arial Narrow" w:hAnsi="Arial Narrow" w:cs="Arial Narrow"/>
                <w:b/>
                <w:bCs/>
                <w:sz w:val="20"/>
                <w:szCs w:val="20"/>
                <w:lang w:val="en"/>
              </w:rPr>
              <w:t>Incremental</w:t>
            </w:r>
          </w:p>
        </w:tc>
      </w:tr>
      <w:tr w:rsidR="00B51828" w:rsidRPr="006E5544" w14:paraId="7D682219" w14:textId="77777777" w:rsidTr="00495426">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4439BBAC" w14:textId="77777777" w:rsidR="00B51828" w:rsidRPr="006E5544" w:rsidRDefault="00B51828" w:rsidP="002101D2">
            <w:pPr>
              <w:keepNext/>
              <w:widowControl w:val="0"/>
              <w:suppressAutoHyphens/>
              <w:autoSpaceDE w:val="0"/>
              <w:autoSpaceDN w:val="0"/>
              <w:adjustRightInd w:val="0"/>
              <w:spacing w:before="20" w:after="20"/>
              <w:ind w:left="144" w:right="180"/>
              <w:rPr>
                <w:rFonts w:ascii="Calibri" w:hAnsi="Calibri" w:cs="Calibri"/>
                <w:sz w:val="22"/>
                <w:lang w:val="en"/>
              </w:rPr>
            </w:pPr>
            <w:r w:rsidRPr="006E5544">
              <w:rPr>
                <w:rFonts w:ascii="Arial Narrow" w:hAnsi="Arial Narrow" w:cs="Arial Narrow"/>
                <w:sz w:val="20"/>
                <w:szCs w:val="20"/>
                <w:lang w:val="en"/>
              </w:rPr>
              <w:t>Average cost per patient</w:t>
            </w:r>
          </w:p>
        </w:tc>
        <w:tc>
          <w:tcPr>
            <w:tcW w:w="1701" w:type="dxa"/>
            <w:tcBorders>
              <w:top w:val="single" w:sz="2" w:space="0" w:color="000000"/>
              <w:left w:val="single" w:sz="2" w:space="0" w:color="000000"/>
              <w:bottom w:val="single" w:sz="2" w:space="0" w:color="000000"/>
              <w:right w:val="nil"/>
            </w:tcBorders>
            <w:shd w:val="clear" w:color="000000" w:fill="auto"/>
          </w:tcPr>
          <w:p w14:paraId="75E18A26" w14:textId="77777777" w:rsidR="00B51828" w:rsidRPr="006E554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6E5544">
              <w:rPr>
                <w:rFonts w:ascii="Arial Narrow" w:hAnsi="Arial Narrow" w:cs="Arial Narrow"/>
                <w:sz w:val="20"/>
                <w:szCs w:val="20"/>
                <w:lang w:val="en"/>
              </w:rPr>
              <w:t>$4.19</w:t>
            </w:r>
          </w:p>
        </w:tc>
        <w:tc>
          <w:tcPr>
            <w:tcW w:w="1560" w:type="dxa"/>
            <w:tcBorders>
              <w:top w:val="single" w:sz="2" w:space="0" w:color="000000"/>
              <w:left w:val="single" w:sz="2" w:space="0" w:color="000000"/>
              <w:bottom w:val="single" w:sz="2" w:space="0" w:color="000000"/>
              <w:right w:val="nil"/>
            </w:tcBorders>
            <w:shd w:val="clear" w:color="000000" w:fill="auto"/>
          </w:tcPr>
          <w:p w14:paraId="687DDDBF" w14:textId="77777777" w:rsidR="00B51828" w:rsidRPr="006E5544" w:rsidRDefault="00B51828" w:rsidP="002101D2">
            <w:pPr>
              <w:keepNext/>
              <w:widowControl w:val="0"/>
              <w:suppressAutoHyphens/>
              <w:autoSpaceDE w:val="0"/>
              <w:autoSpaceDN w:val="0"/>
              <w:adjustRightInd w:val="0"/>
              <w:spacing w:before="20" w:after="20"/>
              <w:ind w:left="132" w:right="120"/>
              <w:jc w:val="right"/>
              <w:rPr>
                <w:rFonts w:ascii="Calibri" w:hAnsi="Calibri" w:cs="Calibri"/>
                <w:sz w:val="22"/>
                <w:lang w:val="en"/>
              </w:rPr>
            </w:pPr>
            <w:r w:rsidRPr="006E5544">
              <w:rPr>
                <w:rFonts w:ascii="Arial Narrow" w:hAnsi="Arial Narrow" w:cs="Arial Narrow"/>
                <w:sz w:val="20"/>
                <w:szCs w:val="20"/>
                <w:lang w:val="en"/>
              </w:rPr>
              <w:t>$0.15</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3FB0D1A9" w14:textId="77777777" w:rsidR="00B51828" w:rsidRPr="006E5544" w:rsidRDefault="00B51828" w:rsidP="002101D2">
            <w:pPr>
              <w:keepNext/>
              <w:widowControl w:val="0"/>
              <w:tabs>
                <w:tab w:val="left" w:pos="6846"/>
              </w:tabs>
              <w:suppressAutoHyphens/>
              <w:autoSpaceDE w:val="0"/>
              <w:autoSpaceDN w:val="0"/>
              <w:adjustRightInd w:val="0"/>
              <w:spacing w:before="20" w:after="20"/>
              <w:ind w:left="108" w:right="60"/>
              <w:jc w:val="right"/>
              <w:rPr>
                <w:rFonts w:ascii="Calibri" w:hAnsi="Calibri" w:cs="Calibri"/>
                <w:sz w:val="22"/>
                <w:lang w:val="en"/>
              </w:rPr>
            </w:pPr>
            <w:r w:rsidRPr="006E5544">
              <w:rPr>
                <w:rFonts w:ascii="Arial Narrow" w:hAnsi="Arial Narrow" w:cs="Arial Narrow"/>
                <w:sz w:val="20"/>
                <w:szCs w:val="20"/>
                <w:lang w:val="en"/>
              </w:rPr>
              <w:t>$4.04</w:t>
            </w:r>
          </w:p>
        </w:tc>
      </w:tr>
      <w:tr w:rsidR="00B51828" w:rsidRPr="006E5544" w14:paraId="30060FEF" w14:textId="77777777" w:rsidTr="00495426">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1EF113E4" w14:textId="77777777" w:rsidR="00B51828" w:rsidRPr="006E5544" w:rsidRDefault="00B51828" w:rsidP="002101D2">
            <w:pPr>
              <w:keepNext/>
              <w:widowControl w:val="0"/>
              <w:suppressAutoHyphens/>
              <w:autoSpaceDE w:val="0"/>
              <w:autoSpaceDN w:val="0"/>
              <w:adjustRightInd w:val="0"/>
              <w:spacing w:before="20" w:after="20"/>
              <w:ind w:left="144" w:right="180"/>
              <w:rPr>
                <w:rFonts w:ascii="Calibri" w:hAnsi="Calibri" w:cs="Calibri"/>
                <w:sz w:val="22"/>
                <w:lang w:val="en"/>
              </w:rPr>
            </w:pPr>
            <w:r w:rsidRPr="006E5544">
              <w:rPr>
                <w:rFonts w:ascii="Arial Narrow" w:hAnsi="Arial Narrow" w:cs="Arial Narrow"/>
                <w:sz w:val="20"/>
                <w:szCs w:val="20"/>
                <w:lang w:val="en"/>
              </w:rPr>
              <w:t>Average rate of significant change in diagnosis per patient</w:t>
            </w:r>
          </w:p>
        </w:tc>
        <w:tc>
          <w:tcPr>
            <w:tcW w:w="1701" w:type="dxa"/>
            <w:tcBorders>
              <w:top w:val="single" w:sz="2" w:space="0" w:color="000000"/>
              <w:left w:val="single" w:sz="2" w:space="0" w:color="000000"/>
              <w:bottom w:val="single" w:sz="2" w:space="0" w:color="000000"/>
              <w:right w:val="nil"/>
            </w:tcBorders>
            <w:shd w:val="clear" w:color="000000" w:fill="auto"/>
          </w:tcPr>
          <w:p w14:paraId="2194E094" w14:textId="77777777" w:rsidR="00B51828" w:rsidRPr="006E554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6E5544">
              <w:rPr>
                <w:rFonts w:ascii="Arial Narrow" w:hAnsi="Arial Narrow" w:cs="Arial Narrow"/>
                <w:sz w:val="20"/>
                <w:szCs w:val="20"/>
                <w:lang w:val="en"/>
              </w:rPr>
              <w:t>0.0018</w:t>
            </w:r>
          </w:p>
        </w:tc>
        <w:tc>
          <w:tcPr>
            <w:tcW w:w="1560" w:type="dxa"/>
            <w:tcBorders>
              <w:top w:val="single" w:sz="2" w:space="0" w:color="000000"/>
              <w:left w:val="single" w:sz="2" w:space="0" w:color="000000"/>
              <w:bottom w:val="single" w:sz="2" w:space="0" w:color="000000"/>
              <w:right w:val="nil"/>
            </w:tcBorders>
            <w:shd w:val="clear" w:color="000000" w:fill="auto"/>
          </w:tcPr>
          <w:p w14:paraId="677863EE" w14:textId="77777777" w:rsidR="00B51828" w:rsidRPr="006E5544" w:rsidRDefault="00B51828" w:rsidP="002101D2">
            <w:pPr>
              <w:keepNext/>
              <w:widowControl w:val="0"/>
              <w:suppressAutoHyphens/>
              <w:autoSpaceDE w:val="0"/>
              <w:autoSpaceDN w:val="0"/>
              <w:adjustRightInd w:val="0"/>
              <w:spacing w:before="20" w:after="20"/>
              <w:ind w:left="132" w:right="120"/>
              <w:jc w:val="right"/>
              <w:rPr>
                <w:rFonts w:ascii="Calibri" w:hAnsi="Calibri" w:cs="Calibri"/>
                <w:sz w:val="22"/>
                <w:lang w:val="en"/>
              </w:rPr>
            </w:pPr>
            <w:r w:rsidRPr="006E5544">
              <w:rPr>
                <w:rFonts w:ascii="Arial Narrow" w:hAnsi="Arial Narrow" w:cs="Arial Narrow"/>
                <w:sz w:val="20"/>
                <w:szCs w:val="20"/>
                <w:lang w:val="en"/>
              </w:rPr>
              <w:t>0.0007</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109E9D52" w14:textId="77777777" w:rsidR="00B51828" w:rsidRPr="006E5544" w:rsidRDefault="00B51828" w:rsidP="002101D2">
            <w:pPr>
              <w:keepNext/>
              <w:widowControl w:val="0"/>
              <w:suppressAutoHyphens/>
              <w:autoSpaceDE w:val="0"/>
              <w:autoSpaceDN w:val="0"/>
              <w:adjustRightInd w:val="0"/>
              <w:spacing w:before="20" w:after="20"/>
              <w:ind w:left="132" w:right="60"/>
              <w:jc w:val="right"/>
              <w:rPr>
                <w:rFonts w:ascii="Calibri" w:hAnsi="Calibri" w:cs="Calibri"/>
                <w:sz w:val="22"/>
                <w:lang w:val="en"/>
              </w:rPr>
            </w:pPr>
            <w:r w:rsidRPr="006E5544">
              <w:rPr>
                <w:rFonts w:ascii="Arial Narrow" w:hAnsi="Arial Narrow" w:cs="Arial Narrow"/>
                <w:sz w:val="20"/>
                <w:szCs w:val="20"/>
                <w:lang w:val="en"/>
              </w:rPr>
              <w:t>0.0011</w:t>
            </w:r>
          </w:p>
        </w:tc>
      </w:tr>
      <w:tr w:rsidR="006010D6" w:rsidRPr="006E5544" w14:paraId="7EB0E53B" w14:textId="77777777" w:rsidTr="00495426">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0D7CF517" w14:textId="77777777" w:rsidR="006010D6" w:rsidRPr="006E5544" w:rsidRDefault="006010D6" w:rsidP="002101D2">
            <w:pPr>
              <w:keepNext/>
              <w:widowControl w:val="0"/>
              <w:suppressAutoHyphens/>
              <w:autoSpaceDE w:val="0"/>
              <w:autoSpaceDN w:val="0"/>
              <w:adjustRightInd w:val="0"/>
              <w:spacing w:before="20" w:after="20"/>
              <w:ind w:left="144" w:right="180"/>
              <w:rPr>
                <w:rFonts w:ascii="Calibri" w:hAnsi="Calibri" w:cs="Calibri"/>
                <w:sz w:val="22"/>
                <w:lang w:val="en"/>
              </w:rPr>
            </w:pPr>
            <w:r w:rsidRPr="006E5544">
              <w:rPr>
                <w:rFonts w:ascii="Arial Narrow" w:hAnsi="Arial Narrow" w:cs="Arial Narrow"/>
                <w:sz w:val="20"/>
                <w:szCs w:val="20"/>
                <w:lang w:val="en"/>
              </w:rPr>
              <w:t>Incremental cost per significant (clinically</w:t>
            </w:r>
            <w:r>
              <w:rPr>
                <w:rFonts w:ascii="Arial Narrow" w:hAnsi="Arial Narrow" w:cs="Arial Narrow"/>
                <w:sz w:val="20"/>
                <w:szCs w:val="20"/>
                <w:lang w:val="en"/>
              </w:rPr>
              <w:t xml:space="preserve"> </w:t>
            </w:r>
            <w:r w:rsidRPr="006E5544">
              <w:rPr>
                <w:rFonts w:ascii="Arial Narrow" w:hAnsi="Arial Narrow" w:cs="Arial Narrow"/>
                <w:sz w:val="20"/>
                <w:szCs w:val="20"/>
                <w:lang w:val="en"/>
              </w:rPr>
              <w:t>relevant) change in diagnosis or interpretation</w:t>
            </w:r>
          </w:p>
        </w:tc>
        <w:tc>
          <w:tcPr>
            <w:tcW w:w="1701" w:type="dxa"/>
            <w:tcBorders>
              <w:top w:val="single" w:sz="2" w:space="0" w:color="000000"/>
              <w:left w:val="single" w:sz="2" w:space="0" w:color="000000"/>
              <w:bottom w:val="single" w:sz="2" w:space="0" w:color="000000"/>
              <w:right w:val="nil"/>
            </w:tcBorders>
            <w:shd w:val="clear" w:color="000000" w:fill="auto"/>
          </w:tcPr>
          <w:p w14:paraId="0DD33140" w14:textId="20E9E372" w:rsidR="006010D6" w:rsidRPr="006E5544" w:rsidRDefault="00495426" w:rsidP="00495426">
            <w:pPr>
              <w:keepNext/>
              <w:widowControl w:val="0"/>
              <w:suppressAutoHyphens/>
              <w:autoSpaceDE w:val="0"/>
              <w:autoSpaceDN w:val="0"/>
              <w:adjustRightInd w:val="0"/>
              <w:spacing w:before="20" w:after="20"/>
              <w:ind w:left="144" w:right="180"/>
              <w:jc w:val="right"/>
              <w:rPr>
                <w:rFonts w:ascii="Calibri" w:hAnsi="Calibri" w:cs="Calibri"/>
                <w:sz w:val="22"/>
                <w:lang w:val="en"/>
              </w:rPr>
            </w:pPr>
            <w:r>
              <w:rPr>
                <w:rFonts w:ascii="Calibri" w:hAnsi="Calibri" w:cs="Calibri"/>
                <w:sz w:val="22"/>
                <w:lang w:val="en"/>
              </w:rPr>
              <w:t>-</w:t>
            </w:r>
          </w:p>
        </w:tc>
        <w:tc>
          <w:tcPr>
            <w:tcW w:w="1560" w:type="dxa"/>
            <w:tcBorders>
              <w:top w:val="single" w:sz="2" w:space="0" w:color="000000"/>
              <w:left w:val="single" w:sz="2" w:space="0" w:color="000000"/>
              <w:bottom w:val="single" w:sz="2" w:space="0" w:color="000000"/>
              <w:right w:val="nil"/>
            </w:tcBorders>
            <w:shd w:val="clear" w:color="000000" w:fill="auto"/>
          </w:tcPr>
          <w:p w14:paraId="739DFFB0" w14:textId="47C74369" w:rsidR="006010D6" w:rsidRPr="006E5544" w:rsidRDefault="00495426" w:rsidP="00495426">
            <w:pPr>
              <w:keepNext/>
              <w:widowControl w:val="0"/>
              <w:suppressAutoHyphens/>
              <w:autoSpaceDE w:val="0"/>
              <w:autoSpaceDN w:val="0"/>
              <w:adjustRightInd w:val="0"/>
              <w:spacing w:before="20" w:after="20"/>
              <w:ind w:left="144" w:right="180"/>
              <w:jc w:val="right"/>
              <w:rPr>
                <w:rFonts w:ascii="Calibri" w:hAnsi="Calibri" w:cs="Calibri"/>
                <w:sz w:val="22"/>
                <w:lang w:val="en"/>
              </w:rPr>
            </w:pPr>
            <w:r>
              <w:rPr>
                <w:rFonts w:ascii="Calibri" w:hAnsi="Calibri" w:cs="Calibri"/>
                <w:sz w:val="22"/>
                <w:lang w:val="en"/>
              </w:rPr>
              <w:t>-</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0F67082A" w14:textId="77777777" w:rsidR="006010D6" w:rsidRPr="006E5544" w:rsidRDefault="006010D6" w:rsidP="002101D2">
            <w:pPr>
              <w:keepNext/>
              <w:widowControl w:val="0"/>
              <w:suppressAutoHyphens/>
              <w:autoSpaceDE w:val="0"/>
              <w:autoSpaceDN w:val="0"/>
              <w:adjustRightInd w:val="0"/>
              <w:spacing w:before="20" w:after="20"/>
              <w:ind w:left="96" w:right="60"/>
              <w:jc w:val="right"/>
              <w:rPr>
                <w:rFonts w:ascii="Calibri" w:hAnsi="Calibri" w:cs="Calibri"/>
                <w:sz w:val="22"/>
                <w:lang w:val="en"/>
              </w:rPr>
            </w:pPr>
            <w:r w:rsidRPr="006E5544">
              <w:rPr>
                <w:rFonts w:ascii="Arial Narrow" w:hAnsi="Arial Narrow" w:cs="Arial Narrow"/>
                <w:sz w:val="20"/>
                <w:szCs w:val="20"/>
                <w:lang w:val="en"/>
              </w:rPr>
              <w:t>$3,838.26</w:t>
            </w:r>
          </w:p>
        </w:tc>
      </w:tr>
    </w:tbl>
    <w:p w14:paraId="63570E8E" w14:textId="77777777" w:rsidR="00B51828" w:rsidRPr="006E5544" w:rsidRDefault="00B51828" w:rsidP="002101D2">
      <w:pPr>
        <w:rPr>
          <w:rFonts w:ascii="Arial Narrow" w:hAnsi="Arial Narrow" w:cs="Arial Narrow"/>
          <w:sz w:val="18"/>
          <w:szCs w:val="18"/>
          <w:lang w:val="en"/>
        </w:rPr>
      </w:pPr>
      <w:r w:rsidRPr="006E5544">
        <w:rPr>
          <w:rFonts w:ascii="Arial Narrow" w:hAnsi="Arial Narrow" w:cs="Arial Narrow"/>
          <w:sz w:val="18"/>
          <w:szCs w:val="18"/>
          <w:lang w:val="en"/>
        </w:rPr>
        <w:t>Note: Figures may not sum due to rounding</w:t>
      </w:r>
    </w:p>
    <w:p w14:paraId="1DD63CD2" w14:textId="77777777" w:rsidR="00B51828" w:rsidRPr="006E5544" w:rsidRDefault="00B51828" w:rsidP="002101D2">
      <w:pPr>
        <w:widowControl w:val="0"/>
        <w:suppressAutoHyphens/>
        <w:autoSpaceDE w:val="0"/>
        <w:autoSpaceDN w:val="0"/>
        <w:adjustRightInd w:val="0"/>
        <w:spacing w:line="100" w:lineRule="atLeast"/>
        <w:rPr>
          <w:rFonts w:cs="Garamond"/>
          <w:szCs w:val="24"/>
          <w:lang w:val="en"/>
        </w:rPr>
      </w:pPr>
      <w:r w:rsidRPr="006E5544">
        <w:rPr>
          <w:rFonts w:cs="Garamond"/>
          <w:szCs w:val="24"/>
          <w:lang w:val="en"/>
        </w:rPr>
        <w:t>Importantly, in the absence of information otherwise, this analysis assumes that there is a zero cost associated with second, expert opinions under the current funding arrangements. As such, it represents a worst-case scenario in that sense.</w:t>
      </w:r>
    </w:p>
    <w:p w14:paraId="3EE818F5" w14:textId="77777777" w:rsidR="00B51828" w:rsidRPr="006E5544" w:rsidRDefault="00B51828" w:rsidP="002101D2">
      <w:pPr>
        <w:widowControl w:val="0"/>
        <w:suppressAutoHyphens/>
        <w:autoSpaceDE w:val="0"/>
        <w:autoSpaceDN w:val="0"/>
        <w:adjustRightInd w:val="0"/>
        <w:spacing w:line="100" w:lineRule="atLeast"/>
        <w:rPr>
          <w:rFonts w:cs="Garamond"/>
          <w:szCs w:val="24"/>
          <w:lang w:val="en"/>
        </w:rPr>
      </w:pPr>
      <w:r w:rsidRPr="006E5544">
        <w:rPr>
          <w:rFonts w:cs="Garamond"/>
          <w:szCs w:val="24"/>
          <w:lang w:val="en"/>
        </w:rPr>
        <w:t xml:space="preserve">A series of sensitivity analyses were conducted to highlight potential areas of uncertainty with regards to the base case. Key sensitivity analyses are shown in Table ES-4 (see Section D.5 for all a full list and discussion). </w:t>
      </w:r>
    </w:p>
    <w:p w14:paraId="69125295" w14:textId="196EC21E" w:rsidR="00B51828" w:rsidRPr="006E5544" w:rsidRDefault="00B51828" w:rsidP="002101D2">
      <w:pPr>
        <w:keepNext/>
        <w:spacing w:before="40" w:after="40"/>
        <w:ind w:left="2127" w:hanging="1407"/>
        <w:rPr>
          <w:rFonts w:ascii="Arial Narrow" w:hAnsi="Arial Narrow"/>
          <w:b/>
          <w:iCs/>
          <w:sz w:val="20"/>
          <w:szCs w:val="18"/>
        </w:rPr>
      </w:pPr>
      <w:r w:rsidRPr="006E5544">
        <w:rPr>
          <w:rFonts w:ascii="Arial Narrow" w:hAnsi="Arial Narrow"/>
          <w:b/>
          <w:iCs/>
          <w:sz w:val="20"/>
          <w:szCs w:val="18"/>
        </w:rPr>
        <w:t>Table ES-4</w:t>
      </w:r>
      <w:r w:rsidRPr="006E5544">
        <w:rPr>
          <w:rFonts w:ascii="Arial Narrow" w:hAnsi="Arial Narrow"/>
          <w:b/>
          <w:iCs/>
          <w:sz w:val="20"/>
          <w:szCs w:val="18"/>
        </w:rPr>
        <w:tab/>
        <w:t>Incremental cost per significant (clinically</w:t>
      </w:r>
      <w:r w:rsidR="0053670C">
        <w:rPr>
          <w:rFonts w:ascii="Arial Narrow" w:hAnsi="Arial Narrow"/>
          <w:b/>
          <w:iCs/>
          <w:sz w:val="20"/>
          <w:szCs w:val="18"/>
        </w:rPr>
        <w:t xml:space="preserve"> </w:t>
      </w:r>
      <w:r w:rsidRPr="006E5544">
        <w:rPr>
          <w:rFonts w:ascii="Arial Narrow" w:hAnsi="Arial Narrow"/>
          <w:b/>
          <w:iCs/>
          <w:sz w:val="20"/>
          <w:szCs w:val="18"/>
        </w:rPr>
        <w:t>relevant) change in diagnosis or interpretation: Sensitivity analyses</w:t>
      </w:r>
    </w:p>
    <w:tbl>
      <w:tblPr>
        <w:tblW w:w="8222" w:type="dxa"/>
        <w:tblInd w:w="706" w:type="dxa"/>
        <w:tblLayout w:type="fixed"/>
        <w:tblCellMar>
          <w:left w:w="57" w:type="dxa"/>
          <w:right w:w="57" w:type="dxa"/>
        </w:tblCellMar>
        <w:tblLook w:val="0000" w:firstRow="0" w:lastRow="0" w:firstColumn="0" w:lastColumn="0" w:noHBand="0" w:noVBand="0"/>
        <w:tblCaption w:val="Incremental cost per significant (clinically relevant) change in diagnosis or interpretation: Sensitivity analyses"/>
        <w:tblDescription w:val="Sensitivity analyses showing the additional cost to the MBS to generate one significant change in diagnosis in a variety of circumstances "/>
      </w:tblPr>
      <w:tblGrid>
        <w:gridCol w:w="4536"/>
        <w:gridCol w:w="1087"/>
        <w:gridCol w:w="1181"/>
        <w:gridCol w:w="1418"/>
      </w:tblGrid>
      <w:tr w:rsidR="00B51828" w:rsidRPr="006E5544" w14:paraId="1DCC68B5" w14:textId="77777777" w:rsidTr="002101D2">
        <w:trPr>
          <w:trHeight w:val="1"/>
          <w:tblHeader/>
        </w:trPr>
        <w:tc>
          <w:tcPr>
            <w:tcW w:w="4536" w:type="dxa"/>
            <w:tcBorders>
              <w:top w:val="single" w:sz="2" w:space="0" w:color="000000"/>
              <w:left w:val="single" w:sz="2" w:space="0" w:color="000000"/>
              <w:bottom w:val="single" w:sz="2" w:space="0" w:color="000000"/>
              <w:right w:val="nil"/>
            </w:tcBorders>
            <w:shd w:val="clear" w:color="000000" w:fill="auto"/>
          </w:tcPr>
          <w:p w14:paraId="7EF70753" w14:textId="77777777" w:rsidR="00B51828" w:rsidRPr="006E5544"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6E5544">
              <w:rPr>
                <w:rFonts w:ascii="Arial Narrow" w:hAnsi="Arial Narrow" w:cs="Arial Narrow"/>
                <w:b/>
                <w:bCs/>
                <w:sz w:val="20"/>
                <w:szCs w:val="20"/>
                <w:lang w:val="en"/>
              </w:rPr>
              <w:t>Description</w:t>
            </w:r>
          </w:p>
        </w:tc>
        <w:tc>
          <w:tcPr>
            <w:tcW w:w="1087" w:type="dxa"/>
            <w:tcBorders>
              <w:top w:val="single" w:sz="2" w:space="0" w:color="000000"/>
              <w:left w:val="single" w:sz="2" w:space="0" w:color="000000"/>
              <w:bottom w:val="single" w:sz="2" w:space="0" w:color="000000"/>
              <w:right w:val="nil"/>
            </w:tcBorders>
            <w:shd w:val="clear" w:color="000000" w:fill="auto"/>
          </w:tcPr>
          <w:p w14:paraId="65E0FC40" w14:textId="77777777" w:rsidR="00B51828" w:rsidRPr="006E5544"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6E5544">
              <w:rPr>
                <w:rFonts w:ascii="Arial Narrow" w:hAnsi="Arial Narrow" w:cs="Arial Narrow"/>
                <w:b/>
                <w:bCs/>
                <w:sz w:val="20"/>
                <w:szCs w:val="20"/>
                <w:lang w:val="en"/>
              </w:rPr>
              <w:t>Incremental cost</w:t>
            </w:r>
          </w:p>
        </w:tc>
        <w:tc>
          <w:tcPr>
            <w:tcW w:w="1181" w:type="dxa"/>
            <w:tcBorders>
              <w:top w:val="single" w:sz="2" w:space="0" w:color="000000"/>
              <w:left w:val="single" w:sz="2" w:space="0" w:color="000000"/>
              <w:bottom w:val="single" w:sz="2" w:space="0" w:color="000000"/>
              <w:right w:val="nil"/>
            </w:tcBorders>
            <w:shd w:val="clear" w:color="000000" w:fill="auto"/>
          </w:tcPr>
          <w:p w14:paraId="033A2242" w14:textId="77777777" w:rsidR="00B51828" w:rsidRPr="006E5544"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6E5544">
              <w:rPr>
                <w:rFonts w:ascii="Arial Narrow" w:hAnsi="Arial Narrow" w:cs="Arial Narrow"/>
                <w:b/>
                <w:bCs/>
                <w:sz w:val="20"/>
                <w:szCs w:val="20"/>
                <w:lang w:val="en"/>
              </w:rPr>
              <w:t>Incremental outcome</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6840ECE1" w14:textId="77777777" w:rsidR="00B51828" w:rsidRPr="006E5544"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6E5544">
              <w:rPr>
                <w:rFonts w:ascii="Arial Narrow" w:hAnsi="Arial Narrow" w:cs="Arial Narrow"/>
                <w:b/>
                <w:bCs/>
                <w:sz w:val="20"/>
                <w:szCs w:val="20"/>
                <w:lang w:val="en"/>
              </w:rPr>
              <w:t>Incremental cost per significant change in diagnosis</w:t>
            </w:r>
          </w:p>
        </w:tc>
      </w:tr>
      <w:tr w:rsidR="00B51828" w:rsidRPr="006E5544" w14:paraId="1E8D5970" w14:textId="77777777" w:rsidTr="002101D2">
        <w:trPr>
          <w:trHeight w:val="1"/>
        </w:trPr>
        <w:tc>
          <w:tcPr>
            <w:tcW w:w="4536" w:type="dxa"/>
            <w:tcBorders>
              <w:top w:val="single" w:sz="2" w:space="0" w:color="000000"/>
              <w:left w:val="single" w:sz="2" w:space="0" w:color="000000"/>
              <w:bottom w:val="single" w:sz="2" w:space="0" w:color="000000"/>
              <w:right w:val="nil"/>
            </w:tcBorders>
            <w:shd w:val="clear" w:color="000000" w:fill="auto"/>
          </w:tcPr>
          <w:p w14:paraId="45D9A0A0" w14:textId="77777777" w:rsidR="00B51828" w:rsidRPr="006E5544" w:rsidRDefault="00B51828" w:rsidP="002101D2">
            <w:pPr>
              <w:widowControl w:val="0"/>
              <w:suppressAutoHyphens/>
              <w:autoSpaceDE w:val="0"/>
              <w:autoSpaceDN w:val="0"/>
              <w:adjustRightInd w:val="0"/>
              <w:spacing w:before="20" w:after="20"/>
              <w:ind w:left="0"/>
              <w:rPr>
                <w:rFonts w:ascii="Calibri" w:hAnsi="Calibri" w:cs="Calibri"/>
                <w:b/>
                <w:sz w:val="22"/>
                <w:lang w:val="en"/>
              </w:rPr>
            </w:pPr>
            <w:r w:rsidRPr="006E5544">
              <w:rPr>
                <w:rFonts w:ascii="Arial Narrow" w:hAnsi="Arial Narrow" w:cs="Arial Narrow"/>
                <w:b/>
                <w:i/>
                <w:iCs/>
                <w:sz w:val="20"/>
                <w:szCs w:val="20"/>
                <w:lang w:val="en"/>
              </w:rPr>
              <w:t>Base case</w:t>
            </w:r>
          </w:p>
        </w:tc>
        <w:tc>
          <w:tcPr>
            <w:tcW w:w="1087" w:type="dxa"/>
            <w:tcBorders>
              <w:top w:val="single" w:sz="2" w:space="0" w:color="000000"/>
              <w:left w:val="single" w:sz="2" w:space="0" w:color="000000"/>
              <w:bottom w:val="single" w:sz="2" w:space="0" w:color="000000"/>
              <w:right w:val="nil"/>
            </w:tcBorders>
            <w:shd w:val="clear" w:color="000000" w:fill="auto"/>
          </w:tcPr>
          <w:p w14:paraId="48F3EECB" w14:textId="77777777" w:rsidR="00B51828" w:rsidRPr="006E5544" w:rsidRDefault="00B51828" w:rsidP="002101D2">
            <w:pPr>
              <w:widowControl w:val="0"/>
              <w:suppressAutoHyphens/>
              <w:autoSpaceDE w:val="0"/>
              <w:autoSpaceDN w:val="0"/>
              <w:adjustRightInd w:val="0"/>
              <w:spacing w:before="20" w:after="20"/>
              <w:ind w:left="0"/>
              <w:jc w:val="right"/>
              <w:rPr>
                <w:rFonts w:ascii="Calibri" w:hAnsi="Calibri" w:cs="Calibri"/>
                <w:b/>
                <w:sz w:val="22"/>
                <w:lang w:val="en"/>
              </w:rPr>
            </w:pPr>
            <w:r w:rsidRPr="006E5544">
              <w:rPr>
                <w:rFonts w:ascii="Arial Narrow" w:hAnsi="Arial Narrow" w:cs="Arial Narrow"/>
                <w:b/>
                <w:i/>
                <w:iCs/>
                <w:sz w:val="20"/>
                <w:szCs w:val="20"/>
                <w:lang w:val="en"/>
              </w:rPr>
              <w:t>$4.04</w:t>
            </w:r>
          </w:p>
        </w:tc>
        <w:tc>
          <w:tcPr>
            <w:tcW w:w="1181" w:type="dxa"/>
            <w:tcBorders>
              <w:top w:val="single" w:sz="2" w:space="0" w:color="000000"/>
              <w:left w:val="single" w:sz="2" w:space="0" w:color="000000"/>
              <w:bottom w:val="single" w:sz="2" w:space="0" w:color="000000"/>
              <w:right w:val="nil"/>
            </w:tcBorders>
            <w:shd w:val="clear" w:color="000000" w:fill="auto"/>
          </w:tcPr>
          <w:p w14:paraId="511CC553" w14:textId="77777777" w:rsidR="00B51828" w:rsidRPr="006E5544" w:rsidRDefault="00B51828" w:rsidP="002101D2">
            <w:pPr>
              <w:widowControl w:val="0"/>
              <w:suppressAutoHyphens/>
              <w:autoSpaceDE w:val="0"/>
              <w:autoSpaceDN w:val="0"/>
              <w:adjustRightInd w:val="0"/>
              <w:spacing w:before="20" w:after="20"/>
              <w:ind w:left="0"/>
              <w:jc w:val="right"/>
              <w:rPr>
                <w:rFonts w:ascii="Calibri" w:hAnsi="Calibri" w:cs="Calibri"/>
                <w:b/>
                <w:sz w:val="22"/>
                <w:lang w:val="en"/>
              </w:rPr>
            </w:pPr>
            <w:r w:rsidRPr="006E5544">
              <w:rPr>
                <w:rFonts w:ascii="Arial Narrow" w:hAnsi="Arial Narrow" w:cs="Arial Narrow"/>
                <w:b/>
                <w:i/>
                <w:iCs/>
                <w:sz w:val="20"/>
                <w:szCs w:val="20"/>
                <w:lang w:val="en"/>
              </w:rPr>
              <w:t>0.0011</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57CAEA5A" w14:textId="77777777" w:rsidR="00B51828" w:rsidRPr="006E5544" w:rsidRDefault="00B51828" w:rsidP="002101D2">
            <w:pPr>
              <w:widowControl w:val="0"/>
              <w:suppressAutoHyphens/>
              <w:autoSpaceDE w:val="0"/>
              <w:autoSpaceDN w:val="0"/>
              <w:adjustRightInd w:val="0"/>
              <w:spacing w:before="20" w:after="20"/>
              <w:ind w:left="407"/>
              <w:jc w:val="right"/>
              <w:rPr>
                <w:rFonts w:ascii="Calibri" w:hAnsi="Calibri" w:cs="Calibri"/>
                <w:b/>
                <w:sz w:val="22"/>
                <w:lang w:val="en"/>
              </w:rPr>
            </w:pPr>
            <w:r w:rsidRPr="006E5544">
              <w:rPr>
                <w:rFonts w:ascii="Arial Narrow" w:hAnsi="Arial Narrow" w:cs="Arial Narrow"/>
                <w:b/>
                <w:i/>
                <w:iCs/>
                <w:sz w:val="20"/>
                <w:szCs w:val="20"/>
                <w:lang w:val="en"/>
              </w:rPr>
              <w:t>$3838.26</w:t>
            </w:r>
          </w:p>
        </w:tc>
      </w:tr>
      <w:tr w:rsidR="00B51828" w:rsidRPr="006E5544" w14:paraId="4E24AAB7" w14:textId="77777777" w:rsidTr="002101D2">
        <w:trPr>
          <w:trHeight w:val="1"/>
        </w:trPr>
        <w:tc>
          <w:tcPr>
            <w:tcW w:w="4536" w:type="dxa"/>
            <w:tcBorders>
              <w:top w:val="single" w:sz="2" w:space="0" w:color="000000"/>
              <w:left w:val="single" w:sz="2" w:space="0" w:color="000000"/>
              <w:bottom w:val="single" w:sz="2" w:space="0" w:color="000000"/>
              <w:right w:val="nil"/>
            </w:tcBorders>
            <w:shd w:val="clear" w:color="000000" w:fill="auto"/>
          </w:tcPr>
          <w:p w14:paraId="2FACCFE4" w14:textId="77777777" w:rsidR="00B51828" w:rsidRPr="001E6FF2"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1E6FF2">
              <w:rPr>
                <w:rFonts w:ascii="Arial Narrow" w:hAnsi="Arial Narrow" w:cs="Arial Narrow"/>
                <w:sz w:val="20"/>
                <w:szCs w:val="20"/>
                <w:lang w:val="en"/>
              </w:rPr>
              <w:t>Cytopathology</w:t>
            </w:r>
          </w:p>
        </w:tc>
        <w:tc>
          <w:tcPr>
            <w:tcW w:w="1087" w:type="dxa"/>
            <w:tcBorders>
              <w:top w:val="single" w:sz="2" w:space="0" w:color="000000"/>
              <w:left w:val="single" w:sz="2" w:space="0" w:color="000000"/>
              <w:bottom w:val="single" w:sz="2" w:space="0" w:color="000000"/>
              <w:right w:val="nil"/>
            </w:tcBorders>
            <w:shd w:val="clear" w:color="000000" w:fill="auto"/>
          </w:tcPr>
          <w:p w14:paraId="13B02C22"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$2.58</w:t>
            </w:r>
          </w:p>
        </w:tc>
        <w:tc>
          <w:tcPr>
            <w:tcW w:w="1181" w:type="dxa"/>
            <w:tcBorders>
              <w:top w:val="single" w:sz="2" w:space="0" w:color="000000"/>
              <w:left w:val="single" w:sz="2" w:space="0" w:color="000000"/>
              <w:bottom w:val="single" w:sz="2" w:space="0" w:color="000000"/>
              <w:right w:val="nil"/>
            </w:tcBorders>
            <w:shd w:val="clear" w:color="000000" w:fill="auto"/>
          </w:tcPr>
          <w:p w14:paraId="6899C0B5"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0.0011</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6D82CDF9" w14:textId="2D2FD5F2" w:rsidR="00B51828" w:rsidRPr="001E6FF2" w:rsidRDefault="00B51828" w:rsidP="001E6FF2">
            <w:pPr>
              <w:widowControl w:val="0"/>
              <w:suppressAutoHyphens/>
              <w:autoSpaceDE w:val="0"/>
              <w:autoSpaceDN w:val="0"/>
              <w:adjustRightInd w:val="0"/>
              <w:spacing w:before="20" w:after="20"/>
              <w:ind w:left="407"/>
              <w:jc w:val="right"/>
              <w:rPr>
                <w:rFonts w:ascii="Calibri" w:hAnsi="Calibri" w:cs="Calibri"/>
                <w:sz w:val="22"/>
                <w:lang w:val="en"/>
              </w:rPr>
            </w:pPr>
            <w:r w:rsidRPr="001E6FF2">
              <w:rPr>
                <w:rFonts w:ascii="Arial Narrow" w:hAnsi="Arial Narrow" w:cs="Arial Narrow"/>
                <w:sz w:val="20"/>
                <w:szCs w:val="20"/>
                <w:lang w:val="en"/>
              </w:rPr>
              <w:t>$24</w:t>
            </w:r>
            <w:r w:rsidR="001E6FF2" w:rsidRPr="001E6FF2">
              <w:rPr>
                <w:rFonts w:ascii="Arial Narrow" w:hAnsi="Arial Narrow" w:cs="Arial Narrow"/>
                <w:sz w:val="20"/>
                <w:szCs w:val="20"/>
                <w:lang w:val="en"/>
              </w:rPr>
              <w:t>60</w:t>
            </w:r>
            <w:r w:rsidRPr="001E6FF2">
              <w:rPr>
                <w:rFonts w:ascii="Arial Narrow" w:hAnsi="Arial Narrow" w:cs="Arial Narrow"/>
                <w:sz w:val="20"/>
                <w:szCs w:val="20"/>
                <w:lang w:val="en"/>
              </w:rPr>
              <w:t>.</w:t>
            </w:r>
            <w:r w:rsidR="001E6FF2" w:rsidRPr="001E6FF2">
              <w:rPr>
                <w:rFonts w:ascii="Arial Narrow" w:hAnsi="Arial Narrow" w:cs="Arial Narrow"/>
                <w:sz w:val="20"/>
                <w:szCs w:val="20"/>
                <w:lang w:val="en"/>
              </w:rPr>
              <w:t>01</w:t>
            </w:r>
          </w:p>
        </w:tc>
      </w:tr>
      <w:tr w:rsidR="00B51828" w:rsidRPr="006E5544" w14:paraId="5035549F" w14:textId="77777777" w:rsidTr="002101D2">
        <w:trPr>
          <w:trHeight w:val="1"/>
        </w:trPr>
        <w:tc>
          <w:tcPr>
            <w:tcW w:w="4536" w:type="dxa"/>
            <w:tcBorders>
              <w:top w:val="single" w:sz="2" w:space="0" w:color="000000"/>
              <w:left w:val="single" w:sz="2" w:space="0" w:color="000000"/>
              <w:bottom w:val="single" w:sz="2" w:space="0" w:color="000000"/>
              <w:right w:val="nil"/>
            </w:tcBorders>
            <w:shd w:val="clear" w:color="000000" w:fill="auto"/>
          </w:tcPr>
          <w:p w14:paraId="6FB5FFA0" w14:textId="77777777" w:rsidR="00B51828" w:rsidRPr="001E6FF2"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1E6FF2">
              <w:rPr>
                <w:rFonts w:ascii="Arial Narrow" w:hAnsi="Arial Narrow" w:cs="Arial Narrow"/>
                <w:i/>
                <w:sz w:val="20"/>
                <w:szCs w:val="20"/>
                <w:lang w:val="en"/>
              </w:rPr>
              <w:t>Scenario 1</w:t>
            </w:r>
            <w:r w:rsidRPr="001E6FF2">
              <w:rPr>
                <w:rFonts w:ascii="Arial Narrow" w:hAnsi="Arial Narrow" w:cs="Arial Narrow"/>
                <w:sz w:val="20"/>
                <w:szCs w:val="20"/>
                <w:lang w:val="en"/>
              </w:rPr>
              <w:t xml:space="preserve"> alone</w:t>
            </w:r>
          </w:p>
        </w:tc>
        <w:tc>
          <w:tcPr>
            <w:tcW w:w="1087" w:type="dxa"/>
            <w:tcBorders>
              <w:top w:val="single" w:sz="2" w:space="0" w:color="000000"/>
              <w:left w:val="single" w:sz="2" w:space="0" w:color="000000"/>
              <w:bottom w:val="single" w:sz="2" w:space="0" w:color="000000"/>
              <w:right w:val="nil"/>
            </w:tcBorders>
            <w:shd w:val="clear" w:color="000000" w:fill="auto"/>
          </w:tcPr>
          <w:p w14:paraId="341C9277"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$4.21</w:t>
            </w:r>
          </w:p>
        </w:tc>
        <w:tc>
          <w:tcPr>
            <w:tcW w:w="1181" w:type="dxa"/>
            <w:tcBorders>
              <w:top w:val="single" w:sz="2" w:space="0" w:color="000000"/>
              <w:left w:val="single" w:sz="2" w:space="0" w:color="000000"/>
              <w:bottom w:val="single" w:sz="2" w:space="0" w:color="000000"/>
              <w:right w:val="nil"/>
            </w:tcBorders>
            <w:shd w:val="clear" w:color="000000" w:fill="auto"/>
          </w:tcPr>
          <w:p w14:paraId="472BA417"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0.0011</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7042DD6B" w14:textId="77777777" w:rsidR="00B51828" w:rsidRPr="001E6FF2" w:rsidRDefault="00B51828" w:rsidP="002101D2">
            <w:pPr>
              <w:widowControl w:val="0"/>
              <w:suppressAutoHyphens/>
              <w:autoSpaceDE w:val="0"/>
              <w:autoSpaceDN w:val="0"/>
              <w:adjustRightInd w:val="0"/>
              <w:spacing w:before="20" w:after="20"/>
              <w:ind w:left="407"/>
              <w:jc w:val="right"/>
              <w:rPr>
                <w:rFonts w:ascii="Calibri" w:hAnsi="Calibri" w:cs="Calibri"/>
                <w:sz w:val="22"/>
                <w:lang w:val="en"/>
              </w:rPr>
            </w:pPr>
            <w:r w:rsidRPr="001E6FF2">
              <w:rPr>
                <w:rFonts w:ascii="Arial Narrow" w:hAnsi="Arial Narrow" w:cs="Arial Narrow"/>
                <w:sz w:val="20"/>
                <w:szCs w:val="20"/>
                <w:lang w:val="en"/>
              </w:rPr>
              <w:t>$4000.26</w:t>
            </w:r>
          </w:p>
        </w:tc>
      </w:tr>
      <w:tr w:rsidR="00B51828" w:rsidRPr="006E5544" w14:paraId="07217EBB" w14:textId="77777777" w:rsidTr="002101D2">
        <w:trPr>
          <w:trHeight w:val="1"/>
        </w:trPr>
        <w:tc>
          <w:tcPr>
            <w:tcW w:w="4536" w:type="dxa"/>
            <w:tcBorders>
              <w:top w:val="single" w:sz="2" w:space="0" w:color="000000"/>
              <w:left w:val="single" w:sz="2" w:space="0" w:color="000000"/>
              <w:bottom w:val="single" w:sz="2" w:space="0" w:color="000000"/>
              <w:right w:val="nil"/>
            </w:tcBorders>
            <w:shd w:val="clear" w:color="000000" w:fill="auto"/>
          </w:tcPr>
          <w:p w14:paraId="28FC3041" w14:textId="77777777" w:rsidR="00B51828" w:rsidRPr="001E6FF2"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1E6FF2">
              <w:rPr>
                <w:rFonts w:ascii="Arial Narrow" w:hAnsi="Arial Narrow" w:cs="Arial Narrow"/>
                <w:i/>
                <w:sz w:val="20"/>
                <w:szCs w:val="20"/>
                <w:lang w:val="en"/>
              </w:rPr>
              <w:t>Scenario 2</w:t>
            </w:r>
            <w:r w:rsidRPr="001E6FF2">
              <w:rPr>
                <w:rFonts w:ascii="Arial Narrow" w:hAnsi="Arial Narrow" w:cs="Arial Narrow"/>
                <w:sz w:val="20"/>
                <w:szCs w:val="20"/>
                <w:lang w:val="en"/>
              </w:rPr>
              <w:t xml:space="preserve"> alone</w:t>
            </w:r>
          </w:p>
        </w:tc>
        <w:tc>
          <w:tcPr>
            <w:tcW w:w="1087" w:type="dxa"/>
            <w:tcBorders>
              <w:top w:val="single" w:sz="2" w:space="0" w:color="000000"/>
              <w:left w:val="single" w:sz="2" w:space="0" w:color="000000"/>
              <w:bottom w:val="single" w:sz="2" w:space="0" w:color="000000"/>
              <w:right w:val="nil"/>
            </w:tcBorders>
            <w:shd w:val="clear" w:color="000000" w:fill="auto"/>
          </w:tcPr>
          <w:p w14:paraId="6DD3F4F1"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$3.53</w:t>
            </w:r>
          </w:p>
        </w:tc>
        <w:tc>
          <w:tcPr>
            <w:tcW w:w="1181" w:type="dxa"/>
            <w:tcBorders>
              <w:top w:val="single" w:sz="2" w:space="0" w:color="000000"/>
              <w:left w:val="single" w:sz="2" w:space="0" w:color="000000"/>
              <w:bottom w:val="single" w:sz="2" w:space="0" w:color="000000"/>
              <w:right w:val="nil"/>
            </w:tcBorders>
            <w:shd w:val="clear" w:color="000000" w:fill="auto"/>
          </w:tcPr>
          <w:p w14:paraId="7768BEC1"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0.0011</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086AE009" w14:textId="77777777" w:rsidR="00B51828" w:rsidRPr="001E6FF2" w:rsidRDefault="00B51828" w:rsidP="002101D2">
            <w:pPr>
              <w:widowControl w:val="0"/>
              <w:suppressAutoHyphens/>
              <w:autoSpaceDE w:val="0"/>
              <w:autoSpaceDN w:val="0"/>
              <w:adjustRightInd w:val="0"/>
              <w:spacing w:before="20" w:after="20"/>
              <w:ind w:left="407"/>
              <w:jc w:val="right"/>
              <w:rPr>
                <w:rFonts w:ascii="Calibri" w:hAnsi="Calibri" w:cs="Calibri"/>
                <w:sz w:val="22"/>
                <w:lang w:val="en"/>
              </w:rPr>
            </w:pPr>
            <w:r w:rsidRPr="001E6FF2">
              <w:rPr>
                <w:rFonts w:ascii="Arial Narrow" w:hAnsi="Arial Narrow" w:cs="Arial Narrow"/>
                <w:sz w:val="20"/>
                <w:szCs w:val="20"/>
                <w:lang w:val="en"/>
              </w:rPr>
              <w:t>$3353.95</w:t>
            </w:r>
          </w:p>
        </w:tc>
      </w:tr>
      <w:tr w:rsidR="00B51828" w:rsidRPr="006E5544" w14:paraId="4BDA9F60" w14:textId="77777777" w:rsidTr="002101D2">
        <w:trPr>
          <w:trHeight w:val="1"/>
        </w:trPr>
        <w:tc>
          <w:tcPr>
            <w:tcW w:w="4536" w:type="dxa"/>
            <w:tcBorders>
              <w:top w:val="single" w:sz="2" w:space="0" w:color="000000"/>
              <w:left w:val="single" w:sz="2" w:space="0" w:color="000000"/>
              <w:bottom w:val="single" w:sz="2" w:space="0" w:color="000000"/>
              <w:right w:val="nil"/>
            </w:tcBorders>
            <w:shd w:val="clear" w:color="000000" w:fill="auto"/>
          </w:tcPr>
          <w:p w14:paraId="2B078E06" w14:textId="77777777" w:rsidR="00B51828" w:rsidRPr="001E6FF2"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1E6FF2">
              <w:rPr>
                <w:rFonts w:ascii="Arial Narrow" w:hAnsi="Arial Narrow" w:cs="Arial Narrow"/>
                <w:sz w:val="20"/>
                <w:szCs w:val="20"/>
                <w:lang w:val="en"/>
              </w:rPr>
              <w:t>'Complex' second, expert opinions alone</w:t>
            </w:r>
          </w:p>
        </w:tc>
        <w:tc>
          <w:tcPr>
            <w:tcW w:w="1087" w:type="dxa"/>
            <w:tcBorders>
              <w:top w:val="single" w:sz="2" w:space="0" w:color="000000"/>
              <w:left w:val="single" w:sz="2" w:space="0" w:color="000000"/>
              <w:bottom w:val="single" w:sz="2" w:space="0" w:color="000000"/>
              <w:right w:val="nil"/>
            </w:tcBorders>
            <w:shd w:val="clear" w:color="000000" w:fill="auto"/>
          </w:tcPr>
          <w:p w14:paraId="5BE03799"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$5.55</w:t>
            </w:r>
          </w:p>
        </w:tc>
        <w:tc>
          <w:tcPr>
            <w:tcW w:w="1181" w:type="dxa"/>
            <w:tcBorders>
              <w:top w:val="single" w:sz="2" w:space="0" w:color="000000"/>
              <w:left w:val="single" w:sz="2" w:space="0" w:color="000000"/>
              <w:bottom w:val="single" w:sz="2" w:space="0" w:color="000000"/>
              <w:right w:val="nil"/>
            </w:tcBorders>
            <w:shd w:val="clear" w:color="000000" w:fill="auto"/>
          </w:tcPr>
          <w:p w14:paraId="43C1C3FF"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0.0011</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7B88D830" w14:textId="77777777" w:rsidR="00B51828" w:rsidRPr="001E6FF2" w:rsidRDefault="00B51828" w:rsidP="002101D2">
            <w:pPr>
              <w:widowControl w:val="0"/>
              <w:suppressAutoHyphens/>
              <w:autoSpaceDE w:val="0"/>
              <w:autoSpaceDN w:val="0"/>
              <w:adjustRightInd w:val="0"/>
              <w:spacing w:before="20" w:after="20"/>
              <w:ind w:left="407"/>
              <w:jc w:val="right"/>
              <w:rPr>
                <w:rFonts w:ascii="Calibri" w:hAnsi="Calibri" w:cs="Calibri"/>
                <w:sz w:val="22"/>
                <w:lang w:val="en"/>
              </w:rPr>
            </w:pPr>
            <w:r w:rsidRPr="001E6FF2">
              <w:rPr>
                <w:rFonts w:ascii="Arial Narrow" w:hAnsi="Arial Narrow" w:cs="Arial Narrow"/>
                <w:sz w:val="20"/>
                <w:szCs w:val="20"/>
                <w:lang w:val="en"/>
              </w:rPr>
              <w:t>$5278.96</w:t>
            </w:r>
          </w:p>
        </w:tc>
      </w:tr>
      <w:tr w:rsidR="00B51828" w:rsidRPr="006E5544" w14:paraId="6B5F5263" w14:textId="77777777" w:rsidTr="002101D2">
        <w:trPr>
          <w:trHeight w:val="1"/>
        </w:trPr>
        <w:tc>
          <w:tcPr>
            <w:tcW w:w="4536" w:type="dxa"/>
            <w:tcBorders>
              <w:top w:val="single" w:sz="2" w:space="0" w:color="000000"/>
              <w:left w:val="single" w:sz="2" w:space="0" w:color="000000"/>
              <w:bottom w:val="single" w:sz="2" w:space="0" w:color="000000"/>
              <w:right w:val="nil"/>
            </w:tcBorders>
            <w:shd w:val="clear" w:color="000000" w:fill="auto"/>
          </w:tcPr>
          <w:p w14:paraId="1D20FC1F" w14:textId="77777777" w:rsidR="00B51828" w:rsidRPr="001E6FF2"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1E6FF2">
              <w:rPr>
                <w:rFonts w:ascii="Arial Narrow" w:hAnsi="Arial Narrow" w:cs="Arial Narrow"/>
                <w:sz w:val="20"/>
                <w:szCs w:val="20"/>
                <w:lang w:val="en"/>
              </w:rPr>
              <w:t>'Non-complex' second, expert opinions alone</w:t>
            </w:r>
          </w:p>
        </w:tc>
        <w:tc>
          <w:tcPr>
            <w:tcW w:w="1087" w:type="dxa"/>
            <w:tcBorders>
              <w:top w:val="single" w:sz="2" w:space="0" w:color="000000"/>
              <w:left w:val="single" w:sz="2" w:space="0" w:color="000000"/>
              <w:bottom w:val="single" w:sz="2" w:space="0" w:color="000000"/>
              <w:right w:val="nil"/>
            </w:tcBorders>
            <w:shd w:val="clear" w:color="000000" w:fill="auto"/>
          </w:tcPr>
          <w:p w14:paraId="1574E75D"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$2.66</w:t>
            </w:r>
          </w:p>
        </w:tc>
        <w:tc>
          <w:tcPr>
            <w:tcW w:w="1181" w:type="dxa"/>
            <w:tcBorders>
              <w:top w:val="single" w:sz="2" w:space="0" w:color="000000"/>
              <w:left w:val="single" w:sz="2" w:space="0" w:color="000000"/>
              <w:bottom w:val="single" w:sz="2" w:space="0" w:color="000000"/>
              <w:right w:val="nil"/>
            </w:tcBorders>
            <w:shd w:val="clear" w:color="000000" w:fill="auto"/>
          </w:tcPr>
          <w:p w14:paraId="40DC93CE"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0.0011</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691F2870" w14:textId="77777777" w:rsidR="00B51828" w:rsidRPr="001E6FF2" w:rsidRDefault="00B51828" w:rsidP="002101D2">
            <w:pPr>
              <w:widowControl w:val="0"/>
              <w:suppressAutoHyphens/>
              <w:autoSpaceDE w:val="0"/>
              <w:autoSpaceDN w:val="0"/>
              <w:adjustRightInd w:val="0"/>
              <w:spacing w:before="20" w:after="20"/>
              <w:ind w:left="407"/>
              <w:jc w:val="right"/>
              <w:rPr>
                <w:rFonts w:ascii="Calibri" w:hAnsi="Calibri" w:cs="Calibri"/>
                <w:sz w:val="22"/>
                <w:lang w:val="en"/>
              </w:rPr>
            </w:pPr>
            <w:r w:rsidRPr="001E6FF2">
              <w:rPr>
                <w:rFonts w:ascii="Arial Narrow" w:hAnsi="Arial Narrow" w:cs="Arial Narrow"/>
                <w:sz w:val="20"/>
                <w:szCs w:val="20"/>
                <w:lang w:val="en"/>
              </w:rPr>
              <w:t>$2531.19</w:t>
            </w:r>
          </w:p>
        </w:tc>
      </w:tr>
      <w:tr w:rsidR="00B51828" w:rsidRPr="006E5544" w14:paraId="5194E25C" w14:textId="77777777" w:rsidTr="002101D2">
        <w:trPr>
          <w:trHeight w:val="1"/>
        </w:trPr>
        <w:tc>
          <w:tcPr>
            <w:tcW w:w="4536" w:type="dxa"/>
            <w:tcBorders>
              <w:top w:val="single" w:sz="2" w:space="0" w:color="000000"/>
              <w:left w:val="single" w:sz="2" w:space="0" w:color="000000"/>
              <w:bottom w:val="single" w:sz="2" w:space="0" w:color="000000"/>
              <w:right w:val="nil"/>
            </w:tcBorders>
            <w:shd w:val="clear" w:color="000000" w:fill="auto"/>
          </w:tcPr>
          <w:p w14:paraId="42E889EA" w14:textId="77777777" w:rsidR="00B51828" w:rsidRPr="001E6FF2"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1E6FF2">
              <w:rPr>
                <w:rFonts w:ascii="Arial Narrow" w:hAnsi="Arial Narrow" w:cs="Arial Narrow"/>
                <w:sz w:val="20"/>
                <w:szCs w:val="20"/>
                <w:lang w:val="en"/>
              </w:rPr>
              <w:t>Soft tissue/sarcoma</w:t>
            </w:r>
          </w:p>
        </w:tc>
        <w:tc>
          <w:tcPr>
            <w:tcW w:w="1087" w:type="dxa"/>
            <w:tcBorders>
              <w:top w:val="single" w:sz="2" w:space="0" w:color="000000"/>
              <w:left w:val="single" w:sz="2" w:space="0" w:color="000000"/>
              <w:bottom w:val="single" w:sz="2" w:space="0" w:color="000000"/>
              <w:right w:val="nil"/>
            </w:tcBorders>
            <w:shd w:val="clear" w:color="000000" w:fill="auto"/>
          </w:tcPr>
          <w:p w14:paraId="6DFFA9DA"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$4.04</w:t>
            </w:r>
          </w:p>
        </w:tc>
        <w:tc>
          <w:tcPr>
            <w:tcW w:w="1181" w:type="dxa"/>
            <w:tcBorders>
              <w:top w:val="single" w:sz="2" w:space="0" w:color="000000"/>
              <w:left w:val="single" w:sz="2" w:space="0" w:color="000000"/>
              <w:bottom w:val="single" w:sz="2" w:space="0" w:color="000000"/>
              <w:right w:val="nil"/>
            </w:tcBorders>
            <w:shd w:val="clear" w:color="000000" w:fill="auto"/>
          </w:tcPr>
          <w:p w14:paraId="0423F3DB"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0.0013</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724EBC26" w14:textId="77777777" w:rsidR="00B51828" w:rsidRPr="001E6FF2" w:rsidRDefault="00B51828" w:rsidP="002101D2">
            <w:pPr>
              <w:widowControl w:val="0"/>
              <w:suppressAutoHyphens/>
              <w:autoSpaceDE w:val="0"/>
              <w:autoSpaceDN w:val="0"/>
              <w:adjustRightInd w:val="0"/>
              <w:spacing w:before="20" w:after="20"/>
              <w:ind w:left="407"/>
              <w:jc w:val="right"/>
              <w:rPr>
                <w:rFonts w:ascii="Calibri" w:hAnsi="Calibri" w:cs="Calibri"/>
                <w:sz w:val="22"/>
                <w:lang w:val="en"/>
              </w:rPr>
            </w:pPr>
            <w:r w:rsidRPr="001E6FF2">
              <w:rPr>
                <w:rFonts w:ascii="Arial Narrow" w:hAnsi="Arial Narrow" w:cs="Arial Narrow"/>
                <w:sz w:val="20"/>
                <w:szCs w:val="20"/>
                <w:lang w:val="en"/>
              </w:rPr>
              <w:t>$3193.34</w:t>
            </w:r>
          </w:p>
        </w:tc>
      </w:tr>
      <w:tr w:rsidR="00B51828" w:rsidRPr="006E5544" w14:paraId="280EB2FD" w14:textId="77777777" w:rsidTr="002101D2">
        <w:trPr>
          <w:trHeight w:val="1"/>
        </w:trPr>
        <w:tc>
          <w:tcPr>
            <w:tcW w:w="4536" w:type="dxa"/>
            <w:tcBorders>
              <w:top w:val="single" w:sz="2" w:space="0" w:color="000000"/>
              <w:left w:val="single" w:sz="2" w:space="0" w:color="000000"/>
              <w:bottom w:val="single" w:sz="2" w:space="0" w:color="000000"/>
              <w:right w:val="nil"/>
            </w:tcBorders>
            <w:shd w:val="clear" w:color="000000" w:fill="auto"/>
          </w:tcPr>
          <w:p w14:paraId="57BCB445" w14:textId="77777777" w:rsidR="00B51828" w:rsidRPr="001E6FF2"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1E6FF2">
              <w:rPr>
                <w:rFonts w:ascii="Arial Narrow" w:hAnsi="Arial Narrow" w:cs="Arial Narrow"/>
                <w:sz w:val="20"/>
                <w:szCs w:val="20"/>
                <w:lang w:val="en"/>
              </w:rPr>
              <w:t>Dermatology</w:t>
            </w:r>
          </w:p>
        </w:tc>
        <w:tc>
          <w:tcPr>
            <w:tcW w:w="1087" w:type="dxa"/>
            <w:tcBorders>
              <w:top w:val="single" w:sz="2" w:space="0" w:color="000000"/>
              <w:left w:val="single" w:sz="2" w:space="0" w:color="000000"/>
              <w:bottom w:val="single" w:sz="2" w:space="0" w:color="000000"/>
              <w:right w:val="nil"/>
            </w:tcBorders>
            <w:shd w:val="clear" w:color="000000" w:fill="auto"/>
          </w:tcPr>
          <w:p w14:paraId="7D5C9487"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$4.04</w:t>
            </w:r>
          </w:p>
        </w:tc>
        <w:tc>
          <w:tcPr>
            <w:tcW w:w="1181" w:type="dxa"/>
            <w:tcBorders>
              <w:top w:val="single" w:sz="2" w:space="0" w:color="000000"/>
              <w:left w:val="single" w:sz="2" w:space="0" w:color="000000"/>
              <w:bottom w:val="single" w:sz="2" w:space="0" w:color="000000"/>
              <w:right w:val="nil"/>
            </w:tcBorders>
            <w:shd w:val="clear" w:color="000000" w:fill="auto"/>
          </w:tcPr>
          <w:p w14:paraId="63BAFA99" w14:textId="77777777" w:rsidR="00B51828" w:rsidRPr="001E6FF2"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1E6FF2">
              <w:rPr>
                <w:rFonts w:ascii="Arial Narrow" w:hAnsi="Arial Narrow" w:cs="Arial Narrow"/>
                <w:sz w:val="20"/>
                <w:szCs w:val="20"/>
                <w:lang w:val="en"/>
              </w:rPr>
              <w:t>0.0018</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172CADA8" w14:textId="77777777" w:rsidR="00B51828" w:rsidRPr="001E6FF2" w:rsidRDefault="00B51828" w:rsidP="002101D2">
            <w:pPr>
              <w:widowControl w:val="0"/>
              <w:suppressAutoHyphens/>
              <w:autoSpaceDE w:val="0"/>
              <w:autoSpaceDN w:val="0"/>
              <w:adjustRightInd w:val="0"/>
              <w:spacing w:before="20" w:after="20"/>
              <w:ind w:left="407"/>
              <w:jc w:val="right"/>
              <w:rPr>
                <w:rFonts w:ascii="Calibri" w:hAnsi="Calibri" w:cs="Calibri"/>
                <w:sz w:val="22"/>
                <w:lang w:val="en"/>
              </w:rPr>
            </w:pPr>
            <w:r w:rsidRPr="001E6FF2">
              <w:rPr>
                <w:rFonts w:ascii="Arial Narrow" w:hAnsi="Arial Narrow" w:cs="Arial Narrow"/>
                <w:sz w:val="20"/>
                <w:szCs w:val="20"/>
                <w:lang w:val="en"/>
              </w:rPr>
              <w:t>$2208.92</w:t>
            </w:r>
          </w:p>
        </w:tc>
      </w:tr>
      <w:tr w:rsidR="00B51828" w:rsidRPr="006E5544" w14:paraId="40D46D7F" w14:textId="77777777" w:rsidTr="002101D2">
        <w:trPr>
          <w:trHeight w:val="1"/>
        </w:trPr>
        <w:tc>
          <w:tcPr>
            <w:tcW w:w="4536" w:type="dxa"/>
            <w:tcBorders>
              <w:top w:val="single" w:sz="2" w:space="0" w:color="000000"/>
              <w:left w:val="single" w:sz="2" w:space="0" w:color="000000"/>
              <w:bottom w:val="single" w:sz="4" w:space="0" w:color="auto"/>
              <w:right w:val="nil"/>
            </w:tcBorders>
            <w:shd w:val="clear" w:color="000000" w:fill="auto"/>
          </w:tcPr>
          <w:p w14:paraId="56F56D26" w14:textId="77777777" w:rsidR="00B51828" w:rsidRPr="006E5544"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6E5544">
              <w:rPr>
                <w:rFonts w:ascii="Arial Narrow" w:hAnsi="Arial Narrow" w:cs="Arial Narrow"/>
                <w:sz w:val="20"/>
                <w:szCs w:val="20"/>
                <w:lang w:val="en"/>
              </w:rPr>
              <w:t>Average cost of second, expert opinion in the comparator arm set to unit cost of 'non-complex' second, expert opinion</w:t>
            </w:r>
          </w:p>
        </w:tc>
        <w:tc>
          <w:tcPr>
            <w:tcW w:w="1087" w:type="dxa"/>
            <w:tcBorders>
              <w:top w:val="single" w:sz="2" w:space="0" w:color="000000"/>
              <w:left w:val="single" w:sz="2" w:space="0" w:color="000000"/>
              <w:bottom w:val="single" w:sz="4" w:space="0" w:color="auto"/>
              <w:right w:val="nil"/>
            </w:tcBorders>
            <w:shd w:val="clear" w:color="000000" w:fill="auto"/>
          </w:tcPr>
          <w:p w14:paraId="20693175" w14:textId="77777777" w:rsidR="00B51828" w:rsidRPr="006E5544"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6E5544">
              <w:rPr>
                <w:rFonts w:ascii="Arial Narrow" w:hAnsi="Arial Narrow" w:cs="Arial Narrow"/>
                <w:sz w:val="20"/>
                <w:szCs w:val="20"/>
                <w:lang w:val="en"/>
              </w:rPr>
              <w:t>$1.49</w:t>
            </w:r>
          </w:p>
        </w:tc>
        <w:tc>
          <w:tcPr>
            <w:tcW w:w="1181" w:type="dxa"/>
            <w:tcBorders>
              <w:top w:val="single" w:sz="2" w:space="0" w:color="000000"/>
              <w:left w:val="single" w:sz="2" w:space="0" w:color="000000"/>
              <w:bottom w:val="single" w:sz="4" w:space="0" w:color="auto"/>
              <w:right w:val="nil"/>
            </w:tcBorders>
            <w:shd w:val="clear" w:color="000000" w:fill="auto"/>
          </w:tcPr>
          <w:p w14:paraId="7E9B297F" w14:textId="77777777" w:rsidR="00B51828" w:rsidRPr="006E5544" w:rsidRDefault="00B51828" w:rsidP="002101D2">
            <w:pPr>
              <w:widowControl w:val="0"/>
              <w:suppressAutoHyphens/>
              <w:autoSpaceDE w:val="0"/>
              <w:autoSpaceDN w:val="0"/>
              <w:adjustRightInd w:val="0"/>
              <w:spacing w:before="20" w:after="20"/>
              <w:ind w:left="0"/>
              <w:jc w:val="right"/>
              <w:rPr>
                <w:rFonts w:ascii="Calibri" w:hAnsi="Calibri" w:cs="Calibri"/>
                <w:sz w:val="22"/>
                <w:lang w:val="en"/>
              </w:rPr>
            </w:pPr>
            <w:r w:rsidRPr="006E5544">
              <w:rPr>
                <w:rFonts w:ascii="Arial Narrow" w:hAnsi="Arial Narrow" w:cs="Arial Narrow"/>
                <w:sz w:val="20"/>
                <w:szCs w:val="20"/>
                <w:lang w:val="en"/>
              </w:rPr>
              <w:t>0.0011</w:t>
            </w:r>
          </w:p>
        </w:tc>
        <w:tc>
          <w:tcPr>
            <w:tcW w:w="1418" w:type="dxa"/>
            <w:tcBorders>
              <w:top w:val="single" w:sz="2" w:space="0" w:color="000000"/>
              <w:left w:val="single" w:sz="2" w:space="0" w:color="000000"/>
              <w:bottom w:val="single" w:sz="4" w:space="0" w:color="auto"/>
              <w:right w:val="single" w:sz="2" w:space="0" w:color="000000"/>
            </w:tcBorders>
            <w:shd w:val="clear" w:color="000000" w:fill="auto"/>
          </w:tcPr>
          <w:p w14:paraId="2193DEBB" w14:textId="77777777" w:rsidR="00B51828" w:rsidRPr="006E5544" w:rsidRDefault="00B51828" w:rsidP="002101D2">
            <w:pPr>
              <w:widowControl w:val="0"/>
              <w:suppressAutoHyphens/>
              <w:autoSpaceDE w:val="0"/>
              <w:autoSpaceDN w:val="0"/>
              <w:adjustRightInd w:val="0"/>
              <w:spacing w:before="20" w:after="20"/>
              <w:ind w:left="407"/>
              <w:jc w:val="right"/>
              <w:rPr>
                <w:rFonts w:ascii="Calibri" w:hAnsi="Calibri" w:cs="Calibri"/>
                <w:sz w:val="22"/>
                <w:lang w:val="en"/>
              </w:rPr>
            </w:pPr>
            <w:r w:rsidRPr="006E5544">
              <w:rPr>
                <w:rFonts w:ascii="Arial Narrow" w:hAnsi="Arial Narrow" w:cs="Arial Narrow"/>
                <w:sz w:val="20"/>
                <w:szCs w:val="20"/>
                <w:lang w:val="en"/>
              </w:rPr>
              <w:t>$1420.59</w:t>
            </w:r>
          </w:p>
        </w:tc>
      </w:tr>
    </w:tbl>
    <w:p w14:paraId="30797881" w14:textId="77777777" w:rsidR="00B51828" w:rsidRPr="006E5544" w:rsidRDefault="00B51828" w:rsidP="002101D2">
      <w:pPr>
        <w:keepNext/>
        <w:keepLines/>
        <w:spacing w:before="240" w:after="120"/>
        <w:ind w:left="0"/>
        <w:outlineLvl w:val="2"/>
        <w:rPr>
          <w:rFonts w:ascii="Tahoma" w:eastAsiaTheme="majorEastAsia" w:hAnsi="Tahoma" w:cstheme="majorBidi"/>
          <w:b/>
          <w:sz w:val="22"/>
          <w:szCs w:val="24"/>
        </w:rPr>
      </w:pPr>
      <w:r w:rsidRPr="006E5544">
        <w:rPr>
          <w:rFonts w:ascii="Tahoma" w:eastAsiaTheme="majorEastAsia" w:hAnsi="Tahoma" w:cstheme="majorBidi"/>
          <w:b/>
          <w:sz w:val="22"/>
          <w:szCs w:val="24"/>
        </w:rPr>
        <w:lastRenderedPageBreak/>
        <w:t>Estimated utilisation and financial implications</w:t>
      </w:r>
    </w:p>
    <w:p w14:paraId="3F10BEC3" w14:textId="77777777" w:rsidR="00B51828" w:rsidRPr="006E5544" w:rsidRDefault="00B51828" w:rsidP="002101D2">
      <w:r w:rsidRPr="006E5544">
        <w:t>The number of second, expert opinion services that would be expected to occur under the current and proposed funding arrangements was calculated by applying estimates from the Expert Opinion Survey to the predicted number of ‘core’ pathology items (based on historical data from Medicare Australia).</w:t>
      </w:r>
    </w:p>
    <w:p w14:paraId="007306C6" w14:textId="77777777" w:rsidR="00B51828" w:rsidRPr="006E5544" w:rsidRDefault="00B51828" w:rsidP="002101D2">
      <w:r w:rsidRPr="006E5544">
        <w:t>For simplicity, the financial estimates assume that 100% of cases are outpatients, bulk-billed using the 85% benefit. Any use of the proposed service for private inpatients would reduce the financial impact to the MBS.</w:t>
      </w:r>
    </w:p>
    <w:p w14:paraId="57D79BCA" w14:textId="77777777" w:rsidR="00B51828" w:rsidRPr="006E5544" w:rsidRDefault="00B51828" w:rsidP="002101D2">
      <w:r w:rsidRPr="006E5544">
        <w:t>The estimated number of MBS services for the proposed items is shown in Table ES-5.</w:t>
      </w:r>
    </w:p>
    <w:p w14:paraId="058087A1" w14:textId="77777777" w:rsidR="00B51828" w:rsidRPr="006E5544" w:rsidRDefault="00B51828" w:rsidP="002101D2">
      <w:pPr>
        <w:keepNext/>
        <w:spacing w:before="40" w:after="40"/>
        <w:ind w:left="2127" w:hanging="1407"/>
        <w:rPr>
          <w:rFonts w:ascii="Arial Narrow" w:hAnsi="Arial Narrow"/>
          <w:b/>
          <w:iCs/>
          <w:sz w:val="20"/>
          <w:szCs w:val="18"/>
        </w:rPr>
      </w:pPr>
      <w:r w:rsidRPr="006E5544">
        <w:rPr>
          <w:rFonts w:ascii="Arial Narrow" w:hAnsi="Arial Narrow"/>
          <w:b/>
          <w:iCs/>
          <w:sz w:val="20"/>
          <w:szCs w:val="18"/>
        </w:rPr>
        <w:t>Table ES-5</w:t>
      </w:r>
      <w:r w:rsidRPr="006E5544">
        <w:rPr>
          <w:rFonts w:ascii="Arial Narrow" w:hAnsi="Arial Narrow"/>
          <w:b/>
          <w:iCs/>
          <w:sz w:val="20"/>
          <w:szCs w:val="18"/>
        </w:rPr>
        <w:tab/>
        <w:t>Estimated number of MBS services for second, expert opinions, over the first five years of the proposed MBS listing – Proposed funding arrangements</w:t>
      </w:r>
    </w:p>
    <w:tbl>
      <w:tblPr>
        <w:tblStyle w:val="TableGrid"/>
        <w:tblW w:w="8363" w:type="dxa"/>
        <w:tblInd w:w="704" w:type="dxa"/>
        <w:tblLayout w:type="fixed"/>
        <w:tblLook w:val="04A0" w:firstRow="1" w:lastRow="0" w:firstColumn="1" w:lastColumn="0" w:noHBand="0" w:noVBand="1"/>
        <w:tblCaption w:val="Estimated number of MBS services"/>
        <w:tblDescription w:val="The estimated number of MBS services for second, expert opinions, over the first five years of the proposed MBS listing, under proposed funding arrangements"/>
      </w:tblPr>
      <w:tblGrid>
        <w:gridCol w:w="2410"/>
        <w:gridCol w:w="1190"/>
        <w:gridCol w:w="1191"/>
        <w:gridCol w:w="1190"/>
        <w:gridCol w:w="1191"/>
        <w:gridCol w:w="1191"/>
      </w:tblGrid>
      <w:tr w:rsidR="0099795D" w14:paraId="0B57A477" w14:textId="77777777" w:rsidTr="00C04E58">
        <w:trPr>
          <w:trHeight w:val="212"/>
          <w:tblHeader/>
        </w:trPr>
        <w:tc>
          <w:tcPr>
            <w:tcW w:w="2410" w:type="dxa"/>
          </w:tcPr>
          <w:p w14:paraId="51A16662" w14:textId="77777777" w:rsidR="0099795D" w:rsidRDefault="0099795D" w:rsidP="0099795D">
            <w:pPr>
              <w:pStyle w:val="Tabletextboldleft"/>
              <w:spacing w:before="20" w:after="20"/>
            </w:pPr>
          </w:p>
        </w:tc>
        <w:tc>
          <w:tcPr>
            <w:tcW w:w="1190" w:type="dxa"/>
          </w:tcPr>
          <w:p w14:paraId="37E18E9A" w14:textId="77777777" w:rsidR="0099795D" w:rsidRDefault="0099795D" w:rsidP="0099795D">
            <w:pPr>
              <w:pStyle w:val="Tabletextboldleft"/>
              <w:spacing w:before="20" w:after="20"/>
              <w:jc w:val="right"/>
            </w:pPr>
            <w:r>
              <w:t>Year 1</w:t>
            </w:r>
          </w:p>
          <w:p w14:paraId="63286AFB" w14:textId="77777777" w:rsidR="0099795D" w:rsidRDefault="0099795D" w:rsidP="0099795D">
            <w:pPr>
              <w:pStyle w:val="Tabletextboldleft"/>
              <w:spacing w:before="20" w:after="20"/>
              <w:jc w:val="right"/>
            </w:pPr>
            <w:r>
              <w:t>(2015-16)</w:t>
            </w:r>
          </w:p>
        </w:tc>
        <w:tc>
          <w:tcPr>
            <w:tcW w:w="1191" w:type="dxa"/>
          </w:tcPr>
          <w:p w14:paraId="209D1280" w14:textId="77777777" w:rsidR="0099795D" w:rsidRDefault="0099795D" w:rsidP="0099795D">
            <w:pPr>
              <w:pStyle w:val="Tabletextboldleft"/>
              <w:spacing w:before="20" w:after="20"/>
              <w:jc w:val="right"/>
            </w:pPr>
            <w:r>
              <w:t>Year 2</w:t>
            </w:r>
          </w:p>
          <w:p w14:paraId="44DB80E1" w14:textId="77777777" w:rsidR="0099795D" w:rsidRDefault="0099795D" w:rsidP="0099795D">
            <w:pPr>
              <w:pStyle w:val="Tabletextboldleft"/>
              <w:spacing w:before="20" w:after="20"/>
              <w:jc w:val="right"/>
            </w:pPr>
            <w:r>
              <w:t>(2016-17)</w:t>
            </w:r>
          </w:p>
        </w:tc>
        <w:tc>
          <w:tcPr>
            <w:tcW w:w="1190" w:type="dxa"/>
          </w:tcPr>
          <w:p w14:paraId="33EC2369" w14:textId="77777777" w:rsidR="0099795D" w:rsidRDefault="0099795D" w:rsidP="0099795D">
            <w:pPr>
              <w:pStyle w:val="Tabletextboldleft"/>
              <w:spacing w:before="20" w:after="20"/>
              <w:jc w:val="right"/>
            </w:pPr>
            <w:r>
              <w:t>Year 3</w:t>
            </w:r>
          </w:p>
          <w:p w14:paraId="05174DA9" w14:textId="77777777" w:rsidR="0099795D" w:rsidRDefault="0099795D" w:rsidP="0099795D">
            <w:pPr>
              <w:pStyle w:val="Tabletextboldleft"/>
              <w:spacing w:before="20" w:after="20"/>
              <w:jc w:val="right"/>
            </w:pPr>
            <w:r>
              <w:t>(2017-18)</w:t>
            </w:r>
          </w:p>
        </w:tc>
        <w:tc>
          <w:tcPr>
            <w:tcW w:w="1191" w:type="dxa"/>
          </w:tcPr>
          <w:p w14:paraId="6A0B100D" w14:textId="77777777" w:rsidR="0099795D" w:rsidRDefault="0099795D" w:rsidP="0099795D">
            <w:pPr>
              <w:pStyle w:val="Tabletextboldleft"/>
              <w:spacing w:before="20" w:after="20"/>
              <w:jc w:val="right"/>
            </w:pPr>
            <w:r>
              <w:t>Year 4</w:t>
            </w:r>
          </w:p>
          <w:p w14:paraId="4573C3C0" w14:textId="77777777" w:rsidR="0099795D" w:rsidRDefault="0099795D" w:rsidP="0099795D">
            <w:pPr>
              <w:pStyle w:val="Tabletextboldleft"/>
              <w:spacing w:before="20" w:after="20"/>
              <w:jc w:val="right"/>
            </w:pPr>
            <w:r>
              <w:t>(2018-19)</w:t>
            </w:r>
          </w:p>
        </w:tc>
        <w:tc>
          <w:tcPr>
            <w:tcW w:w="1191" w:type="dxa"/>
          </w:tcPr>
          <w:p w14:paraId="05296E5A" w14:textId="77777777" w:rsidR="0099795D" w:rsidRDefault="0099795D" w:rsidP="0099795D">
            <w:pPr>
              <w:pStyle w:val="Tabletextboldleft"/>
              <w:spacing w:before="20" w:after="20"/>
              <w:jc w:val="right"/>
            </w:pPr>
            <w:r>
              <w:t>Year 5</w:t>
            </w:r>
          </w:p>
          <w:p w14:paraId="217B1EC1" w14:textId="77777777" w:rsidR="0099795D" w:rsidRDefault="0099795D" w:rsidP="0099795D">
            <w:pPr>
              <w:pStyle w:val="Tabletextboldleft"/>
              <w:spacing w:before="20" w:after="20"/>
              <w:jc w:val="right"/>
            </w:pPr>
            <w:r>
              <w:t>(2019-20)</w:t>
            </w:r>
          </w:p>
        </w:tc>
      </w:tr>
      <w:tr w:rsidR="0099795D" w:rsidRPr="00F647C7" w14:paraId="00587202" w14:textId="77777777" w:rsidTr="00C04E58">
        <w:trPr>
          <w:trHeight w:val="212"/>
        </w:trPr>
        <w:tc>
          <w:tcPr>
            <w:tcW w:w="2410" w:type="dxa"/>
            <w:tcBorders>
              <w:bottom w:val="single" w:sz="4" w:space="0" w:color="auto"/>
            </w:tcBorders>
            <w:shd w:val="clear" w:color="auto" w:fill="D0CECE" w:themeFill="background2" w:themeFillShade="E6"/>
          </w:tcPr>
          <w:p w14:paraId="3C4D0E3F" w14:textId="77777777" w:rsidR="0099795D" w:rsidRPr="0076472C" w:rsidRDefault="0099795D" w:rsidP="0099795D">
            <w:pPr>
              <w:pStyle w:val="Tabletextboldleft"/>
              <w:spacing w:before="20" w:after="20"/>
              <w:rPr>
                <w:i/>
              </w:rPr>
            </w:pPr>
            <w:r>
              <w:rPr>
                <w:i/>
              </w:rPr>
              <w:t>Scenario 1</w:t>
            </w:r>
          </w:p>
        </w:tc>
        <w:tc>
          <w:tcPr>
            <w:tcW w:w="1190" w:type="dxa"/>
            <w:tcBorders>
              <w:bottom w:val="single" w:sz="4" w:space="0" w:color="auto"/>
            </w:tcBorders>
            <w:shd w:val="clear" w:color="auto" w:fill="D0CECE" w:themeFill="background2" w:themeFillShade="E6"/>
          </w:tcPr>
          <w:p w14:paraId="73285662" w14:textId="77777777" w:rsidR="0099795D" w:rsidRPr="002D0B57" w:rsidRDefault="0099795D" w:rsidP="0099795D">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6D86E316" w14:textId="77777777" w:rsidR="0099795D" w:rsidRPr="002D0B57" w:rsidRDefault="0099795D" w:rsidP="0099795D">
            <w:pPr>
              <w:pStyle w:val="Tabletextboldleft"/>
              <w:spacing w:before="20" w:after="20"/>
              <w:jc w:val="right"/>
              <w:rPr>
                <w:b w:val="0"/>
              </w:rPr>
            </w:pPr>
            <w:r>
              <w:rPr>
                <w:b w:val="0"/>
              </w:rPr>
              <w:t>-</w:t>
            </w:r>
          </w:p>
        </w:tc>
        <w:tc>
          <w:tcPr>
            <w:tcW w:w="1190" w:type="dxa"/>
            <w:tcBorders>
              <w:bottom w:val="single" w:sz="4" w:space="0" w:color="auto"/>
            </w:tcBorders>
            <w:shd w:val="clear" w:color="auto" w:fill="D0CECE" w:themeFill="background2" w:themeFillShade="E6"/>
          </w:tcPr>
          <w:p w14:paraId="6AC2BC00" w14:textId="77777777" w:rsidR="0099795D" w:rsidRPr="002D0B57" w:rsidRDefault="0099795D" w:rsidP="0099795D">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4BB33353" w14:textId="77777777" w:rsidR="0099795D" w:rsidRPr="002D0B57" w:rsidRDefault="0099795D" w:rsidP="0099795D">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34C4E380" w14:textId="77777777" w:rsidR="0099795D" w:rsidRPr="002D0B57" w:rsidRDefault="0099795D" w:rsidP="0099795D">
            <w:pPr>
              <w:pStyle w:val="Tabletextboldleft"/>
              <w:spacing w:before="20" w:after="20"/>
              <w:jc w:val="right"/>
              <w:rPr>
                <w:b w:val="0"/>
              </w:rPr>
            </w:pPr>
            <w:r>
              <w:rPr>
                <w:b w:val="0"/>
              </w:rPr>
              <w:t>-</w:t>
            </w:r>
          </w:p>
        </w:tc>
      </w:tr>
      <w:tr w:rsidR="0099795D" w:rsidRPr="00F647C7" w14:paraId="1952637C" w14:textId="77777777" w:rsidTr="00C04E58">
        <w:trPr>
          <w:trHeight w:val="212"/>
        </w:trPr>
        <w:tc>
          <w:tcPr>
            <w:tcW w:w="2410" w:type="dxa"/>
            <w:tcBorders>
              <w:bottom w:val="nil"/>
            </w:tcBorders>
            <w:shd w:val="clear" w:color="auto" w:fill="FFFFFF" w:themeFill="background1"/>
          </w:tcPr>
          <w:p w14:paraId="5C1A554C" w14:textId="77777777" w:rsidR="0099795D" w:rsidRPr="00386763" w:rsidRDefault="0099795D" w:rsidP="0099795D">
            <w:pPr>
              <w:pStyle w:val="Tabletextboldleft"/>
              <w:spacing w:before="20" w:after="20"/>
              <w:rPr>
                <w:b w:val="0"/>
              </w:rPr>
            </w:pPr>
            <w:r w:rsidRPr="00386763">
              <w:rPr>
                <w:b w:val="0"/>
              </w:rPr>
              <w:t>Tissue pathology</w:t>
            </w:r>
            <w:r w:rsidRPr="00386763">
              <w:rPr>
                <w:b w:val="0"/>
                <w:vertAlign w:val="superscript"/>
              </w:rPr>
              <w:t>a</w:t>
            </w:r>
          </w:p>
        </w:tc>
        <w:tc>
          <w:tcPr>
            <w:tcW w:w="1190" w:type="dxa"/>
            <w:tcBorders>
              <w:bottom w:val="nil"/>
            </w:tcBorders>
            <w:shd w:val="clear" w:color="auto" w:fill="FFFFFF" w:themeFill="background1"/>
          </w:tcPr>
          <w:p w14:paraId="794722A5" w14:textId="77777777" w:rsidR="0099795D" w:rsidRPr="00386763" w:rsidRDefault="0099795D" w:rsidP="0099795D">
            <w:pPr>
              <w:pStyle w:val="Tabletextboldleft"/>
              <w:spacing w:before="20" w:after="20"/>
              <w:jc w:val="right"/>
              <w:rPr>
                <w:b w:val="0"/>
              </w:rPr>
            </w:pPr>
            <w:r w:rsidRPr="00386763">
              <w:rPr>
                <w:b w:val="0"/>
                <w:color w:val="000000"/>
              </w:rPr>
              <w:t>32,994</w:t>
            </w:r>
          </w:p>
        </w:tc>
        <w:tc>
          <w:tcPr>
            <w:tcW w:w="1191" w:type="dxa"/>
            <w:tcBorders>
              <w:bottom w:val="nil"/>
            </w:tcBorders>
            <w:shd w:val="clear" w:color="auto" w:fill="FFFFFF" w:themeFill="background1"/>
          </w:tcPr>
          <w:p w14:paraId="3908FA98" w14:textId="77777777" w:rsidR="0099795D" w:rsidRPr="00386763" w:rsidRDefault="0099795D" w:rsidP="0099795D">
            <w:pPr>
              <w:pStyle w:val="Tabletextboldleft"/>
              <w:spacing w:before="20" w:after="20"/>
              <w:jc w:val="right"/>
              <w:rPr>
                <w:b w:val="0"/>
              </w:rPr>
            </w:pPr>
            <w:r w:rsidRPr="00386763">
              <w:rPr>
                <w:b w:val="0"/>
                <w:color w:val="000000"/>
              </w:rPr>
              <w:t>34,190</w:t>
            </w:r>
          </w:p>
        </w:tc>
        <w:tc>
          <w:tcPr>
            <w:tcW w:w="1190" w:type="dxa"/>
            <w:tcBorders>
              <w:bottom w:val="nil"/>
            </w:tcBorders>
            <w:shd w:val="clear" w:color="auto" w:fill="FFFFFF" w:themeFill="background1"/>
          </w:tcPr>
          <w:p w14:paraId="28826D5D" w14:textId="77777777" w:rsidR="0099795D" w:rsidRPr="00386763" w:rsidRDefault="0099795D" w:rsidP="0099795D">
            <w:pPr>
              <w:pStyle w:val="Tabletextboldleft"/>
              <w:spacing w:before="20" w:after="20"/>
              <w:jc w:val="right"/>
              <w:rPr>
                <w:b w:val="0"/>
              </w:rPr>
            </w:pPr>
            <w:r w:rsidRPr="00386763">
              <w:rPr>
                <w:b w:val="0"/>
                <w:color w:val="000000"/>
              </w:rPr>
              <w:t>35,385</w:t>
            </w:r>
          </w:p>
        </w:tc>
        <w:tc>
          <w:tcPr>
            <w:tcW w:w="1191" w:type="dxa"/>
            <w:tcBorders>
              <w:bottom w:val="nil"/>
            </w:tcBorders>
            <w:shd w:val="clear" w:color="auto" w:fill="FFFFFF" w:themeFill="background1"/>
          </w:tcPr>
          <w:p w14:paraId="2EAA61F4" w14:textId="77777777" w:rsidR="0099795D" w:rsidRPr="00386763" w:rsidRDefault="0099795D" w:rsidP="0099795D">
            <w:pPr>
              <w:pStyle w:val="Tabletextboldleft"/>
              <w:spacing w:before="20" w:after="20"/>
              <w:jc w:val="right"/>
              <w:rPr>
                <w:b w:val="0"/>
              </w:rPr>
            </w:pPr>
            <w:r w:rsidRPr="00386763">
              <w:rPr>
                <w:b w:val="0"/>
                <w:color w:val="000000"/>
              </w:rPr>
              <w:t>36,580</w:t>
            </w:r>
          </w:p>
        </w:tc>
        <w:tc>
          <w:tcPr>
            <w:tcW w:w="1191" w:type="dxa"/>
            <w:tcBorders>
              <w:bottom w:val="nil"/>
            </w:tcBorders>
            <w:shd w:val="clear" w:color="auto" w:fill="FFFFFF" w:themeFill="background1"/>
          </w:tcPr>
          <w:p w14:paraId="597C86F6" w14:textId="77777777" w:rsidR="0099795D" w:rsidRPr="00386763" w:rsidRDefault="0099795D" w:rsidP="0099795D">
            <w:pPr>
              <w:pStyle w:val="Tabletextboldleft"/>
              <w:spacing w:before="20" w:after="20"/>
              <w:jc w:val="right"/>
              <w:rPr>
                <w:b w:val="0"/>
              </w:rPr>
            </w:pPr>
            <w:r w:rsidRPr="00386763">
              <w:rPr>
                <w:b w:val="0"/>
                <w:color w:val="000000"/>
              </w:rPr>
              <w:t>37,776</w:t>
            </w:r>
          </w:p>
        </w:tc>
      </w:tr>
      <w:tr w:rsidR="0099795D" w:rsidRPr="00F647C7" w14:paraId="34054C86" w14:textId="77777777" w:rsidTr="00C04E58">
        <w:trPr>
          <w:trHeight w:val="212"/>
        </w:trPr>
        <w:tc>
          <w:tcPr>
            <w:tcW w:w="2410" w:type="dxa"/>
            <w:tcBorders>
              <w:top w:val="nil"/>
              <w:bottom w:val="nil"/>
            </w:tcBorders>
            <w:shd w:val="clear" w:color="auto" w:fill="FFFFFF" w:themeFill="background1"/>
          </w:tcPr>
          <w:p w14:paraId="08BF56E7" w14:textId="77777777" w:rsidR="0099795D" w:rsidRPr="00386763" w:rsidRDefault="0099795D" w:rsidP="0099795D">
            <w:pPr>
              <w:pStyle w:val="Tabletextboldleft"/>
              <w:spacing w:before="20" w:after="20"/>
              <w:ind w:firstLine="317"/>
              <w:rPr>
                <w:b w:val="0"/>
              </w:rPr>
            </w:pPr>
            <w:r w:rsidRPr="00386763">
              <w:rPr>
                <w:b w:val="0"/>
              </w:rPr>
              <w:t>Complex</w:t>
            </w:r>
          </w:p>
        </w:tc>
        <w:tc>
          <w:tcPr>
            <w:tcW w:w="1190" w:type="dxa"/>
            <w:tcBorders>
              <w:top w:val="nil"/>
              <w:bottom w:val="nil"/>
            </w:tcBorders>
            <w:shd w:val="clear" w:color="auto" w:fill="FFFFFF" w:themeFill="background1"/>
          </w:tcPr>
          <w:p w14:paraId="2F75A101" w14:textId="77777777" w:rsidR="0099795D" w:rsidRPr="00386763" w:rsidRDefault="0099795D" w:rsidP="0099795D">
            <w:pPr>
              <w:pStyle w:val="Tabletextboldleft"/>
              <w:spacing w:before="20" w:after="20"/>
              <w:jc w:val="right"/>
              <w:rPr>
                <w:b w:val="0"/>
              </w:rPr>
            </w:pPr>
            <w:r w:rsidRPr="00386763">
              <w:rPr>
                <w:b w:val="0"/>
                <w:color w:val="000000"/>
              </w:rPr>
              <w:t>17,734</w:t>
            </w:r>
          </w:p>
        </w:tc>
        <w:tc>
          <w:tcPr>
            <w:tcW w:w="1191" w:type="dxa"/>
            <w:tcBorders>
              <w:top w:val="nil"/>
              <w:bottom w:val="nil"/>
            </w:tcBorders>
            <w:shd w:val="clear" w:color="auto" w:fill="FFFFFF" w:themeFill="background1"/>
          </w:tcPr>
          <w:p w14:paraId="4EAE68F9" w14:textId="77777777" w:rsidR="0099795D" w:rsidRPr="00386763" w:rsidRDefault="0099795D" w:rsidP="0099795D">
            <w:pPr>
              <w:pStyle w:val="Tabletextboldleft"/>
              <w:spacing w:before="20" w:after="20"/>
              <w:jc w:val="right"/>
              <w:rPr>
                <w:b w:val="0"/>
              </w:rPr>
            </w:pPr>
            <w:r w:rsidRPr="00386763">
              <w:rPr>
                <w:b w:val="0"/>
                <w:color w:val="000000"/>
              </w:rPr>
              <w:t>18,377</w:t>
            </w:r>
          </w:p>
        </w:tc>
        <w:tc>
          <w:tcPr>
            <w:tcW w:w="1190" w:type="dxa"/>
            <w:tcBorders>
              <w:top w:val="nil"/>
              <w:bottom w:val="nil"/>
            </w:tcBorders>
            <w:shd w:val="clear" w:color="auto" w:fill="FFFFFF" w:themeFill="background1"/>
          </w:tcPr>
          <w:p w14:paraId="13FDE87C" w14:textId="77777777" w:rsidR="0099795D" w:rsidRPr="00386763" w:rsidRDefault="0099795D" w:rsidP="0099795D">
            <w:pPr>
              <w:pStyle w:val="Tabletextboldleft"/>
              <w:spacing w:before="20" w:after="20"/>
              <w:jc w:val="right"/>
              <w:rPr>
                <w:b w:val="0"/>
              </w:rPr>
            </w:pPr>
            <w:r w:rsidRPr="00386763">
              <w:rPr>
                <w:b w:val="0"/>
                <w:color w:val="000000"/>
              </w:rPr>
              <w:t>19,019</w:t>
            </w:r>
          </w:p>
        </w:tc>
        <w:tc>
          <w:tcPr>
            <w:tcW w:w="1191" w:type="dxa"/>
            <w:tcBorders>
              <w:top w:val="nil"/>
              <w:bottom w:val="nil"/>
            </w:tcBorders>
            <w:shd w:val="clear" w:color="auto" w:fill="FFFFFF" w:themeFill="background1"/>
          </w:tcPr>
          <w:p w14:paraId="0ECC903A" w14:textId="77777777" w:rsidR="0099795D" w:rsidRPr="00386763" w:rsidRDefault="0099795D" w:rsidP="0099795D">
            <w:pPr>
              <w:pStyle w:val="Tabletextboldleft"/>
              <w:spacing w:before="20" w:after="20"/>
              <w:jc w:val="right"/>
              <w:rPr>
                <w:b w:val="0"/>
              </w:rPr>
            </w:pPr>
            <w:r w:rsidRPr="00386763">
              <w:rPr>
                <w:b w:val="0"/>
                <w:color w:val="000000"/>
              </w:rPr>
              <w:t>19,662</w:t>
            </w:r>
          </w:p>
        </w:tc>
        <w:tc>
          <w:tcPr>
            <w:tcW w:w="1191" w:type="dxa"/>
            <w:tcBorders>
              <w:top w:val="nil"/>
              <w:bottom w:val="nil"/>
            </w:tcBorders>
            <w:shd w:val="clear" w:color="auto" w:fill="FFFFFF" w:themeFill="background1"/>
          </w:tcPr>
          <w:p w14:paraId="58C5B6DE" w14:textId="77777777" w:rsidR="0099795D" w:rsidRPr="00386763" w:rsidRDefault="0099795D" w:rsidP="0099795D">
            <w:pPr>
              <w:pStyle w:val="Tabletextboldleft"/>
              <w:spacing w:before="20" w:after="20"/>
              <w:jc w:val="right"/>
              <w:rPr>
                <w:b w:val="0"/>
              </w:rPr>
            </w:pPr>
            <w:r w:rsidRPr="00386763">
              <w:rPr>
                <w:b w:val="0"/>
                <w:color w:val="000000"/>
              </w:rPr>
              <w:t>20,305</w:t>
            </w:r>
          </w:p>
        </w:tc>
      </w:tr>
      <w:tr w:rsidR="0099795D" w:rsidRPr="00F647C7" w14:paraId="3EA34434" w14:textId="77777777" w:rsidTr="00C04E58">
        <w:trPr>
          <w:trHeight w:val="212"/>
        </w:trPr>
        <w:tc>
          <w:tcPr>
            <w:tcW w:w="2410" w:type="dxa"/>
            <w:tcBorders>
              <w:top w:val="nil"/>
              <w:bottom w:val="single" w:sz="4" w:space="0" w:color="auto"/>
            </w:tcBorders>
            <w:shd w:val="clear" w:color="auto" w:fill="FFFFFF" w:themeFill="background1"/>
          </w:tcPr>
          <w:p w14:paraId="4A557D68" w14:textId="77777777" w:rsidR="0099795D" w:rsidRPr="00386763" w:rsidRDefault="0099795D" w:rsidP="0099795D">
            <w:pPr>
              <w:pStyle w:val="Tabletextboldleft"/>
              <w:spacing w:before="20" w:after="20"/>
              <w:ind w:firstLine="317"/>
              <w:rPr>
                <w:b w:val="0"/>
              </w:rPr>
            </w:pPr>
            <w:r w:rsidRPr="00386763">
              <w:rPr>
                <w:b w:val="0"/>
              </w:rPr>
              <w:t>Non-complex</w:t>
            </w:r>
          </w:p>
        </w:tc>
        <w:tc>
          <w:tcPr>
            <w:tcW w:w="1190" w:type="dxa"/>
            <w:tcBorders>
              <w:top w:val="nil"/>
              <w:bottom w:val="single" w:sz="4" w:space="0" w:color="auto"/>
            </w:tcBorders>
            <w:shd w:val="clear" w:color="auto" w:fill="FFFFFF" w:themeFill="background1"/>
          </w:tcPr>
          <w:p w14:paraId="4CB8D89F" w14:textId="77777777" w:rsidR="0099795D" w:rsidRPr="00386763" w:rsidRDefault="0099795D" w:rsidP="0099795D">
            <w:pPr>
              <w:pStyle w:val="Tabletextboldleft"/>
              <w:spacing w:before="20" w:after="20"/>
              <w:jc w:val="right"/>
              <w:rPr>
                <w:b w:val="0"/>
              </w:rPr>
            </w:pPr>
            <w:r w:rsidRPr="00386763">
              <w:rPr>
                <w:b w:val="0"/>
                <w:color w:val="000000"/>
              </w:rPr>
              <w:t>15,260</w:t>
            </w:r>
          </w:p>
        </w:tc>
        <w:tc>
          <w:tcPr>
            <w:tcW w:w="1191" w:type="dxa"/>
            <w:tcBorders>
              <w:top w:val="nil"/>
              <w:bottom w:val="single" w:sz="4" w:space="0" w:color="auto"/>
            </w:tcBorders>
            <w:shd w:val="clear" w:color="auto" w:fill="FFFFFF" w:themeFill="background1"/>
          </w:tcPr>
          <w:p w14:paraId="6A5B1D6E" w14:textId="77777777" w:rsidR="0099795D" w:rsidRPr="00386763" w:rsidRDefault="0099795D" w:rsidP="0099795D">
            <w:pPr>
              <w:pStyle w:val="Tabletextboldleft"/>
              <w:spacing w:before="20" w:after="20"/>
              <w:jc w:val="right"/>
              <w:rPr>
                <w:b w:val="0"/>
              </w:rPr>
            </w:pPr>
            <w:r w:rsidRPr="00386763">
              <w:rPr>
                <w:b w:val="0"/>
                <w:color w:val="000000"/>
              </w:rPr>
              <w:t>15,813</w:t>
            </w:r>
          </w:p>
        </w:tc>
        <w:tc>
          <w:tcPr>
            <w:tcW w:w="1190" w:type="dxa"/>
            <w:tcBorders>
              <w:top w:val="nil"/>
              <w:bottom w:val="single" w:sz="4" w:space="0" w:color="auto"/>
            </w:tcBorders>
            <w:shd w:val="clear" w:color="auto" w:fill="FFFFFF" w:themeFill="background1"/>
          </w:tcPr>
          <w:p w14:paraId="448504B7" w14:textId="77777777" w:rsidR="0099795D" w:rsidRPr="00386763" w:rsidRDefault="0099795D" w:rsidP="0099795D">
            <w:pPr>
              <w:pStyle w:val="Tabletextboldleft"/>
              <w:spacing w:before="20" w:after="20"/>
              <w:jc w:val="right"/>
              <w:rPr>
                <w:b w:val="0"/>
              </w:rPr>
            </w:pPr>
            <w:r w:rsidRPr="00386763">
              <w:rPr>
                <w:b w:val="0"/>
                <w:color w:val="000000"/>
              </w:rPr>
              <w:t>16,366</w:t>
            </w:r>
          </w:p>
        </w:tc>
        <w:tc>
          <w:tcPr>
            <w:tcW w:w="1191" w:type="dxa"/>
            <w:tcBorders>
              <w:top w:val="nil"/>
              <w:bottom w:val="single" w:sz="4" w:space="0" w:color="auto"/>
            </w:tcBorders>
            <w:shd w:val="clear" w:color="auto" w:fill="FFFFFF" w:themeFill="background1"/>
          </w:tcPr>
          <w:p w14:paraId="3E12AEB5" w14:textId="77777777" w:rsidR="0099795D" w:rsidRPr="00386763" w:rsidRDefault="0099795D" w:rsidP="0099795D">
            <w:pPr>
              <w:pStyle w:val="Tabletextboldleft"/>
              <w:spacing w:before="20" w:after="20"/>
              <w:jc w:val="right"/>
              <w:rPr>
                <w:b w:val="0"/>
              </w:rPr>
            </w:pPr>
            <w:r w:rsidRPr="00386763">
              <w:rPr>
                <w:b w:val="0"/>
                <w:color w:val="000000"/>
              </w:rPr>
              <w:t>16,918</w:t>
            </w:r>
          </w:p>
        </w:tc>
        <w:tc>
          <w:tcPr>
            <w:tcW w:w="1191" w:type="dxa"/>
            <w:tcBorders>
              <w:top w:val="nil"/>
              <w:bottom w:val="single" w:sz="4" w:space="0" w:color="auto"/>
            </w:tcBorders>
            <w:shd w:val="clear" w:color="auto" w:fill="FFFFFF" w:themeFill="background1"/>
          </w:tcPr>
          <w:p w14:paraId="6DC52181" w14:textId="77777777" w:rsidR="0099795D" w:rsidRPr="00386763" w:rsidRDefault="0099795D" w:rsidP="0099795D">
            <w:pPr>
              <w:pStyle w:val="Tabletextboldleft"/>
              <w:spacing w:before="20" w:after="20"/>
              <w:jc w:val="right"/>
              <w:rPr>
                <w:b w:val="0"/>
              </w:rPr>
            </w:pPr>
            <w:r w:rsidRPr="00386763">
              <w:rPr>
                <w:b w:val="0"/>
                <w:color w:val="000000"/>
              </w:rPr>
              <w:t>17,471</w:t>
            </w:r>
          </w:p>
        </w:tc>
      </w:tr>
      <w:tr w:rsidR="0099795D" w:rsidRPr="00F647C7" w14:paraId="604B0189" w14:textId="77777777" w:rsidTr="00C04E58">
        <w:trPr>
          <w:trHeight w:val="212"/>
        </w:trPr>
        <w:tc>
          <w:tcPr>
            <w:tcW w:w="2410" w:type="dxa"/>
            <w:tcBorders>
              <w:bottom w:val="nil"/>
            </w:tcBorders>
            <w:shd w:val="clear" w:color="auto" w:fill="FFFFFF" w:themeFill="background1"/>
          </w:tcPr>
          <w:p w14:paraId="187C5FED" w14:textId="77777777" w:rsidR="0099795D" w:rsidRPr="00F411CD" w:rsidRDefault="0099795D" w:rsidP="0099795D">
            <w:pPr>
              <w:pStyle w:val="Tabletextboldleft"/>
              <w:spacing w:before="20" w:after="20"/>
              <w:rPr>
                <w:b w:val="0"/>
              </w:rPr>
            </w:pPr>
            <w:r w:rsidRPr="00F411CD">
              <w:rPr>
                <w:b w:val="0"/>
              </w:rPr>
              <w:t>Non-gynaecological cytology</w:t>
            </w:r>
          </w:p>
        </w:tc>
        <w:tc>
          <w:tcPr>
            <w:tcW w:w="1190" w:type="dxa"/>
            <w:tcBorders>
              <w:bottom w:val="nil"/>
            </w:tcBorders>
            <w:shd w:val="clear" w:color="auto" w:fill="FFFFFF" w:themeFill="background1"/>
          </w:tcPr>
          <w:p w14:paraId="7678C330" w14:textId="77777777" w:rsidR="0099795D" w:rsidRPr="00F411CD" w:rsidRDefault="0099795D" w:rsidP="0099795D">
            <w:pPr>
              <w:pStyle w:val="Tabletextboldleft"/>
              <w:spacing w:before="20" w:after="20"/>
              <w:jc w:val="right"/>
              <w:rPr>
                <w:b w:val="0"/>
              </w:rPr>
            </w:pPr>
            <w:r w:rsidRPr="00F411CD">
              <w:rPr>
                <w:b w:val="0"/>
                <w:color w:val="000000"/>
              </w:rPr>
              <w:t>18</w:t>
            </w:r>
            <w:r>
              <w:rPr>
                <w:b w:val="0"/>
                <w:color w:val="000000"/>
              </w:rPr>
              <w:t>20</w:t>
            </w:r>
          </w:p>
        </w:tc>
        <w:tc>
          <w:tcPr>
            <w:tcW w:w="1191" w:type="dxa"/>
            <w:tcBorders>
              <w:bottom w:val="nil"/>
            </w:tcBorders>
            <w:shd w:val="clear" w:color="auto" w:fill="FFFFFF" w:themeFill="background1"/>
          </w:tcPr>
          <w:p w14:paraId="11E4FC34" w14:textId="77777777" w:rsidR="0099795D" w:rsidRPr="00F411CD" w:rsidRDefault="0099795D" w:rsidP="0099795D">
            <w:pPr>
              <w:pStyle w:val="Tabletextboldleft"/>
              <w:spacing w:before="20" w:after="20"/>
              <w:jc w:val="right"/>
              <w:rPr>
                <w:b w:val="0"/>
              </w:rPr>
            </w:pPr>
            <w:r w:rsidRPr="00F411CD">
              <w:rPr>
                <w:b w:val="0"/>
                <w:color w:val="000000"/>
              </w:rPr>
              <w:t>18</w:t>
            </w:r>
            <w:r>
              <w:rPr>
                <w:b w:val="0"/>
                <w:color w:val="000000"/>
              </w:rPr>
              <w:t>7</w:t>
            </w:r>
            <w:r w:rsidRPr="00F411CD">
              <w:rPr>
                <w:b w:val="0"/>
                <w:color w:val="000000"/>
              </w:rPr>
              <w:t>2</w:t>
            </w:r>
          </w:p>
        </w:tc>
        <w:tc>
          <w:tcPr>
            <w:tcW w:w="1190" w:type="dxa"/>
            <w:tcBorders>
              <w:bottom w:val="nil"/>
            </w:tcBorders>
            <w:shd w:val="clear" w:color="auto" w:fill="FFFFFF" w:themeFill="background1"/>
          </w:tcPr>
          <w:p w14:paraId="18AC22CC" w14:textId="77777777" w:rsidR="0099795D" w:rsidRPr="00F411CD" w:rsidRDefault="0099795D" w:rsidP="0099795D">
            <w:pPr>
              <w:pStyle w:val="Tabletextboldleft"/>
              <w:spacing w:before="20" w:after="20"/>
              <w:jc w:val="right"/>
              <w:rPr>
                <w:b w:val="0"/>
              </w:rPr>
            </w:pPr>
            <w:r w:rsidRPr="00F411CD">
              <w:rPr>
                <w:b w:val="0"/>
                <w:color w:val="000000"/>
              </w:rPr>
              <w:t>19</w:t>
            </w:r>
            <w:r>
              <w:rPr>
                <w:b w:val="0"/>
                <w:color w:val="000000"/>
              </w:rPr>
              <w:t>25</w:t>
            </w:r>
          </w:p>
        </w:tc>
        <w:tc>
          <w:tcPr>
            <w:tcW w:w="1191" w:type="dxa"/>
            <w:tcBorders>
              <w:bottom w:val="nil"/>
            </w:tcBorders>
            <w:shd w:val="clear" w:color="auto" w:fill="FFFFFF" w:themeFill="background1"/>
          </w:tcPr>
          <w:p w14:paraId="1EBF9FAA" w14:textId="77777777" w:rsidR="0099795D" w:rsidRPr="00F411CD" w:rsidRDefault="0099795D" w:rsidP="0099795D">
            <w:pPr>
              <w:pStyle w:val="Tabletextboldleft"/>
              <w:spacing w:before="20" w:after="20"/>
              <w:jc w:val="right"/>
              <w:rPr>
                <w:b w:val="0"/>
              </w:rPr>
            </w:pPr>
            <w:r w:rsidRPr="00F411CD">
              <w:rPr>
                <w:b w:val="0"/>
                <w:color w:val="000000"/>
              </w:rPr>
              <w:t>19</w:t>
            </w:r>
            <w:r>
              <w:rPr>
                <w:b w:val="0"/>
                <w:color w:val="000000"/>
              </w:rPr>
              <w:t>78</w:t>
            </w:r>
          </w:p>
        </w:tc>
        <w:tc>
          <w:tcPr>
            <w:tcW w:w="1191" w:type="dxa"/>
            <w:tcBorders>
              <w:bottom w:val="nil"/>
            </w:tcBorders>
            <w:shd w:val="clear" w:color="auto" w:fill="FFFFFF" w:themeFill="background1"/>
          </w:tcPr>
          <w:p w14:paraId="385CEF09" w14:textId="77777777" w:rsidR="0099795D" w:rsidRPr="00F411CD" w:rsidRDefault="0099795D" w:rsidP="0099795D">
            <w:pPr>
              <w:pStyle w:val="Tabletextboldleft"/>
              <w:spacing w:before="20" w:after="20"/>
              <w:jc w:val="right"/>
              <w:rPr>
                <w:b w:val="0"/>
              </w:rPr>
            </w:pPr>
            <w:r w:rsidRPr="00F411CD">
              <w:rPr>
                <w:b w:val="0"/>
                <w:color w:val="000000"/>
              </w:rPr>
              <w:t>20</w:t>
            </w:r>
            <w:r>
              <w:rPr>
                <w:b w:val="0"/>
                <w:color w:val="000000"/>
              </w:rPr>
              <w:t>31</w:t>
            </w:r>
          </w:p>
        </w:tc>
      </w:tr>
      <w:tr w:rsidR="0099795D" w:rsidRPr="00F647C7" w14:paraId="0E3E1D66" w14:textId="77777777" w:rsidTr="00C04E58">
        <w:trPr>
          <w:trHeight w:val="212"/>
        </w:trPr>
        <w:tc>
          <w:tcPr>
            <w:tcW w:w="2410" w:type="dxa"/>
            <w:tcBorders>
              <w:top w:val="nil"/>
              <w:bottom w:val="nil"/>
            </w:tcBorders>
            <w:shd w:val="clear" w:color="auto" w:fill="FFFFFF" w:themeFill="background1"/>
          </w:tcPr>
          <w:p w14:paraId="3886D9BC" w14:textId="77777777" w:rsidR="0099795D" w:rsidRPr="00F411CD" w:rsidRDefault="0099795D" w:rsidP="0099795D">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tcPr>
          <w:p w14:paraId="285BC988" w14:textId="77777777" w:rsidR="0099795D" w:rsidRPr="00F411CD" w:rsidRDefault="0099795D" w:rsidP="0099795D">
            <w:pPr>
              <w:pStyle w:val="Tabletextboldleft"/>
              <w:spacing w:before="20" w:after="20"/>
              <w:jc w:val="right"/>
              <w:rPr>
                <w:b w:val="0"/>
              </w:rPr>
            </w:pPr>
            <w:r w:rsidRPr="00F411CD">
              <w:rPr>
                <w:b w:val="0"/>
                <w:color w:val="000000"/>
              </w:rPr>
              <w:t>33</w:t>
            </w:r>
            <w:r>
              <w:rPr>
                <w:b w:val="0"/>
                <w:color w:val="000000"/>
              </w:rPr>
              <w:t>8</w:t>
            </w:r>
          </w:p>
        </w:tc>
        <w:tc>
          <w:tcPr>
            <w:tcW w:w="1191" w:type="dxa"/>
            <w:tcBorders>
              <w:top w:val="nil"/>
              <w:bottom w:val="nil"/>
            </w:tcBorders>
            <w:shd w:val="clear" w:color="auto" w:fill="FFFFFF" w:themeFill="background1"/>
          </w:tcPr>
          <w:p w14:paraId="644F1DC7" w14:textId="77777777" w:rsidR="0099795D" w:rsidRPr="00F411CD" w:rsidRDefault="0099795D" w:rsidP="0099795D">
            <w:pPr>
              <w:pStyle w:val="Tabletextboldleft"/>
              <w:spacing w:before="20" w:after="20"/>
              <w:jc w:val="right"/>
              <w:rPr>
                <w:b w:val="0"/>
              </w:rPr>
            </w:pPr>
            <w:r w:rsidRPr="00F411CD">
              <w:rPr>
                <w:b w:val="0"/>
                <w:color w:val="000000"/>
              </w:rPr>
              <w:t>34</w:t>
            </w:r>
            <w:r>
              <w:rPr>
                <w:b w:val="0"/>
                <w:color w:val="000000"/>
              </w:rPr>
              <w:t>8</w:t>
            </w:r>
          </w:p>
        </w:tc>
        <w:tc>
          <w:tcPr>
            <w:tcW w:w="1190" w:type="dxa"/>
            <w:tcBorders>
              <w:top w:val="nil"/>
              <w:bottom w:val="nil"/>
            </w:tcBorders>
            <w:shd w:val="clear" w:color="auto" w:fill="FFFFFF" w:themeFill="background1"/>
          </w:tcPr>
          <w:p w14:paraId="4A363E0C" w14:textId="77777777" w:rsidR="0099795D" w:rsidRPr="00F411CD" w:rsidRDefault="0099795D" w:rsidP="0099795D">
            <w:pPr>
              <w:pStyle w:val="Tabletextboldleft"/>
              <w:spacing w:before="20" w:after="20"/>
              <w:jc w:val="right"/>
              <w:rPr>
                <w:b w:val="0"/>
              </w:rPr>
            </w:pPr>
            <w:r w:rsidRPr="00F411CD">
              <w:rPr>
                <w:b w:val="0"/>
                <w:color w:val="000000"/>
              </w:rPr>
              <w:t>3</w:t>
            </w:r>
            <w:r>
              <w:rPr>
                <w:b w:val="0"/>
                <w:color w:val="000000"/>
              </w:rPr>
              <w:t>58</w:t>
            </w:r>
          </w:p>
        </w:tc>
        <w:tc>
          <w:tcPr>
            <w:tcW w:w="1191" w:type="dxa"/>
            <w:tcBorders>
              <w:top w:val="nil"/>
              <w:bottom w:val="nil"/>
            </w:tcBorders>
            <w:shd w:val="clear" w:color="auto" w:fill="FFFFFF" w:themeFill="background1"/>
          </w:tcPr>
          <w:p w14:paraId="1DF73BA3" w14:textId="77777777" w:rsidR="0099795D" w:rsidRPr="00F411CD" w:rsidRDefault="0099795D" w:rsidP="0099795D">
            <w:pPr>
              <w:pStyle w:val="Tabletextboldleft"/>
              <w:spacing w:before="20" w:after="20"/>
              <w:jc w:val="right"/>
              <w:rPr>
                <w:b w:val="0"/>
              </w:rPr>
            </w:pPr>
            <w:r w:rsidRPr="00F411CD">
              <w:rPr>
                <w:b w:val="0"/>
                <w:color w:val="000000"/>
              </w:rPr>
              <w:t>3</w:t>
            </w:r>
            <w:r>
              <w:rPr>
                <w:b w:val="0"/>
                <w:color w:val="000000"/>
              </w:rPr>
              <w:t>67</w:t>
            </w:r>
          </w:p>
        </w:tc>
        <w:tc>
          <w:tcPr>
            <w:tcW w:w="1191" w:type="dxa"/>
            <w:tcBorders>
              <w:top w:val="nil"/>
              <w:bottom w:val="nil"/>
            </w:tcBorders>
            <w:shd w:val="clear" w:color="auto" w:fill="FFFFFF" w:themeFill="background1"/>
          </w:tcPr>
          <w:p w14:paraId="30B7978F" w14:textId="77777777" w:rsidR="0099795D" w:rsidRPr="00F411CD" w:rsidRDefault="0099795D" w:rsidP="0099795D">
            <w:pPr>
              <w:pStyle w:val="Tabletextboldleft"/>
              <w:spacing w:before="20" w:after="20"/>
              <w:jc w:val="right"/>
              <w:rPr>
                <w:b w:val="0"/>
              </w:rPr>
            </w:pPr>
            <w:r w:rsidRPr="00F411CD">
              <w:rPr>
                <w:b w:val="0"/>
                <w:color w:val="000000"/>
              </w:rPr>
              <w:t>37</w:t>
            </w:r>
            <w:r>
              <w:rPr>
                <w:b w:val="0"/>
                <w:color w:val="000000"/>
              </w:rPr>
              <w:t>7</w:t>
            </w:r>
          </w:p>
        </w:tc>
      </w:tr>
      <w:tr w:rsidR="0099795D" w:rsidRPr="00F647C7" w14:paraId="5AFD92E1" w14:textId="77777777" w:rsidTr="00C04E58">
        <w:trPr>
          <w:trHeight w:val="212"/>
        </w:trPr>
        <w:tc>
          <w:tcPr>
            <w:tcW w:w="2410" w:type="dxa"/>
            <w:tcBorders>
              <w:top w:val="nil"/>
              <w:bottom w:val="single" w:sz="4" w:space="0" w:color="auto"/>
            </w:tcBorders>
            <w:shd w:val="clear" w:color="auto" w:fill="FFFFFF" w:themeFill="background1"/>
          </w:tcPr>
          <w:p w14:paraId="7FFA7A5D" w14:textId="77777777" w:rsidR="0099795D" w:rsidRPr="00F411CD" w:rsidRDefault="0099795D" w:rsidP="0099795D">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shd w:val="clear" w:color="auto" w:fill="FFFFFF" w:themeFill="background1"/>
          </w:tcPr>
          <w:p w14:paraId="47353759" w14:textId="77777777" w:rsidR="0099795D" w:rsidRPr="00F411CD" w:rsidRDefault="0099795D" w:rsidP="0099795D">
            <w:pPr>
              <w:pStyle w:val="Tabletextboldleft"/>
              <w:spacing w:before="20" w:after="20"/>
              <w:jc w:val="right"/>
              <w:rPr>
                <w:b w:val="0"/>
              </w:rPr>
            </w:pPr>
            <w:r w:rsidRPr="00F411CD">
              <w:rPr>
                <w:b w:val="0"/>
                <w:color w:val="000000"/>
              </w:rPr>
              <w:t>14</w:t>
            </w:r>
            <w:r>
              <w:rPr>
                <w:b w:val="0"/>
                <w:color w:val="000000"/>
              </w:rPr>
              <w:t>82</w:t>
            </w:r>
          </w:p>
        </w:tc>
        <w:tc>
          <w:tcPr>
            <w:tcW w:w="1191" w:type="dxa"/>
            <w:tcBorders>
              <w:top w:val="nil"/>
              <w:bottom w:val="single" w:sz="4" w:space="0" w:color="auto"/>
            </w:tcBorders>
            <w:shd w:val="clear" w:color="auto" w:fill="FFFFFF" w:themeFill="background1"/>
          </w:tcPr>
          <w:p w14:paraId="5F992B05" w14:textId="77777777" w:rsidR="0099795D" w:rsidRPr="00F411CD" w:rsidRDefault="0099795D" w:rsidP="0099795D">
            <w:pPr>
              <w:pStyle w:val="Tabletextboldleft"/>
              <w:spacing w:before="20" w:after="20"/>
              <w:jc w:val="right"/>
              <w:rPr>
                <w:b w:val="0"/>
              </w:rPr>
            </w:pPr>
            <w:r w:rsidRPr="00F411CD">
              <w:rPr>
                <w:b w:val="0"/>
                <w:color w:val="000000"/>
              </w:rPr>
              <w:t>15</w:t>
            </w:r>
            <w:r>
              <w:rPr>
                <w:b w:val="0"/>
                <w:color w:val="000000"/>
              </w:rPr>
              <w:t>25</w:t>
            </w:r>
          </w:p>
        </w:tc>
        <w:tc>
          <w:tcPr>
            <w:tcW w:w="1190" w:type="dxa"/>
            <w:tcBorders>
              <w:top w:val="nil"/>
              <w:bottom w:val="single" w:sz="4" w:space="0" w:color="auto"/>
            </w:tcBorders>
            <w:shd w:val="clear" w:color="auto" w:fill="FFFFFF" w:themeFill="background1"/>
          </w:tcPr>
          <w:p w14:paraId="121448EB" w14:textId="77777777" w:rsidR="0099795D" w:rsidRPr="00F411CD" w:rsidRDefault="0099795D" w:rsidP="0099795D">
            <w:pPr>
              <w:pStyle w:val="Tabletextboldleft"/>
              <w:spacing w:before="20" w:after="20"/>
              <w:jc w:val="right"/>
              <w:rPr>
                <w:b w:val="0"/>
              </w:rPr>
            </w:pPr>
            <w:r w:rsidRPr="00F411CD">
              <w:rPr>
                <w:b w:val="0"/>
                <w:color w:val="000000"/>
              </w:rPr>
              <w:t>15</w:t>
            </w:r>
            <w:r>
              <w:rPr>
                <w:b w:val="0"/>
                <w:color w:val="000000"/>
              </w:rPr>
              <w:t>68</w:t>
            </w:r>
          </w:p>
        </w:tc>
        <w:tc>
          <w:tcPr>
            <w:tcW w:w="1191" w:type="dxa"/>
            <w:tcBorders>
              <w:top w:val="nil"/>
              <w:bottom w:val="single" w:sz="4" w:space="0" w:color="auto"/>
            </w:tcBorders>
            <w:shd w:val="clear" w:color="auto" w:fill="FFFFFF" w:themeFill="background1"/>
          </w:tcPr>
          <w:p w14:paraId="2F3E1AA4" w14:textId="77777777" w:rsidR="0099795D" w:rsidRPr="00F411CD" w:rsidRDefault="0099795D" w:rsidP="0099795D">
            <w:pPr>
              <w:pStyle w:val="Tabletextboldleft"/>
              <w:spacing w:before="20" w:after="20"/>
              <w:jc w:val="right"/>
              <w:rPr>
                <w:b w:val="0"/>
              </w:rPr>
            </w:pPr>
            <w:r>
              <w:rPr>
                <w:b w:val="0"/>
                <w:color w:val="000000"/>
              </w:rPr>
              <w:t>1611</w:t>
            </w:r>
          </w:p>
        </w:tc>
        <w:tc>
          <w:tcPr>
            <w:tcW w:w="1191" w:type="dxa"/>
            <w:tcBorders>
              <w:top w:val="nil"/>
              <w:bottom w:val="single" w:sz="4" w:space="0" w:color="auto"/>
            </w:tcBorders>
            <w:shd w:val="clear" w:color="auto" w:fill="FFFFFF" w:themeFill="background1"/>
          </w:tcPr>
          <w:p w14:paraId="7C90D30D" w14:textId="77777777" w:rsidR="0099795D" w:rsidRPr="00F411CD" w:rsidRDefault="0099795D" w:rsidP="0099795D">
            <w:pPr>
              <w:pStyle w:val="Tabletextboldleft"/>
              <w:spacing w:before="20" w:after="20"/>
              <w:jc w:val="right"/>
              <w:rPr>
                <w:b w:val="0"/>
              </w:rPr>
            </w:pPr>
            <w:r w:rsidRPr="00F411CD">
              <w:rPr>
                <w:b w:val="0"/>
                <w:color w:val="000000"/>
              </w:rPr>
              <w:t>16</w:t>
            </w:r>
            <w:r>
              <w:rPr>
                <w:b w:val="0"/>
                <w:color w:val="000000"/>
              </w:rPr>
              <w:t>54</w:t>
            </w:r>
          </w:p>
        </w:tc>
      </w:tr>
      <w:tr w:rsidR="0099795D" w:rsidRPr="00F647C7" w14:paraId="5BA6CC31" w14:textId="77777777" w:rsidTr="00C04E58">
        <w:trPr>
          <w:trHeight w:val="212"/>
        </w:trPr>
        <w:tc>
          <w:tcPr>
            <w:tcW w:w="2410" w:type="dxa"/>
            <w:tcBorders>
              <w:bottom w:val="nil"/>
            </w:tcBorders>
            <w:shd w:val="clear" w:color="auto" w:fill="FFFFFF" w:themeFill="background1"/>
          </w:tcPr>
          <w:p w14:paraId="4CF8B700" w14:textId="77777777" w:rsidR="0099795D" w:rsidRPr="00F411CD" w:rsidRDefault="0099795D" w:rsidP="0099795D">
            <w:pPr>
              <w:pStyle w:val="Tabletextboldleft"/>
              <w:spacing w:before="20" w:after="20"/>
              <w:rPr>
                <w:b w:val="0"/>
              </w:rPr>
            </w:pPr>
            <w:r w:rsidRPr="00F411CD">
              <w:rPr>
                <w:b w:val="0"/>
              </w:rPr>
              <w:t>All cytology</w:t>
            </w:r>
          </w:p>
        </w:tc>
        <w:tc>
          <w:tcPr>
            <w:tcW w:w="1190" w:type="dxa"/>
            <w:tcBorders>
              <w:bottom w:val="nil"/>
            </w:tcBorders>
            <w:shd w:val="clear" w:color="auto" w:fill="FFFFFF" w:themeFill="background1"/>
          </w:tcPr>
          <w:p w14:paraId="7C915F1A" w14:textId="77777777" w:rsidR="0099795D" w:rsidRPr="00F411CD" w:rsidRDefault="0099795D" w:rsidP="0099795D">
            <w:pPr>
              <w:pStyle w:val="Tabletextboldleft"/>
              <w:spacing w:before="20" w:after="20"/>
              <w:jc w:val="right"/>
              <w:rPr>
                <w:b w:val="0"/>
              </w:rPr>
            </w:pPr>
            <w:r w:rsidRPr="00F411CD">
              <w:rPr>
                <w:b w:val="0"/>
                <w:color w:val="000000"/>
              </w:rPr>
              <w:t>14,</w:t>
            </w:r>
            <w:r>
              <w:rPr>
                <w:b w:val="0"/>
                <w:color w:val="000000"/>
              </w:rPr>
              <w:t>475</w:t>
            </w:r>
          </w:p>
        </w:tc>
        <w:tc>
          <w:tcPr>
            <w:tcW w:w="1191" w:type="dxa"/>
            <w:tcBorders>
              <w:bottom w:val="nil"/>
            </w:tcBorders>
            <w:shd w:val="clear" w:color="auto" w:fill="FFFFFF" w:themeFill="background1"/>
          </w:tcPr>
          <w:p w14:paraId="6FFA5C0F" w14:textId="77777777" w:rsidR="0099795D" w:rsidRPr="00F411CD" w:rsidRDefault="0099795D" w:rsidP="0099795D">
            <w:pPr>
              <w:pStyle w:val="Tabletextboldleft"/>
              <w:spacing w:before="20" w:after="20"/>
              <w:jc w:val="right"/>
              <w:rPr>
                <w:b w:val="0"/>
              </w:rPr>
            </w:pPr>
            <w:r w:rsidRPr="00F411CD">
              <w:rPr>
                <w:b w:val="0"/>
                <w:color w:val="000000"/>
              </w:rPr>
              <w:t>14,</w:t>
            </w:r>
            <w:r>
              <w:rPr>
                <w:b w:val="0"/>
                <w:color w:val="000000"/>
              </w:rPr>
              <w:t>633</w:t>
            </w:r>
          </w:p>
        </w:tc>
        <w:tc>
          <w:tcPr>
            <w:tcW w:w="1190" w:type="dxa"/>
            <w:tcBorders>
              <w:bottom w:val="nil"/>
            </w:tcBorders>
            <w:shd w:val="clear" w:color="auto" w:fill="FFFFFF" w:themeFill="background1"/>
          </w:tcPr>
          <w:p w14:paraId="72AA8FC7" w14:textId="77777777" w:rsidR="0099795D" w:rsidRPr="00F411CD" w:rsidRDefault="0099795D" w:rsidP="0099795D">
            <w:pPr>
              <w:pStyle w:val="Tabletextboldleft"/>
              <w:spacing w:before="20" w:after="20"/>
              <w:jc w:val="right"/>
              <w:rPr>
                <w:b w:val="0"/>
              </w:rPr>
            </w:pPr>
            <w:r w:rsidRPr="00F411CD">
              <w:rPr>
                <w:b w:val="0"/>
                <w:color w:val="000000"/>
              </w:rPr>
              <w:t>14</w:t>
            </w:r>
            <w:r>
              <w:rPr>
                <w:b w:val="0"/>
                <w:color w:val="000000"/>
              </w:rPr>
              <w:t>,791</w:t>
            </w:r>
          </w:p>
        </w:tc>
        <w:tc>
          <w:tcPr>
            <w:tcW w:w="1191" w:type="dxa"/>
            <w:tcBorders>
              <w:bottom w:val="nil"/>
            </w:tcBorders>
            <w:shd w:val="clear" w:color="auto" w:fill="FFFFFF" w:themeFill="background1"/>
          </w:tcPr>
          <w:p w14:paraId="145AA787" w14:textId="77777777" w:rsidR="0099795D" w:rsidRPr="00F411CD" w:rsidRDefault="0099795D" w:rsidP="0099795D">
            <w:pPr>
              <w:pStyle w:val="Tabletextboldleft"/>
              <w:spacing w:before="20" w:after="20"/>
              <w:jc w:val="right"/>
              <w:rPr>
                <w:b w:val="0"/>
              </w:rPr>
            </w:pPr>
            <w:r w:rsidRPr="00F411CD">
              <w:rPr>
                <w:b w:val="0"/>
                <w:color w:val="000000"/>
              </w:rPr>
              <w:t>14,</w:t>
            </w:r>
            <w:r>
              <w:rPr>
                <w:b w:val="0"/>
                <w:color w:val="000000"/>
              </w:rPr>
              <w:t>949</w:t>
            </w:r>
          </w:p>
        </w:tc>
        <w:tc>
          <w:tcPr>
            <w:tcW w:w="1191" w:type="dxa"/>
            <w:tcBorders>
              <w:bottom w:val="nil"/>
            </w:tcBorders>
            <w:shd w:val="clear" w:color="auto" w:fill="FFFFFF" w:themeFill="background1"/>
          </w:tcPr>
          <w:p w14:paraId="74D99E9C" w14:textId="77777777" w:rsidR="0099795D" w:rsidRPr="00F411CD" w:rsidRDefault="0099795D" w:rsidP="0099795D">
            <w:pPr>
              <w:pStyle w:val="Tabletextboldleft"/>
              <w:spacing w:before="20" w:after="20"/>
              <w:jc w:val="right"/>
              <w:rPr>
                <w:b w:val="0"/>
              </w:rPr>
            </w:pPr>
            <w:r>
              <w:rPr>
                <w:b w:val="0"/>
                <w:color w:val="000000"/>
              </w:rPr>
              <w:t>15,107</w:t>
            </w:r>
          </w:p>
        </w:tc>
      </w:tr>
      <w:tr w:rsidR="0099795D" w:rsidRPr="00F647C7" w14:paraId="6D8013A1" w14:textId="77777777" w:rsidTr="00C04E58">
        <w:trPr>
          <w:trHeight w:val="212"/>
        </w:trPr>
        <w:tc>
          <w:tcPr>
            <w:tcW w:w="2410" w:type="dxa"/>
            <w:tcBorders>
              <w:top w:val="nil"/>
              <w:bottom w:val="nil"/>
            </w:tcBorders>
            <w:shd w:val="clear" w:color="auto" w:fill="FFFFFF" w:themeFill="background1"/>
          </w:tcPr>
          <w:p w14:paraId="28F46804" w14:textId="77777777" w:rsidR="0099795D" w:rsidRPr="00F411CD" w:rsidRDefault="0099795D" w:rsidP="0099795D">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tcPr>
          <w:p w14:paraId="434730BA" w14:textId="77777777" w:rsidR="0099795D" w:rsidRPr="00F411CD" w:rsidRDefault="0099795D" w:rsidP="0099795D">
            <w:pPr>
              <w:pStyle w:val="Tabletextboldleft"/>
              <w:spacing w:before="20" w:after="20"/>
              <w:jc w:val="right"/>
              <w:rPr>
                <w:b w:val="0"/>
              </w:rPr>
            </w:pPr>
            <w:r w:rsidRPr="00F411CD">
              <w:rPr>
                <w:b w:val="0"/>
                <w:color w:val="000000"/>
              </w:rPr>
              <w:t>2,6</w:t>
            </w:r>
            <w:r>
              <w:rPr>
                <w:b w:val="0"/>
                <w:color w:val="000000"/>
              </w:rPr>
              <w:t>88</w:t>
            </w:r>
          </w:p>
        </w:tc>
        <w:tc>
          <w:tcPr>
            <w:tcW w:w="1191" w:type="dxa"/>
            <w:tcBorders>
              <w:top w:val="nil"/>
              <w:bottom w:val="nil"/>
            </w:tcBorders>
            <w:shd w:val="clear" w:color="auto" w:fill="FFFFFF" w:themeFill="background1"/>
          </w:tcPr>
          <w:p w14:paraId="1D253028"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,718</w:t>
            </w:r>
          </w:p>
        </w:tc>
        <w:tc>
          <w:tcPr>
            <w:tcW w:w="1190" w:type="dxa"/>
            <w:tcBorders>
              <w:top w:val="nil"/>
              <w:bottom w:val="nil"/>
            </w:tcBorders>
            <w:shd w:val="clear" w:color="auto" w:fill="FFFFFF" w:themeFill="background1"/>
          </w:tcPr>
          <w:p w14:paraId="36B5272E"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747</w:t>
            </w:r>
          </w:p>
        </w:tc>
        <w:tc>
          <w:tcPr>
            <w:tcW w:w="1191" w:type="dxa"/>
            <w:tcBorders>
              <w:top w:val="nil"/>
              <w:bottom w:val="nil"/>
            </w:tcBorders>
            <w:shd w:val="clear" w:color="auto" w:fill="FFFFFF" w:themeFill="background1"/>
          </w:tcPr>
          <w:p w14:paraId="5EACCF79"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776</w:t>
            </w:r>
          </w:p>
        </w:tc>
        <w:tc>
          <w:tcPr>
            <w:tcW w:w="1191" w:type="dxa"/>
            <w:tcBorders>
              <w:top w:val="nil"/>
              <w:bottom w:val="nil"/>
            </w:tcBorders>
            <w:shd w:val="clear" w:color="auto" w:fill="FFFFFF" w:themeFill="background1"/>
          </w:tcPr>
          <w:p w14:paraId="26A044E7"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806</w:t>
            </w:r>
          </w:p>
        </w:tc>
      </w:tr>
      <w:tr w:rsidR="0099795D" w:rsidRPr="00F647C7" w14:paraId="6C3D2114" w14:textId="77777777" w:rsidTr="00C04E58">
        <w:trPr>
          <w:trHeight w:val="212"/>
        </w:trPr>
        <w:tc>
          <w:tcPr>
            <w:tcW w:w="2410" w:type="dxa"/>
            <w:tcBorders>
              <w:top w:val="nil"/>
            </w:tcBorders>
            <w:shd w:val="clear" w:color="auto" w:fill="FFFFFF" w:themeFill="background1"/>
          </w:tcPr>
          <w:p w14:paraId="657DECCA" w14:textId="77777777" w:rsidR="0099795D" w:rsidRPr="00F411CD" w:rsidRDefault="0099795D" w:rsidP="0099795D">
            <w:pPr>
              <w:pStyle w:val="Tabletextboldleft"/>
              <w:spacing w:before="20" w:after="20"/>
              <w:ind w:firstLine="317"/>
              <w:rPr>
                <w:b w:val="0"/>
              </w:rPr>
            </w:pPr>
            <w:r w:rsidRPr="00F411CD">
              <w:rPr>
                <w:b w:val="0"/>
              </w:rPr>
              <w:t>Non-complex</w:t>
            </w:r>
          </w:p>
        </w:tc>
        <w:tc>
          <w:tcPr>
            <w:tcW w:w="1190" w:type="dxa"/>
            <w:tcBorders>
              <w:top w:val="nil"/>
            </w:tcBorders>
            <w:shd w:val="clear" w:color="auto" w:fill="FFFFFF" w:themeFill="background1"/>
          </w:tcPr>
          <w:p w14:paraId="2AF1F167" w14:textId="77777777" w:rsidR="0099795D" w:rsidRPr="00F411CD" w:rsidRDefault="0099795D" w:rsidP="0099795D">
            <w:pPr>
              <w:pStyle w:val="Tabletextboldleft"/>
              <w:spacing w:before="20" w:after="20"/>
              <w:jc w:val="right"/>
              <w:rPr>
                <w:b w:val="0"/>
              </w:rPr>
            </w:pPr>
            <w:r w:rsidRPr="00F411CD">
              <w:rPr>
                <w:b w:val="0"/>
                <w:color w:val="000000"/>
              </w:rPr>
              <w:t>11,</w:t>
            </w:r>
            <w:r>
              <w:rPr>
                <w:b w:val="0"/>
                <w:color w:val="000000"/>
              </w:rPr>
              <w:t>787</w:t>
            </w:r>
          </w:p>
        </w:tc>
        <w:tc>
          <w:tcPr>
            <w:tcW w:w="1191" w:type="dxa"/>
            <w:tcBorders>
              <w:top w:val="nil"/>
            </w:tcBorders>
            <w:shd w:val="clear" w:color="auto" w:fill="FFFFFF" w:themeFill="background1"/>
          </w:tcPr>
          <w:p w14:paraId="1EC6C51A" w14:textId="77777777" w:rsidR="0099795D" w:rsidRPr="00F411CD" w:rsidRDefault="0099795D" w:rsidP="0099795D">
            <w:pPr>
              <w:pStyle w:val="Tabletextboldleft"/>
              <w:spacing w:before="20" w:after="20"/>
              <w:jc w:val="right"/>
              <w:rPr>
                <w:b w:val="0"/>
              </w:rPr>
            </w:pPr>
            <w:r w:rsidRPr="00F411CD">
              <w:rPr>
                <w:b w:val="0"/>
                <w:color w:val="000000"/>
              </w:rPr>
              <w:t>11,</w:t>
            </w:r>
            <w:r>
              <w:rPr>
                <w:b w:val="0"/>
                <w:color w:val="000000"/>
              </w:rPr>
              <w:t>915</w:t>
            </w:r>
          </w:p>
        </w:tc>
        <w:tc>
          <w:tcPr>
            <w:tcW w:w="1190" w:type="dxa"/>
            <w:tcBorders>
              <w:top w:val="nil"/>
            </w:tcBorders>
            <w:shd w:val="clear" w:color="auto" w:fill="FFFFFF" w:themeFill="background1"/>
          </w:tcPr>
          <w:p w14:paraId="4A843144" w14:textId="77777777" w:rsidR="0099795D" w:rsidRPr="00F411CD" w:rsidRDefault="0099795D" w:rsidP="0099795D">
            <w:pPr>
              <w:pStyle w:val="Tabletextboldleft"/>
              <w:spacing w:before="20" w:after="20"/>
              <w:jc w:val="right"/>
              <w:rPr>
                <w:b w:val="0"/>
              </w:rPr>
            </w:pPr>
            <w:r>
              <w:rPr>
                <w:b w:val="0"/>
                <w:color w:val="000000"/>
              </w:rPr>
              <w:t>12,044</w:t>
            </w:r>
          </w:p>
        </w:tc>
        <w:tc>
          <w:tcPr>
            <w:tcW w:w="1191" w:type="dxa"/>
            <w:tcBorders>
              <w:top w:val="nil"/>
            </w:tcBorders>
            <w:shd w:val="clear" w:color="auto" w:fill="FFFFFF" w:themeFill="background1"/>
          </w:tcPr>
          <w:p w14:paraId="4C62C7BB" w14:textId="77777777" w:rsidR="0099795D" w:rsidRPr="00F411CD" w:rsidRDefault="0099795D" w:rsidP="0099795D">
            <w:pPr>
              <w:pStyle w:val="Tabletextboldleft"/>
              <w:spacing w:before="20" w:after="20"/>
              <w:jc w:val="right"/>
              <w:rPr>
                <w:b w:val="0"/>
              </w:rPr>
            </w:pPr>
            <w:r w:rsidRPr="00F411CD">
              <w:rPr>
                <w:b w:val="0"/>
                <w:color w:val="000000"/>
              </w:rPr>
              <w:t>12,</w:t>
            </w:r>
            <w:r>
              <w:rPr>
                <w:b w:val="0"/>
                <w:color w:val="000000"/>
              </w:rPr>
              <w:t>173</w:t>
            </w:r>
          </w:p>
        </w:tc>
        <w:tc>
          <w:tcPr>
            <w:tcW w:w="1191" w:type="dxa"/>
            <w:tcBorders>
              <w:top w:val="nil"/>
            </w:tcBorders>
            <w:shd w:val="clear" w:color="auto" w:fill="FFFFFF" w:themeFill="background1"/>
          </w:tcPr>
          <w:p w14:paraId="04953C76" w14:textId="77777777" w:rsidR="0099795D" w:rsidRPr="00F411CD" w:rsidRDefault="0099795D" w:rsidP="0099795D">
            <w:pPr>
              <w:pStyle w:val="Tabletextboldleft"/>
              <w:spacing w:before="20" w:after="20"/>
              <w:jc w:val="right"/>
              <w:rPr>
                <w:b w:val="0"/>
              </w:rPr>
            </w:pPr>
            <w:r w:rsidRPr="00F411CD">
              <w:rPr>
                <w:b w:val="0"/>
                <w:color w:val="000000"/>
              </w:rPr>
              <w:t>12,</w:t>
            </w:r>
            <w:r>
              <w:rPr>
                <w:b w:val="0"/>
                <w:color w:val="000000"/>
              </w:rPr>
              <w:t>302</w:t>
            </w:r>
          </w:p>
        </w:tc>
      </w:tr>
      <w:tr w:rsidR="0099795D" w:rsidRPr="00F647C7" w14:paraId="424A0B57" w14:textId="77777777" w:rsidTr="00C04E58">
        <w:trPr>
          <w:trHeight w:val="212"/>
        </w:trPr>
        <w:tc>
          <w:tcPr>
            <w:tcW w:w="2410" w:type="dxa"/>
            <w:shd w:val="clear" w:color="auto" w:fill="FFFFFF" w:themeFill="background1"/>
          </w:tcPr>
          <w:p w14:paraId="002AEE89" w14:textId="77777777" w:rsidR="0099795D" w:rsidRPr="00C26CDD" w:rsidRDefault="0099795D" w:rsidP="0099795D">
            <w:pPr>
              <w:pStyle w:val="Tabletextboldleft"/>
              <w:spacing w:before="20" w:after="20"/>
              <w:rPr>
                <w:b w:val="0"/>
                <w:i/>
              </w:rPr>
            </w:pPr>
            <w:r>
              <w:rPr>
                <w:b w:val="0"/>
                <w:i/>
              </w:rPr>
              <w:t>Sub-t</w:t>
            </w:r>
            <w:r w:rsidRPr="00C26CDD">
              <w:rPr>
                <w:b w:val="0"/>
                <w:i/>
              </w:rPr>
              <w:t>otal (excluding gynaecological cytology)</w:t>
            </w:r>
          </w:p>
        </w:tc>
        <w:tc>
          <w:tcPr>
            <w:tcW w:w="1190" w:type="dxa"/>
            <w:shd w:val="clear" w:color="auto" w:fill="FFFFFF" w:themeFill="background1"/>
          </w:tcPr>
          <w:p w14:paraId="0A0DB166" w14:textId="77777777" w:rsidR="0099795D" w:rsidRPr="00C26CDD" w:rsidRDefault="0099795D" w:rsidP="0099795D">
            <w:pPr>
              <w:pStyle w:val="Tabletextboldleft"/>
              <w:spacing w:before="20" w:after="20"/>
              <w:jc w:val="right"/>
              <w:rPr>
                <w:b w:val="0"/>
                <w:i/>
              </w:rPr>
            </w:pPr>
            <w:r w:rsidRPr="00C26CDD">
              <w:rPr>
                <w:b w:val="0"/>
                <w:i/>
                <w:color w:val="000000"/>
              </w:rPr>
              <w:t>34,</w:t>
            </w:r>
            <w:r>
              <w:rPr>
                <w:b w:val="0"/>
                <w:i/>
                <w:color w:val="000000"/>
              </w:rPr>
              <w:t>814</w:t>
            </w:r>
          </w:p>
        </w:tc>
        <w:tc>
          <w:tcPr>
            <w:tcW w:w="1191" w:type="dxa"/>
            <w:shd w:val="clear" w:color="auto" w:fill="FFFFFF" w:themeFill="background1"/>
          </w:tcPr>
          <w:p w14:paraId="4A5B4F4D" w14:textId="77777777" w:rsidR="0099795D" w:rsidRPr="00C26CDD" w:rsidRDefault="0099795D" w:rsidP="0099795D">
            <w:pPr>
              <w:pStyle w:val="Tabletextboldleft"/>
              <w:spacing w:before="20" w:after="20"/>
              <w:jc w:val="right"/>
              <w:rPr>
                <w:b w:val="0"/>
                <w:i/>
              </w:rPr>
            </w:pPr>
            <w:r w:rsidRPr="00C26CDD">
              <w:rPr>
                <w:b w:val="0"/>
                <w:i/>
                <w:color w:val="000000"/>
              </w:rPr>
              <w:t>36,0</w:t>
            </w:r>
            <w:r>
              <w:rPr>
                <w:b w:val="0"/>
                <w:i/>
                <w:color w:val="000000"/>
              </w:rPr>
              <w:t>6</w:t>
            </w:r>
            <w:r w:rsidRPr="00C26CDD">
              <w:rPr>
                <w:b w:val="0"/>
                <w:i/>
                <w:color w:val="000000"/>
              </w:rPr>
              <w:t>2</w:t>
            </w:r>
          </w:p>
        </w:tc>
        <w:tc>
          <w:tcPr>
            <w:tcW w:w="1190" w:type="dxa"/>
            <w:shd w:val="clear" w:color="auto" w:fill="FFFFFF" w:themeFill="background1"/>
          </w:tcPr>
          <w:p w14:paraId="2BFE1C80" w14:textId="77777777" w:rsidR="0099795D" w:rsidRPr="00C26CDD" w:rsidRDefault="0099795D" w:rsidP="0099795D">
            <w:pPr>
              <w:pStyle w:val="Tabletextboldleft"/>
              <w:spacing w:before="20" w:after="20"/>
              <w:jc w:val="right"/>
              <w:rPr>
                <w:b w:val="0"/>
                <w:i/>
              </w:rPr>
            </w:pPr>
            <w:r w:rsidRPr="00C26CDD">
              <w:rPr>
                <w:b w:val="0"/>
                <w:i/>
                <w:color w:val="000000"/>
              </w:rPr>
              <w:t>37,</w:t>
            </w:r>
            <w:r>
              <w:rPr>
                <w:b w:val="0"/>
                <w:i/>
                <w:color w:val="000000"/>
              </w:rPr>
              <w:t>310</w:t>
            </w:r>
          </w:p>
        </w:tc>
        <w:tc>
          <w:tcPr>
            <w:tcW w:w="1191" w:type="dxa"/>
            <w:shd w:val="clear" w:color="auto" w:fill="FFFFFF" w:themeFill="background1"/>
          </w:tcPr>
          <w:p w14:paraId="4E981565" w14:textId="77777777" w:rsidR="0099795D" w:rsidRPr="00C26CDD" w:rsidRDefault="0099795D" w:rsidP="0099795D">
            <w:pPr>
              <w:pStyle w:val="Tabletextboldleft"/>
              <w:spacing w:before="20" w:after="20"/>
              <w:jc w:val="right"/>
              <w:rPr>
                <w:b w:val="0"/>
                <w:i/>
              </w:rPr>
            </w:pPr>
            <w:r w:rsidRPr="00C26CDD">
              <w:rPr>
                <w:b w:val="0"/>
                <w:i/>
                <w:color w:val="000000"/>
              </w:rPr>
              <w:t>38,5</w:t>
            </w:r>
            <w:r>
              <w:rPr>
                <w:b w:val="0"/>
                <w:i/>
                <w:color w:val="000000"/>
              </w:rPr>
              <w:t>58</w:t>
            </w:r>
          </w:p>
        </w:tc>
        <w:tc>
          <w:tcPr>
            <w:tcW w:w="1191" w:type="dxa"/>
            <w:shd w:val="clear" w:color="auto" w:fill="FFFFFF" w:themeFill="background1"/>
          </w:tcPr>
          <w:p w14:paraId="3B7994B1" w14:textId="77777777" w:rsidR="0099795D" w:rsidRPr="00C26CDD" w:rsidRDefault="0099795D" w:rsidP="0099795D">
            <w:pPr>
              <w:pStyle w:val="Tabletextboldleft"/>
              <w:spacing w:before="20" w:after="20"/>
              <w:jc w:val="right"/>
              <w:rPr>
                <w:b w:val="0"/>
                <w:i/>
              </w:rPr>
            </w:pPr>
            <w:r w:rsidRPr="00C26CDD">
              <w:rPr>
                <w:b w:val="0"/>
                <w:i/>
                <w:color w:val="000000"/>
              </w:rPr>
              <w:t>39,</w:t>
            </w:r>
            <w:r>
              <w:rPr>
                <w:b w:val="0"/>
                <w:i/>
                <w:color w:val="000000"/>
              </w:rPr>
              <w:t>807</w:t>
            </w:r>
          </w:p>
        </w:tc>
      </w:tr>
      <w:tr w:rsidR="0099795D" w:rsidRPr="00F647C7" w14:paraId="73EA8AAE" w14:textId="77777777" w:rsidTr="00C04E58">
        <w:trPr>
          <w:trHeight w:val="212"/>
        </w:trPr>
        <w:tc>
          <w:tcPr>
            <w:tcW w:w="2410" w:type="dxa"/>
            <w:shd w:val="clear" w:color="auto" w:fill="FFFFFF" w:themeFill="background1"/>
          </w:tcPr>
          <w:p w14:paraId="2DA1D58F" w14:textId="77777777" w:rsidR="0099795D" w:rsidRPr="00C26CDD" w:rsidRDefault="0099795D" w:rsidP="0099795D">
            <w:pPr>
              <w:pStyle w:val="Tabletextboldleft"/>
              <w:spacing w:before="20" w:after="20"/>
              <w:rPr>
                <w:b w:val="0"/>
                <w:i/>
              </w:rPr>
            </w:pPr>
            <w:r>
              <w:rPr>
                <w:b w:val="0"/>
                <w:i/>
              </w:rPr>
              <w:t>Sub-t</w:t>
            </w:r>
            <w:r w:rsidRPr="00C26CDD">
              <w:rPr>
                <w:b w:val="0"/>
                <w:i/>
              </w:rPr>
              <w:t>otal (including all cytology)</w:t>
            </w:r>
          </w:p>
        </w:tc>
        <w:tc>
          <w:tcPr>
            <w:tcW w:w="1190" w:type="dxa"/>
            <w:shd w:val="clear" w:color="auto" w:fill="FFFFFF" w:themeFill="background1"/>
          </w:tcPr>
          <w:p w14:paraId="348A9755" w14:textId="77777777" w:rsidR="0099795D" w:rsidRPr="00C26CDD" w:rsidRDefault="0099795D" w:rsidP="0099795D">
            <w:pPr>
              <w:pStyle w:val="Tabletextboldleft"/>
              <w:spacing w:before="20" w:after="20"/>
              <w:jc w:val="right"/>
              <w:rPr>
                <w:b w:val="0"/>
                <w:i/>
              </w:rPr>
            </w:pPr>
            <w:r w:rsidRPr="00C26CDD">
              <w:rPr>
                <w:b w:val="0"/>
                <w:i/>
                <w:color w:val="000000"/>
              </w:rPr>
              <w:t>47,</w:t>
            </w:r>
            <w:r>
              <w:rPr>
                <w:b w:val="0"/>
                <w:i/>
                <w:color w:val="000000"/>
              </w:rPr>
              <w:t>469</w:t>
            </w:r>
          </w:p>
        </w:tc>
        <w:tc>
          <w:tcPr>
            <w:tcW w:w="1191" w:type="dxa"/>
            <w:shd w:val="clear" w:color="auto" w:fill="FFFFFF" w:themeFill="background1"/>
          </w:tcPr>
          <w:p w14:paraId="43DC5D30" w14:textId="77777777" w:rsidR="0099795D" w:rsidRPr="00C26CDD" w:rsidRDefault="0099795D" w:rsidP="0099795D">
            <w:pPr>
              <w:pStyle w:val="Tabletextboldleft"/>
              <w:spacing w:before="20" w:after="20"/>
              <w:jc w:val="right"/>
              <w:rPr>
                <w:b w:val="0"/>
                <w:i/>
              </w:rPr>
            </w:pPr>
            <w:r w:rsidRPr="00C26CDD">
              <w:rPr>
                <w:b w:val="0"/>
                <w:i/>
                <w:color w:val="000000"/>
              </w:rPr>
              <w:t>48,</w:t>
            </w:r>
            <w:r>
              <w:rPr>
                <w:b w:val="0"/>
                <w:i/>
                <w:color w:val="000000"/>
              </w:rPr>
              <w:t>822</w:t>
            </w:r>
          </w:p>
        </w:tc>
        <w:tc>
          <w:tcPr>
            <w:tcW w:w="1190" w:type="dxa"/>
            <w:shd w:val="clear" w:color="auto" w:fill="FFFFFF" w:themeFill="background1"/>
          </w:tcPr>
          <w:p w14:paraId="77EFD4F3" w14:textId="77777777" w:rsidR="0099795D" w:rsidRPr="00C26CDD" w:rsidRDefault="0099795D" w:rsidP="0099795D">
            <w:pPr>
              <w:pStyle w:val="Tabletextboldleft"/>
              <w:spacing w:before="20" w:after="20"/>
              <w:jc w:val="right"/>
              <w:rPr>
                <w:b w:val="0"/>
                <w:i/>
              </w:rPr>
            </w:pPr>
            <w:r w:rsidRPr="00C26CDD">
              <w:rPr>
                <w:b w:val="0"/>
                <w:i/>
                <w:color w:val="000000"/>
              </w:rPr>
              <w:t>50,</w:t>
            </w:r>
            <w:r>
              <w:rPr>
                <w:b w:val="0"/>
                <w:i/>
                <w:color w:val="000000"/>
              </w:rPr>
              <w:t>176</w:t>
            </w:r>
          </w:p>
        </w:tc>
        <w:tc>
          <w:tcPr>
            <w:tcW w:w="1191" w:type="dxa"/>
            <w:shd w:val="clear" w:color="auto" w:fill="FFFFFF" w:themeFill="background1"/>
          </w:tcPr>
          <w:p w14:paraId="46C9584D" w14:textId="77777777" w:rsidR="0099795D" w:rsidRPr="00C26CDD" w:rsidRDefault="0099795D" w:rsidP="0099795D">
            <w:pPr>
              <w:pStyle w:val="Tabletextboldleft"/>
              <w:spacing w:before="20" w:after="20"/>
              <w:jc w:val="right"/>
              <w:rPr>
                <w:b w:val="0"/>
                <w:i/>
              </w:rPr>
            </w:pPr>
            <w:r w:rsidRPr="00C26CDD">
              <w:rPr>
                <w:b w:val="0"/>
                <w:i/>
                <w:color w:val="000000"/>
              </w:rPr>
              <w:t>51,</w:t>
            </w:r>
            <w:r>
              <w:rPr>
                <w:b w:val="0"/>
                <w:i/>
                <w:color w:val="000000"/>
              </w:rPr>
              <w:t>530</w:t>
            </w:r>
          </w:p>
        </w:tc>
        <w:tc>
          <w:tcPr>
            <w:tcW w:w="1191" w:type="dxa"/>
            <w:shd w:val="clear" w:color="auto" w:fill="FFFFFF" w:themeFill="background1"/>
          </w:tcPr>
          <w:p w14:paraId="354D5CB6" w14:textId="77777777" w:rsidR="0099795D" w:rsidRPr="00C26CDD" w:rsidRDefault="0099795D" w:rsidP="0099795D">
            <w:pPr>
              <w:pStyle w:val="Tabletextboldleft"/>
              <w:spacing w:before="20" w:after="20"/>
              <w:jc w:val="right"/>
              <w:rPr>
                <w:b w:val="0"/>
                <w:i/>
              </w:rPr>
            </w:pPr>
            <w:r w:rsidRPr="00C26CDD">
              <w:rPr>
                <w:b w:val="0"/>
                <w:i/>
                <w:color w:val="000000"/>
              </w:rPr>
              <w:t>52,</w:t>
            </w:r>
            <w:r>
              <w:rPr>
                <w:b w:val="0"/>
                <w:i/>
                <w:color w:val="000000"/>
              </w:rPr>
              <w:t>883</w:t>
            </w:r>
          </w:p>
        </w:tc>
      </w:tr>
      <w:tr w:rsidR="0099795D" w:rsidRPr="00F647C7" w14:paraId="2F8074C2" w14:textId="77777777" w:rsidTr="00C04E58">
        <w:trPr>
          <w:trHeight w:val="212"/>
        </w:trPr>
        <w:tc>
          <w:tcPr>
            <w:tcW w:w="2410" w:type="dxa"/>
            <w:tcBorders>
              <w:bottom w:val="single" w:sz="4" w:space="0" w:color="auto"/>
            </w:tcBorders>
            <w:shd w:val="clear" w:color="auto" w:fill="D0CECE" w:themeFill="background2" w:themeFillShade="E6"/>
          </w:tcPr>
          <w:p w14:paraId="07D729E1" w14:textId="77777777" w:rsidR="0099795D" w:rsidRPr="009D63D8" w:rsidRDefault="0099795D" w:rsidP="0099795D">
            <w:pPr>
              <w:pStyle w:val="Tabletextboldleft"/>
              <w:spacing w:before="20" w:after="20"/>
            </w:pPr>
            <w:r w:rsidRPr="009D63D8">
              <w:rPr>
                <w:i/>
              </w:rPr>
              <w:t>Scenario 2</w:t>
            </w:r>
          </w:p>
        </w:tc>
        <w:tc>
          <w:tcPr>
            <w:tcW w:w="1190" w:type="dxa"/>
            <w:tcBorders>
              <w:bottom w:val="single" w:sz="4" w:space="0" w:color="auto"/>
            </w:tcBorders>
            <w:shd w:val="clear" w:color="auto" w:fill="D0CECE" w:themeFill="background2" w:themeFillShade="E6"/>
          </w:tcPr>
          <w:p w14:paraId="646E492B" w14:textId="77777777" w:rsidR="0099795D" w:rsidRPr="00F411CD" w:rsidRDefault="0099795D" w:rsidP="0099795D">
            <w:pPr>
              <w:pStyle w:val="Tabletextboldleft"/>
              <w:spacing w:before="20" w:after="20"/>
              <w:jc w:val="right"/>
              <w:rPr>
                <w:b w:val="0"/>
              </w:rPr>
            </w:pPr>
            <w:r w:rsidRPr="00F411CD">
              <w:rPr>
                <w:b w:val="0"/>
              </w:rPr>
              <w:t>-</w:t>
            </w:r>
          </w:p>
        </w:tc>
        <w:tc>
          <w:tcPr>
            <w:tcW w:w="1191" w:type="dxa"/>
            <w:tcBorders>
              <w:bottom w:val="single" w:sz="4" w:space="0" w:color="auto"/>
            </w:tcBorders>
            <w:shd w:val="clear" w:color="auto" w:fill="D0CECE" w:themeFill="background2" w:themeFillShade="E6"/>
          </w:tcPr>
          <w:p w14:paraId="75F9EBCE" w14:textId="77777777" w:rsidR="0099795D" w:rsidRPr="00F411CD" w:rsidRDefault="0099795D" w:rsidP="0099795D">
            <w:pPr>
              <w:pStyle w:val="Tabletextboldleft"/>
              <w:spacing w:before="20" w:after="20"/>
              <w:jc w:val="right"/>
              <w:rPr>
                <w:b w:val="0"/>
              </w:rPr>
            </w:pPr>
            <w:r w:rsidRPr="00F411CD">
              <w:rPr>
                <w:b w:val="0"/>
              </w:rPr>
              <w:t>-</w:t>
            </w:r>
          </w:p>
        </w:tc>
        <w:tc>
          <w:tcPr>
            <w:tcW w:w="1190" w:type="dxa"/>
            <w:tcBorders>
              <w:bottom w:val="single" w:sz="4" w:space="0" w:color="auto"/>
            </w:tcBorders>
            <w:shd w:val="clear" w:color="auto" w:fill="D0CECE" w:themeFill="background2" w:themeFillShade="E6"/>
          </w:tcPr>
          <w:p w14:paraId="0FD84157" w14:textId="77777777" w:rsidR="0099795D" w:rsidRPr="00F411CD" w:rsidRDefault="0099795D" w:rsidP="0099795D">
            <w:pPr>
              <w:pStyle w:val="Tabletextboldleft"/>
              <w:spacing w:before="20" w:after="20"/>
              <w:jc w:val="right"/>
              <w:rPr>
                <w:b w:val="0"/>
              </w:rPr>
            </w:pPr>
            <w:r w:rsidRPr="00F411CD">
              <w:rPr>
                <w:b w:val="0"/>
              </w:rPr>
              <w:t>-</w:t>
            </w:r>
          </w:p>
        </w:tc>
        <w:tc>
          <w:tcPr>
            <w:tcW w:w="1191" w:type="dxa"/>
            <w:tcBorders>
              <w:bottom w:val="single" w:sz="4" w:space="0" w:color="auto"/>
            </w:tcBorders>
            <w:shd w:val="clear" w:color="auto" w:fill="D0CECE" w:themeFill="background2" w:themeFillShade="E6"/>
          </w:tcPr>
          <w:p w14:paraId="764F51B0" w14:textId="77777777" w:rsidR="0099795D" w:rsidRPr="00F411CD" w:rsidRDefault="0099795D" w:rsidP="0099795D">
            <w:pPr>
              <w:pStyle w:val="Tabletextboldleft"/>
              <w:spacing w:before="20" w:after="20"/>
              <w:jc w:val="right"/>
              <w:rPr>
                <w:b w:val="0"/>
              </w:rPr>
            </w:pPr>
            <w:r w:rsidRPr="00F411CD">
              <w:rPr>
                <w:b w:val="0"/>
              </w:rPr>
              <w:t>-</w:t>
            </w:r>
          </w:p>
        </w:tc>
        <w:tc>
          <w:tcPr>
            <w:tcW w:w="1191" w:type="dxa"/>
            <w:tcBorders>
              <w:bottom w:val="single" w:sz="4" w:space="0" w:color="auto"/>
            </w:tcBorders>
            <w:shd w:val="clear" w:color="auto" w:fill="D0CECE" w:themeFill="background2" w:themeFillShade="E6"/>
          </w:tcPr>
          <w:p w14:paraId="5BFDB7C9" w14:textId="77777777" w:rsidR="0099795D" w:rsidRPr="00F411CD" w:rsidRDefault="0099795D" w:rsidP="0099795D">
            <w:pPr>
              <w:pStyle w:val="Tabletextboldleft"/>
              <w:spacing w:before="20" w:after="20"/>
              <w:jc w:val="right"/>
              <w:rPr>
                <w:b w:val="0"/>
              </w:rPr>
            </w:pPr>
            <w:r w:rsidRPr="00F411CD">
              <w:rPr>
                <w:b w:val="0"/>
              </w:rPr>
              <w:t>-</w:t>
            </w:r>
          </w:p>
        </w:tc>
      </w:tr>
      <w:tr w:rsidR="0099795D" w:rsidRPr="00F647C7" w14:paraId="189A64C6" w14:textId="77777777" w:rsidTr="00C04E58">
        <w:trPr>
          <w:trHeight w:val="212"/>
        </w:trPr>
        <w:tc>
          <w:tcPr>
            <w:tcW w:w="2410" w:type="dxa"/>
            <w:tcBorders>
              <w:bottom w:val="nil"/>
            </w:tcBorders>
            <w:shd w:val="clear" w:color="auto" w:fill="FFFFFF" w:themeFill="background1"/>
          </w:tcPr>
          <w:p w14:paraId="6E0C0F0A" w14:textId="77777777" w:rsidR="0099795D" w:rsidRPr="00F411CD" w:rsidRDefault="0099795D" w:rsidP="0099795D">
            <w:pPr>
              <w:pStyle w:val="Tabletextboldleft"/>
              <w:spacing w:before="20" w:after="20"/>
              <w:rPr>
                <w:b w:val="0"/>
              </w:rPr>
            </w:pPr>
            <w:r w:rsidRPr="00F411CD">
              <w:rPr>
                <w:b w:val="0"/>
              </w:rPr>
              <w:t>Tissue pathology</w:t>
            </w:r>
            <w:r w:rsidRPr="00F411CD">
              <w:rPr>
                <w:b w:val="0"/>
                <w:vertAlign w:val="superscript"/>
              </w:rPr>
              <w:t>a</w:t>
            </w:r>
          </w:p>
        </w:tc>
        <w:tc>
          <w:tcPr>
            <w:tcW w:w="1190" w:type="dxa"/>
            <w:tcBorders>
              <w:bottom w:val="nil"/>
            </w:tcBorders>
            <w:shd w:val="clear" w:color="auto" w:fill="FFFFFF" w:themeFill="background1"/>
          </w:tcPr>
          <w:p w14:paraId="5FA9E74B" w14:textId="77777777" w:rsidR="0099795D" w:rsidRPr="00F411CD" w:rsidRDefault="0099795D" w:rsidP="0099795D">
            <w:pPr>
              <w:pStyle w:val="Tabletextboldleft"/>
              <w:spacing w:before="20" w:after="20"/>
              <w:jc w:val="right"/>
              <w:rPr>
                <w:b w:val="0"/>
              </w:rPr>
            </w:pPr>
            <w:r w:rsidRPr="00F411CD">
              <w:rPr>
                <w:b w:val="0"/>
                <w:color w:val="000000"/>
              </w:rPr>
              <w:t>11,368</w:t>
            </w:r>
          </w:p>
        </w:tc>
        <w:tc>
          <w:tcPr>
            <w:tcW w:w="1191" w:type="dxa"/>
            <w:tcBorders>
              <w:bottom w:val="nil"/>
            </w:tcBorders>
            <w:shd w:val="clear" w:color="auto" w:fill="FFFFFF" w:themeFill="background1"/>
          </w:tcPr>
          <w:p w14:paraId="141B2168" w14:textId="77777777" w:rsidR="0099795D" w:rsidRPr="00F411CD" w:rsidRDefault="0099795D" w:rsidP="0099795D">
            <w:pPr>
              <w:pStyle w:val="Tabletextboldleft"/>
              <w:spacing w:before="20" w:after="20"/>
              <w:jc w:val="right"/>
              <w:rPr>
                <w:b w:val="0"/>
              </w:rPr>
            </w:pPr>
            <w:r w:rsidRPr="00F411CD">
              <w:rPr>
                <w:b w:val="0"/>
                <w:color w:val="000000"/>
              </w:rPr>
              <w:t>11,780</w:t>
            </w:r>
          </w:p>
        </w:tc>
        <w:tc>
          <w:tcPr>
            <w:tcW w:w="1190" w:type="dxa"/>
            <w:tcBorders>
              <w:bottom w:val="nil"/>
            </w:tcBorders>
            <w:shd w:val="clear" w:color="auto" w:fill="FFFFFF" w:themeFill="background1"/>
          </w:tcPr>
          <w:p w14:paraId="6FDD619A" w14:textId="77777777" w:rsidR="0099795D" w:rsidRPr="00F411CD" w:rsidRDefault="0099795D" w:rsidP="0099795D">
            <w:pPr>
              <w:pStyle w:val="Tabletextboldleft"/>
              <w:spacing w:before="20" w:after="20"/>
              <w:jc w:val="right"/>
              <w:rPr>
                <w:b w:val="0"/>
              </w:rPr>
            </w:pPr>
            <w:r w:rsidRPr="00F411CD">
              <w:rPr>
                <w:b w:val="0"/>
                <w:color w:val="000000"/>
              </w:rPr>
              <w:t>12,191</w:t>
            </w:r>
          </w:p>
        </w:tc>
        <w:tc>
          <w:tcPr>
            <w:tcW w:w="1191" w:type="dxa"/>
            <w:tcBorders>
              <w:bottom w:val="nil"/>
            </w:tcBorders>
            <w:shd w:val="clear" w:color="auto" w:fill="FFFFFF" w:themeFill="background1"/>
          </w:tcPr>
          <w:p w14:paraId="1AF65472" w14:textId="77777777" w:rsidR="0099795D" w:rsidRPr="00F411CD" w:rsidRDefault="0099795D" w:rsidP="0099795D">
            <w:pPr>
              <w:pStyle w:val="Tabletextboldleft"/>
              <w:spacing w:before="20" w:after="20"/>
              <w:jc w:val="right"/>
              <w:rPr>
                <w:b w:val="0"/>
              </w:rPr>
            </w:pPr>
            <w:r w:rsidRPr="00F411CD">
              <w:rPr>
                <w:b w:val="0"/>
                <w:color w:val="000000"/>
              </w:rPr>
              <w:t>12,603</w:t>
            </w:r>
          </w:p>
        </w:tc>
        <w:tc>
          <w:tcPr>
            <w:tcW w:w="1191" w:type="dxa"/>
            <w:tcBorders>
              <w:bottom w:val="nil"/>
            </w:tcBorders>
            <w:shd w:val="clear" w:color="auto" w:fill="FFFFFF" w:themeFill="background1"/>
          </w:tcPr>
          <w:p w14:paraId="77126ADC" w14:textId="77777777" w:rsidR="0099795D" w:rsidRPr="00F411CD" w:rsidRDefault="0099795D" w:rsidP="0099795D">
            <w:pPr>
              <w:pStyle w:val="Tabletextboldleft"/>
              <w:spacing w:before="20" w:after="20"/>
              <w:jc w:val="right"/>
              <w:rPr>
                <w:b w:val="0"/>
              </w:rPr>
            </w:pPr>
            <w:r w:rsidRPr="00F411CD">
              <w:rPr>
                <w:b w:val="0"/>
                <w:color w:val="000000"/>
              </w:rPr>
              <w:t>13,015</w:t>
            </w:r>
          </w:p>
        </w:tc>
      </w:tr>
      <w:tr w:rsidR="0099795D" w:rsidRPr="00F647C7" w14:paraId="2D43BDFF" w14:textId="77777777" w:rsidTr="00C04E58">
        <w:trPr>
          <w:trHeight w:val="212"/>
        </w:trPr>
        <w:tc>
          <w:tcPr>
            <w:tcW w:w="2410" w:type="dxa"/>
            <w:tcBorders>
              <w:top w:val="nil"/>
              <w:bottom w:val="nil"/>
            </w:tcBorders>
            <w:shd w:val="clear" w:color="auto" w:fill="FFFFFF" w:themeFill="background1"/>
          </w:tcPr>
          <w:p w14:paraId="7618B44D" w14:textId="77777777" w:rsidR="0099795D" w:rsidRPr="00F411CD" w:rsidRDefault="0099795D" w:rsidP="0099795D">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tcPr>
          <w:p w14:paraId="2CC9ECE7" w14:textId="77777777" w:rsidR="0099795D" w:rsidRPr="00F411CD" w:rsidRDefault="0099795D" w:rsidP="0099795D">
            <w:pPr>
              <w:pStyle w:val="Tabletextboldleft"/>
              <w:spacing w:before="20" w:after="20"/>
              <w:jc w:val="right"/>
              <w:rPr>
                <w:b w:val="0"/>
              </w:rPr>
            </w:pPr>
            <w:r w:rsidRPr="00F411CD">
              <w:rPr>
                <w:b w:val="0"/>
                <w:color w:val="000000"/>
              </w:rPr>
              <w:t>3,410</w:t>
            </w:r>
          </w:p>
        </w:tc>
        <w:tc>
          <w:tcPr>
            <w:tcW w:w="1191" w:type="dxa"/>
            <w:tcBorders>
              <w:top w:val="nil"/>
              <w:bottom w:val="nil"/>
            </w:tcBorders>
            <w:shd w:val="clear" w:color="auto" w:fill="FFFFFF" w:themeFill="background1"/>
          </w:tcPr>
          <w:p w14:paraId="5992285E" w14:textId="77777777" w:rsidR="0099795D" w:rsidRPr="00F411CD" w:rsidRDefault="0099795D" w:rsidP="0099795D">
            <w:pPr>
              <w:pStyle w:val="Tabletextboldleft"/>
              <w:spacing w:before="20" w:after="20"/>
              <w:jc w:val="right"/>
              <w:rPr>
                <w:b w:val="0"/>
              </w:rPr>
            </w:pPr>
            <w:r w:rsidRPr="00F411CD">
              <w:rPr>
                <w:b w:val="0"/>
                <w:color w:val="000000"/>
              </w:rPr>
              <w:t>3,534</w:t>
            </w:r>
          </w:p>
        </w:tc>
        <w:tc>
          <w:tcPr>
            <w:tcW w:w="1190" w:type="dxa"/>
            <w:tcBorders>
              <w:top w:val="nil"/>
              <w:bottom w:val="nil"/>
            </w:tcBorders>
            <w:shd w:val="clear" w:color="auto" w:fill="FFFFFF" w:themeFill="background1"/>
          </w:tcPr>
          <w:p w14:paraId="57237ECE" w14:textId="77777777" w:rsidR="0099795D" w:rsidRPr="00F411CD" w:rsidRDefault="0099795D" w:rsidP="0099795D">
            <w:pPr>
              <w:pStyle w:val="Tabletextboldleft"/>
              <w:spacing w:before="20" w:after="20"/>
              <w:jc w:val="right"/>
              <w:rPr>
                <w:b w:val="0"/>
              </w:rPr>
            </w:pPr>
            <w:r w:rsidRPr="00F411CD">
              <w:rPr>
                <w:b w:val="0"/>
                <w:color w:val="000000"/>
              </w:rPr>
              <w:t>3,657</w:t>
            </w:r>
          </w:p>
        </w:tc>
        <w:tc>
          <w:tcPr>
            <w:tcW w:w="1191" w:type="dxa"/>
            <w:tcBorders>
              <w:top w:val="nil"/>
              <w:bottom w:val="nil"/>
            </w:tcBorders>
            <w:shd w:val="clear" w:color="auto" w:fill="FFFFFF" w:themeFill="background1"/>
          </w:tcPr>
          <w:p w14:paraId="07C48AD1" w14:textId="77777777" w:rsidR="0099795D" w:rsidRPr="00F411CD" w:rsidRDefault="0099795D" w:rsidP="0099795D">
            <w:pPr>
              <w:pStyle w:val="Tabletextboldleft"/>
              <w:spacing w:before="20" w:after="20"/>
              <w:jc w:val="right"/>
              <w:rPr>
                <w:b w:val="0"/>
              </w:rPr>
            </w:pPr>
            <w:r w:rsidRPr="00F411CD">
              <w:rPr>
                <w:b w:val="0"/>
                <w:color w:val="000000"/>
              </w:rPr>
              <w:t>3,781</w:t>
            </w:r>
          </w:p>
        </w:tc>
        <w:tc>
          <w:tcPr>
            <w:tcW w:w="1191" w:type="dxa"/>
            <w:tcBorders>
              <w:top w:val="nil"/>
              <w:bottom w:val="nil"/>
            </w:tcBorders>
            <w:shd w:val="clear" w:color="auto" w:fill="FFFFFF" w:themeFill="background1"/>
          </w:tcPr>
          <w:p w14:paraId="1A0E2F92" w14:textId="77777777" w:rsidR="0099795D" w:rsidRPr="00F411CD" w:rsidRDefault="0099795D" w:rsidP="0099795D">
            <w:pPr>
              <w:pStyle w:val="Tabletextboldleft"/>
              <w:spacing w:before="20" w:after="20"/>
              <w:jc w:val="right"/>
              <w:rPr>
                <w:b w:val="0"/>
              </w:rPr>
            </w:pPr>
            <w:r w:rsidRPr="00F411CD">
              <w:rPr>
                <w:b w:val="0"/>
                <w:color w:val="000000"/>
              </w:rPr>
              <w:t>3,905</w:t>
            </w:r>
          </w:p>
        </w:tc>
      </w:tr>
      <w:tr w:rsidR="0099795D" w:rsidRPr="00F647C7" w14:paraId="4D8D4C2A" w14:textId="77777777" w:rsidTr="00C04E58">
        <w:trPr>
          <w:trHeight w:val="212"/>
        </w:trPr>
        <w:tc>
          <w:tcPr>
            <w:tcW w:w="2410" w:type="dxa"/>
            <w:tcBorders>
              <w:top w:val="nil"/>
              <w:bottom w:val="single" w:sz="4" w:space="0" w:color="auto"/>
            </w:tcBorders>
            <w:shd w:val="clear" w:color="auto" w:fill="FFFFFF" w:themeFill="background1"/>
          </w:tcPr>
          <w:p w14:paraId="1ADC9DD4" w14:textId="77777777" w:rsidR="0099795D" w:rsidRPr="00F411CD" w:rsidRDefault="0099795D" w:rsidP="0099795D">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shd w:val="clear" w:color="auto" w:fill="FFFFFF" w:themeFill="background1"/>
          </w:tcPr>
          <w:p w14:paraId="1C9F9EB7" w14:textId="77777777" w:rsidR="0099795D" w:rsidRPr="00F411CD" w:rsidRDefault="0099795D" w:rsidP="0099795D">
            <w:pPr>
              <w:pStyle w:val="Tabletextboldleft"/>
              <w:spacing w:before="20" w:after="20"/>
              <w:jc w:val="right"/>
              <w:rPr>
                <w:b w:val="0"/>
              </w:rPr>
            </w:pPr>
            <w:r w:rsidRPr="00F411CD">
              <w:rPr>
                <w:b w:val="0"/>
                <w:color w:val="000000"/>
              </w:rPr>
              <w:t>7,957</w:t>
            </w:r>
          </w:p>
        </w:tc>
        <w:tc>
          <w:tcPr>
            <w:tcW w:w="1191" w:type="dxa"/>
            <w:tcBorders>
              <w:top w:val="nil"/>
              <w:bottom w:val="single" w:sz="4" w:space="0" w:color="auto"/>
            </w:tcBorders>
            <w:shd w:val="clear" w:color="auto" w:fill="FFFFFF" w:themeFill="background1"/>
          </w:tcPr>
          <w:p w14:paraId="32989E02" w14:textId="77777777" w:rsidR="0099795D" w:rsidRPr="00F411CD" w:rsidRDefault="0099795D" w:rsidP="0099795D">
            <w:pPr>
              <w:pStyle w:val="Tabletextboldleft"/>
              <w:spacing w:before="20" w:after="20"/>
              <w:jc w:val="right"/>
              <w:rPr>
                <w:b w:val="0"/>
              </w:rPr>
            </w:pPr>
            <w:r w:rsidRPr="00F411CD">
              <w:rPr>
                <w:b w:val="0"/>
                <w:color w:val="000000"/>
              </w:rPr>
              <w:t>8,246</w:t>
            </w:r>
          </w:p>
        </w:tc>
        <w:tc>
          <w:tcPr>
            <w:tcW w:w="1190" w:type="dxa"/>
            <w:tcBorders>
              <w:top w:val="nil"/>
              <w:bottom w:val="single" w:sz="4" w:space="0" w:color="auto"/>
            </w:tcBorders>
            <w:shd w:val="clear" w:color="auto" w:fill="FFFFFF" w:themeFill="background1"/>
          </w:tcPr>
          <w:p w14:paraId="23F2902A" w14:textId="77777777" w:rsidR="0099795D" w:rsidRPr="00F411CD" w:rsidRDefault="0099795D" w:rsidP="0099795D">
            <w:pPr>
              <w:pStyle w:val="Tabletextboldleft"/>
              <w:spacing w:before="20" w:after="20"/>
              <w:jc w:val="right"/>
              <w:rPr>
                <w:b w:val="0"/>
              </w:rPr>
            </w:pPr>
            <w:r w:rsidRPr="00F411CD">
              <w:rPr>
                <w:b w:val="0"/>
                <w:color w:val="000000"/>
              </w:rPr>
              <w:t>8,534</w:t>
            </w:r>
          </w:p>
        </w:tc>
        <w:tc>
          <w:tcPr>
            <w:tcW w:w="1191" w:type="dxa"/>
            <w:tcBorders>
              <w:top w:val="nil"/>
              <w:bottom w:val="single" w:sz="4" w:space="0" w:color="auto"/>
            </w:tcBorders>
            <w:shd w:val="clear" w:color="auto" w:fill="FFFFFF" w:themeFill="background1"/>
          </w:tcPr>
          <w:p w14:paraId="2B916224" w14:textId="77777777" w:rsidR="0099795D" w:rsidRPr="00F411CD" w:rsidRDefault="0099795D" w:rsidP="0099795D">
            <w:pPr>
              <w:pStyle w:val="Tabletextboldleft"/>
              <w:spacing w:before="20" w:after="20"/>
              <w:jc w:val="right"/>
              <w:rPr>
                <w:b w:val="0"/>
              </w:rPr>
            </w:pPr>
            <w:r w:rsidRPr="00F411CD">
              <w:rPr>
                <w:b w:val="0"/>
                <w:color w:val="000000"/>
              </w:rPr>
              <w:t>8,822</w:t>
            </w:r>
          </w:p>
        </w:tc>
        <w:tc>
          <w:tcPr>
            <w:tcW w:w="1191" w:type="dxa"/>
            <w:tcBorders>
              <w:top w:val="nil"/>
              <w:bottom w:val="single" w:sz="4" w:space="0" w:color="auto"/>
            </w:tcBorders>
            <w:shd w:val="clear" w:color="auto" w:fill="FFFFFF" w:themeFill="background1"/>
          </w:tcPr>
          <w:p w14:paraId="036ED27A" w14:textId="77777777" w:rsidR="0099795D" w:rsidRPr="00F411CD" w:rsidRDefault="0099795D" w:rsidP="0099795D">
            <w:pPr>
              <w:pStyle w:val="Tabletextboldleft"/>
              <w:spacing w:before="20" w:after="20"/>
              <w:jc w:val="right"/>
              <w:rPr>
                <w:b w:val="0"/>
              </w:rPr>
            </w:pPr>
            <w:r w:rsidRPr="00F411CD">
              <w:rPr>
                <w:b w:val="0"/>
                <w:color w:val="000000"/>
              </w:rPr>
              <w:t>9,111</w:t>
            </w:r>
          </w:p>
        </w:tc>
      </w:tr>
      <w:tr w:rsidR="0099795D" w:rsidRPr="00F647C7" w14:paraId="4D45459A" w14:textId="77777777" w:rsidTr="00C04E58">
        <w:trPr>
          <w:trHeight w:val="212"/>
        </w:trPr>
        <w:tc>
          <w:tcPr>
            <w:tcW w:w="2410" w:type="dxa"/>
            <w:tcBorders>
              <w:bottom w:val="nil"/>
            </w:tcBorders>
            <w:shd w:val="clear" w:color="auto" w:fill="FFFFFF" w:themeFill="background1"/>
          </w:tcPr>
          <w:p w14:paraId="40AFC9CA" w14:textId="77777777" w:rsidR="0099795D" w:rsidRPr="00F411CD" w:rsidRDefault="0099795D" w:rsidP="0099795D">
            <w:pPr>
              <w:pStyle w:val="Tabletextboldleft"/>
              <w:spacing w:before="20" w:after="20"/>
              <w:rPr>
                <w:b w:val="0"/>
              </w:rPr>
            </w:pPr>
            <w:r w:rsidRPr="00F411CD">
              <w:rPr>
                <w:b w:val="0"/>
              </w:rPr>
              <w:t>Non-gynaecological cytology</w:t>
            </w:r>
          </w:p>
        </w:tc>
        <w:tc>
          <w:tcPr>
            <w:tcW w:w="1190" w:type="dxa"/>
            <w:tcBorders>
              <w:bottom w:val="nil"/>
            </w:tcBorders>
            <w:shd w:val="clear" w:color="auto" w:fill="FFFFFF" w:themeFill="background1"/>
          </w:tcPr>
          <w:p w14:paraId="32DD1EC1" w14:textId="77777777" w:rsidR="0099795D" w:rsidRPr="00F411CD" w:rsidRDefault="0099795D" w:rsidP="0099795D">
            <w:pPr>
              <w:pStyle w:val="Tabletextboldleft"/>
              <w:spacing w:before="20" w:after="20"/>
              <w:jc w:val="right"/>
              <w:rPr>
                <w:b w:val="0"/>
              </w:rPr>
            </w:pPr>
            <w:r w:rsidRPr="00F411CD">
              <w:rPr>
                <w:b w:val="0"/>
                <w:color w:val="000000"/>
              </w:rPr>
              <w:t>1,2</w:t>
            </w:r>
            <w:r>
              <w:rPr>
                <w:b w:val="0"/>
                <w:color w:val="000000"/>
              </w:rPr>
              <w:t>39</w:t>
            </w:r>
          </w:p>
        </w:tc>
        <w:tc>
          <w:tcPr>
            <w:tcW w:w="1191" w:type="dxa"/>
            <w:tcBorders>
              <w:bottom w:val="nil"/>
            </w:tcBorders>
            <w:shd w:val="clear" w:color="auto" w:fill="FFFFFF" w:themeFill="background1"/>
          </w:tcPr>
          <w:p w14:paraId="67F199D1" w14:textId="77777777" w:rsidR="0099795D" w:rsidRPr="00F411CD" w:rsidRDefault="0099795D" w:rsidP="0099795D">
            <w:pPr>
              <w:pStyle w:val="Tabletextboldleft"/>
              <w:spacing w:before="20" w:after="20"/>
              <w:jc w:val="right"/>
              <w:rPr>
                <w:b w:val="0"/>
              </w:rPr>
            </w:pPr>
            <w:r w:rsidRPr="00F411CD">
              <w:rPr>
                <w:b w:val="0"/>
                <w:color w:val="000000"/>
              </w:rPr>
              <w:t>1,2</w:t>
            </w:r>
            <w:r>
              <w:rPr>
                <w:b w:val="0"/>
                <w:color w:val="000000"/>
              </w:rPr>
              <w:t>75</w:t>
            </w:r>
          </w:p>
        </w:tc>
        <w:tc>
          <w:tcPr>
            <w:tcW w:w="1190" w:type="dxa"/>
            <w:tcBorders>
              <w:bottom w:val="nil"/>
            </w:tcBorders>
            <w:shd w:val="clear" w:color="auto" w:fill="FFFFFF" w:themeFill="background1"/>
          </w:tcPr>
          <w:p w14:paraId="3AA6E09C" w14:textId="77777777" w:rsidR="0099795D" w:rsidRPr="00F411CD" w:rsidRDefault="0099795D" w:rsidP="0099795D">
            <w:pPr>
              <w:pStyle w:val="Tabletextboldleft"/>
              <w:spacing w:before="20" w:after="20"/>
              <w:jc w:val="right"/>
              <w:rPr>
                <w:b w:val="0"/>
              </w:rPr>
            </w:pPr>
            <w:r w:rsidRPr="00F411CD">
              <w:rPr>
                <w:b w:val="0"/>
                <w:color w:val="000000"/>
              </w:rPr>
              <w:t>1,3</w:t>
            </w:r>
            <w:r>
              <w:rPr>
                <w:b w:val="0"/>
                <w:color w:val="000000"/>
              </w:rPr>
              <w:t>10</w:t>
            </w:r>
          </w:p>
        </w:tc>
        <w:tc>
          <w:tcPr>
            <w:tcW w:w="1191" w:type="dxa"/>
            <w:tcBorders>
              <w:bottom w:val="nil"/>
            </w:tcBorders>
            <w:shd w:val="clear" w:color="auto" w:fill="FFFFFF" w:themeFill="background1"/>
          </w:tcPr>
          <w:p w14:paraId="2F0399EA" w14:textId="77777777" w:rsidR="0099795D" w:rsidRPr="00F411CD" w:rsidRDefault="0099795D" w:rsidP="0099795D">
            <w:pPr>
              <w:pStyle w:val="Tabletextboldleft"/>
              <w:spacing w:before="20" w:after="20"/>
              <w:jc w:val="right"/>
              <w:rPr>
                <w:b w:val="0"/>
              </w:rPr>
            </w:pPr>
            <w:r w:rsidRPr="00F411CD">
              <w:rPr>
                <w:b w:val="0"/>
                <w:color w:val="000000"/>
              </w:rPr>
              <w:t>1,3</w:t>
            </w:r>
            <w:r>
              <w:rPr>
                <w:b w:val="0"/>
                <w:color w:val="000000"/>
              </w:rPr>
              <w:t>46</w:t>
            </w:r>
          </w:p>
        </w:tc>
        <w:tc>
          <w:tcPr>
            <w:tcW w:w="1191" w:type="dxa"/>
            <w:tcBorders>
              <w:bottom w:val="nil"/>
            </w:tcBorders>
            <w:shd w:val="clear" w:color="auto" w:fill="FFFFFF" w:themeFill="background1"/>
          </w:tcPr>
          <w:p w14:paraId="3834664C" w14:textId="77777777" w:rsidR="0099795D" w:rsidRPr="00F411CD" w:rsidRDefault="0099795D" w:rsidP="0099795D">
            <w:pPr>
              <w:pStyle w:val="Tabletextboldleft"/>
              <w:spacing w:before="20" w:after="20"/>
              <w:jc w:val="right"/>
              <w:rPr>
                <w:b w:val="0"/>
              </w:rPr>
            </w:pPr>
            <w:r>
              <w:rPr>
                <w:b w:val="0"/>
                <w:color w:val="000000"/>
              </w:rPr>
              <w:t>1,382</w:t>
            </w:r>
          </w:p>
        </w:tc>
      </w:tr>
      <w:tr w:rsidR="0099795D" w:rsidRPr="00F647C7" w14:paraId="5F421935" w14:textId="77777777" w:rsidTr="00C04E58">
        <w:trPr>
          <w:trHeight w:val="212"/>
        </w:trPr>
        <w:tc>
          <w:tcPr>
            <w:tcW w:w="2410" w:type="dxa"/>
            <w:tcBorders>
              <w:top w:val="nil"/>
              <w:bottom w:val="nil"/>
            </w:tcBorders>
            <w:shd w:val="clear" w:color="auto" w:fill="FFFFFF" w:themeFill="background1"/>
          </w:tcPr>
          <w:p w14:paraId="758C1689" w14:textId="77777777" w:rsidR="0099795D" w:rsidRPr="00F411CD" w:rsidRDefault="0099795D" w:rsidP="0099795D">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tcPr>
          <w:p w14:paraId="1A496DB3"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27</w:t>
            </w:r>
          </w:p>
        </w:tc>
        <w:tc>
          <w:tcPr>
            <w:tcW w:w="1191" w:type="dxa"/>
            <w:tcBorders>
              <w:top w:val="nil"/>
              <w:bottom w:val="nil"/>
            </w:tcBorders>
            <w:shd w:val="clear" w:color="auto" w:fill="FFFFFF" w:themeFill="background1"/>
          </w:tcPr>
          <w:p w14:paraId="0E021D1C"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34</w:t>
            </w:r>
          </w:p>
        </w:tc>
        <w:tc>
          <w:tcPr>
            <w:tcW w:w="1190" w:type="dxa"/>
            <w:tcBorders>
              <w:top w:val="nil"/>
              <w:bottom w:val="nil"/>
            </w:tcBorders>
            <w:shd w:val="clear" w:color="auto" w:fill="FFFFFF" w:themeFill="background1"/>
          </w:tcPr>
          <w:p w14:paraId="02236DAD"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40</w:t>
            </w:r>
          </w:p>
        </w:tc>
        <w:tc>
          <w:tcPr>
            <w:tcW w:w="1191" w:type="dxa"/>
            <w:tcBorders>
              <w:top w:val="nil"/>
              <w:bottom w:val="nil"/>
            </w:tcBorders>
            <w:shd w:val="clear" w:color="auto" w:fill="FFFFFF" w:themeFill="background1"/>
          </w:tcPr>
          <w:p w14:paraId="243349A9"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47</w:t>
            </w:r>
          </w:p>
        </w:tc>
        <w:tc>
          <w:tcPr>
            <w:tcW w:w="1191" w:type="dxa"/>
            <w:tcBorders>
              <w:top w:val="nil"/>
              <w:bottom w:val="nil"/>
            </w:tcBorders>
            <w:shd w:val="clear" w:color="auto" w:fill="FFFFFF" w:themeFill="background1"/>
          </w:tcPr>
          <w:p w14:paraId="5E9D9AA2" w14:textId="77777777" w:rsidR="0099795D" w:rsidRPr="00F411CD" w:rsidRDefault="0099795D" w:rsidP="0099795D">
            <w:pPr>
              <w:pStyle w:val="Tabletextboldleft"/>
              <w:spacing w:before="20" w:after="20"/>
              <w:jc w:val="right"/>
              <w:rPr>
                <w:b w:val="0"/>
              </w:rPr>
            </w:pPr>
            <w:r w:rsidRPr="00F411CD">
              <w:rPr>
                <w:b w:val="0"/>
                <w:color w:val="000000"/>
              </w:rPr>
              <w:t>2</w:t>
            </w:r>
            <w:r>
              <w:rPr>
                <w:b w:val="0"/>
                <w:color w:val="000000"/>
              </w:rPr>
              <w:t>53</w:t>
            </w:r>
          </w:p>
        </w:tc>
      </w:tr>
      <w:tr w:rsidR="0099795D" w:rsidRPr="00F647C7" w14:paraId="41F4303D" w14:textId="77777777" w:rsidTr="00C04E58">
        <w:trPr>
          <w:trHeight w:val="212"/>
        </w:trPr>
        <w:tc>
          <w:tcPr>
            <w:tcW w:w="2410" w:type="dxa"/>
            <w:tcBorders>
              <w:top w:val="nil"/>
              <w:bottom w:val="single" w:sz="4" w:space="0" w:color="auto"/>
            </w:tcBorders>
            <w:shd w:val="clear" w:color="auto" w:fill="FFFFFF" w:themeFill="background1"/>
          </w:tcPr>
          <w:p w14:paraId="05CDF6BA" w14:textId="77777777" w:rsidR="0099795D" w:rsidRPr="00F411CD" w:rsidRDefault="0099795D" w:rsidP="0099795D">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shd w:val="clear" w:color="auto" w:fill="FFFFFF" w:themeFill="background1"/>
          </w:tcPr>
          <w:p w14:paraId="497EE355" w14:textId="77777777" w:rsidR="0099795D" w:rsidRPr="00F411CD" w:rsidRDefault="0099795D" w:rsidP="0099795D">
            <w:pPr>
              <w:pStyle w:val="Tabletextboldleft"/>
              <w:spacing w:before="20" w:after="20"/>
              <w:jc w:val="right"/>
              <w:rPr>
                <w:b w:val="0"/>
              </w:rPr>
            </w:pPr>
            <w:r w:rsidRPr="00F411CD">
              <w:rPr>
                <w:b w:val="0"/>
                <w:color w:val="000000"/>
              </w:rPr>
              <w:t>1,0</w:t>
            </w:r>
            <w:r>
              <w:rPr>
                <w:b w:val="0"/>
                <w:color w:val="000000"/>
              </w:rPr>
              <w:t>12</w:t>
            </w:r>
          </w:p>
        </w:tc>
        <w:tc>
          <w:tcPr>
            <w:tcW w:w="1191" w:type="dxa"/>
            <w:tcBorders>
              <w:top w:val="nil"/>
              <w:bottom w:val="single" w:sz="4" w:space="0" w:color="auto"/>
            </w:tcBorders>
            <w:shd w:val="clear" w:color="auto" w:fill="FFFFFF" w:themeFill="background1"/>
          </w:tcPr>
          <w:p w14:paraId="23E422B3" w14:textId="77777777" w:rsidR="0099795D" w:rsidRPr="00F411CD" w:rsidRDefault="0099795D" w:rsidP="0099795D">
            <w:pPr>
              <w:pStyle w:val="Tabletextboldleft"/>
              <w:spacing w:before="20" w:after="20"/>
              <w:jc w:val="right"/>
              <w:rPr>
                <w:b w:val="0"/>
              </w:rPr>
            </w:pPr>
            <w:r w:rsidRPr="00F411CD">
              <w:rPr>
                <w:b w:val="0"/>
                <w:color w:val="000000"/>
              </w:rPr>
              <w:t>1,0</w:t>
            </w:r>
            <w:r>
              <w:rPr>
                <w:b w:val="0"/>
                <w:color w:val="000000"/>
              </w:rPr>
              <w:t>41</w:t>
            </w:r>
          </w:p>
        </w:tc>
        <w:tc>
          <w:tcPr>
            <w:tcW w:w="1190" w:type="dxa"/>
            <w:tcBorders>
              <w:top w:val="nil"/>
              <w:bottom w:val="single" w:sz="4" w:space="0" w:color="auto"/>
            </w:tcBorders>
            <w:shd w:val="clear" w:color="auto" w:fill="FFFFFF" w:themeFill="background1"/>
          </w:tcPr>
          <w:p w14:paraId="0213F94F" w14:textId="77777777" w:rsidR="0099795D" w:rsidRPr="00F411CD" w:rsidRDefault="0099795D" w:rsidP="0099795D">
            <w:pPr>
              <w:pStyle w:val="Tabletextboldleft"/>
              <w:spacing w:before="20" w:after="20"/>
              <w:jc w:val="right"/>
              <w:rPr>
                <w:b w:val="0"/>
              </w:rPr>
            </w:pPr>
            <w:r w:rsidRPr="00F411CD">
              <w:rPr>
                <w:b w:val="0"/>
                <w:color w:val="000000"/>
              </w:rPr>
              <w:t>1,0</w:t>
            </w:r>
            <w:r>
              <w:rPr>
                <w:b w:val="0"/>
                <w:color w:val="000000"/>
              </w:rPr>
              <w:t>70</w:t>
            </w:r>
          </w:p>
        </w:tc>
        <w:tc>
          <w:tcPr>
            <w:tcW w:w="1191" w:type="dxa"/>
            <w:tcBorders>
              <w:top w:val="nil"/>
              <w:bottom w:val="single" w:sz="4" w:space="0" w:color="auto"/>
            </w:tcBorders>
            <w:shd w:val="clear" w:color="auto" w:fill="FFFFFF" w:themeFill="background1"/>
          </w:tcPr>
          <w:p w14:paraId="534FFBBA" w14:textId="77777777" w:rsidR="0099795D" w:rsidRPr="00F411CD" w:rsidRDefault="0099795D" w:rsidP="0099795D">
            <w:pPr>
              <w:pStyle w:val="Tabletextboldleft"/>
              <w:spacing w:before="20" w:after="20"/>
              <w:jc w:val="right"/>
              <w:rPr>
                <w:b w:val="0"/>
              </w:rPr>
            </w:pPr>
            <w:r w:rsidRPr="00F411CD">
              <w:rPr>
                <w:b w:val="0"/>
                <w:color w:val="000000"/>
              </w:rPr>
              <w:t>1,</w:t>
            </w:r>
            <w:r>
              <w:rPr>
                <w:b w:val="0"/>
                <w:color w:val="000000"/>
              </w:rPr>
              <w:t>100</w:t>
            </w:r>
          </w:p>
        </w:tc>
        <w:tc>
          <w:tcPr>
            <w:tcW w:w="1191" w:type="dxa"/>
            <w:tcBorders>
              <w:top w:val="nil"/>
              <w:bottom w:val="single" w:sz="4" w:space="0" w:color="auto"/>
            </w:tcBorders>
            <w:shd w:val="clear" w:color="auto" w:fill="FFFFFF" w:themeFill="background1"/>
          </w:tcPr>
          <w:p w14:paraId="3E78F8F9" w14:textId="77777777" w:rsidR="0099795D" w:rsidRPr="00F411CD" w:rsidRDefault="0099795D" w:rsidP="0099795D">
            <w:pPr>
              <w:pStyle w:val="Tabletextboldleft"/>
              <w:spacing w:before="20" w:after="20"/>
              <w:jc w:val="right"/>
              <w:rPr>
                <w:b w:val="0"/>
              </w:rPr>
            </w:pPr>
            <w:r w:rsidRPr="00F411CD">
              <w:rPr>
                <w:b w:val="0"/>
                <w:color w:val="000000"/>
              </w:rPr>
              <w:t>1,</w:t>
            </w:r>
            <w:r>
              <w:rPr>
                <w:b w:val="0"/>
                <w:color w:val="000000"/>
              </w:rPr>
              <w:t>129</w:t>
            </w:r>
          </w:p>
        </w:tc>
      </w:tr>
      <w:tr w:rsidR="0099795D" w:rsidRPr="00F647C7" w14:paraId="4BAD472C" w14:textId="77777777" w:rsidTr="00C04E58">
        <w:trPr>
          <w:trHeight w:val="212"/>
        </w:trPr>
        <w:tc>
          <w:tcPr>
            <w:tcW w:w="2410" w:type="dxa"/>
            <w:tcBorders>
              <w:bottom w:val="nil"/>
            </w:tcBorders>
            <w:shd w:val="clear" w:color="auto" w:fill="FFFFFF" w:themeFill="background1"/>
          </w:tcPr>
          <w:p w14:paraId="4FEB6E73" w14:textId="77777777" w:rsidR="0099795D" w:rsidRPr="00F411CD" w:rsidRDefault="0099795D" w:rsidP="0099795D">
            <w:pPr>
              <w:pStyle w:val="Tabletextboldleft"/>
              <w:spacing w:before="20" w:after="20"/>
              <w:rPr>
                <w:b w:val="0"/>
              </w:rPr>
            </w:pPr>
            <w:r w:rsidRPr="00F411CD">
              <w:rPr>
                <w:b w:val="0"/>
              </w:rPr>
              <w:t>All cytology</w:t>
            </w:r>
          </w:p>
        </w:tc>
        <w:tc>
          <w:tcPr>
            <w:tcW w:w="1190" w:type="dxa"/>
            <w:tcBorders>
              <w:bottom w:val="nil"/>
            </w:tcBorders>
            <w:shd w:val="clear" w:color="auto" w:fill="FFFFFF" w:themeFill="background1"/>
            <w:vAlign w:val="bottom"/>
          </w:tcPr>
          <w:p w14:paraId="15F906E6" w14:textId="77777777" w:rsidR="0099795D" w:rsidRPr="00790101" w:rsidRDefault="0099795D" w:rsidP="0099795D">
            <w:pPr>
              <w:pStyle w:val="Tabletextboldleft"/>
              <w:spacing w:before="20" w:after="20"/>
              <w:jc w:val="right"/>
              <w:rPr>
                <w:b w:val="0"/>
                <w:color w:val="000000"/>
              </w:rPr>
            </w:pPr>
            <w:r w:rsidRPr="00790101">
              <w:rPr>
                <w:b w:val="0"/>
                <w:color w:val="000000"/>
              </w:rPr>
              <w:t>9,853</w:t>
            </w:r>
          </w:p>
        </w:tc>
        <w:tc>
          <w:tcPr>
            <w:tcW w:w="1191" w:type="dxa"/>
            <w:tcBorders>
              <w:bottom w:val="nil"/>
            </w:tcBorders>
            <w:shd w:val="clear" w:color="auto" w:fill="FFFFFF" w:themeFill="background1"/>
            <w:vAlign w:val="bottom"/>
          </w:tcPr>
          <w:p w14:paraId="0D8A6639" w14:textId="77777777" w:rsidR="0099795D" w:rsidRPr="00790101" w:rsidRDefault="0099795D" w:rsidP="0099795D">
            <w:pPr>
              <w:pStyle w:val="Tabletextboldleft"/>
              <w:spacing w:before="20" w:after="20"/>
              <w:jc w:val="right"/>
              <w:rPr>
                <w:b w:val="0"/>
                <w:color w:val="000000"/>
              </w:rPr>
            </w:pPr>
            <w:r w:rsidRPr="00790101">
              <w:rPr>
                <w:b w:val="0"/>
                <w:color w:val="000000"/>
              </w:rPr>
              <w:t>9,960</w:t>
            </w:r>
          </w:p>
        </w:tc>
        <w:tc>
          <w:tcPr>
            <w:tcW w:w="1190" w:type="dxa"/>
            <w:tcBorders>
              <w:bottom w:val="nil"/>
            </w:tcBorders>
            <w:shd w:val="clear" w:color="auto" w:fill="FFFFFF" w:themeFill="background1"/>
            <w:vAlign w:val="bottom"/>
          </w:tcPr>
          <w:p w14:paraId="118042D2" w14:textId="77777777" w:rsidR="0099795D" w:rsidRPr="00790101" w:rsidRDefault="0099795D" w:rsidP="0099795D">
            <w:pPr>
              <w:pStyle w:val="Tabletextboldleft"/>
              <w:spacing w:before="20" w:after="20"/>
              <w:jc w:val="right"/>
              <w:rPr>
                <w:b w:val="0"/>
                <w:color w:val="000000"/>
              </w:rPr>
            </w:pPr>
            <w:r w:rsidRPr="00790101">
              <w:rPr>
                <w:b w:val="0"/>
                <w:color w:val="000000"/>
              </w:rPr>
              <w:t>10,068</w:t>
            </w:r>
          </w:p>
        </w:tc>
        <w:tc>
          <w:tcPr>
            <w:tcW w:w="1191" w:type="dxa"/>
            <w:tcBorders>
              <w:bottom w:val="nil"/>
            </w:tcBorders>
            <w:shd w:val="clear" w:color="auto" w:fill="FFFFFF" w:themeFill="background1"/>
            <w:vAlign w:val="bottom"/>
          </w:tcPr>
          <w:p w14:paraId="009028EA" w14:textId="77777777" w:rsidR="0099795D" w:rsidRPr="00790101" w:rsidRDefault="0099795D" w:rsidP="0099795D">
            <w:pPr>
              <w:pStyle w:val="Tabletextboldleft"/>
              <w:spacing w:before="20" w:after="20"/>
              <w:jc w:val="right"/>
              <w:rPr>
                <w:b w:val="0"/>
                <w:color w:val="000000"/>
              </w:rPr>
            </w:pPr>
            <w:r w:rsidRPr="00790101">
              <w:rPr>
                <w:b w:val="0"/>
                <w:color w:val="000000"/>
              </w:rPr>
              <w:t>10,176</w:t>
            </w:r>
          </w:p>
        </w:tc>
        <w:tc>
          <w:tcPr>
            <w:tcW w:w="1191" w:type="dxa"/>
            <w:tcBorders>
              <w:bottom w:val="nil"/>
            </w:tcBorders>
            <w:shd w:val="clear" w:color="auto" w:fill="FFFFFF" w:themeFill="background1"/>
            <w:vAlign w:val="bottom"/>
          </w:tcPr>
          <w:p w14:paraId="357E5C72" w14:textId="77777777" w:rsidR="0099795D" w:rsidRPr="00790101" w:rsidRDefault="0099795D" w:rsidP="0099795D">
            <w:pPr>
              <w:pStyle w:val="Tabletextboldleft"/>
              <w:spacing w:before="20" w:after="20"/>
              <w:jc w:val="right"/>
              <w:rPr>
                <w:b w:val="0"/>
                <w:color w:val="000000"/>
              </w:rPr>
            </w:pPr>
            <w:r w:rsidRPr="00790101">
              <w:rPr>
                <w:b w:val="0"/>
                <w:color w:val="000000"/>
              </w:rPr>
              <w:t>10,283</w:t>
            </w:r>
          </w:p>
        </w:tc>
      </w:tr>
      <w:tr w:rsidR="0099795D" w:rsidRPr="00F647C7" w14:paraId="12CF8922" w14:textId="77777777" w:rsidTr="00C04E58">
        <w:trPr>
          <w:trHeight w:val="212"/>
        </w:trPr>
        <w:tc>
          <w:tcPr>
            <w:tcW w:w="2410" w:type="dxa"/>
            <w:tcBorders>
              <w:top w:val="nil"/>
              <w:bottom w:val="nil"/>
            </w:tcBorders>
            <w:shd w:val="clear" w:color="auto" w:fill="FFFFFF" w:themeFill="background1"/>
          </w:tcPr>
          <w:p w14:paraId="51904C68" w14:textId="77777777" w:rsidR="0099795D" w:rsidRPr="00F411CD" w:rsidRDefault="0099795D" w:rsidP="0099795D">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vAlign w:val="bottom"/>
          </w:tcPr>
          <w:p w14:paraId="27D0216D" w14:textId="77777777" w:rsidR="0099795D" w:rsidRPr="00790101" w:rsidRDefault="0099795D" w:rsidP="0099795D">
            <w:pPr>
              <w:pStyle w:val="Tabletextboldleft"/>
              <w:spacing w:before="20" w:after="20"/>
              <w:jc w:val="right"/>
              <w:rPr>
                <w:b w:val="0"/>
                <w:color w:val="000000"/>
              </w:rPr>
            </w:pPr>
            <w:r w:rsidRPr="00790101">
              <w:rPr>
                <w:b w:val="0"/>
                <w:color w:val="000000"/>
              </w:rPr>
              <w:t>1,806</w:t>
            </w:r>
          </w:p>
        </w:tc>
        <w:tc>
          <w:tcPr>
            <w:tcW w:w="1191" w:type="dxa"/>
            <w:tcBorders>
              <w:top w:val="nil"/>
              <w:bottom w:val="nil"/>
            </w:tcBorders>
            <w:shd w:val="clear" w:color="auto" w:fill="FFFFFF" w:themeFill="background1"/>
            <w:vAlign w:val="bottom"/>
          </w:tcPr>
          <w:p w14:paraId="769F1ECC" w14:textId="77777777" w:rsidR="0099795D" w:rsidRPr="00790101" w:rsidRDefault="0099795D" w:rsidP="0099795D">
            <w:pPr>
              <w:pStyle w:val="Tabletextboldleft"/>
              <w:spacing w:before="20" w:after="20"/>
              <w:jc w:val="right"/>
              <w:rPr>
                <w:b w:val="0"/>
                <w:color w:val="000000"/>
              </w:rPr>
            </w:pPr>
            <w:r w:rsidRPr="00790101">
              <w:rPr>
                <w:b w:val="0"/>
                <w:color w:val="000000"/>
              </w:rPr>
              <w:t>1,826</w:t>
            </w:r>
          </w:p>
        </w:tc>
        <w:tc>
          <w:tcPr>
            <w:tcW w:w="1190" w:type="dxa"/>
            <w:tcBorders>
              <w:top w:val="nil"/>
              <w:bottom w:val="nil"/>
            </w:tcBorders>
            <w:shd w:val="clear" w:color="auto" w:fill="FFFFFF" w:themeFill="background1"/>
            <w:vAlign w:val="bottom"/>
          </w:tcPr>
          <w:p w14:paraId="516D6DE5" w14:textId="77777777" w:rsidR="0099795D" w:rsidRPr="00790101" w:rsidRDefault="0099795D" w:rsidP="0099795D">
            <w:pPr>
              <w:pStyle w:val="Tabletextboldleft"/>
              <w:spacing w:before="20" w:after="20"/>
              <w:jc w:val="right"/>
              <w:rPr>
                <w:b w:val="0"/>
                <w:color w:val="000000"/>
              </w:rPr>
            </w:pPr>
            <w:r w:rsidRPr="00790101">
              <w:rPr>
                <w:b w:val="0"/>
                <w:color w:val="000000"/>
              </w:rPr>
              <w:t>1,846</w:t>
            </w:r>
          </w:p>
        </w:tc>
        <w:tc>
          <w:tcPr>
            <w:tcW w:w="1191" w:type="dxa"/>
            <w:tcBorders>
              <w:top w:val="nil"/>
              <w:bottom w:val="nil"/>
            </w:tcBorders>
            <w:shd w:val="clear" w:color="auto" w:fill="FFFFFF" w:themeFill="background1"/>
            <w:vAlign w:val="bottom"/>
          </w:tcPr>
          <w:p w14:paraId="6E1DD8B5" w14:textId="77777777" w:rsidR="0099795D" w:rsidRPr="00790101" w:rsidRDefault="0099795D" w:rsidP="0099795D">
            <w:pPr>
              <w:pStyle w:val="Tabletextboldleft"/>
              <w:spacing w:before="20" w:after="20"/>
              <w:jc w:val="right"/>
              <w:rPr>
                <w:b w:val="0"/>
                <w:color w:val="000000"/>
              </w:rPr>
            </w:pPr>
            <w:r w:rsidRPr="00790101">
              <w:rPr>
                <w:b w:val="0"/>
                <w:color w:val="000000"/>
              </w:rPr>
              <w:t>1,866</w:t>
            </w:r>
          </w:p>
        </w:tc>
        <w:tc>
          <w:tcPr>
            <w:tcW w:w="1191" w:type="dxa"/>
            <w:tcBorders>
              <w:top w:val="nil"/>
              <w:bottom w:val="nil"/>
            </w:tcBorders>
            <w:shd w:val="clear" w:color="auto" w:fill="FFFFFF" w:themeFill="background1"/>
            <w:vAlign w:val="bottom"/>
          </w:tcPr>
          <w:p w14:paraId="0A0F94E3" w14:textId="77777777" w:rsidR="0099795D" w:rsidRPr="00790101" w:rsidRDefault="0099795D" w:rsidP="0099795D">
            <w:pPr>
              <w:pStyle w:val="Tabletextboldleft"/>
              <w:spacing w:before="20" w:after="20"/>
              <w:jc w:val="right"/>
              <w:rPr>
                <w:b w:val="0"/>
                <w:color w:val="000000"/>
              </w:rPr>
            </w:pPr>
            <w:r w:rsidRPr="00790101">
              <w:rPr>
                <w:b w:val="0"/>
                <w:color w:val="000000"/>
              </w:rPr>
              <w:t>1,885</w:t>
            </w:r>
          </w:p>
        </w:tc>
      </w:tr>
      <w:tr w:rsidR="0099795D" w:rsidRPr="00F647C7" w14:paraId="187B99A5" w14:textId="77777777" w:rsidTr="00C04E58">
        <w:trPr>
          <w:trHeight w:val="212"/>
        </w:trPr>
        <w:tc>
          <w:tcPr>
            <w:tcW w:w="2410" w:type="dxa"/>
            <w:tcBorders>
              <w:top w:val="nil"/>
            </w:tcBorders>
            <w:shd w:val="clear" w:color="auto" w:fill="FFFFFF" w:themeFill="background1"/>
          </w:tcPr>
          <w:p w14:paraId="3ECC8776" w14:textId="77777777" w:rsidR="0099795D" w:rsidRPr="00F411CD" w:rsidRDefault="0099795D" w:rsidP="0099795D">
            <w:pPr>
              <w:pStyle w:val="Tabletextboldleft"/>
              <w:spacing w:before="20" w:after="20"/>
              <w:ind w:firstLine="317"/>
              <w:rPr>
                <w:b w:val="0"/>
              </w:rPr>
            </w:pPr>
            <w:r w:rsidRPr="00F411CD">
              <w:rPr>
                <w:b w:val="0"/>
              </w:rPr>
              <w:t>Non-complex</w:t>
            </w:r>
          </w:p>
        </w:tc>
        <w:tc>
          <w:tcPr>
            <w:tcW w:w="1190" w:type="dxa"/>
            <w:tcBorders>
              <w:top w:val="nil"/>
            </w:tcBorders>
            <w:shd w:val="clear" w:color="auto" w:fill="FFFFFF" w:themeFill="background1"/>
            <w:vAlign w:val="bottom"/>
          </w:tcPr>
          <w:p w14:paraId="477596DA" w14:textId="77777777" w:rsidR="0099795D" w:rsidRPr="00790101" w:rsidRDefault="0099795D" w:rsidP="0099795D">
            <w:pPr>
              <w:pStyle w:val="Tabletextboldleft"/>
              <w:spacing w:before="20" w:after="20"/>
              <w:jc w:val="right"/>
              <w:rPr>
                <w:b w:val="0"/>
                <w:color w:val="000000"/>
              </w:rPr>
            </w:pPr>
            <w:r w:rsidRPr="00790101">
              <w:rPr>
                <w:b w:val="0"/>
                <w:color w:val="000000"/>
              </w:rPr>
              <w:t>8,046</w:t>
            </w:r>
          </w:p>
        </w:tc>
        <w:tc>
          <w:tcPr>
            <w:tcW w:w="1191" w:type="dxa"/>
            <w:tcBorders>
              <w:top w:val="nil"/>
            </w:tcBorders>
            <w:shd w:val="clear" w:color="auto" w:fill="FFFFFF" w:themeFill="background1"/>
            <w:vAlign w:val="bottom"/>
          </w:tcPr>
          <w:p w14:paraId="052912FF" w14:textId="77777777" w:rsidR="0099795D" w:rsidRPr="00790101" w:rsidRDefault="0099795D" w:rsidP="0099795D">
            <w:pPr>
              <w:pStyle w:val="Tabletextboldleft"/>
              <w:spacing w:before="20" w:after="20"/>
              <w:jc w:val="right"/>
              <w:rPr>
                <w:b w:val="0"/>
                <w:color w:val="000000"/>
              </w:rPr>
            </w:pPr>
            <w:r w:rsidRPr="00790101">
              <w:rPr>
                <w:b w:val="0"/>
                <w:color w:val="000000"/>
              </w:rPr>
              <w:t>8,134</w:t>
            </w:r>
          </w:p>
        </w:tc>
        <w:tc>
          <w:tcPr>
            <w:tcW w:w="1190" w:type="dxa"/>
            <w:tcBorders>
              <w:top w:val="nil"/>
            </w:tcBorders>
            <w:shd w:val="clear" w:color="auto" w:fill="FFFFFF" w:themeFill="background1"/>
            <w:vAlign w:val="bottom"/>
          </w:tcPr>
          <w:p w14:paraId="13CA8666" w14:textId="77777777" w:rsidR="0099795D" w:rsidRPr="00790101" w:rsidRDefault="0099795D" w:rsidP="0099795D">
            <w:pPr>
              <w:pStyle w:val="Tabletextboldleft"/>
              <w:spacing w:before="20" w:after="20"/>
              <w:jc w:val="right"/>
              <w:rPr>
                <w:b w:val="0"/>
                <w:color w:val="000000"/>
              </w:rPr>
            </w:pPr>
            <w:r w:rsidRPr="00790101">
              <w:rPr>
                <w:b w:val="0"/>
                <w:color w:val="000000"/>
              </w:rPr>
              <w:t>8,222</w:t>
            </w:r>
          </w:p>
        </w:tc>
        <w:tc>
          <w:tcPr>
            <w:tcW w:w="1191" w:type="dxa"/>
            <w:tcBorders>
              <w:top w:val="nil"/>
            </w:tcBorders>
            <w:shd w:val="clear" w:color="auto" w:fill="FFFFFF" w:themeFill="background1"/>
            <w:vAlign w:val="bottom"/>
          </w:tcPr>
          <w:p w14:paraId="5B92AEA6" w14:textId="77777777" w:rsidR="0099795D" w:rsidRPr="00790101" w:rsidRDefault="0099795D" w:rsidP="0099795D">
            <w:pPr>
              <w:pStyle w:val="Tabletextboldleft"/>
              <w:spacing w:before="20" w:after="20"/>
              <w:jc w:val="right"/>
              <w:rPr>
                <w:b w:val="0"/>
                <w:color w:val="000000"/>
              </w:rPr>
            </w:pPr>
            <w:r w:rsidRPr="00790101">
              <w:rPr>
                <w:b w:val="0"/>
                <w:color w:val="000000"/>
              </w:rPr>
              <w:t>8,310</w:t>
            </w:r>
          </w:p>
        </w:tc>
        <w:tc>
          <w:tcPr>
            <w:tcW w:w="1191" w:type="dxa"/>
            <w:tcBorders>
              <w:top w:val="nil"/>
            </w:tcBorders>
            <w:shd w:val="clear" w:color="auto" w:fill="FFFFFF" w:themeFill="background1"/>
            <w:vAlign w:val="bottom"/>
          </w:tcPr>
          <w:p w14:paraId="25430DF8" w14:textId="77777777" w:rsidR="0099795D" w:rsidRPr="00790101" w:rsidRDefault="0099795D" w:rsidP="0099795D">
            <w:pPr>
              <w:pStyle w:val="Tabletextboldleft"/>
              <w:spacing w:before="20" w:after="20"/>
              <w:jc w:val="right"/>
              <w:rPr>
                <w:b w:val="0"/>
                <w:color w:val="000000"/>
              </w:rPr>
            </w:pPr>
            <w:r w:rsidRPr="00790101">
              <w:rPr>
                <w:b w:val="0"/>
                <w:color w:val="000000"/>
              </w:rPr>
              <w:t>8,398</w:t>
            </w:r>
          </w:p>
        </w:tc>
      </w:tr>
      <w:tr w:rsidR="0099795D" w:rsidRPr="00F647C7" w14:paraId="300D473B" w14:textId="77777777" w:rsidTr="00C04E58">
        <w:trPr>
          <w:trHeight w:val="212"/>
        </w:trPr>
        <w:tc>
          <w:tcPr>
            <w:tcW w:w="2410" w:type="dxa"/>
            <w:shd w:val="clear" w:color="auto" w:fill="FFFFFF" w:themeFill="background1"/>
          </w:tcPr>
          <w:p w14:paraId="58C20B68" w14:textId="77777777" w:rsidR="0099795D" w:rsidRPr="00C26CDD" w:rsidRDefault="0099795D" w:rsidP="0099795D">
            <w:pPr>
              <w:pStyle w:val="Tabletextboldleft"/>
              <w:spacing w:before="20" w:after="20"/>
              <w:rPr>
                <w:b w:val="0"/>
                <w:i/>
              </w:rPr>
            </w:pPr>
            <w:r>
              <w:rPr>
                <w:b w:val="0"/>
                <w:i/>
              </w:rPr>
              <w:t>Sub-t</w:t>
            </w:r>
            <w:r w:rsidRPr="00C26CDD">
              <w:rPr>
                <w:b w:val="0"/>
                <w:i/>
              </w:rPr>
              <w:t>otal (excluding gynaecological cytology)</w:t>
            </w:r>
          </w:p>
        </w:tc>
        <w:tc>
          <w:tcPr>
            <w:tcW w:w="1190" w:type="dxa"/>
            <w:shd w:val="clear" w:color="auto" w:fill="FFFFFF" w:themeFill="background1"/>
          </w:tcPr>
          <w:p w14:paraId="273C8507" w14:textId="77777777" w:rsidR="0099795D" w:rsidRPr="00790101" w:rsidRDefault="0099795D" w:rsidP="0099795D">
            <w:pPr>
              <w:pStyle w:val="Tabletextboldleft"/>
              <w:spacing w:before="20" w:after="20"/>
              <w:jc w:val="right"/>
              <w:rPr>
                <w:b w:val="0"/>
                <w:i/>
                <w:color w:val="000000"/>
              </w:rPr>
            </w:pPr>
            <w:r w:rsidRPr="00790101">
              <w:rPr>
                <w:b w:val="0"/>
                <w:i/>
                <w:color w:val="000000"/>
              </w:rPr>
              <w:t>12,606</w:t>
            </w:r>
          </w:p>
        </w:tc>
        <w:tc>
          <w:tcPr>
            <w:tcW w:w="1191" w:type="dxa"/>
            <w:shd w:val="clear" w:color="auto" w:fill="FFFFFF" w:themeFill="background1"/>
          </w:tcPr>
          <w:p w14:paraId="57C814C4" w14:textId="77777777" w:rsidR="0099795D" w:rsidRPr="00790101" w:rsidRDefault="0099795D" w:rsidP="0099795D">
            <w:pPr>
              <w:pStyle w:val="Tabletextboldleft"/>
              <w:spacing w:before="20" w:after="20"/>
              <w:jc w:val="right"/>
              <w:rPr>
                <w:b w:val="0"/>
                <w:i/>
                <w:color w:val="000000"/>
              </w:rPr>
            </w:pPr>
            <w:r w:rsidRPr="00790101">
              <w:rPr>
                <w:b w:val="0"/>
                <w:i/>
                <w:color w:val="000000"/>
              </w:rPr>
              <w:t>13,054</w:t>
            </w:r>
          </w:p>
        </w:tc>
        <w:tc>
          <w:tcPr>
            <w:tcW w:w="1190" w:type="dxa"/>
            <w:shd w:val="clear" w:color="auto" w:fill="FFFFFF" w:themeFill="background1"/>
          </w:tcPr>
          <w:p w14:paraId="31D17806" w14:textId="77777777" w:rsidR="0099795D" w:rsidRPr="00790101" w:rsidRDefault="0099795D" w:rsidP="0099795D">
            <w:pPr>
              <w:pStyle w:val="Tabletextboldleft"/>
              <w:spacing w:before="20" w:after="20"/>
              <w:jc w:val="right"/>
              <w:rPr>
                <w:b w:val="0"/>
                <w:i/>
                <w:color w:val="000000"/>
              </w:rPr>
            </w:pPr>
            <w:r w:rsidRPr="00790101">
              <w:rPr>
                <w:b w:val="0"/>
                <w:i/>
                <w:color w:val="000000"/>
              </w:rPr>
              <w:t>13,502</w:t>
            </w:r>
          </w:p>
        </w:tc>
        <w:tc>
          <w:tcPr>
            <w:tcW w:w="1191" w:type="dxa"/>
            <w:shd w:val="clear" w:color="auto" w:fill="FFFFFF" w:themeFill="background1"/>
          </w:tcPr>
          <w:p w14:paraId="4BF64955" w14:textId="77777777" w:rsidR="0099795D" w:rsidRPr="00790101" w:rsidRDefault="0099795D" w:rsidP="0099795D">
            <w:pPr>
              <w:pStyle w:val="Tabletextboldleft"/>
              <w:spacing w:before="20" w:after="20"/>
              <w:jc w:val="right"/>
              <w:rPr>
                <w:b w:val="0"/>
                <w:i/>
                <w:color w:val="000000"/>
              </w:rPr>
            </w:pPr>
            <w:r w:rsidRPr="00790101">
              <w:rPr>
                <w:b w:val="0"/>
                <w:i/>
                <w:color w:val="000000"/>
              </w:rPr>
              <w:t>13,950</w:t>
            </w:r>
          </w:p>
        </w:tc>
        <w:tc>
          <w:tcPr>
            <w:tcW w:w="1191" w:type="dxa"/>
            <w:shd w:val="clear" w:color="auto" w:fill="FFFFFF" w:themeFill="background1"/>
          </w:tcPr>
          <w:p w14:paraId="426822D6" w14:textId="77777777" w:rsidR="0099795D" w:rsidRPr="00790101" w:rsidRDefault="0099795D" w:rsidP="0099795D">
            <w:pPr>
              <w:pStyle w:val="Tabletextboldleft"/>
              <w:spacing w:before="20" w:after="20"/>
              <w:jc w:val="right"/>
              <w:rPr>
                <w:b w:val="0"/>
                <w:i/>
                <w:color w:val="000000"/>
              </w:rPr>
            </w:pPr>
            <w:r w:rsidRPr="00790101">
              <w:rPr>
                <w:b w:val="0"/>
                <w:i/>
                <w:color w:val="000000"/>
              </w:rPr>
              <w:t>14,398</w:t>
            </w:r>
          </w:p>
        </w:tc>
      </w:tr>
      <w:tr w:rsidR="0099795D" w:rsidRPr="00F647C7" w14:paraId="7E58BA02" w14:textId="77777777" w:rsidTr="00C04E58">
        <w:trPr>
          <w:trHeight w:val="212"/>
        </w:trPr>
        <w:tc>
          <w:tcPr>
            <w:tcW w:w="2410" w:type="dxa"/>
            <w:shd w:val="clear" w:color="auto" w:fill="FFFFFF" w:themeFill="background1"/>
          </w:tcPr>
          <w:p w14:paraId="087273F6" w14:textId="77777777" w:rsidR="0099795D" w:rsidRPr="00C26CDD" w:rsidRDefault="0099795D" w:rsidP="0099795D">
            <w:pPr>
              <w:pStyle w:val="Tabletextboldleft"/>
              <w:spacing w:before="20" w:after="20"/>
              <w:rPr>
                <w:b w:val="0"/>
                <w:i/>
              </w:rPr>
            </w:pPr>
            <w:r>
              <w:rPr>
                <w:b w:val="0"/>
                <w:i/>
              </w:rPr>
              <w:t>Sub-t</w:t>
            </w:r>
            <w:r w:rsidRPr="00C26CDD">
              <w:rPr>
                <w:b w:val="0"/>
                <w:i/>
              </w:rPr>
              <w:t>otal (including all cytology)</w:t>
            </w:r>
          </w:p>
        </w:tc>
        <w:tc>
          <w:tcPr>
            <w:tcW w:w="1190" w:type="dxa"/>
            <w:shd w:val="clear" w:color="auto" w:fill="FFFFFF" w:themeFill="background1"/>
          </w:tcPr>
          <w:p w14:paraId="29D74975" w14:textId="77777777" w:rsidR="0099795D" w:rsidRPr="00790101" w:rsidRDefault="0099795D" w:rsidP="0099795D">
            <w:pPr>
              <w:pStyle w:val="Tabletextboldleft"/>
              <w:spacing w:before="20" w:after="20"/>
              <w:jc w:val="right"/>
              <w:rPr>
                <w:b w:val="0"/>
                <w:i/>
                <w:color w:val="000000"/>
              </w:rPr>
            </w:pPr>
            <w:r w:rsidRPr="00790101">
              <w:rPr>
                <w:b w:val="0"/>
                <w:i/>
                <w:color w:val="000000"/>
              </w:rPr>
              <w:t>21,220</w:t>
            </w:r>
          </w:p>
        </w:tc>
        <w:tc>
          <w:tcPr>
            <w:tcW w:w="1191" w:type="dxa"/>
            <w:shd w:val="clear" w:color="auto" w:fill="FFFFFF" w:themeFill="background1"/>
          </w:tcPr>
          <w:p w14:paraId="4329E3F9" w14:textId="77777777" w:rsidR="0099795D" w:rsidRPr="00790101" w:rsidRDefault="0099795D" w:rsidP="0099795D">
            <w:pPr>
              <w:pStyle w:val="Tabletextboldleft"/>
              <w:spacing w:before="20" w:after="20"/>
              <w:jc w:val="right"/>
              <w:rPr>
                <w:b w:val="0"/>
                <w:i/>
                <w:color w:val="000000"/>
              </w:rPr>
            </w:pPr>
            <w:r w:rsidRPr="00790101">
              <w:rPr>
                <w:b w:val="0"/>
                <w:i/>
                <w:color w:val="000000"/>
              </w:rPr>
              <w:t>21,740</w:t>
            </w:r>
          </w:p>
        </w:tc>
        <w:tc>
          <w:tcPr>
            <w:tcW w:w="1190" w:type="dxa"/>
            <w:shd w:val="clear" w:color="auto" w:fill="FFFFFF" w:themeFill="background1"/>
          </w:tcPr>
          <w:p w14:paraId="391B9276" w14:textId="77777777" w:rsidR="0099795D" w:rsidRPr="00790101" w:rsidRDefault="0099795D" w:rsidP="0099795D">
            <w:pPr>
              <w:pStyle w:val="Tabletextboldleft"/>
              <w:spacing w:before="20" w:after="20"/>
              <w:jc w:val="right"/>
              <w:rPr>
                <w:b w:val="0"/>
                <w:i/>
                <w:color w:val="000000"/>
              </w:rPr>
            </w:pPr>
            <w:r w:rsidRPr="00790101">
              <w:rPr>
                <w:b w:val="0"/>
                <w:i/>
                <w:color w:val="000000"/>
              </w:rPr>
              <w:t>22,259</w:t>
            </w:r>
          </w:p>
        </w:tc>
        <w:tc>
          <w:tcPr>
            <w:tcW w:w="1191" w:type="dxa"/>
            <w:shd w:val="clear" w:color="auto" w:fill="FFFFFF" w:themeFill="background1"/>
          </w:tcPr>
          <w:p w14:paraId="71CE8BE3" w14:textId="77777777" w:rsidR="0099795D" w:rsidRPr="00790101" w:rsidRDefault="0099795D" w:rsidP="0099795D">
            <w:pPr>
              <w:pStyle w:val="Tabletextboldleft"/>
              <w:spacing w:before="20" w:after="20"/>
              <w:jc w:val="right"/>
              <w:rPr>
                <w:b w:val="0"/>
                <w:i/>
                <w:color w:val="000000"/>
              </w:rPr>
            </w:pPr>
            <w:r w:rsidRPr="00790101">
              <w:rPr>
                <w:b w:val="0"/>
                <w:i/>
                <w:color w:val="000000"/>
              </w:rPr>
              <w:t>22,779</w:t>
            </w:r>
          </w:p>
        </w:tc>
        <w:tc>
          <w:tcPr>
            <w:tcW w:w="1191" w:type="dxa"/>
            <w:shd w:val="clear" w:color="auto" w:fill="FFFFFF" w:themeFill="background1"/>
          </w:tcPr>
          <w:p w14:paraId="1BD96732" w14:textId="77777777" w:rsidR="0099795D" w:rsidRPr="00790101" w:rsidRDefault="0099795D" w:rsidP="0099795D">
            <w:pPr>
              <w:pStyle w:val="Tabletextboldleft"/>
              <w:spacing w:before="20" w:after="20"/>
              <w:jc w:val="right"/>
              <w:rPr>
                <w:b w:val="0"/>
                <w:i/>
                <w:color w:val="000000"/>
              </w:rPr>
            </w:pPr>
            <w:r w:rsidRPr="00790101">
              <w:rPr>
                <w:b w:val="0"/>
                <w:i/>
                <w:color w:val="000000"/>
              </w:rPr>
              <w:t>23,298</w:t>
            </w:r>
          </w:p>
        </w:tc>
      </w:tr>
      <w:tr w:rsidR="0099795D" w:rsidRPr="00EB5266" w14:paraId="3D5D08A0" w14:textId="77777777" w:rsidTr="00C04E58">
        <w:trPr>
          <w:trHeight w:val="212"/>
        </w:trPr>
        <w:tc>
          <w:tcPr>
            <w:tcW w:w="2410" w:type="dxa"/>
            <w:shd w:val="clear" w:color="auto" w:fill="D0CECE" w:themeFill="background2" w:themeFillShade="E6"/>
          </w:tcPr>
          <w:p w14:paraId="2CE4DE8E" w14:textId="77777777" w:rsidR="0099795D" w:rsidRPr="007901D3" w:rsidRDefault="0099795D" w:rsidP="0099795D">
            <w:pPr>
              <w:pStyle w:val="Tabletextboldleft"/>
              <w:spacing w:before="20" w:after="20"/>
            </w:pPr>
            <w:r w:rsidRPr="007901D3">
              <w:t xml:space="preserve">TOTAL </w:t>
            </w:r>
          </w:p>
          <w:p w14:paraId="633AC2ED" w14:textId="77777777" w:rsidR="0099795D" w:rsidRPr="007901D3" w:rsidRDefault="0099795D" w:rsidP="0099795D">
            <w:pPr>
              <w:pStyle w:val="Tabletextboldleft"/>
              <w:spacing w:before="20" w:after="20"/>
              <w:rPr>
                <w:b w:val="0"/>
              </w:rPr>
            </w:pPr>
            <w:r w:rsidRPr="007901D3">
              <w:rPr>
                <w:b w:val="0"/>
              </w:rPr>
              <w:t>(</w:t>
            </w:r>
            <w:r w:rsidRPr="007901D3">
              <w:rPr>
                <w:b w:val="0"/>
                <w:i/>
              </w:rPr>
              <w:t>S1</w:t>
            </w:r>
            <w:r w:rsidRPr="007901D3">
              <w:rPr>
                <w:b w:val="0"/>
              </w:rPr>
              <w:t xml:space="preserve"> and S</w:t>
            </w:r>
            <w:r w:rsidRPr="007901D3">
              <w:rPr>
                <w:b w:val="0"/>
                <w:i/>
              </w:rPr>
              <w:t>2</w:t>
            </w:r>
            <w:r w:rsidRPr="007901D3">
              <w:rPr>
                <w:b w:val="0"/>
              </w:rPr>
              <w:t xml:space="preserve"> – excluding gynaecological cytology)</w:t>
            </w:r>
          </w:p>
        </w:tc>
        <w:tc>
          <w:tcPr>
            <w:tcW w:w="1190" w:type="dxa"/>
            <w:shd w:val="clear" w:color="auto" w:fill="D0CECE" w:themeFill="background2" w:themeFillShade="E6"/>
          </w:tcPr>
          <w:p w14:paraId="6054FA07" w14:textId="77777777" w:rsidR="0099795D" w:rsidRPr="007901D3" w:rsidRDefault="0099795D" w:rsidP="0099795D">
            <w:pPr>
              <w:pStyle w:val="Tabletextboldleft"/>
              <w:spacing w:before="20" w:after="20"/>
              <w:jc w:val="right"/>
            </w:pPr>
            <w:r w:rsidRPr="007901D3">
              <w:rPr>
                <w:color w:val="000000"/>
              </w:rPr>
              <w:t>47,420</w:t>
            </w:r>
          </w:p>
        </w:tc>
        <w:tc>
          <w:tcPr>
            <w:tcW w:w="1191" w:type="dxa"/>
            <w:shd w:val="clear" w:color="auto" w:fill="D0CECE" w:themeFill="background2" w:themeFillShade="E6"/>
          </w:tcPr>
          <w:p w14:paraId="3708C904" w14:textId="77777777" w:rsidR="0099795D" w:rsidRPr="007901D3" w:rsidRDefault="0099795D" w:rsidP="0099795D">
            <w:pPr>
              <w:pStyle w:val="Tabletextboldleft"/>
              <w:spacing w:before="20" w:after="20"/>
              <w:jc w:val="right"/>
            </w:pPr>
            <w:r w:rsidRPr="007901D3">
              <w:rPr>
                <w:color w:val="000000"/>
              </w:rPr>
              <w:t>49,116</w:t>
            </w:r>
          </w:p>
        </w:tc>
        <w:tc>
          <w:tcPr>
            <w:tcW w:w="1190" w:type="dxa"/>
            <w:shd w:val="clear" w:color="auto" w:fill="D0CECE" w:themeFill="background2" w:themeFillShade="E6"/>
          </w:tcPr>
          <w:p w14:paraId="67147C90" w14:textId="77777777" w:rsidR="0099795D" w:rsidRPr="007901D3" w:rsidRDefault="0099795D" w:rsidP="0099795D">
            <w:pPr>
              <w:pStyle w:val="Tabletextboldleft"/>
              <w:spacing w:before="20" w:after="20"/>
              <w:jc w:val="right"/>
            </w:pPr>
            <w:r w:rsidRPr="007901D3">
              <w:rPr>
                <w:color w:val="000000"/>
              </w:rPr>
              <w:t>50,812</w:t>
            </w:r>
          </w:p>
        </w:tc>
        <w:tc>
          <w:tcPr>
            <w:tcW w:w="1191" w:type="dxa"/>
            <w:shd w:val="clear" w:color="auto" w:fill="D0CECE" w:themeFill="background2" w:themeFillShade="E6"/>
          </w:tcPr>
          <w:p w14:paraId="17FB7F8D" w14:textId="77777777" w:rsidR="0099795D" w:rsidRPr="007901D3" w:rsidRDefault="0099795D" w:rsidP="0099795D">
            <w:pPr>
              <w:pStyle w:val="Tabletextboldleft"/>
              <w:spacing w:before="20" w:after="20"/>
              <w:jc w:val="right"/>
            </w:pPr>
            <w:r w:rsidRPr="007901D3">
              <w:rPr>
                <w:color w:val="000000"/>
              </w:rPr>
              <w:t>52,508</w:t>
            </w:r>
          </w:p>
        </w:tc>
        <w:tc>
          <w:tcPr>
            <w:tcW w:w="1191" w:type="dxa"/>
            <w:shd w:val="clear" w:color="auto" w:fill="D0CECE" w:themeFill="background2" w:themeFillShade="E6"/>
          </w:tcPr>
          <w:p w14:paraId="2658F288" w14:textId="77777777" w:rsidR="0099795D" w:rsidRPr="007901D3" w:rsidRDefault="0099795D" w:rsidP="0099795D">
            <w:pPr>
              <w:pStyle w:val="Tabletextboldleft"/>
              <w:spacing w:before="20" w:after="20"/>
              <w:jc w:val="right"/>
            </w:pPr>
            <w:r w:rsidRPr="007901D3">
              <w:rPr>
                <w:color w:val="000000"/>
              </w:rPr>
              <w:t>54,204</w:t>
            </w:r>
          </w:p>
        </w:tc>
      </w:tr>
      <w:tr w:rsidR="0099795D" w:rsidRPr="00EB5266" w14:paraId="56547246" w14:textId="77777777" w:rsidTr="00C04E58">
        <w:trPr>
          <w:trHeight w:val="212"/>
        </w:trPr>
        <w:tc>
          <w:tcPr>
            <w:tcW w:w="2410" w:type="dxa"/>
            <w:shd w:val="clear" w:color="auto" w:fill="D0CECE" w:themeFill="background2" w:themeFillShade="E6"/>
          </w:tcPr>
          <w:p w14:paraId="3520A4F6" w14:textId="77777777" w:rsidR="0099795D" w:rsidRPr="007901D3" w:rsidRDefault="0099795D" w:rsidP="0099795D">
            <w:pPr>
              <w:pStyle w:val="Tabletextboldleft"/>
              <w:spacing w:before="20" w:after="20"/>
            </w:pPr>
            <w:r w:rsidRPr="007901D3">
              <w:t xml:space="preserve">TOTAL </w:t>
            </w:r>
          </w:p>
          <w:p w14:paraId="40654C1B" w14:textId="77777777" w:rsidR="0099795D" w:rsidRPr="007901D3" w:rsidRDefault="0099795D" w:rsidP="0099795D">
            <w:pPr>
              <w:pStyle w:val="Tabletextboldleft"/>
              <w:spacing w:before="20" w:after="20"/>
              <w:rPr>
                <w:b w:val="0"/>
              </w:rPr>
            </w:pPr>
            <w:r w:rsidRPr="007901D3">
              <w:rPr>
                <w:b w:val="0"/>
              </w:rPr>
              <w:t>(</w:t>
            </w:r>
            <w:r w:rsidRPr="007901D3">
              <w:rPr>
                <w:b w:val="0"/>
                <w:i/>
              </w:rPr>
              <w:t>S1</w:t>
            </w:r>
            <w:r w:rsidRPr="007901D3">
              <w:rPr>
                <w:b w:val="0"/>
              </w:rPr>
              <w:t xml:space="preserve"> and </w:t>
            </w:r>
            <w:r w:rsidRPr="007901D3">
              <w:rPr>
                <w:b w:val="0"/>
                <w:i/>
              </w:rPr>
              <w:t xml:space="preserve">S2 </w:t>
            </w:r>
            <w:r w:rsidRPr="007901D3">
              <w:rPr>
                <w:b w:val="0"/>
              </w:rPr>
              <w:t xml:space="preserve">– all cytology) </w:t>
            </w:r>
          </w:p>
        </w:tc>
        <w:tc>
          <w:tcPr>
            <w:tcW w:w="1190" w:type="dxa"/>
            <w:shd w:val="clear" w:color="auto" w:fill="D0CECE" w:themeFill="background2" w:themeFillShade="E6"/>
          </w:tcPr>
          <w:p w14:paraId="09258061" w14:textId="77777777" w:rsidR="0099795D" w:rsidRPr="007901D3" w:rsidRDefault="0099795D" w:rsidP="0099795D">
            <w:pPr>
              <w:pStyle w:val="Tabletextboldleft"/>
              <w:spacing w:before="20" w:after="20"/>
              <w:jc w:val="right"/>
            </w:pPr>
            <w:r w:rsidRPr="007901D3">
              <w:rPr>
                <w:color w:val="000000"/>
              </w:rPr>
              <w:t>68,689</w:t>
            </w:r>
          </w:p>
        </w:tc>
        <w:tc>
          <w:tcPr>
            <w:tcW w:w="1191" w:type="dxa"/>
            <w:shd w:val="clear" w:color="auto" w:fill="D0CECE" w:themeFill="background2" w:themeFillShade="E6"/>
          </w:tcPr>
          <w:p w14:paraId="7EBAB12C" w14:textId="77777777" w:rsidR="0099795D" w:rsidRPr="007901D3" w:rsidRDefault="0099795D" w:rsidP="0099795D">
            <w:pPr>
              <w:pStyle w:val="Tabletextboldleft"/>
              <w:spacing w:before="20" w:after="20"/>
              <w:jc w:val="right"/>
            </w:pPr>
            <w:r w:rsidRPr="007901D3">
              <w:rPr>
                <w:color w:val="000000"/>
              </w:rPr>
              <w:t>70,562</w:t>
            </w:r>
          </w:p>
        </w:tc>
        <w:tc>
          <w:tcPr>
            <w:tcW w:w="1190" w:type="dxa"/>
            <w:shd w:val="clear" w:color="auto" w:fill="D0CECE" w:themeFill="background2" w:themeFillShade="E6"/>
          </w:tcPr>
          <w:p w14:paraId="5B2BDE11" w14:textId="77777777" w:rsidR="0099795D" w:rsidRPr="007901D3" w:rsidRDefault="0099795D" w:rsidP="0099795D">
            <w:pPr>
              <w:pStyle w:val="Tabletextboldleft"/>
              <w:spacing w:before="20" w:after="20"/>
              <w:jc w:val="right"/>
            </w:pPr>
            <w:r w:rsidRPr="007901D3">
              <w:rPr>
                <w:color w:val="000000"/>
              </w:rPr>
              <w:t>72,436</w:t>
            </w:r>
          </w:p>
        </w:tc>
        <w:tc>
          <w:tcPr>
            <w:tcW w:w="1191" w:type="dxa"/>
            <w:shd w:val="clear" w:color="auto" w:fill="D0CECE" w:themeFill="background2" w:themeFillShade="E6"/>
          </w:tcPr>
          <w:p w14:paraId="3CF32065" w14:textId="77777777" w:rsidR="0099795D" w:rsidRPr="007901D3" w:rsidRDefault="0099795D" w:rsidP="0099795D">
            <w:pPr>
              <w:pStyle w:val="Tabletextboldleft"/>
              <w:spacing w:before="20" w:after="20"/>
              <w:jc w:val="right"/>
            </w:pPr>
            <w:r w:rsidRPr="007901D3">
              <w:rPr>
                <w:color w:val="000000"/>
              </w:rPr>
              <w:t>74,309</w:t>
            </w:r>
          </w:p>
        </w:tc>
        <w:tc>
          <w:tcPr>
            <w:tcW w:w="1191" w:type="dxa"/>
            <w:shd w:val="clear" w:color="auto" w:fill="D0CECE" w:themeFill="background2" w:themeFillShade="E6"/>
          </w:tcPr>
          <w:p w14:paraId="562EA3F3" w14:textId="77777777" w:rsidR="0099795D" w:rsidRPr="007901D3" w:rsidRDefault="0099795D" w:rsidP="0099795D">
            <w:pPr>
              <w:pStyle w:val="Tabletextboldleft"/>
              <w:spacing w:before="20" w:after="20"/>
              <w:jc w:val="right"/>
            </w:pPr>
            <w:r w:rsidRPr="007901D3">
              <w:rPr>
                <w:color w:val="000000"/>
              </w:rPr>
              <w:t>76,182</w:t>
            </w:r>
          </w:p>
        </w:tc>
      </w:tr>
    </w:tbl>
    <w:p w14:paraId="7A6CE81A" w14:textId="77777777" w:rsidR="00B51828" w:rsidRPr="006E5544" w:rsidRDefault="00B51828" w:rsidP="002101D2">
      <w:pPr>
        <w:spacing w:before="20" w:after="0"/>
        <w:ind w:left="0" w:firstLine="720"/>
        <w:rPr>
          <w:rFonts w:ascii="Arial Narrow" w:hAnsi="Arial Narrow"/>
          <w:sz w:val="18"/>
          <w:szCs w:val="18"/>
        </w:rPr>
      </w:pPr>
      <w:r w:rsidRPr="006E5544">
        <w:rPr>
          <w:rFonts w:ascii="Arial Narrow" w:hAnsi="Arial Narrow"/>
          <w:sz w:val="18"/>
          <w:szCs w:val="18"/>
        </w:rPr>
        <w:t>Source: Section E.2</w:t>
      </w:r>
    </w:p>
    <w:p w14:paraId="3F11185E" w14:textId="77777777" w:rsidR="00B51828" w:rsidRPr="006E5544" w:rsidRDefault="00B51828" w:rsidP="002101D2">
      <w:pPr>
        <w:spacing w:before="20" w:after="0"/>
        <w:ind w:left="0" w:firstLine="720"/>
        <w:rPr>
          <w:rFonts w:ascii="Arial Narrow" w:hAnsi="Arial Narrow"/>
          <w:sz w:val="18"/>
          <w:szCs w:val="18"/>
        </w:rPr>
      </w:pPr>
      <w:r w:rsidRPr="006E5544">
        <w:rPr>
          <w:rFonts w:ascii="Arial Narrow" w:hAnsi="Arial Narrow"/>
          <w:sz w:val="18"/>
          <w:szCs w:val="18"/>
        </w:rPr>
        <w:t xml:space="preserve">Abbreviations: S1, </w:t>
      </w:r>
      <w:r w:rsidRPr="006E5544">
        <w:rPr>
          <w:rFonts w:ascii="Arial Narrow" w:hAnsi="Arial Narrow"/>
          <w:i/>
          <w:sz w:val="18"/>
          <w:szCs w:val="18"/>
        </w:rPr>
        <w:t>Scenario 1</w:t>
      </w:r>
      <w:r w:rsidRPr="006E5544">
        <w:rPr>
          <w:rFonts w:ascii="Arial Narrow" w:hAnsi="Arial Narrow"/>
          <w:sz w:val="18"/>
          <w:szCs w:val="18"/>
        </w:rPr>
        <w:t xml:space="preserve">; S2, </w:t>
      </w:r>
      <w:r w:rsidRPr="006E5544">
        <w:rPr>
          <w:rFonts w:ascii="Arial Narrow" w:hAnsi="Arial Narrow"/>
          <w:i/>
          <w:sz w:val="18"/>
          <w:szCs w:val="18"/>
        </w:rPr>
        <w:t>Scenario 2.</w:t>
      </w:r>
      <w:r w:rsidRPr="006E5544">
        <w:rPr>
          <w:rFonts w:ascii="Arial Narrow" w:hAnsi="Arial Narrow"/>
          <w:sz w:val="18"/>
          <w:szCs w:val="18"/>
        </w:rPr>
        <w:t xml:space="preserve"> </w:t>
      </w:r>
    </w:p>
    <w:p w14:paraId="0DE0AFC9" w14:textId="77777777" w:rsidR="00B51828" w:rsidRPr="006E5544" w:rsidRDefault="00B51828" w:rsidP="002101D2">
      <w:pPr>
        <w:ind w:left="0" w:firstLine="720"/>
        <w:rPr>
          <w:rFonts w:ascii="Arial Narrow" w:hAnsi="Arial Narrow"/>
          <w:sz w:val="18"/>
          <w:szCs w:val="18"/>
        </w:rPr>
      </w:pPr>
      <w:r w:rsidRPr="006E5544">
        <w:rPr>
          <w:rFonts w:ascii="Arial Narrow" w:hAnsi="Arial Narrow"/>
          <w:sz w:val="18"/>
          <w:szCs w:val="18"/>
          <w:vertAlign w:val="superscript"/>
        </w:rPr>
        <w:t>a</w:t>
      </w:r>
      <w:r w:rsidRPr="006E5544">
        <w:rPr>
          <w:rFonts w:ascii="Arial Narrow" w:hAnsi="Arial Narrow"/>
          <w:sz w:val="18"/>
          <w:szCs w:val="18"/>
        </w:rPr>
        <w:t xml:space="preserve"> Includes bone marrow items</w:t>
      </w:r>
    </w:p>
    <w:p w14:paraId="7FC45921" w14:textId="77777777" w:rsidR="00B51828" w:rsidRPr="006E5544" w:rsidRDefault="00B51828" w:rsidP="002101D2">
      <w:r w:rsidRPr="006E5544">
        <w:lastRenderedPageBreak/>
        <w:t>Table ES-6 presents a summary of the total cost to the MBS of the proposed listing, including associated costs related to ancillary tests, specimen referral and bulk billing.</w:t>
      </w:r>
    </w:p>
    <w:p w14:paraId="2A9C4026" w14:textId="77777777" w:rsidR="00B51828" w:rsidRPr="006E5544" w:rsidRDefault="00B51828" w:rsidP="002101D2">
      <w:pPr>
        <w:keepNext/>
        <w:spacing w:before="40" w:after="40"/>
        <w:ind w:left="2127" w:hanging="1407"/>
        <w:rPr>
          <w:rFonts w:ascii="Arial Narrow" w:hAnsi="Arial Narrow"/>
          <w:b/>
          <w:iCs/>
          <w:sz w:val="20"/>
          <w:szCs w:val="18"/>
        </w:rPr>
      </w:pPr>
      <w:r w:rsidRPr="006E5544">
        <w:rPr>
          <w:rFonts w:ascii="Arial Narrow" w:hAnsi="Arial Narrow"/>
          <w:b/>
          <w:iCs/>
          <w:sz w:val="20"/>
          <w:szCs w:val="18"/>
        </w:rPr>
        <w:t>Table ES-6</w:t>
      </w:r>
      <w:r w:rsidRPr="006E5544">
        <w:rPr>
          <w:rFonts w:ascii="Arial Narrow" w:hAnsi="Arial Narrow"/>
          <w:b/>
          <w:iCs/>
          <w:sz w:val="20"/>
          <w:szCs w:val="18"/>
        </w:rPr>
        <w:tab/>
        <w:t>Estimated total cost to the MBS of second, expert opinion and associated services, over the first five years of the proposed MBS listing</w:t>
      </w:r>
    </w:p>
    <w:tbl>
      <w:tblPr>
        <w:tblStyle w:val="TableGrid"/>
        <w:tblW w:w="8363" w:type="dxa"/>
        <w:tblInd w:w="704" w:type="dxa"/>
        <w:tblLayout w:type="fixed"/>
        <w:tblLook w:val="04A0" w:firstRow="1" w:lastRow="0" w:firstColumn="1" w:lastColumn="0" w:noHBand="0" w:noVBand="1"/>
        <w:tblCaption w:val="Estimated total cost to the MBS "/>
        <w:tblDescription w:val="The estimated total cost to the MBS of second, expert opinion and associated services, over the first five years of the proposed MBS listing"/>
      </w:tblPr>
      <w:tblGrid>
        <w:gridCol w:w="2552"/>
        <w:gridCol w:w="1162"/>
        <w:gridCol w:w="1162"/>
        <w:gridCol w:w="1162"/>
        <w:gridCol w:w="1162"/>
        <w:gridCol w:w="1163"/>
      </w:tblGrid>
      <w:tr w:rsidR="0099795D" w14:paraId="7613FAC5" w14:textId="77777777" w:rsidTr="00C04E58">
        <w:trPr>
          <w:trHeight w:val="212"/>
          <w:tblHeader/>
        </w:trPr>
        <w:tc>
          <w:tcPr>
            <w:tcW w:w="2552" w:type="dxa"/>
          </w:tcPr>
          <w:p w14:paraId="55800B6C" w14:textId="77777777" w:rsidR="0099795D" w:rsidRDefault="0099795D" w:rsidP="0099795D">
            <w:pPr>
              <w:pStyle w:val="Tabletextboldleft"/>
              <w:spacing w:before="20" w:after="20"/>
            </w:pPr>
          </w:p>
        </w:tc>
        <w:tc>
          <w:tcPr>
            <w:tcW w:w="1162" w:type="dxa"/>
          </w:tcPr>
          <w:p w14:paraId="2C43223A" w14:textId="77777777" w:rsidR="0099795D" w:rsidRDefault="0099795D" w:rsidP="0099795D">
            <w:pPr>
              <w:pStyle w:val="Tabletextboldleft"/>
              <w:spacing w:before="20" w:after="20"/>
              <w:jc w:val="right"/>
            </w:pPr>
            <w:r>
              <w:t>Year 1</w:t>
            </w:r>
          </w:p>
          <w:p w14:paraId="2684C571" w14:textId="77777777" w:rsidR="0099795D" w:rsidRDefault="0099795D" w:rsidP="0099795D">
            <w:pPr>
              <w:pStyle w:val="Tabletextboldleft"/>
              <w:spacing w:before="20" w:after="20"/>
              <w:jc w:val="right"/>
            </w:pPr>
            <w:r>
              <w:t>(2015-16)</w:t>
            </w:r>
          </w:p>
        </w:tc>
        <w:tc>
          <w:tcPr>
            <w:tcW w:w="1162" w:type="dxa"/>
          </w:tcPr>
          <w:p w14:paraId="4E9746A2" w14:textId="77777777" w:rsidR="0099795D" w:rsidRDefault="0099795D" w:rsidP="0099795D">
            <w:pPr>
              <w:pStyle w:val="Tabletextboldleft"/>
              <w:spacing w:before="20" w:after="20"/>
              <w:jc w:val="right"/>
            </w:pPr>
            <w:r>
              <w:t>Year 2</w:t>
            </w:r>
          </w:p>
          <w:p w14:paraId="1C7D92BD" w14:textId="77777777" w:rsidR="0099795D" w:rsidRDefault="0099795D" w:rsidP="0099795D">
            <w:pPr>
              <w:pStyle w:val="Tabletextboldleft"/>
              <w:spacing w:before="20" w:after="20"/>
              <w:jc w:val="right"/>
            </w:pPr>
            <w:r>
              <w:t>(2016-17)</w:t>
            </w:r>
          </w:p>
        </w:tc>
        <w:tc>
          <w:tcPr>
            <w:tcW w:w="1162" w:type="dxa"/>
          </w:tcPr>
          <w:p w14:paraId="187326FE" w14:textId="77777777" w:rsidR="0099795D" w:rsidRDefault="0099795D" w:rsidP="0099795D">
            <w:pPr>
              <w:pStyle w:val="Tabletextboldleft"/>
              <w:spacing w:before="20" w:after="20"/>
              <w:jc w:val="right"/>
            </w:pPr>
            <w:r>
              <w:t>Year 3</w:t>
            </w:r>
          </w:p>
          <w:p w14:paraId="14AB98F2" w14:textId="77777777" w:rsidR="0099795D" w:rsidRDefault="0099795D" w:rsidP="0099795D">
            <w:pPr>
              <w:pStyle w:val="Tabletextboldleft"/>
              <w:spacing w:before="20" w:after="20"/>
              <w:jc w:val="right"/>
            </w:pPr>
            <w:r>
              <w:t>(2017-18)</w:t>
            </w:r>
          </w:p>
        </w:tc>
        <w:tc>
          <w:tcPr>
            <w:tcW w:w="1162" w:type="dxa"/>
          </w:tcPr>
          <w:p w14:paraId="16173802" w14:textId="77777777" w:rsidR="0099795D" w:rsidRDefault="0099795D" w:rsidP="0099795D">
            <w:pPr>
              <w:pStyle w:val="Tabletextboldleft"/>
              <w:spacing w:before="20" w:after="20"/>
              <w:jc w:val="right"/>
            </w:pPr>
            <w:r>
              <w:t>Year 4</w:t>
            </w:r>
          </w:p>
          <w:p w14:paraId="13CC7221" w14:textId="77777777" w:rsidR="0099795D" w:rsidRDefault="0099795D" w:rsidP="0099795D">
            <w:pPr>
              <w:pStyle w:val="Tabletextboldleft"/>
              <w:spacing w:before="20" w:after="20"/>
              <w:jc w:val="right"/>
            </w:pPr>
            <w:r>
              <w:t>(2018-19)</w:t>
            </w:r>
          </w:p>
        </w:tc>
        <w:tc>
          <w:tcPr>
            <w:tcW w:w="1163" w:type="dxa"/>
          </w:tcPr>
          <w:p w14:paraId="254327D1" w14:textId="77777777" w:rsidR="0099795D" w:rsidRDefault="0099795D" w:rsidP="0099795D">
            <w:pPr>
              <w:pStyle w:val="Tabletextboldleft"/>
              <w:spacing w:before="20" w:after="20"/>
              <w:jc w:val="right"/>
            </w:pPr>
            <w:r>
              <w:t>Year 5</w:t>
            </w:r>
          </w:p>
          <w:p w14:paraId="1C5B4FE0" w14:textId="77777777" w:rsidR="0099795D" w:rsidRDefault="0099795D" w:rsidP="0099795D">
            <w:pPr>
              <w:pStyle w:val="Tabletextboldleft"/>
              <w:spacing w:before="20" w:after="20"/>
              <w:jc w:val="right"/>
            </w:pPr>
            <w:r>
              <w:t>(2019-20)</w:t>
            </w:r>
          </w:p>
        </w:tc>
      </w:tr>
      <w:tr w:rsidR="0099795D" w:rsidRPr="00F647C7" w14:paraId="487A3A91" w14:textId="77777777" w:rsidTr="00C04E58">
        <w:trPr>
          <w:trHeight w:val="212"/>
        </w:trPr>
        <w:tc>
          <w:tcPr>
            <w:tcW w:w="2552" w:type="dxa"/>
            <w:tcBorders>
              <w:bottom w:val="single" w:sz="4" w:space="0" w:color="auto"/>
            </w:tcBorders>
            <w:shd w:val="clear" w:color="auto" w:fill="D0CECE" w:themeFill="background2" w:themeFillShade="E6"/>
          </w:tcPr>
          <w:p w14:paraId="778852D2" w14:textId="77777777" w:rsidR="0099795D" w:rsidRPr="0076472C" w:rsidRDefault="0099795D" w:rsidP="0099795D">
            <w:pPr>
              <w:pStyle w:val="Tabletextboldleft"/>
              <w:spacing w:before="20" w:after="20"/>
              <w:rPr>
                <w:i/>
              </w:rPr>
            </w:pPr>
            <w:r>
              <w:rPr>
                <w:i/>
              </w:rPr>
              <w:t>Scenario 1</w:t>
            </w:r>
          </w:p>
        </w:tc>
        <w:tc>
          <w:tcPr>
            <w:tcW w:w="1162" w:type="dxa"/>
            <w:tcBorders>
              <w:bottom w:val="single" w:sz="4" w:space="0" w:color="auto"/>
            </w:tcBorders>
            <w:shd w:val="clear" w:color="auto" w:fill="D0CECE" w:themeFill="background2" w:themeFillShade="E6"/>
          </w:tcPr>
          <w:p w14:paraId="43DE3AD9" w14:textId="77777777" w:rsidR="0099795D" w:rsidRPr="002D0B57" w:rsidRDefault="0099795D" w:rsidP="0099795D">
            <w:pPr>
              <w:pStyle w:val="Tabletextboldleft"/>
              <w:spacing w:before="20" w:after="20"/>
              <w:jc w:val="right"/>
              <w:rPr>
                <w:b w:val="0"/>
              </w:rPr>
            </w:pPr>
            <w:r>
              <w:rPr>
                <w:b w:val="0"/>
              </w:rPr>
              <w:t>-</w:t>
            </w:r>
          </w:p>
        </w:tc>
        <w:tc>
          <w:tcPr>
            <w:tcW w:w="1162" w:type="dxa"/>
            <w:tcBorders>
              <w:bottom w:val="single" w:sz="4" w:space="0" w:color="auto"/>
            </w:tcBorders>
            <w:shd w:val="clear" w:color="auto" w:fill="D0CECE" w:themeFill="background2" w:themeFillShade="E6"/>
          </w:tcPr>
          <w:p w14:paraId="3F847AB6" w14:textId="77777777" w:rsidR="0099795D" w:rsidRPr="002D0B57" w:rsidRDefault="0099795D" w:rsidP="0099795D">
            <w:pPr>
              <w:pStyle w:val="Tabletextboldleft"/>
              <w:spacing w:before="20" w:after="20"/>
              <w:jc w:val="right"/>
              <w:rPr>
                <w:b w:val="0"/>
              </w:rPr>
            </w:pPr>
            <w:r>
              <w:rPr>
                <w:b w:val="0"/>
              </w:rPr>
              <w:t>-</w:t>
            </w:r>
          </w:p>
        </w:tc>
        <w:tc>
          <w:tcPr>
            <w:tcW w:w="1162" w:type="dxa"/>
            <w:tcBorders>
              <w:bottom w:val="single" w:sz="4" w:space="0" w:color="auto"/>
            </w:tcBorders>
            <w:shd w:val="clear" w:color="auto" w:fill="D0CECE" w:themeFill="background2" w:themeFillShade="E6"/>
          </w:tcPr>
          <w:p w14:paraId="586476D3" w14:textId="77777777" w:rsidR="0099795D" w:rsidRPr="002D0B57" w:rsidRDefault="0099795D" w:rsidP="0099795D">
            <w:pPr>
              <w:pStyle w:val="Tabletextboldleft"/>
              <w:spacing w:before="20" w:after="20"/>
              <w:jc w:val="right"/>
              <w:rPr>
                <w:b w:val="0"/>
              </w:rPr>
            </w:pPr>
            <w:r>
              <w:rPr>
                <w:b w:val="0"/>
              </w:rPr>
              <w:t>-</w:t>
            </w:r>
          </w:p>
        </w:tc>
        <w:tc>
          <w:tcPr>
            <w:tcW w:w="1162" w:type="dxa"/>
            <w:tcBorders>
              <w:bottom w:val="single" w:sz="4" w:space="0" w:color="auto"/>
            </w:tcBorders>
            <w:shd w:val="clear" w:color="auto" w:fill="D0CECE" w:themeFill="background2" w:themeFillShade="E6"/>
          </w:tcPr>
          <w:p w14:paraId="212F6D46" w14:textId="77777777" w:rsidR="0099795D" w:rsidRPr="002D0B57" w:rsidRDefault="0099795D" w:rsidP="0099795D">
            <w:pPr>
              <w:pStyle w:val="Tabletextboldleft"/>
              <w:spacing w:before="20" w:after="20"/>
              <w:jc w:val="right"/>
              <w:rPr>
                <w:b w:val="0"/>
              </w:rPr>
            </w:pPr>
            <w:r>
              <w:rPr>
                <w:b w:val="0"/>
              </w:rPr>
              <w:t>-</w:t>
            </w:r>
          </w:p>
        </w:tc>
        <w:tc>
          <w:tcPr>
            <w:tcW w:w="1163" w:type="dxa"/>
            <w:tcBorders>
              <w:bottom w:val="single" w:sz="4" w:space="0" w:color="auto"/>
            </w:tcBorders>
            <w:shd w:val="clear" w:color="auto" w:fill="D0CECE" w:themeFill="background2" w:themeFillShade="E6"/>
          </w:tcPr>
          <w:p w14:paraId="337FCA22" w14:textId="77777777" w:rsidR="0099795D" w:rsidRPr="002D0B57" w:rsidRDefault="0099795D" w:rsidP="0099795D">
            <w:pPr>
              <w:pStyle w:val="Tabletextboldleft"/>
              <w:spacing w:before="20" w:after="20"/>
              <w:jc w:val="right"/>
              <w:rPr>
                <w:b w:val="0"/>
              </w:rPr>
            </w:pPr>
            <w:r>
              <w:rPr>
                <w:b w:val="0"/>
              </w:rPr>
              <w:t>-</w:t>
            </w:r>
          </w:p>
        </w:tc>
      </w:tr>
      <w:tr w:rsidR="0099795D" w:rsidRPr="00F647C7" w14:paraId="55BA3F01" w14:textId="77777777" w:rsidTr="00C04E58">
        <w:trPr>
          <w:trHeight w:val="212"/>
        </w:trPr>
        <w:tc>
          <w:tcPr>
            <w:tcW w:w="2552" w:type="dxa"/>
            <w:tcBorders>
              <w:bottom w:val="nil"/>
            </w:tcBorders>
          </w:tcPr>
          <w:p w14:paraId="142599B4" w14:textId="77777777" w:rsidR="0099795D" w:rsidRPr="001B61B2" w:rsidRDefault="0099795D" w:rsidP="0099795D">
            <w:pPr>
              <w:pStyle w:val="Tabletextboldleft"/>
              <w:spacing w:before="20" w:after="20"/>
              <w:rPr>
                <w:b w:val="0"/>
                <w:vertAlign w:val="superscript"/>
              </w:rPr>
            </w:pPr>
            <w:r w:rsidRPr="00386763">
              <w:rPr>
                <w:b w:val="0"/>
              </w:rPr>
              <w:t>Tissue pathology</w:t>
            </w:r>
            <w:r w:rsidRPr="00386763">
              <w:rPr>
                <w:b w:val="0"/>
                <w:vertAlign w:val="superscript"/>
              </w:rPr>
              <w:t>a</w:t>
            </w:r>
          </w:p>
        </w:tc>
        <w:tc>
          <w:tcPr>
            <w:tcW w:w="1162" w:type="dxa"/>
            <w:tcBorders>
              <w:bottom w:val="nil"/>
            </w:tcBorders>
          </w:tcPr>
          <w:p w14:paraId="01865DBE" w14:textId="77777777" w:rsidR="0099795D" w:rsidRPr="00C932DC" w:rsidRDefault="0099795D" w:rsidP="0099795D">
            <w:pPr>
              <w:pStyle w:val="Tabletextboldleft"/>
              <w:spacing w:before="20" w:after="20"/>
              <w:jc w:val="right"/>
              <w:rPr>
                <w:b w:val="0"/>
              </w:rPr>
            </w:pPr>
            <w:r w:rsidRPr="00C932DC">
              <w:rPr>
                <w:b w:val="0"/>
                <w:bCs/>
                <w:color w:val="000000"/>
              </w:rPr>
              <w:t>$9,213,248</w:t>
            </w:r>
          </w:p>
        </w:tc>
        <w:tc>
          <w:tcPr>
            <w:tcW w:w="1162" w:type="dxa"/>
            <w:tcBorders>
              <w:bottom w:val="nil"/>
            </w:tcBorders>
          </w:tcPr>
          <w:p w14:paraId="1AC70337" w14:textId="77777777" w:rsidR="0099795D" w:rsidRPr="00C932DC" w:rsidRDefault="0099795D" w:rsidP="0099795D">
            <w:pPr>
              <w:pStyle w:val="Tabletextboldleft"/>
              <w:spacing w:before="20" w:after="20"/>
              <w:jc w:val="right"/>
              <w:rPr>
                <w:b w:val="0"/>
              </w:rPr>
            </w:pPr>
            <w:r w:rsidRPr="00C932DC">
              <w:rPr>
                <w:b w:val="0"/>
                <w:bCs/>
                <w:color w:val="000000"/>
              </w:rPr>
              <w:t>$9,547,064</w:t>
            </w:r>
          </w:p>
        </w:tc>
        <w:tc>
          <w:tcPr>
            <w:tcW w:w="1162" w:type="dxa"/>
            <w:tcBorders>
              <w:bottom w:val="nil"/>
            </w:tcBorders>
          </w:tcPr>
          <w:p w14:paraId="5FD30981" w14:textId="77777777" w:rsidR="0099795D" w:rsidRPr="00C932DC" w:rsidRDefault="0099795D" w:rsidP="0099795D">
            <w:pPr>
              <w:pStyle w:val="Tabletextboldleft"/>
              <w:spacing w:before="20" w:after="20"/>
              <w:jc w:val="right"/>
              <w:rPr>
                <w:b w:val="0"/>
              </w:rPr>
            </w:pPr>
            <w:r w:rsidRPr="00C932DC">
              <w:rPr>
                <w:b w:val="0"/>
                <w:bCs/>
                <w:color w:val="000000"/>
              </w:rPr>
              <w:t>$9,880,889</w:t>
            </w:r>
          </w:p>
        </w:tc>
        <w:tc>
          <w:tcPr>
            <w:tcW w:w="1162" w:type="dxa"/>
            <w:tcBorders>
              <w:bottom w:val="nil"/>
            </w:tcBorders>
          </w:tcPr>
          <w:p w14:paraId="3E208BDE" w14:textId="77777777" w:rsidR="0099795D" w:rsidRPr="00C932DC" w:rsidRDefault="0099795D" w:rsidP="0099795D">
            <w:pPr>
              <w:pStyle w:val="Tabletextboldleft"/>
              <w:spacing w:before="20" w:after="20"/>
              <w:jc w:val="right"/>
              <w:rPr>
                <w:b w:val="0"/>
              </w:rPr>
            </w:pPr>
            <w:r w:rsidRPr="00C932DC">
              <w:rPr>
                <w:b w:val="0"/>
                <w:bCs/>
                <w:color w:val="000000"/>
              </w:rPr>
              <w:t>$10,214,714</w:t>
            </w:r>
          </w:p>
        </w:tc>
        <w:tc>
          <w:tcPr>
            <w:tcW w:w="1163" w:type="dxa"/>
            <w:tcBorders>
              <w:bottom w:val="nil"/>
            </w:tcBorders>
          </w:tcPr>
          <w:p w14:paraId="01A29852" w14:textId="77777777" w:rsidR="0099795D" w:rsidRPr="00C932DC" w:rsidRDefault="0099795D" w:rsidP="0099795D">
            <w:pPr>
              <w:pStyle w:val="Tabletextboldleft"/>
              <w:spacing w:before="20" w:after="20"/>
              <w:jc w:val="right"/>
              <w:rPr>
                <w:b w:val="0"/>
              </w:rPr>
            </w:pPr>
            <w:r w:rsidRPr="00C932DC">
              <w:rPr>
                <w:b w:val="0"/>
                <w:bCs/>
                <w:color w:val="000000"/>
              </w:rPr>
              <w:t>$10,548,537</w:t>
            </w:r>
          </w:p>
        </w:tc>
      </w:tr>
      <w:tr w:rsidR="0099795D" w:rsidRPr="00F647C7" w14:paraId="41BD348B" w14:textId="77777777" w:rsidTr="00C04E58">
        <w:trPr>
          <w:trHeight w:val="212"/>
        </w:trPr>
        <w:tc>
          <w:tcPr>
            <w:tcW w:w="2552" w:type="dxa"/>
            <w:tcBorders>
              <w:top w:val="nil"/>
              <w:bottom w:val="nil"/>
            </w:tcBorders>
          </w:tcPr>
          <w:p w14:paraId="650FF290" w14:textId="77777777" w:rsidR="0099795D" w:rsidRDefault="0099795D" w:rsidP="0099795D">
            <w:pPr>
              <w:pStyle w:val="Tabletextboldleft"/>
              <w:spacing w:before="20" w:after="20"/>
              <w:ind w:firstLine="317"/>
              <w:rPr>
                <w:b w:val="0"/>
              </w:rPr>
            </w:pPr>
            <w:r>
              <w:rPr>
                <w:b w:val="0"/>
              </w:rPr>
              <w:t>Second, expert opinion</w:t>
            </w:r>
          </w:p>
        </w:tc>
        <w:tc>
          <w:tcPr>
            <w:tcW w:w="1162" w:type="dxa"/>
            <w:tcBorders>
              <w:top w:val="nil"/>
              <w:bottom w:val="nil"/>
            </w:tcBorders>
          </w:tcPr>
          <w:p w14:paraId="2FD96484" w14:textId="77777777" w:rsidR="0099795D" w:rsidRPr="00C932DC" w:rsidRDefault="0099795D" w:rsidP="0099795D">
            <w:pPr>
              <w:pStyle w:val="Tabletextboldleft"/>
              <w:spacing w:before="20" w:after="20"/>
              <w:jc w:val="right"/>
              <w:rPr>
                <w:b w:val="0"/>
              </w:rPr>
            </w:pPr>
            <w:r w:rsidRPr="00C932DC">
              <w:rPr>
                <w:b w:val="0"/>
                <w:color w:val="000000"/>
              </w:rPr>
              <w:t>$7,912,188</w:t>
            </w:r>
          </w:p>
        </w:tc>
        <w:tc>
          <w:tcPr>
            <w:tcW w:w="1162" w:type="dxa"/>
            <w:tcBorders>
              <w:top w:val="nil"/>
              <w:bottom w:val="nil"/>
            </w:tcBorders>
          </w:tcPr>
          <w:p w14:paraId="41F1EC80" w14:textId="77777777" w:rsidR="0099795D" w:rsidRPr="00C932DC" w:rsidRDefault="0099795D" w:rsidP="0099795D">
            <w:pPr>
              <w:pStyle w:val="Tabletextboldleft"/>
              <w:spacing w:before="20" w:after="20"/>
              <w:jc w:val="right"/>
              <w:rPr>
                <w:b w:val="0"/>
              </w:rPr>
            </w:pPr>
            <w:r w:rsidRPr="00C932DC">
              <w:rPr>
                <w:b w:val="0"/>
                <w:color w:val="000000"/>
              </w:rPr>
              <w:t>$8,198,864</w:t>
            </w:r>
          </w:p>
        </w:tc>
        <w:tc>
          <w:tcPr>
            <w:tcW w:w="1162" w:type="dxa"/>
            <w:tcBorders>
              <w:top w:val="nil"/>
              <w:bottom w:val="nil"/>
            </w:tcBorders>
          </w:tcPr>
          <w:p w14:paraId="790ACE74" w14:textId="77777777" w:rsidR="0099795D" w:rsidRPr="00C932DC" w:rsidRDefault="0099795D" w:rsidP="0099795D">
            <w:pPr>
              <w:pStyle w:val="Tabletextboldleft"/>
              <w:spacing w:before="20" w:after="20"/>
              <w:jc w:val="right"/>
              <w:rPr>
                <w:b w:val="0"/>
              </w:rPr>
            </w:pPr>
            <w:r w:rsidRPr="00C932DC">
              <w:rPr>
                <w:b w:val="0"/>
                <w:color w:val="000000"/>
              </w:rPr>
              <w:t>$8,485,547</w:t>
            </w:r>
          </w:p>
        </w:tc>
        <w:tc>
          <w:tcPr>
            <w:tcW w:w="1162" w:type="dxa"/>
            <w:tcBorders>
              <w:top w:val="nil"/>
              <w:bottom w:val="nil"/>
            </w:tcBorders>
          </w:tcPr>
          <w:p w14:paraId="2E9F1DD2" w14:textId="77777777" w:rsidR="0099795D" w:rsidRPr="00C932DC" w:rsidRDefault="0099795D" w:rsidP="0099795D">
            <w:pPr>
              <w:pStyle w:val="Tabletextboldleft"/>
              <w:spacing w:before="20" w:after="20"/>
              <w:jc w:val="right"/>
              <w:rPr>
                <w:b w:val="0"/>
              </w:rPr>
            </w:pPr>
            <w:r w:rsidRPr="00C932DC">
              <w:rPr>
                <w:b w:val="0"/>
                <w:color w:val="000000"/>
              </w:rPr>
              <w:t>$8,772,231</w:t>
            </w:r>
          </w:p>
        </w:tc>
        <w:tc>
          <w:tcPr>
            <w:tcW w:w="1163" w:type="dxa"/>
            <w:tcBorders>
              <w:top w:val="nil"/>
              <w:bottom w:val="nil"/>
            </w:tcBorders>
          </w:tcPr>
          <w:p w14:paraId="2947C780" w14:textId="77777777" w:rsidR="0099795D" w:rsidRPr="00C932DC" w:rsidRDefault="0099795D" w:rsidP="0099795D">
            <w:pPr>
              <w:pStyle w:val="Tabletextboldleft"/>
              <w:spacing w:before="20" w:after="20"/>
              <w:jc w:val="right"/>
              <w:rPr>
                <w:b w:val="0"/>
              </w:rPr>
            </w:pPr>
            <w:r w:rsidRPr="00C932DC">
              <w:rPr>
                <w:b w:val="0"/>
                <w:color w:val="000000"/>
              </w:rPr>
              <w:t>$9,058,912</w:t>
            </w:r>
          </w:p>
        </w:tc>
      </w:tr>
      <w:tr w:rsidR="0099795D" w:rsidRPr="00F647C7" w14:paraId="453E7942" w14:textId="77777777" w:rsidTr="00C04E58">
        <w:trPr>
          <w:trHeight w:val="212"/>
        </w:trPr>
        <w:tc>
          <w:tcPr>
            <w:tcW w:w="2552" w:type="dxa"/>
            <w:tcBorders>
              <w:top w:val="nil"/>
              <w:bottom w:val="nil"/>
            </w:tcBorders>
          </w:tcPr>
          <w:p w14:paraId="1295976F" w14:textId="77777777" w:rsidR="0099795D" w:rsidRPr="00386763" w:rsidRDefault="0099795D" w:rsidP="0099795D">
            <w:pPr>
              <w:pStyle w:val="Tabletextboldleft"/>
              <w:spacing w:before="20" w:after="20"/>
              <w:ind w:firstLine="317"/>
              <w:rPr>
                <w:b w:val="0"/>
              </w:rPr>
            </w:pPr>
            <w:r>
              <w:rPr>
                <w:b w:val="0"/>
              </w:rPr>
              <w:t>Ancillary tests</w:t>
            </w:r>
          </w:p>
        </w:tc>
        <w:tc>
          <w:tcPr>
            <w:tcW w:w="1162" w:type="dxa"/>
            <w:tcBorders>
              <w:top w:val="nil"/>
              <w:bottom w:val="nil"/>
            </w:tcBorders>
          </w:tcPr>
          <w:p w14:paraId="0FDF3620" w14:textId="77777777" w:rsidR="0099795D" w:rsidRPr="00C932DC" w:rsidRDefault="0099795D" w:rsidP="0099795D">
            <w:pPr>
              <w:pStyle w:val="Tabletextboldleft"/>
              <w:spacing w:before="20" w:after="20"/>
              <w:jc w:val="right"/>
              <w:rPr>
                <w:b w:val="0"/>
              </w:rPr>
            </w:pPr>
            <w:r w:rsidRPr="00C932DC">
              <w:rPr>
                <w:b w:val="0"/>
                <w:color w:val="000000"/>
              </w:rPr>
              <w:t>$908,430</w:t>
            </w:r>
          </w:p>
        </w:tc>
        <w:tc>
          <w:tcPr>
            <w:tcW w:w="1162" w:type="dxa"/>
            <w:tcBorders>
              <w:top w:val="nil"/>
              <w:bottom w:val="nil"/>
            </w:tcBorders>
          </w:tcPr>
          <w:p w14:paraId="012C10F7" w14:textId="77777777" w:rsidR="0099795D" w:rsidRPr="00C932DC" w:rsidRDefault="0099795D" w:rsidP="0099795D">
            <w:pPr>
              <w:pStyle w:val="Tabletextboldleft"/>
              <w:spacing w:before="20" w:after="20"/>
              <w:jc w:val="right"/>
              <w:rPr>
                <w:b w:val="0"/>
              </w:rPr>
            </w:pPr>
            <w:r w:rsidRPr="00C932DC">
              <w:rPr>
                <w:b w:val="0"/>
                <w:color w:val="000000"/>
              </w:rPr>
              <w:t>$941,345</w:t>
            </w:r>
          </w:p>
        </w:tc>
        <w:tc>
          <w:tcPr>
            <w:tcW w:w="1162" w:type="dxa"/>
            <w:tcBorders>
              <w:top w:val="nil"/>
              <w:bottom w:val="nil"/>
            </w:tcBorders>
          </w:tcPr>
          <w:p w14:paraId="12939512" w14:textId="77777777" w:rsidR="0099795D" w:rsidRPr="00C932DC" w:rsidRDefault="0099795D" w:rsidP="0099795D">
            <w:pPr>
              <w:pStyle w:val="Tabletextboldleft"/>
              <w:spacing w:before="20" w:after="20"/>
              <w:jc w:val="right"/>
              <w:rPr>
                <w:b w:val="0"/>
              </w:rPr>
            </w:pPr>
            <w:r w:rsidRPr="00C932DC">
              <w:rPr>
                <w:b w:val="0"/>
                <w:color w:val="000000"/>
              </w:rPr>
              <w:t>$974,260</w:t>
            </w:r>
          </w:p>
        </w:tc>
        <w:tc>
          <w:tcPr>
            <w:tcW w:w="1162" w:type="dxa"/>
            <w:tcBorders>
              <w:top w:val="nil"/>
              <w:bottom w:val="nil"/>
            </w:tcBorders>
          </w:tcPr>
          <w:p w14:paraId="42CA9600" w14:textId="77777777" w:rsidR="0099795D" w:rsidRPr="00C932DC" w:rsidRDefault="0099795D" w:rsidP="0099795D">
            <w:pPr>
              <w:pStyle w:val="Tabletextboldleft"/>
              <w:spacing w:before="20" w:after="20"/>
              <w:jc w:val="right"/>
              <w:rPr>
                <w:b w:val="0"/>
              </w:rPr>
            </w:pPr>
            <w:r w:rsidRPr="00C932DC">
              <w:rPr>
                <w:b w:val="0"/>
                <w:color w:val="000000"/>
              </w:rPr>
              <w:t>$1,007,175</w:t>
            </w:r>
          </w:p>
        </w:tc>
        <w:tc>
          <w:tcPr>
            <w:tcW w:w="1163" w:type="dxa"/>
            <w:tcBorders>
              <w:top w:val="nil"/>
              <w:bottom w:val="nil"/>
            </w:tcBorders>
          </w:tcPr>
          <w:p w14:paraId="70E967C2" w14:textId="77777777" w:rsidR="0099795D" w:rsidRPr="00C932DC" w:rsidRDefault="0099795D" w:rsidP="0099795D">
            <w:pPr>
              <w:pStyle w:val="Tabletextboldleft"/>
              <w:spacing w:before="20" w:after="20"/>
              <w:jc w:val="right"/>
              <w:rPr>
                <w:b w:val="0"/>
              </w:rPr>
            </w:pPr>
            <w:r w:rsidRPr="00C932DC">
              <w:rPr>
                <w:b w:val="0"/>
                <w:color w:val="000000"/>
              </w:rPr>
              <w:t>$1,040,090</w:t>
            </w:r>
          </w:p>
        </w:tc>
      </w:tr>
      <w:tr w:rsidR="0099795D" w:rsidRPr="00F647C7" w14:paraId="393C5438" w14:textId="77777777" w:rsidTr="00C04E58">
        <w:trPr>
          <w:trHeight w:val="212"/>
        </w:trPr>
        <w:tc>
          <w:tcPr>
            <w:tcW w:w="2552" w:type="dxa"/>
            <w:tcBorders>
              <w:top w:val="nil"/>
              <w:bottom w:val="nil"/>
            </w:tcBorders>
          </w:tcPr>
          <w:p w14:paraId="08BEB584" w14:textId="77777777" w:rsidR="0099795D" w:rsidRPr="00386763" w:rsidRDefault="0099795D" w:rsidP="0099795D">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174648F2" w14:textId="77777777" w:rsidR="0099795D" w:rsidRPr="00C932DC" w:rsidRDefault="0099795D" w:rsidP="0099795D">
            <w:pPr>
              <w:pStyle w:val="Tabletextboldleft"/>
              <w:spacing w:before="20" w:after="20"/>
              <w:jc w:val="right"/>
              <w:rPr>
                <w:b w:val="0"/>
              </w:rPr>
            </w:pPr>
            <w:r w:rsidRPr="00C932DC">
              <w:rPr>
                <w:b w:val="0"/>
                <w:color w:val="000000"/>
              </w:rPr>
              <w:t>$288,698</w:t>
            </w:r>
          </w:p>
        </w:tc>
        <w:tc>
          <w:tcPr>
            <w:tcW w:w="1162" w:type="dxa"/>
            <w:tcBorders>
              <w:top w:val="nil"/>
              <w:bottom w:val="nil"/>
            </w:tcBorders>
          </w:tcPr>
          <w:p w14:paraId="7E692408" w14:textId="77777777" w:rsidR="0099795D" w:rsidRPr="00C932DC" w:rsidRDefault="0099795D" w:rsidP="0099795D">
            <w:pPr>
              <w:pStyle w:val="Tabletextboldleft"/>
              <w:spacing w:before="20" w:after="20"/>
              <w:jc w:val="right"/>
              <w:rPr>
                <w:b w:val="0"/>
              </w:rPr>
            </w:pPr>
            <w:r w:rsidRPr="00C932DC">
              <w:rPr>
                <w:b w:val="0"/>
                <w:color w:val="000000"/>
              </w:rPr>
              <w:t>$299,158</w:t>
            </w:r>
          </w:p>
        </w:tc>
        <w:tc>
          <w:tcPr>
            <w:tcW w:w="1162" w:type="dxa"/>
            <w:tcBorders>
              <w:top w:val="nil"/>
              <w:bottom w:val="nil"/>
            </w:tcBorders>
          </w:tcPr>
          <w:p w14:paraId="229848FC" w14:textId="77777777" w:rsidR="0099795D" w:rsidRPr="00C932DC" w:rsidRDefault="0099795D" w:rsidP="0099795D">
            <w:pPr>
              <w:pStyle w:val="Tabletextboldleft"/>
              <w:spacing w:before="20" w:after="20"/>
              <w:jc w:val="right"/>
              <w:rPr>
                <w:b w:val="0"/>
              </w:rPr>
            </w:pPr>
            <w:r w:rsidRPr="00C932DC">
              <w:rPr>
                <w:b w:val="0"/>
                <w:color w:val="000000"/>
              </w:rPr>
              <w:t>$309,619</w:t>
            </w:r>
          </w:p>
        </w:tc>
        <w:tc>
          <w:tcPr>
            <w:tcW w:w="1162" w:type="dxa"/>
            <w:tcBorders>
              <w:top w:val="nil"/>
              <w:bottom w:val="nil"/>
            </w:tcBorders>
          </w:tcPr>
          <w:p w14:paraId="4734AB9C" w14:textId="77777777" w:rsidR="0099795D" w:rsidRPr="00C932DC" w:rsidRDefault="0099795D" w:rsidP="0099795D">
            <w:pPr>
              <w:pStyle w:val="Tabletextboldleft"/>
              <w:spacing w:before="20" w:after="20"/>
              <w:jc w:val="right"/>
              <w:rPr>
                <w:b w:val="0"/>
              </w:rPr>
            </w:pPr>
            <w:r w:rsidRPr="00C932DC">
              <w:rPr>
                <w:b w:val="0"/>
                <w:color w:val="000000"/>
              </w:rPr>
              <w:t>$320,079</w:t>
            </w:r>
          </w:p>
        </w:tc>
        <w:tc>
          <w:tcPr>
            <w:tcW w:w="1163" w:type="dxa"/>
            <w:tcBorders>
              <w:top w:val="nil"/>
              <w:bottom w:val="nil"/>
            </w:tcBorders>
          </w:tcPr>
          <w:p w14:paraId="4AA86520" w14:textId="77777777" w:rsidR="0099795D" w:rsidRPr="00C932DC" w:rsidRDefault="0099795D" w:rsidP="0099795D">
            <w:pPr>
              <w:pStyle w:val="Tabletextboldleft"/>
              <w:spacing w:before="20" w:after="20"/>
              <w:jc w:val="right"/>
              <w:rPr>
                <w:b w:val="0"/>
              </w:rPr>
            </w:pPr>
            <w:r w:rsidRPr="00C932DC">
              <w:rPr>
                <w:b w:val="0"/>
                <w:color w:val="000000"/>
              </w:rPr>
              <w:t>$330,540</w:t>
            </w:r>
          </w:p>
        </w:tc>
      </w:tr>
      <w:tr w:rsidR="0099795D" w:rsidRPr="00F647C7" w14:paraId="293BBA7A" w14:textId="77777777" w:rsidTr="00C04E58">
        <w:trPr>
          <w:trHeight w:val="212"/>
        </w:trPr>
        <w:tc>
          <w:tcPr>
            <w:tcW w:w="2552" w:type="dxa"/>
            <w:tcBorders>
              <w:top w:val="nil"/>
              <w:bottom w:val="single" w:sz="4" w:space="0" w:color="auto"/>
            </w:tcBorders>
          </w:tcPr>
          <w:p w14:paraId="5A77A8C8" w14:textId="77777777" w:rsidR="0099795D" w:rsidRPr="00386763" w:rsidRDefault="0099795D" w:rsidP="0099795D">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bottom w:val="single" w:sz="4" w:space="0" w:color="auto"/>
            </w:tcBorders>
          </w:tcPr>
          <w:p w14:paraId="3B92E297" w14:textId="77777777" w:rsidR="0099795D" w:rsidRPr="00C932DC" w:rsidRDefault="0099795D" w:rsidP="0099795D">
            <w:pPr>
              <w:pStyle w:val="Tabletextboldleft"/>
              <w:spacing w:before="20" w:after="20"/>
              <w:jc w:val="right"/>
              <w:rPr>
                <w:b w:val="0"/>
              </w:rPr>
            </w:pPr>
            <w:r w:rsidRPr="00C932DC">
              <w:rPr>
                <w:b w:val="0"/>
                <w:color w:val="000000"/>
              </w:rPr>
              <w:t>$103,931</w:t>
            </w:r>
          </w:p>
        </w:tc>
        <w:tc>
          <w:tcPr>
            <w:tcW w:w="1162" w:type="dxa"/>
            <w:tcBorders>
              <w:top w:val="nil"/>
              <w:bottom w:val="single" w:sz="4" w:space="0" w:color="auto"/>
            </w:tcBorders>
          </w:tcPr>
          <w:p w14:paraId="0D0B7DD8" w14:textId="77777777" w:rsidR="0099795D" w:rsidRPr="00C932DC" w:rsidRDefault="0099795D" w:rsidP="0099795D">
            <w:pPr>
              <w:pStyle w:val="Tabletextboldleft"/>
              <w:spacing w:before="20" w:after="20"/>
              <w:jc w:val="right"/>
              <w:rPr>
                <w:b w:val="0"/>
              </w:rPr>
            </w:pPr>
            <w:r w:rsidRPr="00C932DC">
              <w:rPr>
                <w:b w:val="0"/>
                <w:color w:val="000000"/>
              </w:rPr>
              <w:t>$107,697</w:t>
            </w:r>
          </w:p>
        </w:tc>
        <w:tc>
          <w:tcPr>
            <w:tcW w:w="1162" w:type="dxa"/>
            <w:tcBorders>
              <w:top w:val="nil"/>
              <w:bottom w:val="single" w:sz="4" w:space="0" w:color="auto"/>
            </w:tcBorders>
          </w:tcPr>
          <w:p w14:paraId="0CE789C9" w14:textId="77777777" w:rsidR="0099795D" w:rsidRPr="00C932DC" w:rsidRDefault="0099795D" w:rsidP="0099795D">
            <w:pPr>
              <w:pStyle w:val="Tabletextboldleft"/>
              <w:spacing w:before="20" w:after="20"/>
              <w:jc w:val="right"/>
              <w:rPr>
                <w:b w:val="0"/>
              </w:rPr>
            </w:pPr>
            <w:r w:rsidRPr="00C932DC">
              <w:rPr>
                <w:b w:val="0"/>
                <w:color w:val="000000"/>
              </w:rPr>
              <w:t>$111,463</w:t>
            </w:r>
          </w:p>
        </w:tc>
        <w:tc>
          <w:tcPr>
            <w:tcW w:w="1162" w:type="dxa"/>
            <w:tcBorders>
              <w:top w:val="nil"/>
              <w:bottom w:val="single" w:sz="4" w:space="0" w:color="auto"/>
            </w:tcBorders>
          </w:tcPr>
          <w:p w14:paraId="299D8DFB" w14:textId="77777777" w:rsidR="0099795D" w:rsidRPr="00C932DC" w:rsidRDefault="0099795D" w:rsidP="0099795D">
            <w:pPr>
              <w:pStyle w:val="Tabletextboldleft"/>
              <w:spacing w:before="20" w:after="20"/>
              <w:jc w:val="right"/>
              <w:rPr>
                <w:b w:val="0"/>
              </w:rPr>
            </w:pPr>
            <w:r w:rsidRPr="00C932DC">
              <w:rPr>
                <w:b w:val="0"/>
                <w:color w:val="000000"/>
              </w:rPr>
              <w:t>$115,229</w:t>
            </w:r>
          </w:p>
        </w:tc>
        <w:tc>
          <w:tcPr>
            <w:tcW w:w="1163" w:type="dxa"/>
            <w:tcBorders>
              <w:top w:val="nil"/>
              <w:bottom w:val="single" w:sz="4" w:space="0" w:color="auto"/>
            </w:tcBorders>
          </w:tcPr>
          <w:p w14:paraId="1C5CA53C" w14:textId="77777777" w:rsidR="0099795D" w:rsidRPr="00C932DC" w:rsidRDefault="0099795D" w:rsidP="0099795D">
            <w:pPr>
              <w:pStyle w:val="Tabletextboldleft"/>
              <w:spacing w:before="20" w:after="20"/>
              <w:jc w:val="right"/>
              <w:rPr>
                <w:b w:val="0"/>
              </w:rPr>
            </w:pPr>
            <w:r w:rsidRPr="00C932DC">
              <w:rPr>
                <w:b w:val="0"/>
                <w:color w:val="000000"/>
              </w:rPr>
              <w:t>$118,994</w:t>
            </w:r>
          </w:p>
        </w:tc>
      </w:tr>
      <w:tr w:rsidR="0099795D" w:rsidRPr="00F647C7" w14:paraId="0D3C1918" w14:textId="77777777" w:rsidTr="00C04E58">
        <w:trPr>
          <w:trHeight w:val="212"/>
        </w:trPr>
        <w:tc>
          <w:tcPr>
            <w:tcW w:w="2552" w:type="dxa"/>
            <w:tcBorders>
              <w:bottom w:val="nil"/>
            </w:tcBorders>
          </w:tcPr>
          <w:p w14:paraId="736D9F54" w14:textId="77777777" w:rsidR="0099795D" w:rsidRPr="00F411CD" w:rsidRDefault="0099795D" w:rsidP="0099795D">
            <w:pPr>
              <w:pStyle w:val="Tabletextboldleft"/>
              <w:spacing w:before="20" w:after="20"/>
              <w:rPr>
                <w:b w:val="0"/>
              </w:rPr>
            </w:pPr>
            <w:r w:rsidRPr="00F411CD">
              <w:rPr>
                <w:b w:val="0"/>
              </w:rPr>
              <w:t>Non-gynaecological cytology</w:t>
            </w:r>
          </w:p>
        </w:tc>
        <w:tc>
          <w:tcPr>
            <w:tcW w:w="1162" w:type="dxa"/>
            <w:tcBorders>
              <w:bottom w:val="nil"/>
            </w:tcBorders>
          </w:tcPr>
          <w:p w14:paraId="4F863E85" w14:textId="77777777" w:rsidR="0099795D" w:rsidRPr="00C932DC" w:rsidRDefault="0099795D" w:rsidP="0099795D">
            <w:pPr>
              <w:pStyle w:val="Tabletextboldleft"/>
              <w:spacing w:before="20" w:after="20"/>
              <w:jc w:val="right"/>
              <w:rPr>
                <w:b w:val="0"/>
              </w:rPr>
            </w:pPr>
            <w:r w:rsidRPr="00C932DC">
              <w:rPr>
                <w:b w:val="0"/>
                <w:bCs/>
                <w:color w:val="000000"/>
              </w:rPr>
              <w:t>$368,113</w:t>
            </w:r>
          </w:p>
        </w:tc>
        <w:tc>
          <w:tcPr>
            <w:tcW w:w="1162" w:type="dxa"/>
            <w:tcBorders>
              <w:bottom w:val="nil"/>
            </w:tcBorders>
          </w:tcPr>
          <w:p w14:paraId="6C194875" w14:textId="77777777" w:rsidR="0099795D" w:rsidRPr="00C932DC" w:rsidRDefault="0099795D" w:rsidP="0099795D">
            <w:pPr>
              <w:pStyle w:val="Tabletextboldleft"/>
              <w:spacing w:before="20" w:after="20"/>
              <w:jc w:val="right"/>
              <w:rPr>
                <w:b w:val="0"/>
              </w:rPr>
            </w:pPr>
            <w:r w:rsidRPr="00C932DC">
              <w:rPr>
                <w:b w:val="0"/>
                <w:bCs/>
                <w:color w:val="000000"/>
              </w:rPr>
              <w:t>$378,792</w:t>
            </w:r>
          </w:p>
        </w:tc>
        <w:tc>
          <w:tcPr>
            <w:tcW w:w="1162" w:type="dxa"/>
            <w:tcBorders>
              <w:bottom w:val="nil"/>
            </w:tcBorders>
          </w:tcPr>
          <w:p w14:paraId="20FDB009" w14:textId="77777777" w:rsidR="0099795D" w:rsidRPr="00C932DC" w:rsidRDefault="0099795D" w:rsidP="0099795D">
            <w:pPr>
              <w:pStyle w:val="Tabletextboldleft"/>
              <w:spacing w:before="20" w:after="20"/>
              <w:jc w:val="right"/>
              <w:rPr>
                <w:b w:val="0"/>
              </w:rPr>
            </w:pPr>
            <w:r w:rsidRPr="00C932DC">
              <w:rPr>
                <w:b w:val="0"/>
                <w:bCs/>
                <w:color w:val="000000"/>
              </w:rPr>
              <w:t>$389,471</w:t>
            </w:r>
          </w:p>
        </w:tc>
        <w:tc>
          <w:tcPr>
            <w:tcW w:w="1162" w:type="dxa"/>
            <w:tcBorders>
              <w:bottom w:val="nil"/>
            </w:tcBorders>
          </w:tcPr>
          <w:p w14:paraId="3F5702BD" w14:textId="77777777" w:rsidR="0099795D" w:rsidRPr="00C932DC" w:rsidRDefault="0099795D" w:rsidP="0099795D">
            <w:pPr>
              <w:pStyle w:val="Tabletextboldleft"/>
              <w:spacing w:before="20" w:after="20"/>
              <w:jc w:val="right"/>
              <w:rPr>
                <w:b w:val="0"/>
              </w:rPr>
            </w:pPr>
            <w:r w:rsidRPr="00C932DC">
              <w:rPr>
                <w:b w:val="0"/>
                <w:bCs/>
                <w:color w:val="000000"/>
              </w:rPr>
              <w:t>$400,150</w:t>
            </w:r>
          </w:p>
        </w:tc>
        <w:tc>
          <w:tcPr>
            <w:tcW w:w="1163" w:type="dxa"/>
            <w:tcBorders>
              <w:bottom w:val="nil"/>
            </w:tcBorders>
          </w:tcPr>
          <w:p w14:paraId="0810F2B7" w14:textId="77777777" w:rsidR="0099795D" w:rsidRPr="00C932DC" w:rsidRDefault="0099795D" w:rsidP="0099795D">
            <w:pPr>
              <w:pStyle w:val="Tabletextboldleft"/>
              <w:spacing w:before="20" w:after="20"/>
              <w:jc w:val="right"/>
              <w:rPr>
                <w:b w:val="0"/>
              </w:rPr>
            </w:pPr>
            <w:r w:rsidRPr="00C932DC">
              <w:rPr>
                <w:b w:val="0"/>
                <w:bCs/>
                <w:color w:val="000000"/>
              </w:rPr>
              <w:t>$410,830</w:t>
            </w:r>
          </w:p>
        </w:tc>
      </w:tr>
      <w:tr w:rsidR="0099795D" w:rsidRPr="00F647C7" w14:paraId="68CE22F9" w14:textId="77777777" w:rsidTr="00C04E58">
        <w:trPr>
          <w:trHeight w:val="212"/>
        </w:trPr>
        <w:tc>
          <w:tcPr>
            <w:tcW w:w="2552" w:type="dxa"/>
            <w:tcBorders>
              <w:top w:val="nil"/>
              <w:bottom w:val="nil"/>
            </w:tcBorders>
          </w:tcPr>
          <w:p w14:paraId="559B738D" w14:textId="77777777" w:rsidR="0099795D" w:rsidRPr="00F411CD" w:rsidRDefault="0099795D" w:rsidP="0099795D">
            <w:pPr>
              <w:pStyle w:val="Tabletextboldleft"/>
              <w:spacing w:before="20" w:after="20"/>
              <w:ind w:firstLine="317"/>
              <w:rPr>
                <w:b w:val="0"/>
              </w:rPr>
            </w:pPr>
            <w:r>
              <w:rPr>
                <w:b w:val="0"/>
              </w:rPr>
              <w:t>Second, expert opinion</w:t>
            </w:r>
          </w:p>
        </w:tc>
        <w:tc>
          <w:tcPr>
            <w:tcW w:w="1162" w:type="dxa"/>
            <w:tcBorders>
              <w:top w:val="nil"/>
              <w:bottom w:val="nil"/>
            </w:tcBorders>
          </w:tcPr>
          <w:p w14:paraId="47ACCD27" w14:textId="77777777" w:rsidR="0099795D" w:rsidRPr="00C932DC" w:rsidRDefault="0099795D" w:rsidP="0099795D">
            <w:pPr>
              <w:pStyle w:val="Tabletextboldleft"/>
              <w:spacing w:before="20" w:after="20"/>
              <w:jc w:val="right"/>
              <w:rPr>
                <w:b w:val="0"/>
              </w:rPr>
            </w:pPr>
            <w:r w:rsidRPr="00C932DC">
              <w:rPr>
                <w:b w:val="0"/>
                <w:color w:val="000000"/>
              </w:rPr>
              <w:t>$332,981</w:t>
            </w:r>
          </w:p>
        </w:tc>
        <w:tc>
          <w:tcPr>
            <w:tcW w:w="1162" w:type="dxa"/>
            <w:tcBorders>
              <w:top w:val="nil"/>
              <w:bottom w:val="nil"/>
            </w:tcBorders>
          </w:tcPr>
          <w:p w14:paraId="4B471E58" w14:textId="77777777" w:rsidR="0099795D" w:rsidRPr="00C932DC" w:rsidRDefault="0099795D" w:rsidP="0099795D">
            <w:pPr>
              <w:pStyle w:val="Tabletextboldleft"/>
              <w:spacing w:before="20" w:after="20"/>
              <w:jc w:val="right"/>
              <w:rPr>
                <w:b w:val="0"/>
              </w:rPr>
            </w:pPr>
            <w:r w:rsidRPr="00C932DC">
              <w:rPr>
                <w:b w:val="0"/>
                <w:color w:val="000000"/>
              </w:rPr>
              <w:t>$342,641</w:t>
            </w:r>
          </w:p>
        </w:tc>
        <w:tc>
          <w:tcPr>
            <w:tcW w:w="1162" w:type="dxa"/>
            <w:tcBorders>
              <w:top w:val="nil"/>
              <w:bottom w:val="nil"/>
            </w:tcBorders>
          </w:tcPr>
          <w:p w14:paraId="0263F342" w14:textId="77777777" w:rsidR="0099795D" w:rsidRPr="00C932DC" w:rsidRDefault="0099795D" w:rsidP="0099795D">
            <w:pPr>
              <w:pStyle w:val="Tabletextboldleft"/>
              <w:spacing w:before="20" w:after="20"/>
              <w:jc w:val="right"/>
              <w:rPr>
                <w:b w:val="0"/>
              </w:rPr>
            </w:pPr>
            <w:r w:rsidRPr="00C932DC">
              <w:rPr>
                <w:b w:val="0"/>
                <w:color w:val="000000"/>
              </w:rPr>
              <w:t>$352,300</w:t>
            </w:r>
          </w:p>
        </w:tc>
        <w:tc>
          <w:tcPr>
            <w:tcW w:w="1162" w:type="dxa"/>
            <w:tcBorders>
              <w:top w:val="nil"/>
              <w:bottom w:val="nil"/>
            </w:tcBorders>
          </w:tcPr>
          <w:p w14:paraId="4F77E3EC" w14:textId="77777777" w:rsidR="0099795D" w:rsidRPr="00C932DC" w:rsidRDefault="0099795D" w:rsidP="0099795D">
            <w:pPr>
              <w:pStyle w:val="Tabletextboldleft"/>
              <w:spacing w:before="20" w:after="20"/>
              <w:jc w:val="right"/>
              <w:rPr>
                <w:b w:val="0"/>
              </w:rPr>
            </w:pPr>
            <w:r w:rsidRPr="00C932DC">
              <w:rPr>
                <w:b w:val="0"/>
                <w:color w:val="000000"/>
              </w:rPr>
              <w:t>$361,960</w:t>
            </w:r>
          </w:p>
        </w:tc>
        <w:tc>
          <w:tcPr>
            <w:tcW w:w="1163" w:type="dxa"/>
            <w:tcBorders>
              <w:top w:val="nil"/>
              <w:bottom w:val="nil"/>
            </w:tcBorders>
          </w:tcPr>
          <w:p w14:paraId="456FB060" w14:textId="77777777" w:rsidR="0099795D" w:rsidRPr="00C932DC" w:rsidRDefault="0099795D" w:rsidP="0099795D">
            <w:pPr>
              <w:pStyle w:val="Tabletextboldleft"/>
              <w:spacing w:before="20" w:after="20"/>
              <w:jc w:val="right"/>
              <w:rPr>
                <w:b w:val="0"/>
              </w:rPr>
            </w:pPr>
            <w:r w:rsidRPr="00C932DC">
              <w:rPr>
                <w:b w:val="0"/>
                <w:color w:val="000000"/>
              </w:rPr>
              <w:t>$371,621</w:t>
            </w:r>
          </w:p>
        </w:tc>
      </w:tr>
      <w:tr w:rsidR="0099795D" w:rsidRPr="00F647C7" w14:paraId="1F30816B" w14:textId="77777777" w:rsidTr="00C04E58">
        <w:trPr>
          <w:trHeight w:val="212"/>
        </w:trPr>
        <w:tc>
          <w:tcPr>
            <w:tcW w:w="2552" w:type="dxa"/>
            <w:tcBorders>
              <w:top w:val="nil"/>
              <w:bottom w:val="nil"/>
            </w:tcBorders>
          </w:tcPr>
          <w:p w14:paraId="47208AF7" w14:textId="77777777" w:rsidR="0099795D" w:rsidRDefault="0099795D" w:rsidP="0099795D">
            <w:pPr>
              <w:pStyle w:val="Tabletextboldleft"/>
              <w:spacing w:before="20" w:after="20"/>
              <w:ind w:firstLine="317"/>
              <w:rPr>
                <w:b w:val="0"/>
              </w:rPr>
            </w:pPr>
            <w:r>
              <w:rPr>
                <w:b w:val="0"/>
              </w:rPr>
              <w:t>Ancillary tests</w:t>
            </w:r>
          </w:p>
        </w:tc>
        <w:tc>
          <w:tcPr>
            <w:tcW w:w="1162" w:type="dxa"/>
            <w:tcBorders>
              <w:top w:val="nil"/>
              <w:bottom w:val="nil"/>
            </w:tcBorders>
          </w:tcPr>
          <w:p w14:paraId="467FFDC5" w14:textId="77777777" w:rsidR="0099795D" w:rsidRPr="00C932DC" w:rsidRDefault="0099795D" w:rsidP="0099795D">
            <w:pPr>
              <w:pStyle w:val="Tabletextboldleft"/>
              <w:spacing w:before="20" w:after="20"/>
              <w:jc w:val="right"/>
              <w:rPr>
                <w:b w:val="0"/>
              </w:rPr>
            </w:pPr>
            <w:r w:rsidRPr="00C932DC">
              <w:rPr>
                <w:b w:val="0"/>
                <w:color w:val="000000"/>
              </w:rPr>
              <w:t>$13,479</w:t>
            </w:r>
          </w:p>
        </w:tc>
        <w:tc>
          <w:tcPr>
            <w:tcW w:w="1162" w:type="dxa"/>
            <w:tcBorders>
              <w:top w:val="nil"/>
              <w:bottom w:val="nil"/>
            </w:tcBorders>
          </w:tcPr>
          <w:p w14:paraId="373758D1" w14:textId="77777777" w:rsidR="0099795D" w:rsidRPr="00C932DC" w:rsidRDefault="0099795D" w:rsidP="0099795D">
            <w:pPr>
              <w:pStyle w:val="Tabletextboldleft"/>
              <w:spacing w:before="20" w:after="20"/>
              <w:jc w:val="right"/>
              <w:rPr>
                <w:b w:val="0"/>
              </w:rPr>
            </w:pPr>
            <w:r w:rsidRPr="00C932DC">
              <w:rPr>
                <w:b w:val="0"/>
                <w:color w:val="000000"/>
              </w:rPr>
              <w:t>$13,870</w:t>
            </w:r>
          </w:p>
        </w:tc>
        <w:tc>
          <w:tcPr>
            <w:tcW w:w="1162" w:type="dxa"/>
            <w:tcBorders>
              <w:top w:val="nil"/>
              <w:bottom w:val="nil"/>
            </w:tcBorders>
          </w:tcPr>
          <w:p w14:paraId="61571321" w14:textId="77777777" w:rsidR="0099795D" w:rsidRPr="00C932DC" w:rsidRDefault="0099795D" w:rsidP="0099795D">
            <w:pPr>
              <w:pStyle w:val="Tabletextboldleft"/>
              <w:spacing w:before="20" w:after="20"/>
              <w:jc w:val="right"/>
              <w:rPr>
                <w:b w:val="0"/>
              </w:rPr>
            </w:pPr>
            <w:r w:rsidRPr="00C932DC">
              <w:rPr>
                <w:b w:val="0"/>
                <w:color w:val="000000"/>
              </w:rPr>
              <w:t>$14,261</w:t>
            </w:r>
          </w:p>
        </w:tc>
        <w:tc>
          <w:tcPr>
            <w:tcW w:w="1162" w:type="dxa"/>
            <w:tcBorders>
              <w:top w:val="nil"/>
              <w:bottom w:val="nil"/>
            </w:tcBorders>
          </w:tcPr>
          <w:p w14:paraId="6485C495" w14:textId="77777777" w:rsidR="0099795D" w:rsidRPr="00C932DC" w:rsidRDefault="0099795D" w:rsidP="0099795D">
            <w:pPr>
              <w:pStyle w:val="Tabletextboldleft"/>
              <w:spacing w:before="20" w:after="20"/>
              <w:jc w:val="right"/>
              <w:rPr>
                <w:b w:val="0"/>
              </w:rPr>
            </w:pPr>
            <w:r w:rsidRPr="00C932DC">
              <w:rPr>
                <w:b w:val="0"/>
                <w:color w:val="000000"/>
              </w:rPr>
              <w:t>$14,652</w:t>
            </w:r>
          </w:p>
        </w:tc>
        <w:tc>
          <w:tcPr>
            <w:tcW w:w="1163" w:type="dxa"/>
            <w:tcBorders>
              <w:top w:val="nil"/>
              <w:bottom w:val="nil"/>
            </w:tcBorders>
          </w:tcPr>
          <w:p w14:paraId="7AD38209" w14:textId="77777777" w:rsidR="0099795D" w:rsidRPr="00C932DC" w:rsidRDefault="0099795D" w:rsidP="0099795D">
            <w:pPr>
              <w:pStyle w:val="Tabletextboldleft"/>
              <w:spacing w:before="20" w:after="20"/>
              <w:jc w:val="right"/>
              <w:rPr>
                <w:b w:val="0"/>
              </w:rPr>
            </w:pPr>
            <w:r w:rsidRPr="00C932DC">
              <w:rPr>
                <w:b w:val="0"/>
                <w:color w:val="000000"/>
              </w:rPr>
              <w:t>$15,043</w:t>
            </w:r>
          </w:p>
        </w:tc>
      </w:tr>
      <w:tr w:rsidR="0099795D" w:rsidRPr="00F647C7" w14:paraId="5059330B" w14:textId="77777777" w:rsidTr="00C04E58">
        <w:trPr>
          <w:trHeight w:val="212"/>
        </w:trPr>
        <w:tc>
          <w:tcPr>
            <w:tcW w:w="2552" w:type="dxa"/>
            <w:tcBorders>
              <w:top w:val="nil"/>
              <w:bottom w:val="nil"/>
            </w:tcBorders>
          </w:tcPr>
          <w:p w14:paraId="22E199F3" w14:textId="77777777" w:rsidR="0099795D" w:rsidRPr="00F411CD" w:rsidRDefault="0099795D" w:rsidP="0099795D">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43DBBBF8" w14:textId="77777777" w:rsidR="0099795D" w:rsidRPr="00C932DC" w:rsidRDefault="0099795D" w:rsidP="0099795D">
            <w:pPr>
              <w:pStyle w:val="Tabletextboldleft"/>
              <w:spacing w:before="20" w:after="20"/>
              <w:jc w:val="right"/>
              <w:rPr>
                <w:b w:val="0"/>
              </w:rPr>
            </w:pPr>
            <w:r w:rsidRPr="00C932DC">
              <w:rPr>
                <w:b w:val="0"/>
                <w:color w:val="000000"/>
              </w:rPr>
              <w:t>$15,922</w:t>
            </w:r>
          </w:p>
        </w:tc>
        <w:tc>
          <w:tcPr>
            <w:tcW w:w="1162" w:type="dxa"/>
            <w:tcBorders>
              <w:top w:val="nil"/>
              <w:bottom w:val="nil"/>
            </w:tcBorders>
          </w:tcPr>
          <w:p w14:paraId="5FC6F7E0" w14:textId="77777777" w:rsidR="0099795D" w:rsidRPr="00C932DC" w:rsidRDefault="0099795D" w:rsidP="0099795D">
            <w:pPr>
              <w:pStyle w:val="Tabletextboldleft"/>
              <w:spacing w:before="20" w:after="20"/>
              <w:jc w:val="right"/>
              <w:rPr>
                <w:b w:val="0"/>
              </w:rPr>
            </w:pPr>
            <w:r w:rsidRPr="00C932DC">
              <w:rPr>
                <w:b w:val="0"/>
                <w:color w:val="000000"/>
              </w:rPr>
              <w:t>$16,384</w:t>
            </w:r>
          </w:p>
        </w:tc>
        <w:tc>
          <w:tcPr>
            <w:tcW w:w="1162" w:type="dxa"/>
            <w:tcBorders>
              <w:top w:val="nil"/>
              <w:bottom w:val="nil"/>
            </w:tcBorders>
          </w:tcPr>
          <w:p w14:paraId="6F2043F5" w14:textId="77777777" w:rsidR="0099795D" w:rsidRPr="00C932DC" w:rsidRDefault="0099795D" w:rsidP="0099795D">
            <w:pPr>
              <w:pStyle w:val="Tabletextboldleft"/>
              <w:spacing w:before="20" w:after="20"/>
              <w:jc w:val="right"/>
              <w:rPr>
                <w:b w:val="0"/>
              </w:rPr>
            </w:pPr>
            <w:r w:rsidRPr="00C932DC">
              <w:rPr>
                <w:b w:val="0"/>
                <w:color w:val="000000"/>
              </w:rPr>
              <w:t>$16,846</w:t>
            </w:r>
          </w:p>
        </w:tc>
        <w:tc>
          <w:tcPr>
            <w:tcW w:w="1162" w:type="dxa"/>
            <w:tcBorders>
              <w:top w:val="nil"/>
              <w:bottom w:val="nil"/>
            </w:tcBorders>
          </w:tcPr>
          <w:p w14:paraId="43DC0A4F" w14:textId="77777777" w:rsidR="0099795D" w:rsidRPr="00C932DC" w:rsidRDefault="0099795D" w:rsidP="0099795D">
            <w:pPr>
              <w:pStyle w:val="Tabletextboldleft"/>
              <w:spacing w:before="20" w:after="20"/>
              <w:jc w:val="right"/>
              <w:rPr>
                <w:b w:val="0"/>
              </w:rPr>
            </w:pPr>
            <w:r w:rsidRPr="00C932DC">
              <w:rPr>
                <w:b w:val="0"/>
                <w:color w:val="000000"/>
              </w:rPr>
              <w:t>$17,308</w:t>
            </w:r>
          </w:p>
        </w:tc>
        <w:tc>
          <w:tcPr>
            <w:tcW w:w="1163" w:type="dxa"/>
            <w:tcBorders>
              <w:top w:val="nil"/>
              <w:bottom w:val="nil"/>
            </w:tcBorders>
          </w:tcPr>
          <w:p w14:paraId="6B845FB9" w14:textId="77777777" w:rsidR="0099795D" w:rsidRPr="00C932DC" w:rsidRDefault="0099795D" w:rsidP="0099795D">
            <w:pPr>
              <w:pStyle w:val="Tabletextboldleft"/>
              <w:spacing w:before="20" w:after="20"/>
              <w:jc w:val="right"/>
              <w:rPr>
                <w:b w:val="0"/>
              </w:rPr>
            </w:pPr>
            <w:r w:rsidRPr="00C932DC">
              <w:rPr>
                <w:b w:val="0"/>
                <w:color w:val="000000"/>
              </w:rPr>
              <w:t>$17,769</w:t>
            </w:r>
          </w:p>
        </w:tc>
      </w:tr>
      <w:tr w:rsidR="0099795D" w:rsidRPr="00F647C7" w14:paraId="4FE899F1" w14:textId="77777777" w:rsidTr="00C04E58">
        <w:trPr>
          <w:trHeight w:val="212"/>
        </w:trPr>
        <w:tc>
          <w:tcPr>
            <w:tcW w:w="2552" w:type="dxa"/>
            <w:tcBorders>
              <w:top w:val="nil"/>
              <w:bottom w:val="single" w:sz="4" w:space="0" w:color="auto"/>
            </w:tcBorders>
          </w:tcPr>
          <w:p w14:paraId="09080A23" w14:textId="77777777" w:rsidR="0099795D" w:rsidRPr="00F411CD" w:rsidRDefault="0099795D" w:rsidP="0099795D">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bottom w:val="single" w:sz="4" w:space="0" w:color="auto"/>
            </w:tcBorders>
          </w:tcPr>
          <w:p w14:paraId="14798BBA" w14:textId="77777777" w:rsidR="0099795D" w:rsidRPr="00C932DC" w:rsidRDefault="0099795D" w:rsidP="0099795D">
            <w:pPr>
              <w:pStyle w:val="Tabletextboldleft"/>
              <w:spacing w:before="20" w:after="20"/>
              <w:jc w:val="right"/>
              <w:rPr>
                <w:b w:val="0"/>
              </w:rPr>
            </w:pPr>
            <w:r w:rsidRPr="00C932DC">
              <w:rPr>
                <w:b w:val="0"/>
                <w:color w:val="000000"/>
              </w:rPr>
              <w:t>$5,732</w:t>
            </w:r>
          </w:p>
        </w:tc>
        <w:tc>
          <w:tcPr>
            <w:tcW w:w="1162" w:type="dxa"/>
            <w:tcBorders>
              <w:top w:val="nil"/>
              <w:bottom w:val="single" w:sz="4" w:space="0" w:color="auto"/>
            </w:tcBorders>
          </w:tcPr>
          <w:p w14:paraId="15F21C17" w14:textId="77777777" w:rsidR="0099795D" w:rsidRPr="00C932DC" w:rsidRDefault="0099795D" w:rsidP="0099795D">
            <w:pPr>
              <w:pStyle w:val="Tabletextboldleft"/>
              <w:spacing w:before="20" w:after="20"/>
              <w:jc w:val="right"/>
              <w:rPr>
                <w:b w:val="0"/>
              </w:rPr>
            </w:pPr>
            <w:r w:rsidRPr="00C932DC">
              <w:rPr>
                <w:b w:val="0"/>
                <w:color w:val="000000"/>
              </w:rPr>
              <w:t>$5,898</w:t>
            </w:r>
          </w:p>
        </w:tc>
        <w:tc>
          <w:tcPr>
            <w:tcW w:w="1162" w:type="dxa"/>
            <w:tcBorders>
              <w:top w:val="nil"/>
              <w:bottom w:val="single" w:sz="4" w:space="0" w:color="auto"/>
            </w:tcBorders>
          </w:tcPr>
          <w:p w14:paraId="042C56B5" w14:textId="77777777" w:rsidR="0099795D" w:rsidRPr="00C932DC" w:rsidRDefault="0099795D" w:rsidP="0099795D">
            <w:pPr>
              <w:pStyle w:val="Tabletextboldleft"/>
              <w:spacing w:before="20" w:after="20"/>
              <w:jc w:val="right"/>
              <w:rPr>
                <w:b w:val="0"/>
              </w:rPr>
            </w:pPr>
            <w:r w:rsidRPr="00C932DC">
              <w:rPr>
                <w:b w:val="0"/>
                <w:color w:val="000000"/>
              </w:rPr>
              <w:t>$6,064</w:t>
            </w:r>
          </w:p>
        </w:tc>
        <w:tc>
          <w:tcPr>
            <w:tcW w:w="1162" w:type="dxa"/>
            <w:tcBorders>
              <w:top w:val="nil"/>
              <w:bottom w:val="single" w:sz="4" w:space="0" w:color="auto"/>
            </w:tcBorders>
          </w:tcPr>
          <w:p w14:paraId="340701A5" w14:textId="77777777" w:rsidR="0099795D" w:rsidRPr="00C932DC" w:rsidRDefault="0099795D" w:rsidP="0099795D">
            <w:pPr>
              <w:pStyle w:val="Tabletextboldleft"/>
              <w:spacing w:before="20" w:after="20"/>
              <w:jc w:val="right"/>
              <w:rPr>
                <w:b w:val="0"/>
              </w:rPr>
            </w:pPr>
            <w:r w:rsidRPr="00C932DC">
              <w:rPr>
                <w:b w:val="0"/>
                <w:color w:val="000000"/>
              </w:rPr>
              <w:t>$6,231</w:t>
            </w:r>
          </w:p>
        </w:tc>
        <w:tc>
          <w:tcPr>
            <w:tcW w:w="1163" w:type="dxa"/>
            <w:tcBorders>
              <w:top w:val="nil"/>
              <w:bottom w:val="single" w:sz="4" w:space="0" w:color="auto"/>
            </w:tcBorders>
          </w:tcPr>
          <w:p w14:paraId="0BD6F102" w14:textId="77777777" w:rsidR="0099795D" w:rsidRPr="00C932DC" w:rsidRDefault="0099795D" w:rsidP="0099795D">
            <w:pPr>
              <w:pStyle w:val="Tabletextboldleft"/>
              <w:spacing w:before="20" w:after="20"/>
              <w:jc w:val="right"/>
              <w:rPr>
                <w:b w:val="0"/>
              </w:rPr>
            </w:pPr>
            <w:r w:rsidRPr="00C932DC">
              <w:rPr>
                <w:b w:val="0"/>
                <w:color w:val="000000"/>
              </w:rPr>
              <w:t>$6,397</w:t>
            </w:r>
          </w:p>
        </w:tc>
      </w:tr>
      <w:tr w:rsidR="0099795D" w:rsidRPr="00F647C7" w14:paraId="71FFA399" w14:textId="77777777" w:rsidTr="00C04E58">
        <w:trPr>
          <w:trHeight w:val="212"/>
        </w:trPr>
        <w:tc>
          <w:tcPr>
            <w:tcW w:w="2552" w:type="dxa"/>
            <w:tcBorders>
              <w:bottom w:val="nil"/>
            </w:tcBorders>
          </w:tcPr>
          <w:p w14:paraId="29667F94" w14:textId="77777777" w:rsidR="0099795D" w:rsidRPr="00F411CD" w:rsidRDefault="0099795D" w:rsidP="0099795D">
            <w:pPr>
              <w:pStyle w:val="Tabletextboldleft"/>
              <w:spacing w:before="20" w:after="20"/>
              <w:rPr>
                <w:b w:val="0"/>
              </w:rPr>
            </w:pPr>
            <w:r>
              <w:rPr>
                <w:b w:val="0"/>
              </w:rPr>
              <w:t>All cytology</w:t>
            </w:r>
          </w:p>
        </w:tc>
        <w:tc>
          <w:tcPr>
            <w:tcW w:w="1162" w:type="dxa"/>
            <w:tcBorders>
              <w:bottom w:val="nil"/>
            </w:tcBorders>
          </w:tcPr>
          <w:p w14:paraId="5C39201D" w14:textId="77777777" w:rsidR="0099795D" w:rsidRPr="00C932DC" w:rsidRDefault="0099795D" w:rsidP="0099795D">
            <w:pPr>
              <w:pStyle w:val="Tabletextboldleft"/>
              <w:spacing w:before="20" w:after="20"/>
              <w:jc w:val="right"/>
              <w:rPr>
                <w:b w:val="0"/>
              </w:rPr>
            </w:pPr>
            <w:r w:rsidRPr="00C932DC">
              <w:rPr>
                <w:b w:val="0"/>
                <w:bCs/>
                <w:color w:val="000000"/>
              </w:rPr>
              <w:t>$2,928,249</w:t>
            </w:r>
          </w:p>
        </w:tc>
        <w:tc>
          <w:tcPr>
            <w:tcW w:w="1162" w:type="dxa"/>
            <w:tcBorders>
              <w:bottom w:val="nil"/>
            </w:tcBorders>
          </w:tcPr>
          <w:p w14:paraId="1691E017" w14:textId="77777777" w:rsidR="0099795D" w:rsidRPr="00C932DC" w:rsidRDefault="0099795D" w:rsidP="0099795D">
            <w:pPr>
              <w:pStyle w:val="Tabletextboldleft"/>
              <w:spacing w:before="20" w:after="20"/>
              <w:jc w:val="right"/>
              <w:rPr>
                <w:b w:val="0"/>
              </w:rPr>
            </w:pPr>
            <w:r w:rsidRPr="00C932DC">
              <w:rPr>
                <w:b w:val="0"/>
                <w:bCs/>
                <w:color w:val="000000"/>
              </w:rPr>
              <w:t>$2,960,250</w:t>
            </w:r>
          </w:p>
        </w:tc>
        <w:tc>
          <w:tcPr>
            <w:tcW w:w="1162" w:type="dxa"/>
            <w:tcBorders>
              <w:bottom w:val="nil"/>
            </w:tcBorders>
          </w:tcPr>
          <w:p w14:paraId="754E86E1" w14:textId="77777777" w:rsidR="0099795D" w:rsidRPr="00C932DC" w:rsidRDefault="0099795D" w:rsidP="0099795D">
            <w:pPr>
              <w:pStyle w:val="Tabletextboldleft"/>
              <w:spacing w:before="20" w:after="20"/>
              <w:jc w:val="right"/>
              <w:rPr>
                <w:b w:val="0"/>
              </w:rPr>
            </w:pPr>
            <w:r w:rsidRPr="00C932DC">
              <w:rPr>
                <w:b w:val="0"/>
                <w:bCs/>
                <w:color w:val="000000"/>
              </w:rPr>
              <w:t>$2,992,248</w:t>
            </w:r>
          </w:p>
        </w:tc>
        <w:tc>
          <w:tcPr>
            <w:tcW w:w="1162" w:type="dxa"/>
            <w:tcBorders>
              <w:bottom w:val="nil"/>
            </w:tcBorders>
          </w:tcPr>
          <w:p w14:paraId="60994C3D" w14:textId="77777777" w:rsidR="0099795D" w:rsidRPr="00C932DC" w:rsidRDefault="0099795D" w:rsidP="0099795D">
            <w:pPr>
              <w:pStyle w:val="Tabletextboldleft"/>
              <w:spacing w:before="20" w:after="20"/>
              <w:jc w:val="right"/>
              <w:rPr>
                <w:b w:val="0"/>
              </w:rPr>
            </w:pPr>
            <w:r w:rsidRPr="00C932DC">
              <w:rPr>
                <w:b w:val="0"/>
                <w:bCs/>
                <w:color w:val="000000"/>
              </w:rPr>
              <w:t>$3,024,246</w:t>
            </w:r>
          </w:p>
        </w:tc>
        <w:tc>
          <w:tcPr>
            <w:tcW w:w="1163" w:type="dxa"/>
            <w:tcBorders>
              <w:bottom w:val="nil"/>
            </w:tcBorders>
          </w:tcPr>
          <w:p w14:paraId="740EAC94" w14:textId="77777777" w:rsidR="0099795D" w:rsidRPr="00C932DC" w:rsidRDefault="0099795D" w:rsidP="0099795D">
            <w:pPr>
              <w:pStyle w:val="Tabletextboldleft"/>
              <w:spacing w:before="20" w:after="20"/>
              <w:jc w:val="right"/>
              <w:rPr>
                <w:b w:val="0"/>
              </w:rPr>
            </w:pPr>
            <w:r w:rsidRPr="00C932DC">
              <w:rPr>
                <w:b w:val="0"/>
                <w:bCs/>
                <w:color w:val="000000"/>
              </w:rPr>
              <w:t>$3,056,246</w:t>
            </w:r>
          </w:p>
        </w:tc>
      </w:tr>
      <w:tr w:rsidR="0099795D" w:rsidRPr="00F647C7" w14:paraId="2658D6DF" w14:textId="77777777" w:rsidTr="00C04E58">
        <w:trPr>
          <w:trHeight w:val="212"/>
        </w:trPr>
        <w:tc>
          <w:tcPr>
            <w:tcW w:w="2552" w:type="dxa"/>
            <w:tcBorders>
              <w:top w:val="nil"/>
              <w:bottom w:val="nil"/>
            </w:tcBorders>
          </w:tcPr>
          <w:p w14:paraId="77340BE8" w14:textId="77777777" w:rsidR="0099795D" w:rsidRPr="00F411CD" w:rsidRDefault="0099795D" w:rsidP="0099795D">
            <w:pPr>
              <w:pStyle w:val="Tabletextboldleft"/>
              <w:spacing w:before="20" w:after="20"/>
              <w:ind w:firstLine="317"/>
              <w:rPr>
                <w:b w:val="0"/>
              </w:rPr>
            </w:pPr>
            <w:r>
              <w:rPr>
                <w:b w:val="0"/>
              </w:rPr>
              <w:t>Second, expert opinion</w:t>
            </w:r>
          </w:p>
        </w:tc>
        <w:tc>
          <w:tcPr>
            <w:tcW w:w="1162" w:type="dxa"/>
            <w:tcBorders>
              <w:top w:val="nil"/>
              <w:bottom w:val="nil"/>
            </w:tcBorders>
          </w:tcPr>
          <w:p w14:paraId="22B9AFB4" w14:textId="77777777" w:rsidR="0099795D" w:rsidRPr="00C932DC" w:rsidRDefault="0099795D" w:rsidP="0099795D">
            <w:pPr>
              <w:pStyle w:val="Tabletextboldleft"/>
              <w:spacing w:before="20" w:after="20"/>
              <w:jc w:val="right"/>
              <w:rPr>
                <w:b w:val="0"/>
              </w:rPr>
            </w:pPr>
            <w:r w:rsidRPr="00C932DC">
              <w:rPr>
                <w:b w:val="0"/>
                <w:color w:val="000000"/>
              </w:rPr>
              <w:t>$2,648,780</w:t>
            </w:r>
          </w:p>
        </w:tc>
        <w:tc>
          <w:tcPr>
            <w:tcW w:w="1162" w:type="dxa"/>
            <w:tcBorders>
              <w:top w:val="nil"/>
              <w:bottom w:val="nil"/>
            </w:tcBorders>
          </w:tcPr>
          <w:p w14:paraId="48965FEF" w14:textId="77777777" w:rsidR="0099795D" w:rsidRPr="00C932DC" w:rsidRDefault="0099795D" w:rsidP="0099795D">
            <w:pPr>
              <w:pStyle w:val="Tabletextboldleft"/>
              <w:spacing w:before="20" w:after="20"/>
              <w:jc w:val="right"/>
              <w:rPr>
                <w:b w:val="0"/>
              </w:rPr>
            </w:pPr>
            <w:r w:rsidRPr="00C932DC">
              <w:rPr>
                <w:b w:val="0"/>
                <w:color w:val="000000"/>
              </w:rPr>
              <w:t>$2,677,727</w:t>
            </w:r>
          </w:p>
        </w:tc>
        <w:tc>
          <w:tcPr>
            <w:tcW w:w="1162" w:type="dxa"/>
            <w:tcBorders>
              <w:top w:val="nil"/>
              <w:bottom w:val="nil"/>
            </w:tcBorders>
          </w:tcPr>
          <w:p w14:paraId="4BEB41F8" w14:textId="77777777" w:rsidR="0099795D" w:rsidRPr="00C932DC" w:rsidRDefault="0099795D" w:rsidP="0099795D">
            <w:pPr>
              <w:pStyle w:val="Tabletextboldleft"/>
              <w:spacing w:before="20" w:after="20"/>
              <w:jc w:val="right"/>
              <w:rPr>
                <w:b w:val="0"/>
              </w:rPr>
            </w:pPr>
            <w:r w:rsidRPr="00C932DC">
              <w:rPr>
                <w:b w:val="0"/>
                <w:color w:val="000000"/>
              </w:rPr>
              <w:t>$2,706,671</w:t>
            </w:r>
          </w:p>
        </w:tc>
        <w:tc>
          <w:tcPr>
            <w:tcW w:w="1162" w:type="dxa"/>
            <w:tcBorders>
              <w:top w:val="nil"/>
              <w:bottom w:val="nil"/>
            </w:tcBorders>
          </w:tcPr>
          <w:p w14:paraId="1B4EA163" w14:textId="77777777" w:rsidR="0099795D" w:rsidRPr="00C932DC" w:rsidRDefault="0099795D" w:rsidP="0099795D">
            <w:pPr>
              <w:pStyle w:val="Tabletextboldleft"/>
              <w:spacing w:before="20" w:after="20"/>
              <w:jc w:val="right"/>
              <w:rPr>
                <w:b w:val="0"/>
              </w:rPr>
            </w:pPr>
            <w:r w:rsidRPr="00C932DC">
              <w:rPr>
                <w:b w:val="0"/>
                <w:color w:val="000000"/>
              </w:rPr>
              <w:t>$2,735,615</w:t>
            </w:r>
          </w:p>
        </w:tc>
        <w:tc>
          <w:tcPr>
            <w:tcW w:w="1163" w:type="dxa"/>
            <w:tcBorders>
              <w:top w:val="nil"/>
              <w:bottom w:val="nil"/>
            </w:tcBorders>
          </w:tcPr>
          <w:p w14:paraId="329201B9" w14:textId="77777777" w:rsidR="0099795D" w:rsidRPr="00C932DC" w:rsidRDefault="0099795D" w:rsidP="0099795D">
            <w:pPr>
              <w:pStyle w:val="Tabletextboldleft"/>
              <w:spacing w:before="20" w:after="20"/>
              <w:jc w:val="right"/>
              <w:rPr>
                <w:b w:val="0"/>
              </w:rPr>
            </w:pPr>
            <w:r w:rsidRPr="00C932DC">
              <w:rPr>
                <w:b w:val="0"/>
                <w:color w:val="000000"/>
              </w:rPr>
              <w:t>$2,764,561</w:t>
            </w:r>
          </w:p>
        </w:tc>
      </w:tr>
      <w:tr w:rsidR="0099795D" w:rsidRPr="00F647C7" w14:paraId="5EBC9C3A" w14:textId="77777777" w:rsidTr="00C04E58">
        <w:trPr>
          <w:trHeight w:val="212"/>
        </w:trPr>
        <w:tc>
          <w:tcPr>
            <w:tcW w:w="2552" w:type="dxa"/>
            <w:tcBorders>
              <w:top w:val="nil"/>
              <w:bottom w:val="nil"/>
            </w:tcBorders>
          </w:tcPr>
          <w:p w14:paraId="3937F97C" w14:textId="77777777" w:rsidR="0099795D" w:rsidRDefault="0099795D" w:rsidP="0099795D">
            <w:pPr>
              <w:pStyle w:val="Tabletextboldleft"/>
              <w:spacing w:before="20" w:after="20"/>
              <w:ind w:firstLine="317"/>
              <w:rPr>
                <w:b w:val="0"/>
              </w:rPr>
            </w:pPr>
            <w:r>
              <w:rPr>
                <w:b w:val="0"/>
              </w:rPr>
              <w:t>Ancillary tests</w:t>
            </w:r>
          </w:p>
        </w:tc>
        <w:tc>
          <w:tcPr>
            <w:tcW w:w="1162" w:type="dxa"/>
            <w:tcBorders>
              <w:top w:val="nil"/>
              <w:bottom w:val="nil"/>
            </w:tcBorders>
          </w:tcPr>
          <w:p w14:paraId="336AE709" w14:textId="77777777" w:rsidR="0099795D" w:rsidRPr="00C932DC" w:rsidRDefault="0099795D" w:rsidP="0099795D">
            <w:pPr>
              <w:pStyle w:val="Tabletextboldleft"/>
              <w:spacing w:before="20" w:after="20"/>
              <w:jc w:val="right"/>
              <w:rPr>
                <w:b w:val="0"/>
              </w:rPr>
            </w:pPr>
            <w:r w:rsidRPr="00C932DC">
              <w:rPr>
                <w:b w:val="0"/>
                <w:color w:val="000000"/>
              </w:rPr>
              <w:t>$107,219</w:t>
            </w:r>
          </w:p>
        </w:tc>
        <w:tc>
          <w:tcPr>
            <w:tcW w:w="1162" w:type="dxa"/>
            <w:tcBorders>
              <w:top w:val="nil"/>
              <w:bottom w:val="nil"/>
            </w:tcBorders>
          </w:tcPr>
          <w:p w14:paraId="272E07B5" w14:textId="77777777" w:rsidR="0099795D" w:rsidRPr="00C932DC" w:rsidRDefault="0099795D" w:rsidP="0099795D">
            <w:pPr>
              <w:pStyle w:val="Tabletextboldleft"/>
              <w:spacing w:before="20" w:after="20"/>
              <w:jc w:val="right"/>
              <w:rPr>
                <w:b w:val="0"/>
              </w:rPr>
            </w:pPr>
            <w:r w:rsidRPr="00C932DC">
              <w:rPr>
                <w:b w:val="0"/>
                <w:color w:val="000000"/>
              </w:rPr>
              <w:t>$108,391</w:t>
            </w:r>
          </w:p>
        </w:tc>
        <w:tc>
          <w:tcPr>
            <w:tcW w:w="1162" w:type="dxa"/>
            <w:tcBorders>
              <w:top w:val="nil"/>
              <w:bottom w:val="nil"/>
            </w:tcBorders>
          </w:tcPr>
          <w:p w14:paraId="2BEA7084" w14:textId="77777777" w:rsidR="0099795D" w:rsidRPr="00C932DC" w:rsidRDefault="0099795D" w:rsidP="0099795D">
            <w:pPr>
              <w:pStyle w:val="Tabletextboldleft"/>
              <w:spacing w:before="20" w:after="20"/>
              <w:jc w:val="right"/>
              <w:rPr>
                <w:b w:val="0"/>
              </w:rPr>
            </w:pPr>
            <w:r w:rsidRPr="00C932DC">
              <w:rPr>
                <w:b w:val="0"/>
                <w:color w:val="000000"/>
              </w:rPr>
              <w:t>$109,563</w:t>
            </w:r>
          </w:p>
        </w:tc>
        <w:tc>
          <w:tcPr>
            <w:tcW w:w="1162" w:type="dxa"/>
            <w:tcBorders>
              <w:top w:val="nil"/>
              <w:bottom w:val="nil"/>
            </w:tcBorders>
          </w:tcPr>
          <w:p w14:paraId="5BEB2F8C" w14:textId="77777777" w:rsidR="0099795D" w:rsidRPr="00C932DC" w:rsidRDefault="0099795D" w:rsidP="0099795D">
            <w:pPr>
              <w:pStyle w:val="Tabletextboldleft"/>
              <w:spacing w:before="20" w:after="20"/>
              <w:jc w:val="right"/>
              <w:rPr>
                <w:b w:val="0"/>
              </w:rPr>
            </w:pPr>
            <w:r w:rsidRPr="00C932DC">
              <w:rPr>
                <w:b w:val="0"/>
                <w:color w:val="000000"/>
              </w:rPr>
              <w:t>$110,734</w:t>
            </w:r>
          </w:p>
        </w:tc>
        <w:tc>
          <w:tcPr>
            <w:tcW w:w="1163" w:type="dxa"/>
            <w:tcBorders>
              <w:top w:val="nil"/>
              <w:bottom w:val="nil"/>
            </w:tcBorders>
          </w:tcPr>
          <w:p w14:paraId="688C0585" w14:textId="77777777" w:rsidR="0099795D" w:rsidRPr="00C932DC" w:rsidRDefault="0099795D" w:rsidP="0099795D">
            <w:pPr>
              <w:pStyle w:val="Tabletextboldleft"/>
              <w:spacing w:before="20" w:after="20"/>
              <w:jc w:val="right"/>
              <w:rPr>
                <w:b w:val="0"/>
              </w:rPr>
            </w:pPr>
            <w:r w:rsidRPr="00C932DC">
              <w:rPr>
                <w:b w:val="0"/>
                <w:color w:val="000000"/>
              </w:rPr>
              <w:t>$111,906</w:t>
            </w:r>
          </w:p>
        </w:tc>
      </w:tr>
      <w:tr w:rsidR="0099795D" w:rsidRPr="00F647C7" w14:paraId="542EC7AF" w14:textId="77777777" w:rsidTr="00C04E58">
        <w:trPr>
          <w:trHeight w:val="212"/>
        </w:trPr>
        <w:tc>
          <w:tcPr>
            <w:tcW w:w="2552" w:type="dxa"/>
            <w:tcBorders>
              <w:top w:val="nil"/>
              <w:bottom w:val="nil"/>
            </w:tcBorders>
          </w:tcPr>
          <w:p w14:paraId="04C23FE8" w14:textId="77777777" w:rsidR="0099795D" w:rsidRPr="00F411CD" w:rsidRDefault="0099795D" w:rsidP="0099795D">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2B1A4ACD" w14:textId="77777777" w:rsidR="0099795D" w:rsidRPr="00C932DC" w:rsidRDefault="0099795D" w:rsidP="0099795D">
            <w:pPr>
              <w:pStyle w:val="Tabletextboldleft"/>
              <w:spacing w:before="20" w:after="20"/>
              <w:jc w:val="right"/>
              <w:rPr>
                <w:b w:val="0"/>
              </w:rPr>
            </w:pPr>
            <w:r w:rsidRPr="00C932DC">
              <w:rPr>
                <w:b w:val="0"/>
                <w:color w:val="000000"/>
              </w:rPr>
              <w:t>$126,654</w:t>
            </w:r>
          </w:p>
        </w:tc>
        <w:tc>
          <w:tcPr>
            <w:tcW w:w="1162" w:type="dxa"/>
            <w:tcBorders>
              <w:top w:val="nil"/>
              <w:bottom w:val="nil"/>
            </w:tcBorders>
          </w:tcPr>
          <w:p w14:paraId="2AB451B2" w14:textId="77777777" w:rsidR="0099795D" w:rsidRPr="00C932DC" w:rsidRDefault="0099795D" w:rsidP="0099795D">
            <w:pPr>
              <w:pStyle w:val="Tabletextboldleft"/>
              <w:spacing w:before="20" w:after="20"/>
              <w:jc w:val="right"/>
              <w:rPr>
                <w:b w:val="0"/>
              </w:rPr>
            </w:pPr>
            <w:r w:rsidRPr="00C932DC">
              <w:rPr>
                <w:b w:val="0"/>
                <w:color w:val="000000"/>
              </w:rPr>
              <w:t>$128,038</w:t>
            </w:r>
          </w:p>
        </w:tc>
        <w:tc>
          <w:tcPr>
            <w:tcW w:w="1162" w:type="dxa"/>
            <w:tcBorders>
              <w:top w:val="nil"/>
              <w:bottom w:val="nil"/>
            </w:tcBorders>
          </w:tcPr>
          <w:p w14:paraId="62AEEE7B" w14:textId="77777777" w:rsidR="0099795D" w:rsidRPr="00C932DC" w:rsidRDefault="0099795D" w:rsidP="0099795D">
            <w:pPr>
              <w:pStyle w:val="Tabletextboldleft"/>
              <w:spacing w:before="20" w:after="20"/>
              <w:jc w:val="right"/>
              <w:rPr>
                <w:b w:val="0"/>
              </w:rPr>
            </w:pPr>
            <w:r w:rsidRPr="00C932DC">
              <w:rPr>
                <w:b w:val="0"/>
                <w:color w:val="000000"/>
              </w:rPr>
              <w:t>$129,422</w:t>
            </w:r>
          </w:p>
        </w:tc>
        <w:tc>
          <w:tcPr>
            <w:tcW w:w="1162" w:type="dxa"/>
            <w:tcBorders>
              <w:top w:val="nil"/>
              <w:bottom w:val="nil"/>
            </w:tcBorders>
          </w:tcPr>
          <w:p w14:paraId="6BFFD633" w14:textId="77777777" w:rsidR="0099795D" w:rsidRPr="00C932DC" w:rsidRDefault="0099795D" w:rsidP="0099795D">
            <w:pPr>
              <w:pStyle w:val="Tabletextboldleft"/>
              <w:spacing w:before="20" w:after="20"/>
              <w:jc w:val="right"/>
              <w:rPr>
                <w:b w:val="0"/>
              </w:rPr>
            </w:pPr>
            <w:r w:rsidRPr="00C932DC">
              <w:rPr>
                <w:b w:val="0"/>
                <w:color w:val="000000"/>
              </w:rPr>
              <w:t>$130,806</w:t>
            </w:r>
          </w:p>
        </w:tc>
        <w:tc>
          <w:tcPr>
            <w:tcW w:w="1163" w:type="dxa"/>
            <w:tcBorders>
              <w:top w:val="nil"/>
              <w:bottom w:val="nil"/>
            </w:tcBorders>
          </w:tcPr>
          <w:p w14:paraId="50C9437C" w14:textId="77777777" w:rsidR="0099795D" w:rsidRPr="00C932DC" w:rsidRDefault="0099795D" w:rsidP="0099795D">
            <w:pPr>
              <w:pStyle w:val="Tabletextboldleft"/>
              <w:spacing w:before="20" w:after="20"/>
              <w:jc w:val="right"/>
              <w:rPr>
                <w:b w:val="0"/>
              </w:rPr>
            </w:pPr>
            <w:r w:rsidRPr="00C932DC">
              <w:rPr>
                <w:b w:val="0"/>
                <w:color w:val="000000"/>
              </w:rPr>
              <w:t>$132,190</w:t>
            </w:r>
          </w:p>
        </w:tc>
      </w:tr>
      <w:tr w:rsidR="0099795D" w:rsidRPr="00F647C7" w14:paraId="06CFAC2F" w14:textId="77777777" w:rsidTr="00C04E58">
        <w:trPr>
          <w:trHeight w:val="212"/>
        </w:trPr>
        <w:tc>
          <w:tcPr>
            <w:tcW w:w="2552" w:type="dxa"/>
            <w:tcBorders>
              <w:top w:val="nil"/>
            </w:tcBorders>
          </w:tcPr>
          <w:p w14:paraId="21AF6409" w14:textId="77777777" w:rsidR="0099795D" w:rsidRPr="00F411CD" w:rsidRDefault="0099795D" w:rsidP="0099795D">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tcBorders>
          </w:tcPr>
          <w:p w14:paraId="609D707B" w14:textId="77777777" w:rsidR="0099795D" w:rsidRPr="00C932DC" w:rsidRDefault="0099795D" w:rsidP="0099795D">
            <w:pPr>
              <w:pStyle w:val="Tabletextboldleft"/>
              <w:spacing w:before="20" w:after="20"/>
              <w:jc w:val="right"/>
              <w:rPr>
                <w:b w:val="0"/>
              </w:rPr>
            </w:pPr>
            <w:r w:rsidRPr="00C932DC">
              <w:rPr>
                <w:b w:val="0"/>
                <w:color w:val="000000"/>
              </w:rPr>
              <w:t>$45,596</w:t>
            </w:r>
          </w:p>
        </w:tc>
        <w:tc>
          <w:tcPr>
            <w:tcW w:w="1162" w:type="dxa"/>
            <w:tcBorders>
              <w:top w:val="nil"/>
            </w:tcBorders>
          </w:tcPr>
          <w:p w14:paraId="12F0F5E7" w14:textId="77777777" w:rsidR="0099795D" w:rsidRPr="00C932DC" w:rsidRDefault="0099795D" w:rsidP="0099795D">
            <w:pPr>
              <w:pStyle w:val="Tabletextboldleft"/>
              <w:spacing w:before="20" w:after="20"/>
              <w:jc w:val="right"/>
              <w:rPr>
                <w:b w:val="0"/>
              </w:rPr>
            </w:pPr>
            <w:r w:rsidRPr="00C932DC">
              <w:rPr>
                <w:b w:val="0"/>
                <w:color w:val="000000"/>
              </w:rPr>
              <w:t>$46,094</w:t>
            </w:r>
          </w:p>
        </w:tc>
        <w:tc>
          <w:tcPr>
            <w:tcW w:w="1162" w:type="dxa"/>
            <w:tcBorders>
              <w:top w:val="nil"/>
            </w:tcBorders>
          </w:tcPr>
          <w:p w14:paraId="411662E1" w14:textId="77777777" w:rsidR="0099795D" w:rsidRPr="00C932DC" w:rsidRDefault="0099795D" w:rsidP="0099795D">
            <w:pPr>
              <w:pStyle w:val="Tabletextboldleft"/>
              <w:spacing w:before="20" w:after="20"/>
              <w:jc w:val="right"/>
              <w:rPr>
                <w:b w:val="0"/>
              </w:rPr>
            </w:pPr>
            <w:r w:rsidRPr="00C932DC">
              <w:rPr>
                <w:b w:val="0"/>
                <w:color w:val="000000"/>
              </w:rPr>
              <w:t>$46,592</w:t>
            </w:r>
          </w:p>
        </w:tc>
        <w:tc>
          <w:tcPr>
            <w:tcW w:w="1162" w:type="dxa"/>
            <w:tcBorders>
              <w:top w:val="nil"/>
            </w:tcBorders>
          </w:tcPr>
          <w:p w14:paraId="12DC21EA" w14:textId="77777777" w:rsidR="0099795D" w:rsidRPr="00C932DC" w:rsidRDefault="0099795D" w:rsidP="0099795D">
            <w:pPr>
              <w:pStyle w:val="Tabletextboldleft"/>
              <w:spacing w:before="20" w:after="20"/>
              <w:jc w:val="right"/>
              <w:rPr>
                <w:b w:val="0"/>
              </w:rPr>
            </w:pPr>
            <w:r w:rsidRPr="00C932DC">
              <w:rPr>
                <w:b w:val="0"/>
                <w:color w:val="000000"/>
              </w:rPr>
              <w:t>$47,090</w:t>
            </w:r>
          </w:p>
        </w:tc>
        <w:tc>
          <w:tcPr>
            <w:tcW w:w="1163" w:type="dxa"/>
            <w:tcBorders>
              <w:top w:val="nil"/>
            </w:tcBorders>
          </w:tcPr>
          <w:p w14:paraId="220DCF1F" w14:textId="77777777" w:rsidR="0099795D" w:rsidRPr="00C932DC" w:rsidRDefault="0099795D" w:rsidP="0099795D">
            <w:pPr>
              <w:pStyle w:val="Tabletextboldleft"/>
              <w:spacing w:before="20" w:after="20"/>
              <w:jc w:val="right"/>
              <w:rPr>
                <w:b w:val="0"/>
              </w:rPr>
            </w:pPr>
            <w:r w:rsidRPr="00C932DC">
              <w:rPr>
                <w:b w:val="0"/>
                <w:color w:val="000000"/>
              </w:rPr>
              <w:t>$47,589</w:t>
            </w:r>
          </w:p>
        </w:tc>
      </w:tr>
      <w:tr w:rsidR="0099795D" w:rsidRPr="00F647C7" w14:paraId="0E1C527D" w14:textId="77777777" w:rsidTr="00C04E58">
        <w:trPr>
          <w:trHeight w:val="212"/>
        </w:trPr>
        <w:tc>
          <w:tcPr>
            <w:tcW w:w="2552" w:type="dxa"/>
          </w:tcPr>
          <w:p w14:paraId="680D4B55" w14:textId="77777777" w:rsidR="0099795D" w:rsidRPr="00C26CDD" w:rsidRDefault="0099795D" w:rsidP="0099795D">
            <w:pPr>
              <w:pStyle w:val="Tabletextboldleft"/>
              <w:spacing w:before="20" w:after="20"/>
              <w:rPr>
                <w:b w:val="0"/>
                <w:i/>
              </w:rPr>
            </w:pPr>
            <w:r>
              <w:rPr>
                <w:b w:val="0"/>
                <w:i/>
              </w:rPr>
              <w:t>Sub-t</w:t>
            </w:r>
            <w:r w:rsidRPr="00C26CDD">
              <w:rPr>
                <w:b w:val="0"/>
                <w:i/>
              </w:rPr>
              <w:t>otal (excluding gynaecological cytology)</w:t>
            </w:r>
          </w:p>
        </w:tc>
        <w:tc>
          <w:tcPr>
            <w:tcW w:w="1162" w:type="dxa"/>
          </w:tcPr>
          <w:p w14:paraId="610FE7EC" w14:textId="77777777" w:rsidR="0099795D" w:rsidRPr="00C932DC" w:rsidRDefault="0099795D" w:rsidP="0099795D">
            <w:pPr>
              <w:pStyle w:val="Tabletextboldleft"/>
              <w:spacing w:before="20" w:after="20"/>
              <w:jc w:val="right"/>
              <w:rPr>
                <w:b w:val="0"/>
                <w:i/>
              </w:rPr>
            </w:pPr>
            <w:r w:rsidRPr="00C932DC">
              <w:rPr>
                <w:b w:val="0"/>
                <w:i/>
                <w:color w:val="000000"/>
              </w:rPr>
              <w:t>$9,581,360</w:t>
            </w:r>
          </w:p>
        </w:tc>
        <w:tc>
          <w:tcPr>
            <w:tcW w:w="1162" w:type="dxa"/>
          </w:tcPr>
          <w:p w14:paraId="3A414617" w14:textId="77777777" w:rsidR="0099795D" w:rsidRPr="00C932DC" w:rsidRDefault="0099795D" w:rsidP="0099795D">
            <w:pPr>
              <w:pStyle w:val="Tabletextboldleft"/>
              <w:spacing w:before="20" w:after="20"/>
              <w:jc w:val="right"/>
              <w:rPr>
                <w:b w:val="0"/>
                <w:i/>
              </w:rPr>
            </w:pPr>
            <w:r w:rsidRPr="00C932DC">
              <w:rPr>
                <w:b w:val="0"/>
                <w:i/>
                <w:color w:val="000000"/>
              </w:rPr>
              <w:t>$9,925,856</w:t>
            </w:r>
          </w:p>
        </w:tc>
        <w:tc>
          <w:tcPr>
            <w:tcW w:w="1162" w:type="dxa"/>
          </w:tcPr>
          <w:p w14:paraId="752AB5C5" w14:textId="77777777" w:rsidR="0099795D" w:rsidRPr="00C932DC" w:rsidRDefault="0099795D" w:rsidP="0099795D">
            <w:pPr>
              <w:pStyle w:val="Tabletextboldleft"/>
              <w:spacing w:before="20" w:after="20"/>
              <w:jc w:val="right"/>
              <w:rPr>
                <w:b w:val="0"/>
                <w:i/>
              </w:rPr>
            </w:pPr>
            <w:r w:rsidRPr="00C932DC">
              <w:rPr>
                <w:b w:val="0"/>
                <w:i/>
                <w:color w:val="000000"/>
              </w:rPr>
              <w:t>$10,270,360</w:t>
            </w:r>
          </w:p>
        </w:tc>
        <w:tc>
          <w:tcPr>
            <w:tcW w:w="1162" w:type="dxa"/>
          </w:tcPr>
          <w:p w14:paraId="028C4978" w14:textId="77777777" w:rsidR="0099795D" w:rsidRPr="00C932DC" w:rsidRDefault="0099795D" w:rsidP="0099795D">
            <w:pPr>
              <w:pStyle w:val="Tabletextboldleft"/>
              <w:spacing w:before="20" w:after="20"/>
              <w:jc w:val="right"/>
              <w:rPr>
                <w:b w:val="0"/>
                <w:i/>
              </w:rPr>
            </w:pPr>
            <w:r w:rsidRPr="00C932DC">
              <w:rPr>
                <w:b w:val="0"/>
                <w:i/>
                <w:color w:val="000000"/>
              </w:rPr>
              <w:t>$10,614,865</w:t>
            </w:r>
          </w:p>
        </w:tc>
        <w:tc>
          <w:tcPr>
            <w:tcW w:w="1163" w:type="dxa"/>
          </w:tcPr>
          <w:p w14:paraId="5AEB40A8" w14:textId="77777777" w:rsidR="0099795D" w:rsidRPr="00C932DC" w:rsidRDefault="0099795D" w:rsidP="0099795D">
            <w:pPr>
              <w:pStyle w:val="Tabletextboldleft"/>
              <w:spacing w:before="20" w:after="20"/>
              <w:jc w:val="right"/>
              <w:rPr>
                <w:b w:val="0"/>
                <w:i/>
              </w:rPr>
            </w:pPr>
            <w:r w:rsidRPr="00C932DC">
              <w:rPr>
                <w:b w:val="0"/>
                <w:i/>
                <w:color w:val="000000"/>
              </w:rPr>
              <w:t>$10,959,366</w:t>
            </w:r>
          </w:p>
        </w:tc>
      </w:tr>
      <w:tr w:rsidR="0099795D" w:rsidRPr="00F647C7" w14:paraId="75A1C890" w14:textId="77777777" w:rsidTr="00C04E58">
        <w:trPr>
          <w:trHeight w:val="212"/>
        </w:trPr>
        <w:tc>
          <w:tcPr>
            <w:tcW w:w="2552" w:type="dxa"/>
          </w:tcPr>
          <w:p w14:paraId="6F954DA3" w14:textId="77777777" w:rsidR="0099795D" w:rsidRPr="00C26CDD" w:rsidRDefault="0099795D" w:rsidP="0099795D">
            <w:pPr>
              <w:pStyle w:val="Tabletextboldleft"/>
              <w:spacing w:before="20" w:after="20"/>
              <w:rPr>
                <w:b w:val="0"/>
                <w:i/>
              </w:rPr>
            </w:pPr>
            <w:r>
              <w:rPr>
                <w:b w:val="0"/>
                <w:i/>
              </w:rPr>
              <w:t>Sub-t</w:t>
            </w:r>
            <w:r w:rsidRPr="00C26CDD">
              <w:rPr>
                <w:b w:val="0"/>
                <w:i/>
              </w:rPr>
              <w:t>otal (including all cytology)</w:t>
            </w:r>
          </w:p>
        </w:tc>
        <w:tc>
          <w:tcPr>
            <w:tcW w:w="1162" w:type="dxa"/>
          </w:tcPr>
          <w:p w14:paraId="4DD06A50" w14:textId="77777777" w:rsidR="0099795D" w:rsidRPr="00C932DC" w:rsidRDefault="0099795D" w:rsidP="0099795D">
            <w:pPr>
              <w:pStyle w:val="Tabletextboldleft"/>
              <w:spacing w:before="20" w:after="20"/>
              <w:jc w:val="right"/>
              <w:rPr>
                <w:b w:val="0"/>
                <w:i/>
              </w:rPr>
            </w:pPr>
            <w:r w:rsidRPr="00C932DC">
              <w:rPr>
                <w:b w:val="0"/>
                <w:i/>
                <w:color w:val="000000"/>
              </w:rPr>
              <w:t>$12,141,497</w:t>
            </w:r>
          </w:p>
        </w:tc>
        <w:tc>
          <w:tcPr>
            <w:tcW w:w="1162" w:type="dxa"/>
          </w:tcPr>
          <w:p w14:paraId="4F8B61E4" w14:textId="77777777" w:rsidR="0099795D" w:rsidRPr="00C932DC" w:rsidRDefault="0099795D" w:rsidP="0099795D">
            <w:pPr>
              <w:pStyle w:val="Tabletextboldleft"/>
              <w:spacing w:before="20" w:after="20"/>
              <w:jc w:val="right"/>
              <w:rPr>
                <w:b w:val="0"/>
                <w:i/>
              </w:rPr>
            </w:pPr>
            <w:r w:rsidRPr="00C932DC">
              <w:rPr>
                <w:b w:val="0"/>
                <w:i/>
                <w:color w:val="000000"/>
              </w:rPr>
              <w:t>$12,507,314</w:t>
            </w:r>
          </w:p>
        </w:tc>
        <w:tc>
          <w:tcPr>
            <w:tcW w:w="1162" w:type="dxa"/>
          </w:tcPr>
          <w:p w14:paraId="31375812" w14:textId="77777777" w:rsidR="0099795D" w:rsidRPr="00C932DC" w:rsidRDefault="0099795D" w:rsidP="0099795D">
            <w:pPr>
              <w:pStyle w:val="Tabletextboldleft"/>
              <w:spacing w:before="20" w:after="20"/>
              <w:jc w:val="right"/>
              <w:rPr>
                <w:b w:val="0"/>
                <w:i/>
              </w:rPr>
            </w:pPr>
            <w:r w:rsidRPr="00C932DC">
              <w:rPr>
                <w:b w:val="0"/>
                <w:i/>
                <w:color w:val="000000"/>
              </w:rPr>
              <w:t>$12,873,137</w:t>
            </w:r>
          </w:p>
        </w:tc>
        <w:tc>
          <w:tcPr>
            <w:tcW w:w="1162" w:type="dxa"/>
          </w:tcPr>
          <w:p w14:paraId="333A8820" w14:textId="77777777" w:rsidR="0099795D" w:rsidRPr="00C932DC" w:rsidRDefault="0099795D" w:rsidP="0099795D">
            <w:pPr>
              <w:pStyle w:val="Tabletextboldleft"/>
              <w:spacing w:before="20" w:after="20"/>
              <w:jc w:val="right"/>
              <w:rPr>
                <w:b w:val="0"/>
                <w:i/>
              </w:rPr>
            </w:pPr>
            <w:r w:rsidRPr="00C932DC">
              <w:rPr>
                <w:b w:val="0"/>
                <w:i/>
                <w:color w:val="000000"/>
              </w:rPr>
              <w:t>$13,238,960</w:t>
            </w:r>
          </w:p>
        </w:tc>
        <w:tc>
          <w:tcPr>
            <w:tcW w:w="1163" w:type="dxa"/>
          </w:tcPr>
          <w:p w14:paraId="67850871" w14:textId="77777777" w:rsidR="0099795D" w:rsidRPr="00C932DC" w:rsidRDefault="0099795D" w:rsidP="0099795D">
            <w:pPr>
              <w:pStyle w:val="Tabletextboldleft"/>
              <w:spacing w:before="20" w:after="20"/>
              <w:jc w:val="right"/>
              <w:rPr>
                <w:b w:val="0"/>
                <w:i/>
              </w:rPr>
            </w:pPr>
            <w:r w:rsidRPr="00C932DC">
              <w:rPr>
                <w:b w:val="0"/>
                <w:i/>
                <w:color w:val="000000"/>
              </w:rPr>
              <w:t>$13,604,783</w:t>
            </w:r>
          </w:p>
        </w:tc>
      </w:tr>
      <w:tr w:rsidR="0099795D" w:rsidRPr="00F647C7" w14:paraId="17627DEC" w14:textId="77777777" w:rsidTr="00C04E58">
        <w:trPr>
          <w:trHeight w:val="212"/>
        </w:trPr>
        <w:tc>
          <w:tcPr>
            <w:tcW w:w="2552" w:type="dxa"/>
            <w:tcBorders>
              <w:bottom w:val="single" w:sz="4" w:space="0" w:color="auto"/>
            </w:tcBorders>
            <w:shd w:val="clear" w:color="auto" w:fill="D0CECE" w:themeFill="background2" w:themeFillShade="E6"/>
          </w:tcPr>
          <w:p w14:paraId="5A9843A2" w14:textId="77777777" w:rsidR="0099795D" w:rsidRPr="009D63D8" w:rsidRDefault="0099795D" w:rsidP="0099795D">
            <w:pPr>
              <w:pStyle w:val="Tabletextboldleft"/>
              <w:spacing w:before="20" w:after="20"/>
            </w:pPr>
            <w:r w:rsidRPr="009D63D8">
              <w:rPr>
                <w:i/>
              </w:rPr>
              <w:t>Scenario 2</w:t>
            </w:r>
          </w:p>
        </w:tc>
        <w:tc>
          <w:tcPr>
            <w:tcW w:w="1162" w:type="dxa"/>
            <w:tcBorders>
              <w:bottom w:val="single" w:sz="4" w:space="0" w:color="auto"/>
            </w:tcBorders>
            <w:shd w:val="clear" w:color="auto" w:fill="D0CECE" w:themeFill="background2" w:themeFillShade="E6"/>
          </w:tcPr>
          <w:p w14:paraId="1E67797E" w14:textId="77777777" w:rsidR="0099795D" w:rsidRPr="00C932DC" w:rsidRDefault="0099795D" w:rsidP="0099795D">
            <w:pPr>
              <w:pStyle w:val="Tabletextboldleft"/>
              <w:spacing w:before="20" w:after="20"/>
              <w:jc w:val="right"/>
              <w:rPr>
                <w:b w:val="0"/>
              </w:rPr>
            </w:pPr>
            <w:r w:rsidRPr="00C932DC">
              <w:rPr>
                <w:b w:val="0"/>
              </w:rPr>
              <w:t>-</w:t>
            </w:r>
          </w:p>
        </w:tc>
        <w:tc>
          <w:tcPr>
            <w:tcW w:w="1162" w:type="dxa"/>
            <w:tcBorders>
              <w:bottom w:val="single" w:sz="4" w:space="0" w:color="auto"/>
            </w:tcBorders>
            <w:shd w:val="clear" w:color="auto" w:fill="D0CECE" w:themeFill="background2" w:themeFillShade="E6"/>
          </w:tcPr>
          <w:p w14:paraId="02AC8FDF" w14:textId="77777777" w:rsidR="0099795D" w:rsidRPr="00C932DC" w:rsidRDefault="0099795D" w:rsidP="0099795D">
            <w:pPr>
              <w:pStyle w:val="Tabletextboldleft"/>
              <w:spacing w:before="20" w:after="20"/>
              <w:jc w:val="right"/>
              <w:rPr>
                <w:b w:val="0"/>
              </w:rPr>
            </w:pPr>
            <w:r w:rsidRPr="00C932DC">
              <w:rPr>
                <w:b w:val="0"/>
              </w:rPr>
              <w:t>-</w:t>
            </w:r>
          </w:p>
        </w:tc>
        <w:tc>
          <w:tcPr>
            <w:tcW w:w="1162" w:type="dxa"/>
            <w:tcBorders>
              <w:bottom w:val="single" w:sz="4" w:space="0" w:color="auto"/>
            </w:tcBorders>
            <w:shd w:val="clear" w:color="auto" w:fill="D0CECE" w:themeFill="background2" w:themeFillShade="E6"/>
          </w:tcPr>
          <w:p w14:paraId="31182139" w14:textId="77777777" w:rsidR="0099795D" w:rsidRPr="00C932DC" w:rsidRDefault="0099795D" w:rsidP="0099795D">
            <w:pPr>
              <w:pStyle w:val="Tabletextboldleft"/>
              <w:spacing w:before="20" w:after="20"/>
              <w:jc w:val="right"/>
              <w:rPr>
                <w:b w:val="0"/>
              </w:rPr>
            </w:pPr>
            <w:r w:rsidRPr="00C932DC">
              <w:rPr>
                <w:b w:val="0"/>
              </w:rPr>
              <w:t>-</w:t>
            </w:r>
          </w:p>
        </w:tc>
        <w:tc>
          <w:tcPr>
            <w:tcW w:w="1162" w:type="dxa"/>
            <w:tcBorders>
              <w:bottom w:val="single" w:sz="4" w:space="0" w:color="auto"/>
            </w:tcBorders>
            <w:shd w:val="clear" w:color="auto" w:fill="D0CECE" w:themeFill="background2" w:themeFillShade="E6"/>
          </w:tcPr>
          <w:p w14:paraId="05BF5EEE" w14:textId="77777777" w:rsidR="0099795D" w:rsidRPr="00C932DC" w:rsidRDefault="0099795D" w:rsidP="0099795D">
            <w:pPr>
              <w:pStyle w:val="Tabletextboldleft"/>
              <w:spacing w:before="20" w:after="20"/>
              <w:jc w:val="right"/>
              <w:rPr>
                <w:b w:val="0"/>
              </w:rPr>
            </w:pPr>
            <w:r w:rsidRPr="00C932DC">
              <w:rPr>
                <w:b w:val="0"/>
              </w:rPr>
              <w:t>-</w:t>
            </w:r>
          </w:p>
        </w:tc>
        <w:tc>
          <w:tcPr>
            <w:tcW w:w="1163" w:type="dxa"/>
            <w:tcBorders>
              <w:bottom w:val="single" w:sz="4" w:space="0" w:color="auto"/>
            </w:tcBorders>
            <w:shd w:val="clear" w:color="auto" w:fill="D0CECE" w:themeFill="background2" w:themeFillShade="E6"/>
          </w:tcPr>
          <w:p w14:paraId="19A98510" w14:textId="77777777" w:rsidR="0099795D" w:rsidRPr="00C932DC" w:rsidRDefault="0099795D" w:rsidP="0099795D">
            <w:pPr>
              <w:pStyle w:val="Tabletextboldleft"/>
              <w:spacing w:before="20" w:after="20"/>
              <w:jc w:val="right"/>
              <w:rPr>
                <w:b w:val="0"/>
              </w:rPr>
            </w:pPr>
            <w:r w:rsidRPr="00C932DC">
              <w:rPr>
                <w:b w:val="0"/>
              </w:rPr>
              <w:t>-</w:t>
            </w:r>
          </w:p>
        </w:tc>
      </w:tr>
      <w:tr w:rsidR="0099795D" w:rsidRPr="00F647C7" w14:paraId="7B791579" w14:textId="77777777" w:rsidTr="00C04E58">
        <w:trPr>
          <w:trHeight w:val="212"/>
        </w:trPr>
        <w:tc>
          <w:tcPr>
            <w:tcW w:w="2552" w:type="dxa"/>
            <w:tcBorders>
              <w:bottom w:val="nil"/>
            </w:tcBorders>
          </w:tcPr>
          <w:p w14:paraId="388588AC" w14:textId="77777777" w:rsidR="0099795D" w:rsidRPr="00F411CD" w:rsidRDefault="0099795D" w:rsidP="0099795D">
            <w:pPr>
              <w:pStyle w:val="Tabletextboldleft"/>
              <w:spacing w:before="20" w:after="20"/>
              <w:rPr>
                <w:b w:val="0"/>
              </w:rPr>
            </w:pPr>
            <w:r w:rsidRPr="00386763">
              <w:rPr>
                <w:b w:val="0"/>
              </w:rPr>
              <w:t>Tissue pathology</w:t>
            </w:r>
            <w:r w:rsidRPr="00386763">
              <w:rPr>
                <w:b w:val="0"/>
                <w:vertAlign w:val="superscript"/>
              </w:rPr>
              <w:t>a</w:t>
            </w:r>
          </w:p>
        </w:tc>
        <w:tc>
          <w:tcPr>
            <w:tcW w:w="1162" w:type="dxa"/>
            <w:tcBorders>
              <w:bottom w:val="nil"/>
            </w:tcBorders>
          </w:tcPr>
          <w:p w14:paraId="75D90254" w14:textId="77777777" w:rsidR="0099795D" w:rsidRPr="00C932DC" w:rsidRDefault="0099795D" w:rsidP="0099795D">
            <w:pPr>
              <w:pStyle w:val="Tabletextboldleft"/>
              <w:spacing w:before="20" w:after="20"/>
              <w:jc w:val="right"/>
              <w:rPr>
                <w:b w:val="0"/>
              </w:rPr>
            </w:pPr>
            <w:r w:rsidRPr="00C932DC">
              <w:rPr>
                <w:b w:val="0"/>
                <w:bCs/>
                <w:color w:val="000000"/>
              </w:rPr>
              <w:t>$2,673,673</w:t>
            </w:r>
          </w:p>
        </w:tc>
        <w:tc>
          <w:tcPr>
            <w:tcW w:w="1162" w:type="dxa"/>
            <w:tcBorders>
              <w:bottom w:val="nil"/>
            </w:tcBorders>
          </w:tcPr>
          <w:p w14:paraId="213B342C" w14:textId="77777777" w:rsidR="0099795D" w:rsidRPr="00C932DC" w:rsidRDefault="0099795D" w:rsidP="0099795D">
            <w:pPr>
              <w:pStyle w:val="Tabletextboldleft"/>
              <w:spacing w:before="20" w:after="20"/>
              <w:jc w:val="right"/>
              <w:rPr>
                <w:b w:val="0"/>
              </w:rPr>
            </w:pPr>
            <w:r w:rsidRPr="00C932DC">
              <w:rPr>
                <w:b w:val="0"/>
                <w:bCs/>
                <w:color w:val="000000"/>
              </w:rPr>
              <w:t>$2,770,546</w:t>
            </w:r>
          </w:p>
        </w:tc>
        <w:tc>
          <w:tcPr>
            <w:tcW w:w="1162" w:type="dxa"/>
            <w:tcBorders>
              <w:bottom w:val="nil"/>
            </w:tcBorders>
          </w:tcPr>
          <w:p w14:paraId="774D45F0" w14:textId="77777777" w:rsidR="0099795D" w:rsidRPr="00C932DC" w:rsidRDefault="0099795D" w:rsidP="0099795D">
            <w:pPr>
              <w:pStyle w:val="Tabletextboldleft"/>
              <w:spacing w:before="20" w:after="20"/>
              <w:jc w:val="right"/>
              <w:rPr>
                <w:b w:val="0"/>
              </w:rPr>
            </w:pPr>
            <w:r w:rsidRPr="00C932DC">
              <w:rPr>
                <w:b w:val="0"/>
                <w:bCs/>
                <w:color w:val="000000"/>
              </w:rPr>
              <w:t>$2,867,422</w:t>
            </w:r>
          </w:p>
        </w:tc>
        <w:tc>
          <w:tcPr>
            <w:tcW w:w="1162" w:type="dxa"/>
            <w:tcBorders>
              <w:bottom w:val="nil"/>
            </w:tcBorders>
          </w:tcPr>
          <w:p w14:paraId="6A80ECBD" w14:textId="77777777" w:rsidR="0099795D" w:rsidRPr="00C932DC" w:rsidRDefault="0099795D" w:rsidP="0099795D">
            <w:pPr>
              <w:pStyle w:val="Tabletextboldleft"/>
              <w:spacing w:before="20" w:after="20"/>
              <w:jc w:val="right"/>
              <w:rPr>
                <w:b w:val="0"/>
              </w:rPr>
            </w:pPr>
            <w:r w:rsidRPr="00C932DC">
              <w:rPr>
                <w:b w:val="0"/>
                <w:bCs/>
                <w:color w:val="000000"/>
              </w:rPr>
              <w:t>$2,964,298</w:t>
            </w:r>
          </w:p>
        </w:tc>
        <w:tc>
          <w:tcPr>
            <w:tcW w:w="1163" w:type="dxa"/>
            <w:tcBorders>
              <w:bottom w:val="nil"/>
            </w:tcBorders>
          </w:tcPr>
          <w:p w14:paraId="6F0705DE" w14:textId="77777777" w:rsidR="0099795D" w:rsidRPr="00C932DC" w:rsidRDefault="0099795D" w:rsidP="0099795D">
            <w:pPr>
              <w:pStyle w:val="Tabletextboldleft"/>
              <w:spacing w:before="20" w:after="20"/>
              <w:jc w:val="right"/>
              <w:rPr>
                <w:b w:val="0"/>
              </w:rPr>
            </w:pPr>
            <w:r w:rsidRPr="00C932DC">
              <w:rPr>
                <w:b w:val="0"/>
                <w:bCs/>
                <w:color w:val="000000"/>
              </w:rPr>
              <w:t>$3,061,172</w:t>
            </w:r>
          </w:p>
        </w:tc>
      </w:tr>
      <w:tr w:rsidR="0099795D" w:rsidRPr="00F647C7" w14:paraId="7D7F7841" w14:textId="77777777" w:rsidTr="00C04E58">
        <w:trPr>
          <w:trHeight w:val="212"/>
        </w:trPr>
        <w:tc>
          <w:tcPr>
            <w:tcW w:w="2552" w:type="dxa"/>
            <w:tcBorders>
              <w:top w:val="nil"/>
              <w:bottom w:val="nil"/>
            </w:tcBorders>
          </w:tcPr>
          <w:p w14:paraId="6F39BEA9" w14:textId="77777777" w:rsidR="0099795D" w:rsidRDefault="0099795D" w:rsidP="0099795D">
            <w:pPr>
              <w:pStyle w:val="Tabletextboldleft"/>
              <w:spacing w:before="20" w:after="20"/>
              <w:ind w:firstLine="317"/>
              <w:rPr>
                <w:b w:val="0"/>
              </w:rPr>
            </w:pPr>
            <w:r>
              <w:rPr>
                <w:b w:val="0"/>
              </w:rPr>
              <w:t>Second, expert opinion</w:t>
            </w:r>
          </w:p>
        </w:tc>
        <w:tc>
          <w:tcPr>
            <w:tcW w:w="1162" w:type="dxa"/>
            <w:tcBorders>
              <w:top w:val="nil"/>
              <w:bottom w:val="nil"/>
            </w:tcBorders>
          </w:tcPr>
          <w:p w14:paraId="15545567" w14:textId="77777777" w:rsidR="0099795D" w:rsidRPr="00C932DC" w:rsidRDefault="0099795D" w:rsidP="0099795D">
            <w:pPr>
              <w:pStyle w:val="Tabletextboldleft"/>
              <w:spacing w:before="20" w:after="20"/>
              <w:jc w:val="right"/>
              <w:rPr>
                <w:b w:val="0"/>
              </w:rPr>
            </w:pPr>
            <w:r w:rsidRPr="00C932DC">
              <w:rPr>
                <w:b w:val="0"/>
                <w:color w:val="000000"/>
              </w:rPr>
              <w:t>$2,290,025</w:t>
            </w:r>
          </w:p>
        </w:tc>
        <w:tc>
          <w:tcPr>
            <w:tcW w:w="1162" w:type="dxa"/>
            <w:tcBorders>
              <w:top w:val="nil"/>
              <w:bottom w:val="nil"/>
            </w:tcBorders>
          </w:tcPr>
          <w:p w14:paraId="5F5D1B92" w14:textId="77777777" w:rsidR="0099795D" w:rsidRPr="00C932DC" w:rsidRDefault="0099795D" w:rsidP="0099795D">
            <w:pPr>
              <w:pStyle w:val="Tabletextboldleft"/>
              <w:spacing w:before="20" w:after="20"/>
              <w:jc w:val="right"/>
              <w:rPr>
                <w:b w:val="0"/>
              </w:rPr>
            </w:pPr>
            <w:r w:rsidRPr="00C932DC">
              <w:rPr>
                <w:b w:val="0"/>
                <w:color w:val="000000"/>
              </w:rPr>
              <w:t>$2,372,998</w:t>
            </w:r>
          </w:p>
        </w:tc>
        <w:tc>
          <w:tcPr>
            <w:tcW w:w="1162" w:type="dxa"/>
            <w:tcBorders>
              <w:top w:val="nil"/>
              <w:bottom w:val="nil"/>
            </w:tcBorders>
          </w:tcPr>
          <w:p w14:paraId="11F79100" w14:textId="77777777" w:rsidR="0099795D" w:rsidRPr="00C932DC" w:rsidRDefault="0099795D" w:rsidP="0099795D">
            <w:pPr>
              <w:pStyle w:val="Tabletextboldleft"/>
              <w:spacing w:before="20" w:after="20"/>
              <w:jc w:val="right"/>
              <w:rPr>
                <w:b w:val="0"/>
              </w:rPr>
            </w:pPr>
            <w:r w:rsidRPr="00C932DC">
              <w:rPr>
                <w:b w:val="0"/>
                <w:color w:val="000000"/>
              </w:rPr>
              <w:t>$2,455,973</w:t>
            </w:r>
          </w:p>
        </w:tc>
        <w:tc>
          <w:tcPr>
            <w:tcW w:w="1162" w:type="dxa"/>
            <w:tcBorders>
              <w:top w:val="nil"/>
              <w:bottom w:val="nil"/>
            </w:tcBorders>
          </w:tcPr>
          <w:p w14:paraId="6182621F" w14:textId="77777777" w:rsidR="0099795D" w:rsidRPr="00C932DC" w:rsidRDefault="0099795D" w:rsidP="0099795D">
            <w:pPr>
              <w:pStyle w:val="Tabletextboldleft"/>
              <w:spacing w:before="20" w:after="20"/>
              <w:jc w:val="right"/>
              <w:rPr>
                <w:b w:val="0"/>
              </w:rPr>
            </w:pPr>
            <w:r w:rsidRPr="00C932DC">
              <w:rPr>
                <w:b w:val="0"/>
                <w:color w:val="000000"/>
              </w:rPr>
              <w:t>$2,538,948</w:t>
            </w:r>
          </w:p>
        </w:tc>
        <w:tc>
          <w:tcPr>
            <w:tcW w:w="1163" w:type="dxa"/>
            <w:tcBorders>
              <w:top w:val="nil"/>
              <w:bottom w:val="nil"/>
            </w:tcBorders>
          </w:tcPr>
          <w:p w14:paraId="61FB3725" w14:textId="77777777" w:rsidR="0099795D" w:rsidRPr="00C932DC" w:rsidRDefault="0099795D" w:rsidP="0099795D">
            <w:pPr>
              <w:pStyle w:val="Tabletextboldleft"/>
              <w:spacing w:before="20" w:after="20"/>
              <w:jc w:val="right"/>
              <w:rPr>
                <w:b w:val="0"/>
              </w:rPr>
            </w:pPr>
            <w:r w:rsidRPr="00C932DC">
              <w:rPr>
                <w:b w:val="0"/>
                <w:color w:val="000000"/>
              </w:rPr>
              <w:t>$2,621,922</w:t>
            </w:r>
          </w:p>
        </w:tc>
      </w:tr>
      <w:tr w:rsidR="0099795D" w:rsidRPr="00F647C7" w14:paraId="0B1698ED" w14:textId="77777777" w:rsidTr="00C04E58">
        <w:trPr>
          <w:trHeight w:val="212"/>
        </w:trPr>
        <w:tc>
          <w:tcPr>
            <w:tcW w:w="2552" w:type="dxa"/>
            <w:tcBorders>
              <w:top w:val="nil"/>
              <w:bottom w:val="nil"/>
            </w:tcBorders>
          </w:tcPr>
          <w:p w14:paraId="1E355272" w14:textId="77777777" w:rsidR="0099795D" w:rsidRPr="00F411CD" w:rsidRDefault="0099795D" w:rsidP="0099795D">
            <w:pPr>
              <w:pStyle w:val="Tabletextboldleft"/>
              <w:spacing w:before="20" w:after="20"/>
              <w:ind w:firstLine="317"/>
              <w:rPr>
                <w:b w:val="0"/>
              </w:rPr>
            </w:pPr>
            <w:r>
              <w:rPr>
                <w:b w:val="0"/>
              </w:rPr>
              <w:t>Ancillary tests</w:t>
            </w:r>
          </w:p>
        </w:tc>
        <w:tc>
          <w:tcPr>
            <w:tcW w:w="1162" w:type="dxa"/>
            <w:tcBorders>
              <w:top w:val="nil"/>
              <w:bottom w:val="nil"/>
            </w:tcBorders>
          </w:tcPr>
          <w:p w14:paraId="7EA8AA90" w14:textId="77777777" w:rsidR="0099795D" w:rsidRPr="00C932DC" w:rsidRDefault="0099795D" w:rsidP="0099795D">
            <w:pPr>
              <w:pStyle w:val="Tabletextboldleft"/>
              <w:spacing w:before="20" w:after="20"/>
              <w:jc w:val="right"/>
              <w:rPr>
                <w:b w:val="0"/>
              </w:rPr>
            </w:pPr>
            <w:r w:rsidRPr="00C932DC">
              <w:rPr>
                <w:b w:val="0"/>
                <w:color w:val="000000"/>
              </w:rPr>
              <w:t>$248,372</w:t>
            </w:r>
          </w:p>
        </w:tc>
        <w:tc>
          <w:tcPr>
            <w:tcW w:w="1162" w:type="dxa"/>
            <w:tcBorders>
              <w:top w:val="nil"/>
              <w:bottom w:val="nil"/>
            </w:tcBorders>
          </w:tcPr>
          <w:p w14:paraId="27A45DA3" w14:textId="77777777" w:rsidR="0099795D" w:rsidRPr="00C932DC" w:rsidRDefault="0099795D" w:rsidP="0099795D">
            <w:pPr>
              <w:pStyle w:val="Tabletextboldleft"/>
              <w:spacing w:before="20" w:after="20"/>
              <w:jc w:val="right"/>
              <w:rPr>
                <w:b w:val="0"/>
              </w:rPr>
            </w:pPr>
            <w:r w:rsidRPr="00C932DC">
              <w:rPr>
                <w:b w:val="0"/>
                <w:color w:val="000000"/>
              </w:rPr>
              <w:t>$257,371</w:t>
            </w:r>
          </w:p>
        </w:tc>
        <w:tc>
          <w:tcPr>
            <w:tcW w:w="1162" w:type="dxa"/>
            <w:tcBorders>
              <w:top w:val="nil"/>
              <w:bottom w:val="nil"/>
            </w:tcBorders>
          </w:tcPr>
          <w:p w14:paraId="67A8EB7D" w14:textId="77777777" w:rsidR="0099795D" w:rsidRPr="00C932DC" w:rsidRDefault="0099795D" w:rsidP="0099795D">
            <w:pPr>
              <w:pStyle w:val="Tabletextboldleft"/>
              <w:spacing w:before="20" w:after="20"/>
              <w:jc w:val="right"/>
              <w:rPr>
                <w:b w:val="0"/>
              </w:rPr>
            </w:pPr>
            <w:r w:rsidRPr="00C932DC">
              <w:rPr>
                <w:b w:val="0"/>
                <w:color w:val="000000"/>
              </w:rPr>
              <w:t>$266,371</w:t>
            </w:r>
          </w:p>
        </w:tc>
        <w:tc>
          <w:tcPr>
            <w:tcW w:w="1162" w:type="dxa"/>
            <w:tcBorders>
              <w:top w:val="nil"/>
              <w:bottom w:val="nil"/>
            </w:tcBorders>
          </w:tcPr>
          <w:p w14:paraId="565EF9DE" w14:textId="77777777" w:rsidR="0099795D" w:rsidRPr="00C932DC" w:rsidRDefault="0099795D" w:rsidP="0099795D">
            <w:pPr>
              <w:pStyle w:val="Tabletextboldleft"/>
              <w:spacing w:before="20" w:after="20"/>
              <w:jc w:val="right"/>
              <w:rPr>
                <w:b w:val="0"/>
              </w:rPr>
            </w:pPr>
            <w:r w:rsidRPr="00C932DC">
              <w:rPr>
                <w:b w:val="0"/>
                <w:color w:val="000000"/>
              </w:rPr>
              <w:t>$275,370</w:t>
            </w:r>
          </w:p>
        </w:tc>
        <w:tc>
          <w:tcPr>
            <w:tcW w:w="1163" w:type="dxa"/>
            <w:tcBorders>
              <w:top w:val="nil"/>
              <w:bottom w:val="nil"/>
            </w:tcBorders>
          </w:tcPr>
          <w:p w14:paraId="14A4A33A" w14:textId="77777777" w:rsidR="0099795D" w:rsidRPr="00C932DC" w:rsidRDefault="0099795D" w:rsidP="0099795D">
            <w:pPr>
              <w:pStyle w:val="Tabletextboldleft"/>
              <w:spacing w:before="20" w:after="20"/>
              <w:jc w:val="right"/>
              <w:rPr>
                <w:b w:val="0"/>
              </w:rPr>
            </w:pPr>
            <w:r w:rsidRPr="00C932DC">
              <w:rPr>
                <w:b w:val="0"/>
                <w:color w:val="000000"/>
              </w:rPr>
              <w:t>$284,369</w:t>
            </w:r>
          </w:p>
        </w:tc>
      </w:tr>
      <w:tr w:rsidR="0099795D" w:rsidRPr="00F647C7" w14:paraId="3C347E99" w14:textId="77777777" w:rsidTr="00C04E58">
        <w:trPr>
          <w:trHeight w:val="212"/>
        </w:trPr>
        <w:tc>
          <w:tcPr>
            <w:tcW w:w="2552" w:type="dxa"/>
            <w:tcBorders>
              <w:top w:val="nil"/>
              <w:bottom w:val="nil"/>
            </w:tcBorders>
          </w:tcPr>
          <w:p w14:paraId="7CF5800E" w14:textId="77777777" w:rsidR="0099795D" w:rsidRPr="00F411CD" w:rsidRDefault="0099795D" w:rsidP="0099795D">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713E8F9F" w14:textId="77777777" w:rsidR="0099795D" w:rsidRPr="00C932DC" w:rsidRDefault="0099795D" w:rsidP="0099795D">
            <w:pPr>
              <w:pStyle w:val="Tabletextboldleft"/>
              <w:spacing w:before="20" w:after="20"/>
              <w:jc w:val="right"/>
              <w:rPr>
                <w:b w:val="0"/>
              </w:rPr>
            </w:pPr>
            <w:r w:rsidRPr="00C932DC">
              <w:rPr>
                <w:b w:val="0"/>
                <w:color w:val="000000"/>
              </w:rPr>
              <w:t>$99,467</w:t>
            </w:r>
          </w:p>
        </w:tc>
        <w:tc>
          <w:tcPr>
            <w:tcW w:w="1162" w:type="dxa"/>
            <w:tcBorders>
              <w:top w:val="nil"/>
              <w:bottom w:val="nil"/>
            </w:tcBorders>
          </w:tcPr>
          <w:p w14:paraId="0818AE64" w14:textId="77777777" w:rsidR="0099795D" w:rsidRPr="00C932DC" w:rsidRDefault="0099795D" w:rsidP="0099795D">
            <w:pPr>
              <w:pStyle w:val="Tabletextboldleft"/>
              <w:spacing w:before="20" w:after="20"/>
              <w:jc w:val="right"/>
              <w:rPr>
                <w:b w:val="0"/>
              </w:rPr>
            </w:pPr>
            <w:r w:rsidRPr="00C932DC">
              <w:rPr>
                <w:b w:val="0"/>
                <w:color w:val="000000"/>
              </w:rPr>
              <w:t>$103,071</w:t>
            </w:r>
          </w:p>
        </w:tc>
        <w:tc>
          <w:tcPr>
            <w:tcW w:w="1162" w:type="dxa"/>
            <w:tcBorders>
              <w:top w:val="nil"/>
              <w:bottom w:val="nil"/>
            </w:tcBorders>
          </w:tcPr>
          <w:p w14:paraId="35E6EDE6" w14:textId="77777777" w:rsidR="0099795D" w:rsidRPr="00C932DC" w:rsidRDefault="0099795D" w:rsidP="0099795D">
            <w:pPr>
              <w:pStyle w:val="Tabletextboldleft"/>
              <w:spacing w:before="20" w:after="20"/>
              <w:jc w:val="right"/>
              <w:rPr>
                <w:b w:val="0"/>
              </w:rPr>
            </w:pPr>
            <w:r w:rsidRPr="00C932DC">
              <w:rPr>
                <w:b w:val="0"/>
                <w:color w:val="000000"/>
              </w:rPr>
              <w:t>$106,675</w:t>
            </w:r>
          </w:p>
        </w:tc>
        <w:tc>
          <w:tcPr>
            <w:tcW w:w="1162" w:type="dxa"/>
            <w:tcBorders>
              <w:top w:val="nil"/>
              <w:bottom w:val="nil"/>
            </w:tcBorders>
          </w:tcPr>
          <w:p w14:paraId="7741538A" w14:textId="77777777" w:rsidR="0099795D" w:rsidRPr="00C932DC" w:rsidRDefault="0099795D" w:rsidP="0099795D">
            <w:pPr>
              <w:pStyle w:val="Tabletextboldleft"/>
              <w:spacing w:before="20" w:after="20"/>
              <w:jc w:val="right"/>
              <w:rPr>
                <w:b w:val="0"/>
              </w:rPr>
            </w:pPr>
            <w:r w:rsidRPr="00C932DC">
              <w:rPr>
                <w:b w:val="0"/>
                <w:color w:val="000000"/>
              </w:rPr>
              <w:t>$110,279</w:t>
            </w:r>
          </w:p>
        </w:tc>
        <w:tc>
          <w:tcPr>
            <w:tcW w:w="1163" w:type="dxa"/>
            <w:tcBorders>
              <w:top w:val="nil"/>
              <w:bottom w:val="nil"/>
            </w:tcBorders>
          </w:tcPr>
          <w:p w14:paraId="202EBDCF" w14:textId="77777777" w:rsidR="0099795D" w:rsidRPr="00C932DC" w:rsidRDefault="0099795D" w:rsidP="0099795D">
            <w:pPr>
              <w:pStyle w:val="Tabletextboldleft"/>
              <w:spacing w:before="20" w:after="20"/>
              <w:jc w:val="right"/>
              <w:rPr>
                <w:b w:val="0"/>
              </w:rPr>
            </w:pPr>
            <w:r w:rsidRPr="00C932DC">
              <w:rPr>
                <w:b w:val="0"/>
                <w:color w:val="000000"/>
              </w:rPr>
              <w:t>$113,883</w:t>
            </w:r>
          </w:p>
        </w:tc>
      </w:tr>
      <w:tr w:rsidR="0099795D" w:rsidRPr="00F647C7" w14:paraId="2D834FEB" w14:textId="77777777" w:rsidTr="00C04E58">
        <w:trPr>
          <w:trHeight w:val="212"/>
        </w:trPr>
        <w:tc>
          <w:tcPr>
            <w:tcW w:w="2552" w:type="dxa"/>
            <w:tcBorders>
              <w:top w:val="nil"/>
              <w:bottom w:val="single" w:sz="4" w:space="0" w:color="auto"/>
            </w:tcBorders>
          </w:tcPr>
          <w:p w14:paraId="44E9899A" w14:textId="77777777" w:rsidR="0099795D" w:rsidRPr="00F411CD" w:rsidRDefault="0099795D" w:rsidP="0099795D">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bottom w:val="single" w:sz="4" w:space="0" w:color="auto"/>
            </w:tcBorders>
          </w:tcPr>
          <w:p w14:paraId="4E50A080" w14:textId="77777777" w:rsidR="0099795D" w:rsidRPr="00C932DC" w:rsidRDefault="0099795D" w:rsidP="0099795D">
            <w:pPr>
              <w:pStyle w:val="Tabletextboldleft"/>
              <w:spacing w:before="20" w:after="20"/>
              <w:jc w:val="right"/>
              <w:rPr>
                <w:b w:val="0"/>
              </w:rPr>
            </w:pPr>
            <w:r w:rsidRPr="00C932DC">
              <w:rPr>
                <w:b w:val="0"/>
                <w:color w:val="000000"/>
              </w:rPr>
              <w:t>$35,808</w:t>
            </w:r>
          </w:p>
        </w:tc>
        <w:tc>
          <w:tcPr>
            <w:tcW w:w="1162" w:type="dxa"/>
            <w:tcBorders>
              <w:top w:val="nil"/>
              <w:bottom w:val="single" w:sz="4" w:space="0" w:color="auto"/>
            </w:tcBorders>
          </w:tcPr>
          <w:p w14:paraId="062A3A40" w14:textId="77777777" w:rsidR="0099795D" w:rsidRPr="00C932DC" w:rsidRDefault="0099795D" w:rsidP="0099795D">
            <w:pPr>
              <w:pStyle w:val="Tabletextboldleft"/>
              <w:spacing w:before="20" w:after="20"/>
              <w:jc w:val="right"/>
              <w:rPr>
                <w:b w:val="0"/>
              </w:rPr>
            </w:pPr>
            <w:r w:rsidRPr="00C932DC">
              <w:rPr>
                <w:b w:val="0"/>
                <w:color w:val="000000"/>
              </w:rPr>
              <w:t>$37,106</w:t>
            </w:r>
          </w:p>
        </w:tc>
        <w:tc>
          <w:tcPr>
            <w:tcW w:w="1162" w:type="dxa"/>
            <w:tcBorders>
              <w:top w:val="nil"/>
              <w:bottom w:val="single" w:sz="4" w:space="0" w:color="auto"/>
            </w:tcBorders>
          </w:tcPr>
          <w:p w14:paraId="1D09645F" w14:textId="77777777" w:rsidR="0099795D" w:rsidRPr="00C932DC" w:rsidRDefault="0099795D" w:rsidP="0099795D">
            <w:pPr>
              <w:pStyle w:val="Tabletextboldleft"/>
              <w:spacing w:before="20" w:after="20"/>
              <w:jc w:val="right"/>
              <w:rPr>
                <w:b w:val="0"/>
              </w:rPr>
            </w:pPr>
            <w:r w:rsidRPr="00C932DC">
              <w:rPr>
                <w:b w:val="0"/>
                <w:color w:val="000000"/>
              </w:rPr>
              <w:t>$38,403</w:t>
            </w:r>
          </w:p>
        </w:tc>
        <w:tc>
          <w:tcPr>
            <w:tcW w:w="1162" w:type="dxa"/>
            <w:tcBorders>
              <w:top w:val="nil"/>
              <w:bottom w:val="single" w:sz="4" w:space="0" w:color="auto"/>
            </w:tcBorders>
          </w:tcPr>
          <w:p w14:paraId="0C5C500E" w14:textId="77777777" w:rsidR="0099795D" w:rsidRPr="00C932DC" w:rsidRDefault="0099795D" w:rsidP="0099795D">
            <w:pPr>
              <w:pStyle w:val="Tabletextboldleft"/>
              <w:spacing w:before="20" w:after="20"/>
              <w:jc w:val="right"/>
              <w:rPr>
                <w:b w:val="0"/>
              </w:rPr>
            </w:pPr>
            <w:r w:rsidRPr="00C932DC">
              <w:rPr>
                <w:b w:val="0"/>
                <w:color w:val="000000"/>
              </w:rPr>
              <w:t>$39,701</w:t>
            </w:r>
          </w:p>
        </w:tc>
        <w:tc>
          <w:tcPr>
            <w:tcW w:w="1163" w:type="dxa"/>
            <w:tcBorders>
              <w:top w:val="nil"/>
              <w:bottom w:val="single" w:sz="4" w:space="0" w:color="auto"/>
            </w:tcBorders>
          </w:tcPr>
          <w:p w14:paraId="4C77DDC3" w14:textId="77777777" w:rsidR="0099795D" w:rsidRPr="00C932DC" w:rsidRDefault="0099795D" w:rsidP="0099795D">
            <w:pPr>
              <w:pStyle w:val="Tabletextboldleft"/>
              <w:spacing w:before="20" w:after="20"/>
              <w:jc w:val="right"/>
              <w:rPr>
                <w:b w:val="0"/>
              </w:rPr>
            </w:pPr>
            <w:r w:rsidRPr="00C932DC">
              <w:rPr>
                <w:b w:val="0"/>
                <w:color w:val="000000"/>
              </w:rPr>
              <w:t>$40,998</w:t>
            </w:r>
          </w:p>
        </w:tc>
      </w:tr>
      <w:tr w:rsidR="0099795D" w:rsidRPr="00F647C7" w14:paraId="4B6457C0" w14:textId="77777777" w:rsidTr="00C04E58">
        <w:trPr>
          <w:trHeight w:val="212"/>
        </w:trPr>
        <w:tc>
          <w:tcPr>
            <w:tcW w:w="2552" w:type="dxa"/>
            <w:tcBorders>
              <w:bottom w:val="nil"/>
            </w:tcBorders>
          </w:tcPr>
          <w:p w14:paraId="219DA830" w14:textId="77777777" w:rsidR="0099795D" w:rsidRPr="00F411CD" w:rsidRDefault="0099795D" w:rsidP="0099795D">
            <w:pPr>
              <w:pStyle w:val="Tabletextboldleft"/>
              <w:spacing w:before="20" w:after="20"/>
              <w:rPr>
                <w:b w:val="0"/>
              </w:rPr>
            </w:pPr>
            <w:r w:rsidRPr="00F411CD">
              <w:rPr>
                <w:b w:val="0"/>
              </w:rPr>
              <w:t>Non-gynaecological cytology</w:t>
            </w:r>
          </w:p>
        </w:tc>
        <w:tc>
          <w:tcPr>
            <w:tcW w:w="1162" w:type="dxa"/>
            <w:tcBorders>
              <w:bottom w:val="nil"/>
            </w:tcBorders>
          </w:tcPr>
          <w:p w14:paraId="384A0DA8" w14:textId="77777777" w:rsidR="0099795D" w:rsidRPr="00C932DC" w:rsidRDefault="0099795D" w:rsidP="0099795D">
            <w:pPr>
              <w:pStyle w:val="Tabletextboldleft"/>
              <w:spacing w:before="20" w:after="20"/>
              <w:jc w:val="right"/>
              <w:rPr>
                <w:b w:val="0"/>
              </w:rPr>
            </w:pPr>
            <w:r w:rsidRPr="00C932DC">
              <w:rPr>
                <w:b w:val="0"/>
                <w:bCs/>
                <w:color w:val="000000"/>
              </w:rPr>
              <w:t>$250,059</w:t>
            </w:r>
          </w:p>
        </w:tc>
        <w:tc>
          <w:tcPr>
            <w:tcW w:w="1162" w:type="dxa"/>
            <w:tcBorders>
              <w:bottom w:val="nil"/>
            </w:tcBorders>
          </w:tcPr>
          <w:p w14:paraId="0BFAC62B" w14:textId="77777777" w:rsidR="0099795D" w:rsidRPr="00C932DC" w:rsidRDefault="0099795D" w:rsidP="0099795D">
            <w:pPr>
              <w:pStyle w:val="Tabletextboldleft"/>
              <w:spacing w:before="20" w:after="20"/>
              <w:jc w:val="right"/>
              <w:rPr>
                <w:b w:val="0"/>
              </w:rPr>
            </w:pPr>
            <w:r w:rsidRPr="00C932DC">
              <w:rPr>
                <w:b w:val="0"/>
                <w:bCs/>
                <w:color w:val="000000"/>
              </w:rPr>
              <w:t>$257,313</w:t>
            </w:r>
          </w:p>
        </w:tc>
        <w:tc>
          <w:tcPr>
            <w:tcW w:w="1162" w:type="dxa"/>
            <w:tcBorders>
              <w:bottom w:val="nil"/>
            </w:tcBorders>
          </w:tcPr>
          <w:p w14:paraId="2E9114D2" w14:textId="77777777" w:rsidR="0099795D" w:rsidRPr="00C932DC" w:rsidRDefault="0099795D" w:rsidP="0099795D">
            <w:pPr>
              <w:pStyle w:val="Tabletextboldleft"/>
              <w:spacing w:before="20" w:after="20"/>
              <w:jc w:val="right"/>
              <w:rPr>
                <w:b w:val="0"/>
              </w:rPr>
            </w:pPr>
            <w:r w:rsidRPr="00C932DC">
              <w:rPr>
                <w:b w:val="0"/>
                <w:bCs/>
                <w:color w:val="000000"/>
              </w:rPr>
              <w:t>$264,567</w:t>
            </w:r>
          </w:p>
        </w:tc>
        <w:tc>
          <w:tcPr>
            <w:tcW w:w="1162" w:type="dxa"/>
            <w:tcBorders>
              <w:bottom w:val="nil"/>
            </w:tcBorders>
          </w:tcPr>
          <w:p w14:paraId="0ED894C8" w14:textId="77777777" w:rsidR="0099795D" w:rsidRPr="00C932DC" w:rsidRDefault="0099795D" w:rsidP="0099795D">
            <w:pPr>
              <w:pStyle w:val="Tabletextboldleft"/>
              <w:spacing w:before="20" w:after="20"/>
              <w:jc w:val="right"/>
              <w:rPr>
                <w:b w:val="0"/>
              </w:rPr>
            </w:pPr>
            <w:r w:rsidRPr="00C932DC">
              <w:rPr>
                <w:b w:val="0"/>
                <w:bCs/>
                <w:color w:val="000000"/>
              </w:rPr>
              <w:t>$271,822</w:t>
            </w:r>
          </w:p>
        </w:tc>
        <w:tc>
          <w:tcPr>
            <w:tcW w:w="1163" w:type="dxa"/>
            <w:tcBorders>
              <w:bottom w:val="nil"/>
            </w:tcBorders>
          </w:tcPr>
          <w:p w14:paraId="25D083FD" w14:textId="77777777" w:rsidR="0099795D" w:rsidRPr="00C932DC" w:rsidRDefault="0099795D" w:rsidP="0099795D">
            <w:pPr>
              <w:pStyle w:val="Tabletextboldleft"/>
              <w:spacing w:before="20" w:after="20"/>
              <w:jc w:val="right"/>
              <w:rPr>
                <w:b w:val="0"/>
              </w:rPr>
            </w:pPr>
            <w:r w:rsidRPr="00C932DC">
              <w:rPr>
                <w:b w:val="0"/>
                <w:bCs/>
                <w:color w:val="000000"/>
              </w:rPr>
              <w:t>$279,076</w:t>
            </w:r>
          </w:p>
        </w:tc>
      </w:tr>
      <w:tr w:rsidR="0099795D" w:rsidRPr="00F647C7" w14:paraId="55004445" w14:textId="77777777" w:rsidTr="00C04E58">
        <w:trPr>
          <w:trHeight w:val="212"/>
        </w:trPr>
        <w:tc>
          <w:tcPr>
            <w:tcW w:w="2552" w:type="dxa"/>
            <w:tcBorders>
              <w:top w:val="nil"/>
              <w:bottom w:val="nil"/>
            </w:tcBorders>
          </w:tcPr>
          <w:p w14:paraId="63874E98" w14:textId="77777777" w:rsidR="0099795D" w:rsidRDefault="0099795D" w:rsidP="0099795D">
            <w:pPr>
              <w:pStyle w:val="Tabletextboldleft"/>
              <w:spacing w:before="20" w:after="20"/>
              <w:ind w:firstLine="317"/>
              <w:rPr>
                <w:b w:val="0"/>
              </w:rPr>
            </w:pPr>
            <w:r>
              <w:rPr>
                <w:b w:val="0"/>
              </w:rPr>
              <w:t>Second, expert opinion</w:t>
            </w:r>
          </w:p>
        </w:tc>
        <w:tc>
          <w:tcPr>
            <w:tcW w:w="1162" w:type="dxa"/>
            <w:tcBorders>
              <w:top w:val="nil"/>
              <w:bottom w:val="nil"/>
            </w:tcBorders>
          </w:tcPr>
          <w:p w14:paraId="58DF01FF" w14:textId="77777777" w:rsidR="0099795D" w:rsidRPr="00C932DC" w:rsidRDefault="0099795D" w:rsidP="0099795D">
            <w:pPr>
              <w:pStyle w:val="Tabletextboldleft"/>
              <w:spacing w:before="20" w:after="20"/>
              <w:jc w:val="right"/>
              <w:rPr>
                <w:b w:val="0"/>
              </w:rPr>
            </w:pPr>
            <w:r w:rsidRPr="00C932DC">
              <w:rPr>
                <w:b w:val="0"/>
                <w:color w:val="000000"/>
              </w:rPr>
              <w:t>$226,174</w:t>
            </w:r>
          </w:p>
        </w:tc>
        <w:tc>
          <w:tcPr>
            <w:tcW w:w="1162" w:type="dxa"/>
            <w:tcBorders>
              <w:top w:val="nil"/>
              <w:bottom w:val="nil"/>
            </w:tcBorders>
          </w:tcPr>
          <w:p w14:paraId="7E5C793C" w14:textId="77777777" w:rsidR="0099795D" w:rsidRPr="00C932DC" w:rsidRDefault="0099795D" w:rsidP="0099795D">
            <w:pPr>
              <w:pStyle w:val="Tabletextboldleft"/>
              <w:spacing w:before="20" w:after="20"/>
              <w:jc w:val="right"/>
              <w:rPr>
                <w:b w:val="0"/>
              </w:rPr>
            </w:pPr>
            <w:r w:rsidRPr="00C932DC">
              <w:rPr>
                <w:b w:val="0"/>
                <w:color w:val="000000"/>
              </w:rPr>
              <w:t>$232,736</w:t>
            </w:r>
          </w:p>
        </w:tc>
        <w:tc>
          <w:tcPr>
            <w:tcW w:w="1162" w:type="dxa"/>
            <w:tcBorders>
              <w:top w:val="nil"/>
              <w:bottom w:val="nil"/>
            </w:tcBorders>
          </w:tcPr>
          <w:p w14:paraId="3CA3FEB0" w14:textId="77777777" w:rsidR="0099795D" w:rsidRPr="00C932DC" w:rsidRDefault="0099795D" w:rsidP="0099795D">
            <w:pPr>
              <w:pStyle w:val="Tabletextboldleft"/>
              <w:spacing w:before="20" w:after="20"/>
              <w:jc w:val="right"/>
              <w:rPr>
                <w:b w:val="0"/>
              </w:rPr>
            </w:pPr>
            <w:r w:rsidRPr="00C932DC">
              <w:rPr>
                <w:b w:val="0"/>
                <w:color w:val="000000"/>
              </w:rPr>
              <w:t>$239,297</w:t>
            </w:r>
          </w:p>
        </w:tc>
        <w:tc>
          <w:tcPr>
            <w:tcW w:w="1162" w:type="dxa"/>
            <w:tcBorders>
              <w:top w:val="nil"/>
              <w:bottom w:val="nil"/>
            </w:tcBorders>
          </w:tcPr>
          <w:p w14:paraId="7A6E8492" w14:textId="77777777" w:rsidR="0099795D" w:rsidRPr="00C932DC" w:rsidRDefault="0099795D" w:rsidP="0099795D">
            <w:pPr>
              <w:pStyle w:val="Tabletextboldleft"/>
              <w:spacing w:before="20" w:after="20"/>
              <w:jc w:val="right"/>
              <w:rPr>
                <w:b w:val="0"/>
              </w:rPr>
            </w:pPr>
            <w:r w:rsidRPr="00C932DC">
              <w:rPr>
                <w:b w:val="0"/>
                <w:color w:val="000000"/>
              </w:rPr>
              <w:t>$245,859</w:t>
            </w:r>
          </w:p>
        </w:tc>
        <w:tc>
          <w:tcPr>
            <w:tcW w:w="1163" w:type="dxa"/>
            <w:tcBorders>
              <w:top w:val="nil"/>
              <w:bottom w:val="nil"/>
            </w:tcBorders>
          </w:tcPr>
          <w:p w14:paraId="7CE0BEAF" w14:textId="77777777" w:rsidR="0099795D" w:rsidRPr="00C932DC" w:rsidRDefault="0099795D" w:rsidP="0099795D">
            <w:pPr>
              <w:pStyle w:val="Tabletextboldleft"/>
              <w:spacing w:before="20" w:after="20"/>
              <w:jc w:val="right"/>
              <w:rPr>
                <w:b w:val="0"/>
              </w:rPr>
            </w:pPr>
            <w:r w:rsidRPr="00C932DC">
              <w:rPr>
                <w:b w:val="0"/>
                <w:color w:val="000000"/>
              </w:rPr>
              <w:t>$252,420</w:t>
            </w:r>
          </w:p>
        </w:tc>
      </w:tr>
      <w:tr w:rsidR="0099795D" w:rsidRPr="00F647C7" w14:paraId="3BE51945" w14:textId="77777777" w:rsidTr="00C04E58">
        <w:trPr>
          <w:trHeight w:val="212"/>
        </w:trPr>
        <w:tc>
          <w:tcPr>
            <w:tcW w:w="2552" w:type="dxa"/>
            <w:tcBorders>
              <w:top w:val="nil"/>
              <w:bottom w:val="nil"/>
            </w:tcBorders>
          </w:tcPr>
          <w:p w14:paraId="0647FF49" w14:textId="77777777" w:rsidR="0099795D" w:rsidRPr="00F411CD" w:rsidRDefault="0099795D" w:rsidP="0099795D">
            <w:pPr>
              <w:pStyle w:val="Tabletextboldleft"/>
              <w:spacing w:before="20" w:after="20"/>
              <w:ind w:firstLine="317"/>
              <w:rPr>
                <w:b w:val="0"/>
              </w:rPr>
            </w:pPr>
            <w:r>
              <w:rPr>
                <w:b w:val="0"/>
              </w:rPr>
              <w:t>Ancillary tests</w:t>
            </w:r>
          </w:p>
        </w:tc>
        <w:tc>
          <w:tcPr>
            <w:tcW w:w="1162" w:type="dxa"/>
            <w:tcBorders>
              <w:top w:val="nil"/>
              <w:bottom w:val="nil"/>
            </w:tcBorders>
          </w:tcPr>
          <w:p w14:paraId="13193C6F" w14:textId="77777777" w:rsidR="0099795D" w:rsidRPr="00C932DC" w:rsidRDefault="0099795D" w:rsidP="0099795D">
            <w:pPr>
              <w:pStyle w:val="Tabletextboldleft"/>
              <w:spacing w:before="20" w:after="20"/>
              <w:jc w:val="right"/>
              <w:rPr>
                <w:b w:val="0"/>
              </w:rPr>
            </w:pPr>
            <w:r w:rsidRPr="00C932DC">
              <w:rPr>
                <w:b w:val="0"/>
                <w:color w:val="000000"/>
              </w:rPr>
              <w:t>$9,145</w:t>
            </w:r>
          </w:p>
        </w:tc>
        <w:tc>
          <w:tcPr>
            <w:tcW w:w="1162" w:type="dxa"/>
            <w:tcBorders>
              <w:top w:val="nil"/>
              <w:bottom w:val="nil"/>
            </w:tcBorders>
          </w:tcPr>
          <w:p w14:paraId="4A30288B" w14:textId="77777777" w:rsidR="0099795D" w:rsidRPr="00C932DC" w:rsidRDefault="0099795D" w:rsidP="0099795D">
            <w:pPr>
              <w:pStyle w:val="Tabletextboldleft"/>
              <w:spacing w:before="20" w:after="20"/>
              <w:jc w:val="right"/>
              <w:rPr>
                <w:b w:val="0"/>
              </w:rPr>
            </w:pPr>
            <w:r w:rsidRPr="00C932DC">
              <w:rPr>
                <w:b w:val="0"/>
                <w:color w:val="000000"/>
              </w:rPr>
              <w:t>$9,411</w:t>
            </w:r>
          </w:p>
        </w:tc>
        <w:tc>
          <w:tcPr>
            <w:tcW w:w="1162" w:type="dxa"/>
            <w:tcBorders>
              <w:top w:val="nil"/>
              <w:bottom w:val="nil"/>
            </w:tcBorders>
          </w:tcPr>
          <w:p w14:paraId="34903B82" w14:textId="77777777" w:rsidR="0099795D" w:rsidRPr="00C932DC" w:rsidRDefault="0099795D" w:rsidP="0099795D">
            <w:pPr>
              <w:pStyle w:val="Tabletextboldleft"/>
              <w:spacing w:before="20" w:after="20"/>
              <w:jc w:val="right"/>
              <w:rPr>
                <w:b w:val="0"/>
              </w:rPr>
            </w:pPr>
            <w:r w:rsidRPr="00C932DC">
              <w:rPr>
                <w:b w:val="0"/>
                <w:color w:val="000000"/>
              </w:rPr>
              <w:t>$9,676</w:t>
            </w:r>
          </w:p>
        </w:tc>
        <w:tc>
          <w:tcPr>
            <w:tcW w:w="1162" w:type="dxa"/>
            <w:tcBorders>
              <w:top w:val="nil"/>
              <w:bottom w:val="nil"/>
            </w:tcBorders>
          </w:tcPr>
          <w:p w14:paraId="1C47A9FE" w14:textId="77777777" w:rsidR="0099795D" w:rsidRPr="00C932DC" w:rsidRDefault="0099795D" w:rsidP="0099795D">
            <w:pPr>
              <w:pStyle w:val="Tabletextboldleft"/>
              <w:spacing w:before="20" w:after="20"/>
              <w:jc w:val="right"/>
              <w:rPr>
                <w:b w:val="0"/>
              </w:rPr>
            </w:pPr>
            <w:r w:rsidRPr="00C932DC">
              <w:rPr>
                <w:b w:val="0"/>
                <w:color w:val="000000"/>
              </w:rPr>
              <w:t>$9,941</w:t>
            </w:r>
          </w:p>
        </w:tc>
        <w:tc>
          <w:tcPr>
            <w:tcW w:w="1163" w:type="dxa"/>
            <w:tcBorders>
              <w:top w:val="nil"/>
              <w:bottom w:val="nil"/>
            </w:tcBorders>
          </w:tcPr>
          <w:p w14:paraId="04513EDB" w14:textId="77777777" w:rsidR="0099795D" w:rsidRPr="00C932DC" w:rsidRDefault="0099795D" w:rsidP="0099795D">
            <w:pPr>
              <w:pStyle w:val="Tabletextboldleft"/>
              <w:spacing w:before="20" w:after="20"/>
              <w:jc w:val="right"/>
              <w:rPr>
                <w:b w:val="0"/>
              </w:rPr>
            </w:pPr>
            <w:r w:rsidRPr="00C932DC">
              <w:rPr>
                <w:b w:val="0"/>
                <w:color w:val="000000"/>
              </w:rPr>
              <w:t>$10,207</w:t>
            </w:r>
          </w:p>
        </w:tc>
      </w:tr>
      <w:tr w:rsidR="0099795D" w:rsidRPr="00F647C7" w14:paraId="1D443389" w14:textId="77777777" w:rsidTr="00C04E58">
        <w:trPr>
          <w:trHeight w:val="212"/>
        </w:trPr>
        <w:tc>
          <w:tcPr>
            <w:tcW w:w="2552" w:type="dxa"/>
            <w:tcBorders>
              <w:top w:val="nil"/>
              <w:bottom w:val="nil"/>
            </w:tcBorders>
          </w:tcPr>
          <w:p w14:paraId="5F07515E" w14:textId="77777777" w:rsidR="0099795D" w:rsidRPr="00F411CD" w:rsidRDefault="0099795D" w:rsidP="0099795D">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36C9732B" w14:textId="77777777" w:rsidR="0099795D" w:rsidRPr="00C932DC" w:rsidRDefault="0099795D" w:rsidP="0099795D">
            <w:pPr>
              <w:pStyle w:val="Tabletextboldleft"/>
              <w:spacing w:before="20" w:after="20"/>
              <w:jc w:val="right"/>
              <w:rPr>
                <w:b w:val="0"/>
              </w:rPr>
            </w:pPr>
            <w:r w:rsidRPr="00C932DC">
              <w:rPr>
                <w:b w:val="0"/>
                <w:color w:val="000000"/>
              </w:rPr>
              <w:t>$10,838</w:t>
            </w:r>
          </w:p>
        </w:tc>
        <w:tc>
          <w:tcPr>
            <w:tcW w:w="1162" w:type="dxa"/>
            <w:tcBorders>
              <w:top w:val="nil"/>
              <w:bottom w:val="nil"/>
            </w:tcBorders>
          </w:tcPr>
          <w:p w14:paraId="6954014D" w14:textId="77777777" w:rsidR="0099795D" w:rsidRPr="00C932DC" w:rsidRDefault="0099795D" w:rsidP="0099795D">
            <w:pPr>
              <w:pStyle w:val="Tabletextboldleft"/>
              <w:spacing w:before="20" w:after="20"/>
              <w:jc w:val="right"/>
              <w:rPr>
                <w:b w:val="0"/>
              </w:rPr>
            </w:pPr>
            <w:r w:rsidRPr="00C932DC">
              <w:rPr>
                <w:b w:val="0"/>
                <w:color w:val="000000"/>
              </w:rPr>
              <w:t>$11,152</w:t>
            </w:r>
          </w:p>
        </w:tc>
        <w:tc>
          <w:tcPr>
            <w:tcW w:w="1162" w:type="dxa"/>
            <w:tcBorders>
              <w:top w:val="nil"/>
              <w:bottom w:val="nil"/>
            </w:tcBorders>
          </w:tcPr>
          <w:p w14:paraId="56C2C827" w14:textId="77777777" w:rsidR="0099795D" w:rsidRPr="00C932DC" w:rsidRDefault="0099795D" w:rsidP="0099795D">
            <w:pPr>
              <w:pStyle w:val="Tabletextboldleft"/>
              <w:spacing w:before="20" w:after="20"/>
              <w:jc w:val="right"/>
              <w:rPr>
                <w:b w:val="0"/>
              </w:rPr>
            </w:pPr>
            <w:r w:rsidRPr="00C932DC">
              <w:rPr>
                <w:b w:val="0"/>
                <w:color w:val="000000"/>
              </w:rPr>
              <w:t>$11,466</w:t>
            </w:r>
          </w:p>
        </w:tc>
        <w:tc>
          <w:tcPr>
            <w:tcW w:w="1162" w:type="dxa"/>
            <w:tcBorders>
              <w:top w:val="nil"/>
              <w:bottom w:val="nil"/>
            </w:tcBorders>
          </w:tcPr>
          <w:p w14:paraId="09857090" w14:textId="77777777" w:rsidR="0099795D" w:rsidRPr="00C932DC" w:rsidRDefault="0099795D" w:rsidP="0099795D">
            <w:pPr>
              <w:pStyle w:val="Tabletextboldleft"/>
              <w:spacing w:before="20" w:after="20"/>
              <w:jc w:val="right"/>
              <w:rPr>
                <w:b w:val="0"/>
              </w:rPr>
            </w:pPr>
            <w:r w:rsidRPr="00C932DC">
              <w:rPr>
                <w:b w:val="0"/>
                <w:color w:val="000000"/>
              </w:rPr>
              <w:t>$11,781</w:t>
            </w:r>
          </w:p>
        </w:tc>
        <w:tc>
          <w:tcPr>
            <w:tcW w:w="1163" w:type="dxa"/>
            <w:tcBorders>
              <w:top w:val="nil"/>
              <w:bottom w:val="nil"/>
            </w:tcBorders>
          </w:tcPr>
          <w:p w14:paraId="5F3C0978" w14:textId="77777777" w:rsidR="0099795D" w:rsidRPr="00C932DC" w:rsidRDefault="0099795D" w:rsidP="0099795D">
            <w:pPr>
              <w:pStyle w:val="Tabletextboldleft"/>
              <w:spacing w:before="20" w:after="20"/>
              <w:jc w:val="right"/>
              <w:rPr>
                <w:b w:val="0"/>
              </w:rPr>
            </w:pPr>
            <w:r w:rsidRPr="00C932DC">
              <w:rPr>
                <w:b w:val="0"/>
                <w:color w:val="000000"/>
              </w:rPr>
              <w:t>$12,095</w:t>
            </w:r>
          </w:p>
        </w:tc>
      </w:tr>
      <w:tr w:rsidR="0099795D" w:rsidRPr="00F647C7" w14:paraId="593EB688" w14:textId="77777777" w:rsidTr="00C04E58">
        <w:trPr>
          <w:trHeight w:val="212"/>
        </w:trPr>
        <w:tc>
          <w:tcPr>
            <w:tcW w:w="2552" w:type="dxa"/>
            <w:tcBorders>
              <w:top w:val="nil"/>
              <w:bottom w:val="single" w:sz="4" w:space="0" w:color="auto"/>
            </w:tcBorders>
          </w:tcPr>
          <w:p w14:paraId="5C79DAAC" w14:textId="77777777" w:rsidR="0099795D" w:rsidRPr="00F411CD" w:rsidRDefault="0099795D" w:rsidP="0099795D">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bottom w:val="single" w:sz="4" w:space="0" w:color="auto"/>
            </w:tcBorders>
          </w:tcPr>
          <w:p w14:paraId="49C6D266" w14:textId="77777777" w:rsidR="0099795D" w:rsidRPr="00C932DC" w:rsidRDefault="0099795D" w:rsidP="0099795D">
            <w:pPr>
              <w:pStyle w:val="Tabletextboldleft"/>
              <w:spacing w:before="20" w:after="20"/>
              <w:jc w:val="right"/>
              <w:rPr>
                <w:b w:val="0"/>
              </w:rPr>
            </w:pPr>
            <w:r w:rsidRPr="00C932DC">
              <w:rPr>
                <w:b w:val="0"/>
                <w:color w:val="000000"/>
              </w:rPr>
              <w:t>$3,902</w:t>
            </w:r>
          </w:p>
        </w:tc>
        <w:tc>
          <w:tcPr>
            <w:tcW w:w="1162" w:type="dxa"/>
            <w:tcBorders>
              <w:top w:val="nil"/>
              <w:bottom w:val="single" w:sz="4" w:space="0" w:color="auto"/>
            </w:tcBorders>
          </w:tcPr>
          <w:p w14:paraId="6B826BB1" w14:textId="77777777" w:rsidR="0099795D" w:rsidRPr="00C932DC" w:rsidRDefault="0099795D" w:rsidP="0099795D">
            <w:pPr>
              <w:pStyle w:val="Tabletextboldleft"/>
              <w:spacing w:before="20" w:after="20"/>
              <w:jc w:val="right"/>
              <w:rPr>
                <w:b w:val="0"/>
              </w:rPr>
            </w:pPr>
            <w:r w:rsidRPr="00C932DC">
              <w:rPr>
                <w:b w:val="0"/>
                <w:color w:val="000000"/>
              </w:rPr>
              <w:t>$4,015</w:t>
            </w:r>
          </w:p>
        </w:tc>
        <w:tc>
          <w:tcPr>
            <w:tcW w:w="1162" w:type="dxa"/>
            <w:tcBorders>
              <w:top w:val="nil"/>
              <w:bottom w:val="single" w:sz="4" w:space="0" w:color="auto"/>
            </w:tcBorders>
          </w:tcPr>
          <w:p w14:paraId="056A60F0" w14:textId="77777777" w:rsidR="0099795D" w:rsidRPr="00C932DC" w:rsidRDefault="0099795D" w:rsidP="0099795D">
            <w:pPr>
              <w:pStyle w:val="Tabletextboldleft"/>
              <w:spacing w:before="20" w:after="20"/>
              <w:jc w:val="right"/>
              <w:rPr>
                <w:b w:val="0"/>
              </w:rPr>
            </w:pPr>
            <w:r w:rsidRPr="00C932DC">
              <w:rPr>
                <w:b w:val="0"/>
                <w:color w:val="000000"/>
              </w:rPr>
              <w:t>$4,128</w:t>
            </w:r>
          </w:p>
        </w:tc>
        <w:tc>
          <w:tcPr>
            <w:tcW w:w="1162" w:type="dxa"/>
            <w:tcBorders>
              <w:top w:val="nil"/>
              <w:bottom w:val="single" w:sz="4" w:space="0" w:color="auto"/>
            </w:tcBorders>
          </w:tcPr>
          <w:p w14:paraId="5D157F93" w14:textId="77777777" w:rsidR="0099795D" w:rsidRPr="00C932DC" w:rsidRDefault="0099795D" w:rsidP="0099795D">
            <w:pPr>
              <w:pStyle w:val="Tabletextboldleft"/>
              <w:spacing w:before="20" w:after="20"/>
              <w:jc w:val="right"/>
              <w:rPr>
                <w:b w:val="0"/>
              </w:rPr>
            </w:pPr>
            <w:r w:rsidRPr="00C932DC">
              <w:rPr>
                <w:b w:val="0"/>
                <w:color w:val="000000"/>
              </w:rPr>
              <w:t>$4,241</w:t>
            </w:r>
          </w:p>
        </w:tc>
        <w:tc>
          <w:tcPr>
            <w:tcW w:w="1163" w:type="dxa"/>
            <w:tcBorders>
              <w:top w:val="nil"/>
              <w:bottom w:val="single" w:sz="4" w:space="0" w:color="auto"/>
            </w:tcBorders>
          </w:tcPr>
          <w:p w14:paraId="1CCC0093" w14:textId="77777777" w:rsidR="0099795D" w:rsidRPr="00C932DC" w:rsidRDefault="0099795D" w:rsidP="0099795D">
            <w:pPr>
              <w:pStyle w:val="Tabletextboldleft"/>
              <w:spacing w:before="20" w:after="20"/>
              <w:jc w:val="right"/>
              <w:rPr>
                <w:b w:val="0"/>
              </w:rPr>
            </w:pPr>
            <w:r w:rsidRPr="00C932DC">
              <w:rPr>
                <w:b w:val="0"/>
                <w:color w:val="000000"/>
              </w:rPr>
              <w:t>$4,354</w:t>
            </w:r>
          </w:p>
        </w:tc>
      </w:tr>
      <w:tr w:rsidR="0099795D" w:rsidRPr="00F647C7" w14:paraId="7FB3C352" w14:textId="77777777" w:rsidTr="00C04E58">
        <w:trPr>
          <w:trHeight w:val="212"/>
        </w:trPr>
        <w:tc>
          <w:tcPr>
            <w:tcW w:w="2552" w:type="dxa"/>
            <w:tcBorders>
              <w:bottom w:val="nil"/>
            </w:tcBorders>
          </w:tcPr>
          <w:p w14:paraId="55ED62E9" w14:textId="77777777" w:rsidR="0099795D" w:rsidRPr="00F411CD" w:rsidRDefault="0099795D" w:rsidP="0099795D">
            <w:pPr>
              <w:pStyle w:val="Tabletextboldleft"/>
              <w:spacing w:before="20" w:after="20"/>
              <w:rPr>
                <w:b w:val="0"/>
              </w:rPr>
            </w:pPr>
            <w:r>
              <w:rPr>
                <w:b w:val="0"/>
              </w:rPr>
              <w:t>All cytology</w:t>
            </w:r>
          </w:p>
        </w:tc>
        <w:tc>
          <w:tcPr>
            <w:tcW w:w="1162" w:type="dxa"/>
            <w:tcBorders>
              <w:bottom w:val="nil"/>
            </w:tcBorders>
          </w:tcPr>
          <w:p w14:paraId="0EF866E1" w14:textId="77777777" w:rsidR="0099795D" w:rsidRPr="00C932DC" w:rsidRDefault="0099795D" w:rsidP="0099795D">
            <w:pPr>
              <w:pStyle w:val="Tabletextboldleft"/>
              <w:spacing w:before="20" w:after="20"/>
              <w:jc w:val="right"/>
              <w:rPr>
                <w:b w:val="0"/>
              </w:rPr>
            </w:pPr>
            <w:r w:rsidRPr="00C932DC">
              <w:rPr>
                <w:b w:val="0"/>
                <w:bCs/>
                <w:color w:val="000000"/>
              </w:rPr>
              <w:t>$1,989,157</w:t>
            </w:r>
          </w:p>
        </w:tc>
        <w:tc>
          <w:tcPr>
            <w:tcW w:w="1162" w:type="dxa"/>
            <w:tcBorders>
              <w:bottom w:val="nil"/>
            </w:tcBorders>
          </w:tcPr>
          <w:p w14:paraId="6A8F7E3B" w14:textId="77777777" w:rsidR="0099795D" w:rsidRPr="00C932DC" w:rsidRDefault="0099795D" w:rsidP="0099795D">
            <w:pPr>
              <w:pStyle w:val="Tabletextboldleft"/>
              <w:spacing w:before="20" w:after="20"/>
              <w:jc w:val="right"/>
              <w:rPr>
                <w:b w:val="0"/>
              </w:rPr>
            </w:pPr>
            <w:r w:rsidRPr="00C932DC">
              <w:rPr>
                <w:b w:val="0"/>
                <w:bCs/>
                <w:color w:val="000000"/>
              </w:rPr>
              <w:t>$2,010,895</w:t>
            </w:r>
          </w:p>
        </w:tc>
        <w:tc>
          <w:tcPr>
            <w:tcW w:w="1162" w:type="dxa"/>
            <w:tcBorders>
              <w:bottom w:val="nil"/>
            </w:tcBorders>
          </w:tcPr>
          <w:p w14:paraId="1DEA9BFD" w14:textId="77777777" w:rsidR="0099795D" w:rsidRPr="00C932DC" w:rsidRDefault="0099795D" w:rsidP="0099795D">
            <w:pPr>
              <w:pStyle w:val="Tabletextboldleft"/>
              <w:spacing w:before="20" w:after="20"/>
              <w:jc w:val="right"/>
              <w:rPr>
                <w:b w:val="0"/>
              </w:rPr>
            </w:pPr>
            <w:r w:rsidRPr="00C932DC">
              <w:rPr>
                <w:b w:val="0"/>
                <w:bCs/>
                <w:color w:val="000000"/>
              </w:rPr>
              <w:t>$2,032,631</w:t>
            </w:r>
          </w:p>
        </w:tc>
        <w:tc>
          <w:tcPr>
            <w:tcW w:w="1162" w:type="dxa"/>
            <w:tcBorders>
              <w:bottom w:val="nil"/>
            </w:tcBorders>
          </w:tcPr>
          <w:p w14:paraId="4C6F0ABB" w14:textId="77777777" w:rsidR="0099795D" w:rsidRPr="00C932DC" w:rsidRDefault="0099795D" w:rsidP="0099795D">
            <w:pPr>
              <w:pStyle w:val="Tabletextboldleft"/>
              <w:spacing w:before="20" w:after="20"/>
              <w:jc w:val="right"/>
              <w:rPr>
                <w:b w:val="0"/>
              </w:rPr>
            </w:pPr>
            <w:r w:rsidRPr="00C932DC">
              <w:rPr>
                <w:b w:val="0"/>
                <w:bCs/>
                <w:color w:val="000000"/>
              </w:rPr>
              <w:t>$2,054,368</w:t>
            </w:r>
          </w:p>
        </w:tc>
        <w:tc>
          <w:tcPr>
            <w:tcW w:w="1163" w:type="dxa"/>
            <w:tcBorders>
              <w:bottom w:val="nil"/>
            </w:tcBorders>
          </w:tcPr>
          <w:p w14:paraId="5AFB8F42" w14:textId="77777777" w:rsidR="0099795D" w:rsidRPr="00C932DC" w:rsidRDefault="0099795D" w:rsidP="0099795D">
            <w:pPr>
              <w:pStyle w:val="Tabletextboldleft"/>
              <w:spacing w:before="20" w:after="20"/>
              <w:jc w:val="right"/>
              <w:rPr>
                <w:b w:val="0"/>
              </w:rPr>
            </w:pPr>
            <w:r w:rsidRPr="00C932DC">
              <w:rPr>
                <w:b w:val="0"/>
                <w:bCs/>
                <w:color w:val="000000"/>
              </w:rPr>
              <w:t>$2,076,106</w:t>
            </w:r>
          </w:p>
        </w:tc>
      </w:tr>
      <w:tr w:rsidR="0099795D" w:rsidRPr="00F647C7" w14:paraId="4B8AB25B" w14:textId="77777777" w:rsidTr="00C04E58">
        <w:trPr>
          <w:trHeight w:val="212"/>
        </w:trPr>
        <w:tc>
          <w:tcPr>
            <w:tcW w:w="2552" w:type="dxa"/>
            <w:tcBorders>
              <w:top w:val="nil"/>
              <w:bottom w:val="nil"/>
            </w:tcBorders>
          </w:tcPr>
          <w:p w14:paraId="2E5913A8" w14:textId="77777777" w:rsidR="0099795D" w:rsidRDefault="0099795D" w:rsidP="0099795D">
            <w:pPr>
              <w:pStyle w:val="Tabletextboldleft"/>
              <w:spacing w:before="20" w:after="20"/>
              <w:ind w:firstLine="317"/>
              <w:rPr>
                <w:b w:val="0"/>
              </w:rPr>
            </w:pPr>
            <w:r>
              <w:rPr>
                <w:b w:val="0"/>
              </w:rPr>
              <w:t>Second, expert opinion</w:t>
            </w:r>
          </w:p>
        </w:tc>
        <w:tc>
          <w:tcPr>
            <w:tcW w:w="1162" w:type="dxa"/>
            <w:tcBorders>
              <w:top w:val="nil"/>
              <w:bottom w:val="nil"/>
            </w:tcBorders>
          </w:tcPr>
          <w:p w14:paraId="2A53D90B" w14:textId="77777777" w:rsidR="0099795D" w:rsidRPr="00C932DC" w:rsidRDefault="0099795D" w:rsidP="0099795D">
            <w:pPr>
              <w:pStyle w:val="Tabletextboldleft"/>
              <w:spacing w:before="20" w:after="20"/>
              <w:jc w:val="right"/>
              <w:rPr>
                <w:b w:val="0"/>
              </w:rPr>
            </w:pPr>
            <w:r w:rsidRPr="00C932DC">
              <w:rPr>
                <w:b w:val="0"/>
                <w:color w:val="000000"/>
              </w:rPr>
              <w:t>$1,799,163</w:t>
            </w:r>
          </w:p>
        </w:tc>
        <w:tc>
          <w:tcPr>
            <w:tcW w:w="1162" w:type="dxa"/>
            <w:tcBorders>
              <w:top w:val="nil"/>
              <w:bottom w:val="nil"/>
            </w:tcBorders>
          </w:tcPr>
          <w:p w14:paraId="6DBA39A2" w14:textId="77777777" w:rsidR="0099795D" w:rsidRPr="00C932DC" w:rsidRDefault="0099795D" w:rsidP="0099795D">
            <w:pPr>
              <w:pStyle w:val="Tabletextboldleft"/>
              <w:spacing w:before="20" w:after="20"/>
              <w:jc w:val="right"/>
              <w:rPr>
                <w:b w:val="0"/>
              </w:rPr>
            </w:pPr>
            <w:r w:rsidRPr="00C932DC">
              <w:rPr>
                <w:b w:val="0"/>
                <w:color w:val="000000"/>
              </w:rPr>
              <w:t>$1,818,824</w:t>
            </w:r>
          </w:p>
        </w:tc>
        <w:tc>
          <w:tcPr>
            <w:tcW w:w="1162" w:type="dxa"/>
            <w:tcBorders>
              <w:top w:val="nil"/>
              <w:bottom w:val="nil"/>
            </w:tcBorders>
          </w:tcPr>
          <w:p w14:paraId="1C41F65D" w14:textId="77777777" w:rsidR="0099795D" w:rsidRPr="00C932DC" w:rsidRDefault="0099795D" w:rsidP="0099795D">
            <w:pPr>
              <w:pStyle w:val="Tabletextboldleft"/>
              <w:spacing w:before="20" w:after="20"/>
              <w:jc w:val="right"/>
              <w:rPr>
                <w:b w:val="0"/>
              </w:rPr>
            </w:pPr>
            <w:r w:rsidRPr="00C932DC">
              <w:rPr>
                <w:b w:val="0"/>
                <w:color w:val="000000"/>
              </w:rPr>
              <w:t>$1,838,484</w:t>
            </w:r>
          </w:p>
        </w:tc>
        <w:tc>
          <w:tcPr>
            <w:tcW w:w="1162" w:type="dxa"/>
            <w:tcBorders>
              <w:top w:val="nil"/>
              <w:bottom w:val="nil"/>
            </w:tcBorders>
          </w:tcPr>
          <w:p w14:paraId="299500AA" w14:textId="77777777" w:rsidR="0099795D" w:rsidRPr="00C932DC" w:rsidRDefault="0099795D" w:rsidP="0099795D">
            <w:pPr>
              <w:pStyle w:val="Tabletextboldleft"/>
              <w:spacing w:before="20" w:after="20"/>
              <w:jc w:val="right"/>
              <w:rPr>
                <w:b w:val="0"/>
              </w:rPr>
            </w:pPr>
            <w:r w:rsidRPr="00C932DC">
              <w:rPr>
                <w:b w:val="0"/>
                <w:color w:val="000000"/>
              </w:rPr>
              <w:t>$1,858,144</w:t>
            </w:r>
          </w:p>
        </w:tc>
        <w:tc>
          <w:tcPr>
            <w:tcW w:w="1163" w:type="dxa"/>
            <w:tcBorders>
              <w:top w:val="nil"/>
              <w:bottom w:val="nil"/>
            </w:tcBorders>
          </w:tcPr>
          <w:p w14:paraId="54473A0C" w14:textId="77777777" w:rsidR="0099795D" w:rsidRPr="00C932DC" w:rsidRDefault="0099795D" w:rsidP="0099795D">
            <w:pPr>
              <w:pStyle w:val="Tabletextboldleft"/>
              <w:spacing w:before="20" w:after="20"/>
              <w:jc w:val="right"/>
              <w:rPr>
                <w:b w:val="0"/>
              </w:rPr>
            </w:pPr>
            <w:r w:rsidRPr="00C932DC">
              <w:rPr>
                <w:b w:val="0"/>
                <w:color w:val="000000"/>
              </w:rPr>
              <w:t>$1,877,806</w:t>
            </w:r>
          </w:p>
        </w:tc>
      </w:tr>
      <w:tr w:rsidR="0099795D" w:rsidRPr="00F647C7" w14:paraId="40E25696" w14:textId="77777777" w:rsidTr="00C04E58">
        <w:trPr>
          <w:trHeight w:val="212"/>
        </w:trPr>
        <w:tc>
          <w:tcPr>
            <w:tcW w:w="2552" w:type="dxa"/>
            <w:tcBorders>
              <w:top w:val="nil"/>
              <w:bottom w:val="nil"/>
            </w:tcBorders>
          </w:tcPr>
          <w:p w14:paraId="22E9184A" w14:textId="77777777" w:rsidR="0099795D" w:rsidRPr="00F411CD" w:rsidRDefault="0099795D" w:rsidP="0099795D">
            <w:pPr>
              <w:pStyle w:val="Tabletextboldleft"/>
              <w:spacing w:before="20" w:after="20"/>
              <w:ind w:firstLine="317"/>
              <w:rPr>
                <w:b w:val="0"/>
              </w:rPr>
            </w:pPr>
            <w:r>
              <w:rPr>
                <w:b w:val="0"/>
              </w:rPr>
              <w:t>Ancillary tests</w:t>
            </w:r>
          </w:p>
        </w:tc>
        <w:tc>
          <w:tcPr>
            <w:tcW w:w="1162" w:type="dxa"/>
            <w:tcBorders>
              <w:top w:val="nil"/>
              <w:bottom w:val="nil"/>
            </w:tcBorders>
          </w:tcPr>
          <w:p w14:paraId="63559071" w14:textId="77777777" w:rsidR="0099795D" w:rsidRPr="00C932DC" w:rsidRDefault="0099795D" w:rsidP="0099795D">
            <w:pPr>
              <w:pStyle w:val="Tabletextboldleft"/>
              <w:spacing w:before="20" w:after="20"/>
              <w:jc w:val="right"/>
              <w:rPr>
                <w:b w:val="0"/>
              </w:rPr>
            </w:pPr>
            <w:r w:rsidRPr="00C932DC">
              <w:rPr>
                <w:b w:val="0"/>
                <w:color w:val="000000"/>
              </w:rPr>
              <w:t>$72,749</w:t>
            </w:r>
          </w:p>
        </w:tc>
        <w:tc>
          <w:tcPr>
            <w:tcW w:w="1162" w:type="dxa"/>
            <w:tcBorders>
              <w:top w:val="nil"/>
              <w:bottom w:val="nil"/>
            </w:tcBorders>
          </w:tcPr>
          <w:p w14:paraId="64933CC7" w14:textId="77777777" w:rsidR="0099795D" w:rsidRPr="00C932DC" w:rsidRDefault="0099795D" w:rsidP="0099795D">
            <w:pPr>
              <w:pStyle w:val="Tabletextboldleft"/>
              <w:spacing w:before="20" w:after="20"/>
              <w:jc w:val="right"/>
              <w:rPr>
                <w:b w:val="0"/>
              </w:rPr>
            </w:pPr>
            <w:r w:rsidRPr="00C932DC">
              <w:rPr>
                <w:b w:val="0"/>
                <w:color w:val="000000"/>
              </w:rPr>
              <w:t>$73,544</w:t>
            </w:r>
          </w:p>
        </w:tc>
        <w:tc>
          <w:tcPr>
            <w:tcW w:w="1162" w:type="dxa"/>
            <w:tcBorders>
              <w:top w:val="nil"/>
              <w:bottom w:val="nil"/>
            </w:tcBorders>
          </w:tcPr>
          <w:p w14:paraId="7F8F968D" w14:textId="77777777" w:rsidR="0099795D" w:rsidRPr="00C932DC" w:rsidRDefault="0099795D" w:rsidP="0099795D">
            <w:pPr>
              <w:pStyle w:val="Tabletextboldleft"/>
              <w:spacing w:before="20" w:after="20"/>
              <w:jc w:val="right"/>
              <w:rPr>
                <w:b w:val="0"/>
              </w:rPr>
            </w:pPr>
            <w:r w:rsidRPr="00C932DC">
              <w:rPr>
                <w:b w:val="0"/>
                <w:color w:val="000000"/>
              </w:rPr>
              <w:t>$74,339</w:t>
            </w:r>
          </w:p>
        </w:tc>
        <w:tc>
          <w:tcPr>
            <w:tcW w:w="1162" w:type="dxa"/>
            <w:tcBorders>
              <w:top w:val="nil"/>
              <w:bottom w:val="nil"/>
            </w:tcBorders>
          </w:tcPr>
          <w:p w14:paraId="428F8D84" w14:textId="77777777" w:rsidR="0099795D" w:rsidRPr="00C932DC" w:rsidRDefault="0099795D" w:rsidP="0099795D">
            <w:pPr>
              <w:pStyle w:val="Tabletextboldleft"/>
              <w:spacing w:before="20" w:after="20"/>
              <w:jc w:val="right"/>
              <w:rPr>
                <w:b w:val="0"/>
              </w:rPr>
            </w:pPr>
            <w:r w:rsidRPr="00C932DC">
              <w:rPr>
                <w:b w:val="0"/>
                <w:color w:val="000000"/>
              </w:rPr>
              <w:t>$75,134</w:t>
            </w:r>
          </w:p>
        </w:tc>
        <w:tc>
          <w:tcPr>
            <w:tcW w:w="1163" w:type="dxa"/>
            <w:tcBorders>
              <w:top w:val="nil"/>
              <w:bottom w:val="nil"/>
            </w:tcBorders>
          </w:tcPr>
          <w:p w14:paraId="1834E92E" w14:textId="77777777" w:rsidR="0099795D" w:rsidRPr="00C932DC" w:rsidRDefault="0099795D" w:rsidP="0099795D">
            <w:pPr>
              <w:pStyle w:val="Tabletextboldleft"/>
              <w:spacing w:before="20" w:after="20"/>
              <w:jc w:val="right"/>
              <w:rPr>
                <w:b w:val="0"/>
              </w:rPr>
            </w:pPr>
            <w:r w:rsidRPr="00C932DC">
              <w:rPr>
                <w:b w:val="0"/>
                <w:color w:val="000000"/>
              </w:rPr>
              <w:t>$75,929</w:t>
            </w:r>
          </w:p>
        </w:tc>
      </w:tr>
      <w:tr w:rsidR="0099795D" w:rsidRPr="00F647C7" w14:paraId="2E6F4F7B" w14:textId="77777777" w:rsidTr="00C04E58">
        <w:trPr>
          <w:trHeight w:val="212"/>
        </w:trPr>
        <w:tc>
          <w:tcPr>
            <w:tcW w:w="2552" w:type="dxa"/>
            <w:tcBorders>
              <w:top w:val="nil"/>
              <w:bottom w:val="nil"/>
            </w:tcBorders>
          </w:tcPr>
          <w:p w14:paraId="4620A045" w14:textId="77777777" w:rsidR="0099795D" w:rsidRPr="00F411CD" w:rsidRDefault="0099795D" w:rsidP="0099795D">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6CB1407E" w14:textId="77777777" w:rsidR="0099795D" w:rsidRPr="00C932DC" w:rsidRDefault="0099795D" w:rsidP="0099795D">
            <w:pPr>
              <w:pStyle w:val="Tabletextboldleft"/>
              <w:spacing w:before="20" w:after="20"/>
              <w:jc w:val="right"/>
              <w:rPr>
                <w:b w:val="0"/>
              </w:rPr>
            </w:pPr>
            <w:r w:rsidRPr="00C932DC">
              <w:rPr>
                <w:b w:val="0"/>
                <w:color w:val="000000"/>
              </w:rPr>
              <w:t>$86,210</w:t>
            </w:r>
          </w:p>
        </w:tc>
        <w:tc>
          <w:tcPr>
            <w:tcW w:w="1162" w:type="dxa"/>
            <w:tcBorders>
              <w:top w:val="nil"/>
              <w:bottom w:val="nil"/>
            </w:tcBorders>
          </w:tcPr>
          <w:p w14:paraId="67042246" w14:textId="77777777" w:rsidR="0099795D" w:rsidRPr="00C932DC" w:rsidRDefault="0099795D" w:rsidP="0099795D">
            <w:pPr>
              <w:pStyle w:val="Tabletextboldleft"/>
              <w:spacing w:before="20" w:after="20"/>
              <w:jc w:val="right"/>
              <w:rPr>
                <w:b w:val="0"/>
              </w:rPr>
            </w:pPr>
            <w:r w:rsidRPr="00C932DC">
              <w:rPr>
                <w:b w:val="0"/>
                <w:color w:val="000000"/>
              </w:rPr>
              <w:t>$87,152</w:t>
            </w:r>
          </w:p>
        </w:tc>
        <w:tc>
          <w:tcPr>
            <w:tcW w:w="1162" w:type="dxa"/>
            <w:tcBorders>
              <w:top w:val="nil"/>
              <w:bottom w:val="nil"/>
            </w:tcBorders>
          </w:tcPr>
          <w:p w14:paraId="24A3C50D" w14:textId="77777777" w:rsidR="0099795D" w:rsidRPr="00C932DC" w:rsidRDefault="0099795D" w:rsidP="0099795D">
            <w:pPr>
              <w:pStyle w:val="Tabletextboldleft"/>
              <w:spacing w:before="20" w:after="20"/>
              <w:jc w:val="right"/>
              <w:rPr>
                <w:b w:val="0"/>
              </w:rPr>
            </w:pPr>
            <w:r w:rsidRPr="00C932DC">
              <w:rPr>
                <w:b w:val="0"/>
                <w:color w:val="000000"/>
              </w:rPr>
              <w:t>$88,094</w:t>
            </w:r>
          </w:p>
        </w:tc>
        <w:tc>
          <w:tcPr>
            <w:tcW w:w="1162" w:type="dxa"/>
            <w:tcBorders>
              <w:top w:val="nil"/>
              <w:bottom w:val="nil"/>
            </w:tcBorders>
          </w:tcPr>
          <w:p w14:paraId="39CB5399" w14:textId="77777777" w:rsidR="0099795D" w:rsidRPr="00C932DC" w:rsidRDefault="0099795D" w:rsidP="0099795D">
            <w:pPr>
              <w:pStyle w:val="Tabletextboldleft"/>
              <w:spacing w:before="20" w:after="20"/>
              <w:jc w:val="right"/>
              <w:rPr>
                <w:b w:val="0"/>
              </w:rPr>
            </w:pPr>
            <w:r w:rsidRPr="00C932DC">
              <w:rPr>
                <w:b w:val="0"/>
                <w:color w:val="000000"/>
              </w:rPr>
              <w:t>$89,036</w:t>
            </w:r>
          </w:p>
        </w:tc>
        <w:tc>
          <w:tcPr>
            <w:tcW w:w="1163" w:type="dxa"/>
            <w:tcBorders>
              <w:top w:val="nil"/>
              <w:bottom w:val="nil"/>
            </w:tcBorders>
          </w:tcPr>
          <w:p w14:paraId="4852E02F" w14:textId="77777777" w:rsidR="0099795D" w:rsidRPr="00C932DC" w:rsidRDefault="0099795D" w:rsidP="0099795D">
            <w:pPr>
              <w:pStyle w:val="Tabletextboldleft"/>
              <w:spacing w:before="20" w:after="20"/>
              <w:jc w:val="right"/>
              <w:rPr>
                <w:b w:val="0"/>
              </w:rPr>
            </w:pPr>
            <w:r w:rsidRPr="00C932DC">
              <w:rPr>
                <w:b w:val="0"/>
                <w:color w:val="000000"/>
              </w:rPr>
              <w:t>$89,978</w:t>
            </w:r>
          </w:p>
        </w:tc>
      </w:tr>
      <w:tr w:rsidR="0099795D" w:rsidRPr="00F647C7" w14:paraId="533BD75E" w14:textId="77777777" w:rsidTr="00C04E58">
        <w:trPr>
          <w:trHeight w:val="212"/>
        </w:trPr>
        <w:tc>
          <w:tcPr>
            <w:tcW w:w="2552" w:type="dxa"/>
            <w:tcBorders>
              <w:top w:val="nil"/>
            </w:tcBorders>
          </w:tcPr>
          <w:p w14:paraId="7F48E471" w14:textId="77777777" w:rsidR="0099795D" w:rsidRPr="00F411CD" w:rsidRDefault="0099795D" w:rsidP="0099795D">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tcBorders>
          </w:tcPr>
          <w:p w14:paraId="2A70BD30" w14:textId="77777777" w:rsidR="0099795D" w:rsidRPr="00C932DC" w:rsidRDefault="0099795D" w:rsidP="0099795D">
            <w:pPr>
              <w:pStyle w:val="Tabletextboldleft"/>
              <w:spacing w:before="20" w:after="20"/>
              <w:jc w:val="right"/>
              <w:rPr>
                <w:b w:val="0"/>
              </w:rPr>
            </w:pPr>
            <w:r w:rsidRPr="00C932DC">
              <w:rPr>
                <w:b w:val="0"/>
                <w:color w:val="000000"/>
              </w:rPr>
              <w:t>$31,036</w:t>
            </w:r>
          </w:p>
        </w:tc>
        <w:tc>
          <w:tcPr>
            <w:tcW w:w="1162" w:type="dxa"/>
            <w:tcBorders>
              <w:top w:val="nil"/>
            </w:tcBorders>
          </w:tcPr>
          <w:p w14:paraId="421690E9" w14:textId="77777777" w:rsidR="0099795D" w:rsidRPr="00C932DC" w:rsidRDefault="0099795D" w:rsidP="0099795D">
            <w:pPr>
              <w:pStyle w:val="Tabletextboldleft"/>
              <w:spacing w:before="20" w:after="20"/>
              <w:jc w:val="right"/>
              <w:rPr>
                <w:b w:val="0"/>
              </w:rPr>
            </w:pPr>
            <w:r w:rsidRPr="00C932DC">
              <w:rPr>
                <w:b w:val="0"/>
                <w:color w:val="000000"/>
              </w:rPr>
              <w:t>$31,375</w:t>
            </w:r>
          </w:p>
        </w:tc>
        <w:tc>
          <w:tcPr>
            <w:tcW w:w="1162" w:type="dxa"/>
            <w:tcBorders>
              <w:top w:val="nil"/>
            </w:tcBorders>
          </w:tcPr>
          <w:p w14:paraId="76C21681" w14:textId="77777777" w:rsidR="0099795D" w:rsidRPr="00C932DC" w:rsidRDefault="0099795D" w:rsidP="0099795D">
            <w:pPr>
              <w:pStyle w:val="Tabletextboldleft"/>
              <w:spacing w:before="20" w:after="20"/>
              <w:jc w:val="right"/>
              <w:rPr>
                <w:b w:val="0"/>
              </w:rPr>
            </w:pPr>
            <w:r w:rsidRPr="00C932DC">
              <w:rPr>
                <w:b w:val="0"/>
                <w:color w:val="000000"/>
              </w:rPr>
              <w:t>$31,714</w:t>
            </w:r>
          </w:p>
        </w:tc>
        <w:tc>
          <w:tcPr>
            <w:tcW w:w="1162" w:type="dxa"/>
            <w:tcBorders>
              <w:top w:val="nil"/>
            </w:tcBorders>
          </w:tcPr>
          <w:p w14:paraId="0EE6473B" w14:textId="77777777" w:rsidR="0099795D" w:rsidRPr="00C932DC" w:rsidRDefault="0099795D" w:rsidP="0099795D">
            <w:pPr>
              <w:pStyle w:val="Tabletextboldleft"/>
              <w:spacing w:before="20" w:after="20"/>
              <w:jc w:val="right"/>
              <w:rPr>
                <w:b w:val="0"/>
              </w:rPr>
            </w:pPr>
            <w:r w:rsidRPr="00C932DC">
              <w:rPr>
                <w:b w:val="0"/>
                <w:color w:val="000000"/>
              </w:rPr>
              <w:t>$32,053</w:t>
            </w:r>
          </w:p>
        </w:tc>
        <w:tc>
          <w:tcPr>
            <w:tcW w:w="1163" w:type="dxa"/>
            <w:tcBorders>
              <w:top w:val="nil"/>
            </w:tcBorders>
          </w:tcPr>
          <w:p w14:paraId="3347595B" w14:textId="77777777" w:rsidR="0099795D" w:rsidRPr="00C932DC" w:rsidRDefault="0099795D" w:rsidP="0099795D">
            <w:pPr>
              <w:pStyle w:val="Tabletextboldleft"/>
              <w:spacing w:before="20" w:after="20"/>
              <w:jc w:val="right"/>
              <w:rPr>
                <w:b w:val="0"/>
              </w:rPr>
            </w:pPr>
            <w:r w:rsidRPr="00C932DC">
              <w:rPr>
                <w:b w:val="0"/>
                <w:color w:val="000000"/>
              </w:rPr>
              <w:t>$32,392</w:t>
            </w:r>
          </w:p>
        </w:tc>
      </w:tr>
      <w:tr w:rsidR="0099795D" w:rsidRPr="00F647C7" w14:paraId="5416AEA9" w14:textId="77777777" w:rsidTr="00C04E58">
        <w:trPr>
          <w:trHeight w:val="212"/>
        </w:trPr>
        <w:tc>
          <w:tcPr>
            <w:tcW w:w="2552" w:type="dxa"/>
          </w:tcPr>
          <w:p w14:paraId="39C20CC9" w14:textId="77777777" w:rsidR="0099795D" w:rsidRPr="00C26CDD" w:rsidRDefault="0099795D" w:rsidP="0099795D">
            <w:pPr>
              <w:pStyle w:val="Tabletextboldleft"/>
              <w:spacing w:before="20" w:after="20"/>
              <w:rPr>
                <w:b w:val="0"/>
                <w:i/>
              </w:rPr>
            </w:pPr>
            <w:r>
              <w:rPr>
                <w:b w:val="0"/>
                <w:i/>
              </w:rPr>
              <w:t>Sub-t</w:t>
            </w:r>
            <w:r w:rsidRPr="00C26CDD">
              <w:rPr>
                <w:b w:val="0"/>
                <w:i/>
              </w:rPr>
              <w:t>otal (excluding gynaecological cytology)</w:t>
            </w:r>
          </w:p>
        </w:tc>
        <w:tc>
          <w:tcPr>
            <w:tcW w:w="1162" w:type="dxa"/>
          </w:tcPr>
          <w:p w14:paraId="64715A7A" w14:textId="77777777" w:rsidR="0099795D" w:rsidRPr="00C932DC" w:rsidRDefault="0099795D" w:rsidP="0099795D">
            <w:pPr>
              <w:pStyle w:val="Tabletextboldleft"/>
              <w:spacing w:before="20" w:after="20"/>
              <w:jc w:val="right"/>
              <w:rPr>
                <w:b w:val="0"/>
                <w:i/>
              </w:rPr>
            </w:pPr>
            <w:r w:rsidRPr="00C932DC">
              <w:rPr>
                <w:b w:val="0"/>
                <w:i/>
                <w:color w:val="000000"/>
              </w:rPr>
              <w:t>$2,923,732</w:t>
            </w:r>
          </w:p>
        </w:tc>
        <w:tc>
          <w:tcPr>
            <w:tcW w:w="1162" w:type="dxa"/>
          </w:tcPr>
          <w:p w14:paraId="6BA8E3E4" w14:textId="77777777" w:rsidR="0099795D" w:rsidRPr="00C932DC" w:rsidRDefault="0099795D" w:rsidP="0099795D">
            <w:pPr>
              <w:pStyle w:val="Tabletextboldleft"/>
              <w:spacing w:before="20" w:after="20"/>
              <w:jc w:val="right"/>
              <w:rPr>
                <w:b w:val="0"/>
                <w:i/>
              </w:rPr>
            </w:pPr>
            <w:r w:rsidRPr="00C932DC">
              <w:rPr>
                <w:b w:val="0"/>
                <w:i/>
                <w:color w:val="000000"/>
              </w:rPr>
              <w:t>$3,027,860</w:t>
            </w:r>
          </w:p>
        </w:tc>
        <w:tc>
          <w:tcPr>
            <w:tcW w:w="1162" w:type="dxa"/>
          </w:tcPr>
          <w:p w14:paraId="493B9F68" w14:textId="77777777" w:rsidR="0099795D" w:rsidRPr="00C932DC" w:rsidRDefault="0099795D" w:rsidP="0099795D">
            <w:pPr>
              <w:pStyle w:val="Tabletextboldleft"/>
              <w:spacing w:before="20" w:after="20"/>
              <w:jc w:val="right"/>
              <w:rPr>
                <w:b w:val="0"/>
                <w:i/>
              </w:rPr>
            </w:pPr>
            <w:r w:rsidRPr="00C932DC">
              <w:rPr>
                <w:b w:val="0"/>
                <w:i/>
                <w:color w:val="000000"/>
              </w:rPr>
              <w:t>$3,131,989</w:t>
            </w:r>
          </w:p>
        </w:tc>
        <w:tc>
          <w:tcPr>
            <w:tcW w:w="1162" w:type="dxa"/>
          </w:tcPr>
          <w:p w14:paraId="0F5F431C" w14:textId="77777777" w:rsidR="0099795D" w:rsidRPr="00C932DC" w:rsidRDefault="0099795D" w:rsidP="0099795D">
            <w:pPr>
              <w:pStyle w:val="Tabletextboldleft"/>
              <w:spacing w:before="20" w:after="20"/>
              <w:jc w:val="right"/>
              <w:rPr>
                <w:b w:val="0"/>
                <w:i/>
              </w:rPr>
            </w:pPr>
            <w:r w:rsidRPr="00C932DC">
              <w:rPr>
                <w:b w:val="0"/>
                <w:i/>
                <w:color w:val="000000"/>
              </w:rPr>
              <w:t>$3,236,119</w:t>
            </w:r>
          </w:p>
        </w:tc>
        <w:tc>
          <w:tcPr>
            <w:tcW w:w="1163" w:type="dxa"/>
          </w:tcPr>
          <w:p w14:paraId="549E32FB" w14:textId="77777777" w:rsidR="0099795D" w:rsidRPr="00C932DC" w:rsidRDefault="0099795D" w:rsidP="0099795D">
            <w:pPr>
              <w:pStyle w:val="Tabletextboldleft"/>
              <w:spacing w:before="20" w:after="20"/>
              <w:jc w:val="right"/>
              <w:rPr>
                <w:b w:val="0"/>
                <w:i/>
              </w:rPr>
            </w:pPr>
            <w:r w:rsidRPr="00C932DC">
              <w:rPr>
                <w:b w:val="0"/>
                <w:i/>
                <w:color w:val="000000"/>
              </w:rPr>
              <w:t>$3,340,249</w:t>
            </w:r>
          </w:p>
        </w:tc>
      </w:tr>
      <w:tr w:rsidR="0099795D" w:rsidRPr="00F647C7" w14:paraId="1358F91E" w14:textId="77777777" w:rsidTr="00C04E58">
        <w:trPr>
          <w:trHeight w:val="212"/>
        </w:trPr>
        <w:tc>
          <w:tcPr>
            <w:tcW w:w="2552" w:type="dxa"/>
          </w:tcPr>
          <w:p w14:paraId="05375D51" w14:textId="77777777" w:rsidR="0099795D" w:rsidRPr="00C26CDD" w:rsidRDefault="0099795D" w:rsidP="0099795D">
            <w:pPr>
              <w:pStyle w:val="Tabletextboldleft"/>
              <w:spacing w:before="20" w:after="20"/>
              <w:rPr>
                <w:b w:val="0"/>
                <w:i/>
              </w:rPr>
            </w:pPr>
            <w:r>
              <w:rPr>
                <w:b w:val="0"/>
                <w:i/>
              </w:rPr>
              <w:t>Sub-t</w:t>
            </w:r>
            <w:r w:rsidRPr="00C26CDD">
              <w:rPr>
                <w:b w:val="0"/>
                <w:i/>
              </w:rPr>
              <w:t>otal (including all cytology)</w:t>
            </w:r>
          </w:p>
        </w:tc>
        <w:tc>
          <w:tcPr>
            <w:tcW w:w="1162" w:type="dxa"/>
          </w:tcPr>
          <w:p w14:paraId="3803B0B0" w14:textId="77777777" w:rsidR="0099795D" w:rsidRPr="00C932DC" w:rsidRDefault="0099795D" w:rsidP="0099795D">
            <w:pPr>
              <w:pStyle w:val="Tabletextboldleft"/>
              <w:spacing w:before="20" w:after="20"/>
              <w:jc w:val="right"/>
              <w:rPr>
                <w:b w:val="0"/>
                <w:i/>
              </w:rPr>
            </w:pPr>
            <w:r w:rsidRPr="00C932DC">
              <w:rPr>
                <w:b w:val="0"/>
                <w:i/>
                <w:color w:val="000000"/>
              </w:rPr>
              <w:t>$4,662,830</w:t>
            </w:r>
          </w:p>
        </w:tc>
        <w:tc>
          <w:tcPr>
            <w:tcW w:w="1162" w:type="dxa"/>
          </w:tcPr>
          <w:p w14:paraId="009E15A0" w14:textId="77777777" w:rsidR="0099795D" w:rsidRPr="00C932DC" w:rsidRDefault="0099795D" w:rsidP="0099795D">
            <w:pPr>
              <w:pStyle w:val="Tabletextboldleft"/>
              <w:spacing w:before="20" w:after="20"/>
              <w:jc w:val="right"/>
              <w:rPr>
                <w:b w:val="0"/>
                <w:i/>
              </w:rPr>
            </w:pPr>
            <w:r w:rsidRPr="00C932DC">
              <w:rPr>
                <w:b w:val="0"/>
                <w:i/>
                <w:color w:val="000000"/>
              </w:rPr>
              <w:t>$4,781,442</w:t>
            </w:r>
          </w:p>
        </w:tc>
        <w:tc>
          <w:tcPr>
            <w:tcW w:w="1162" w:type="dxa"/>
          </w:tcPr>
          <w:p w14:paraId="4BB04BC1" w14:textId="77777777" w:rsidR="0099795D" w:rsidRPr="00C932DC" w:rsidRDefault="0099795D" w:rsidP="0099795D">
            <w:pPr>
              <w:pStyle w:val="Tabletextboldleft"/>
              <w:spacing w:before="20" w:after="20"/>
              <w:jc w:val="right"/>
              <w:rPr>
                <w:b w:val="0"/>
                <w:i/>
              </w:rPr>
            </w:pPr>
            <w:r w:rsidRPr="00C932DC">
              <w:rPr>
                <w:b w:val="0"/>
                <w:i/>
                <w:color w:val="000000"/>
              </w:rPr>
              <w:t>$4,900,053</w:t>
            </w:r>
          </w:p>
        </w:tc>
        <w:tc>
          <w:tcPr>
            <w:tcW w:w="1162" w:type="dxa"/>
          </w:tcPr>
          <w:p w14:paraId="45570088" w14:textId="77777777" w:rsidR="0099795D" w:rsidRPr="00C932DC" w:rsidRDefault="0099795D" w:rsidP="0099795D">
            <w:pPr>
              <w:pStyle w:val="Tabletextboldleft"/>
              <w:spacing w:before="20" w:after="20"/>
              <w:jc w:val="right"/>
              <w:rPr>
                <w:b w:val="0"/>
                <w:i/>
              </w:rPr>
            </w:pPr>
            <w:r w:rsidRPr="00C932DC">
              <w:rPr>
                <w:b w:val="0"/>
                <w:i/>
                <w:color w:val="000000"/>
              </w:rPr>
              <w:t>$5,018,665</w:t>
            </w:r>
          </w:p>
        </w:tc>
        <w:tc>
          <w:tcPr>
            <w:tcW w:w="1163" w:type="dxa"/>
          </w:tcPr>
          <w:p w14:paraId="35BC4968" w14:textId="77777777" w:rsidR="0099795D" w:rsidRPr="00C932DC" w:rsidRDefault="0099795D" w:rsidP="0099795D">
            <w:pPr>
              <w:pStyle w:val="Tabletextboldleft"/>
              <w:spacing w:before="20" w:after="20"/>
              <w:jc w:val="right"/>
              <w:rPr>
                <w:b w:val="0"/>
                <w:i/>
              </w:rPr>
            </w:pPr>
            <w:r w:rsidRPr="00C932DC">
              <w:rPr>
                <w:b w:val="0"/>
                <w:i/>
                <w:color w:val="000000"/>
              </w:rPr>
              <w:t>$5,137,278</w:t>
            </w:r>
          </w:p>
        </w:tc>
      </w:tr>
      <w:tr w:rsidR="0099795D" w:rsidRPr="00F647C7" w14:paraId="296FA04B" w14:textId="77777777" w:rsidTr="00C04E58">
        <w:trPr>
          <w:trHeight w:val="212"/>
        </w:trPr>
        <w:tc>
          <w:tcPr>
            <w:tcW w:w="2552" w:type="dxa"/>
            <w:shd w:val="clear" w:color="auto" w:fill="D0CECE" w:themeFill="background2" w:themeFillShade="E6"/>
          </w:tcPr>
          <w:p w14:paraId="5759C1AC" w14:textId="77777777" w:rsidR="0099795D" w:rsidRDefault="0099795D" w:rsidP="0099795D">
            <w:pPr>
              <w:pStyle w:val="Tabletextboldleft"/>
              <w:spacing w:before="20" w:after="20"/>
            </w:pPr>
            <w:r w:rsidRPr="00F411CD">
              <w:t xml:space="preserve">TOTAL </w:t>
            </w:r>
          </w:p>
          <w:p w14:paraId="2967D228" w14:textId="77777777" w:rsidR="0099795D" w:rsidRPr="009D63D8" w:rsidRDefault="0099795D" w:rsidP="0099795D">
            <w:pPr>
              <w:pStyle w:val="Tabletextboldleft"/>
              <w:spacing w:before="20" w:after="20"/>
              <w:rPr>
                <w:b w:val="0"/>
              </w:rPr>
            </w:pPr>
            <w:r w:rsidRPr="009D63D8">
              <w:rPr>
                <w:b w:val="0"/>
              </w:rPr>
              <w:t>(</w:t>
            </w:r>
            <w:r w:rsidRPr="009D63D8">
              <w:rPr>
                <w:b w:val="0"/>
                <w:i/>
              </w:rPr>
              <w:t>S1</w:t>
            </w:r>
            <w:r w:rsidRPr="009D63D8">
              <w:rPr>
                <w:b w:val="0"/>
              </w:rPr>
              <w:t xml:space="preserve"> and S</w:t>
            </w:r>
            <w:r w:rsidRPr="009D63D8">
              <w:rPr>
                <w:b w:val="0"/>
                <w:i/>
              </w:rPr>
              <w:t>2</w:t>
            </w:r>
            <w:r w:rsidRPr="009D63D8">
              <w:rPr>
                <w:b w:val="0"/>
              </w:rPr>
              <w:t xml:space="preserve"> – excluding gynaecological cytology)</w:t>
            </w:r>
          </w:p>
        </w:tc>
        <w:tc>
          <w:tcPr>
            <w:tcW w:w="1162" w:type="dxa"/>
            <w:shd w:val="clear" w:color="auto" w:fill="D0CECE" w:themeFill="background2" w:themeFillShade="E6"/>
          </w:tcPr>
          <w:p w14:paraId="0EF606E0" w14:textId="77777777" w:rsidR="0099795D" w:rsidRPr="00C932DC" w:rsidRDefault="0099795D" w:rsidP="0099795D">
            <w:pPr>
              <w:pStyle w:val="Tabletextboldleft"/>
              <w:spacing w:before="20" w:after="20"/>
              <w:jc w:val="right"/>
            </w:pPr>
            <w:r w:rsidRPr="00C932DC">
              <w:rPr>
                <w:color w:val="000000"/>
              </w:rPr>
              <w:t>$12,505,092</w:t>
            </w:r>
          </w:p>
        </w:tc>
        <w:tc>
          <w:tcPr>
            <w:tcW w:w="1162" w:type="dxa"/>
            <w:shd w:val="clear" w:color="auto" w:fill="D0CECE" w:themeFill="background2" w:themeFillShade="E6"/>
          </w:tcPr>
          <w:p w14:paraId="0F7277A6" w14:textId="77777777" w:rsidR="0099795D" w:rsidRPr="00C932DC" w:rsidRDefault="0099795D" w:rsidP="0099795D">
            <w:pPr>
              <w:pStyle w:val="Tabletextboldleft"/>
              <w:spacing w:before="20" w:after="20"/>
              <w:jc w:val="right"/>
            </w:pPr>
            <w:r w:rsidRPr="00C932DC">
              <w:rPr>
                <w:color w:val="000000"/>
              </w:rPr>
              <w:t>$12,953,716</w:t>
            </w:r>
          </w:p>
        </w:tc>
        <w:tc>
          <w:tcPr>
            <w:tcW w:w="1162" w:type="dxa"/>
            <w:shd w:val="clear" w:color="auto" w:fill="D0CECE" w:themeFill="background2" w:themeFillShade="E6"/>
          </w:tcPr>
          <w:p w14:paraId="3564DE97" w14:textId="77777777" w:rsidR="0099795D" w:rsidRPr="00C932DC" w:rsidRDefault="0099795D" w:rsidP="0099795D">
            <w:pPr>
              <w:pStyle w:val="Tabletextboldleft"/>
              <w:spacing w:before="20" w:after="20"/>
              <w:jc w:val="right"/>
            </w:pPr>
            <w:r w:rsidRPr="00C932DC">
              <w:rPr>
                <w:color w:val="000000"/>
              </w:rPr>
              <w:t>$13,402,349</w:t>
            </w:r>
          </w:p>
        </w:tc>
        <w:tc>
          <w:tcPr>
            <w:tcW w:w="1162" w:type="dxa"/>
            <w:shd w:val="clear" w:color="auto" w:fill="D0CECE" w:themeFill="background2" w:themeFillShade="E6"/>
          </w:tcPr>
          <w:p w14:paraId="79BC250A" w14:textId="77777777" w:rsidR="0099795D" w:rsidRPr="00C932DC" w:rsidRDefault="0099795D" w:rsidP="0099795D">
            <w:pPr>
              <w:pStyle w:val="Tabletextboldleft"/>
              <w:spacing w:before="20" w:after="20"/>
              <w:jc w:val="right"/>
            </w:pPr>
            <w:r w:rsidRPr="00C932DC">
              <w:rPr>
                <w:color w:val="000000"/>
              </w:rPr>
              <w:t>$13,850,984</w:t>
            </w:r>
          </w:p>
        </w:tc>
        <w:tc>
          <w:tcPr>
            <w:tcW w:w="1163" w:type="dxa"/>
            <w:shd w:val="clear" w:color="auto" w:fill="D0CECE" w:themeFill="background2" w:themeFillShade="E6"/>
          </w:tcPr>
          <w:p w14:paraId="41E5D6D6" w14:textId="77777777" w:rsidR="0099795D" w:rsidRPr="00C932DC" w:rsidRDefault="0099795D" w:rsidP="0099795D">
            <w:pPr>
              <w:pStyle w:val="Tabletextboldleft"/>
              <w:spacing w:before="20" w:after="20"/>
              <w:jc w:val="right"/>
            </w:pPr>
            <w:r w:rsidRPr="00C932DC">
              <w:rPr>
                <w:color w:val="000000"/>
              </w:rPr>
              <w:t>$14,299,615</w:t>
            </w:r>
          </w:p>
        </w:tc>
      </w:tr>
      <w:tr w:rsidR="0099795D" w:rsidRPr="00F647C7" w14:paraId="6727D433" w14:textId="77777777" w:rsidTr="00C04E58">
        <w:trPr>
          <w:trHeight w:val="212"/>
        </w:trPr>
        <w:tc>
          <w:tcPr>
            <w:tcW w:w="2552" w:type="dxa"/>
            <w:shd w:val="clear" w:color="auto" w:fill="D0CECE" w:themeFill="background2" w:themeFillShade="E6"/>
          </w:tcPr>
          <w:p w14:paraId="3A651AD6" w14:textId="77777777" w:rsidR="0099795D" w:rsidRDefault="0099795D" w:rsidP="0099795D">
            <w:pPr>
              <w:pStyle w:val="Tabletextboldleft"/>
              <w:spacing w:before="20" w:after="20"/>
            </w:pPr>
            <w:r w:rsidRPr="00F411CD">
              <w:t xml:space="preserve">TOTAL </w:t>
            </w:r>
          </w:p>
          <w:p w14:paraId="53C3696B" w14:textId="77777777" w:rsidR="0099795D" w:rsidRPr="009D63D8" w:rsidRDefault="0099795D" w:rsidP="0099795D">
            <w:pPr>
              <w:pStyle w:val="Tabletextboldleft"/>
              <w:spacing w:before="20" w:after="20"/>
              <w:rPr>
                <w:b w:val="0"/>
              </w:rPr>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1162" w:type="dxa"/>
            <w:shd w:val="clear" w:color="auto" w:fill="D0CECE" w:themeFill="background2" w:themeFillShade="E6"/>
          </w:tcPr>
          <w:p w14:paraId="0AB01A5F" w14:textId="77777777" w:rsidR="0099795D" w:rsidRPr="00C932DC" w:rsidRDefault="0099795D" w:rsidP="0099795D">
            <w:pPr>
              <w:pStyle w:val="Tabletextboldleft"/>
              <w:spacing w:before="20" w:after="20"/>
              <w:jc w:val="right"/>
            </w:pPr>
            <w:r w:rsidRPr="00C932DC">
              <w:rPr>
                <w:color w:val="000000"/>
              </w:rPr>
              <w:t>$16,804,327</w:t>
            </w:r>
          </w:p>
        </w:tc>
        <w:tc>
          <w:tcPr>
            <w:tcW w:w="1162" w:type="dxa"/>
            <w:shd w:val="clear" w:color="auto" w:fill="D0CECE" w:themeFill="background2" w:themeFillShade="E6"/>
          </w:tcPr>
          <w:p w14:paraId="20F06297" w14:textId="77777777" w:rsidR="0099795D" w:rsidRPr="00C932DC" w:rsidRDefault="0099795D" w:rsidP="0099795D">
            <w:pPr>
              <w:pStyle w:val="Tabletextboldleft"/>
              <w:spacing w:before="20" w:after="20"/>
              <w:jc w:val="right"/>
            </w:pPr>
            <w:r w:rsidRPr="00C932DC">
              <w:rPr>
                <w:color w:val="000000"/>
              </w:rPr>
              <w:t>$17,288,756</w:t>
            </w:r>
          </w:p>
        </w:tc>
        <w:tc>
          <w:tcPr>
            <w:tcW w:w="1162" w:type="dxa"/>
            <w:shd w:val="clear" w:color="auto" w:fill="D0CECE" w:themeFill="background2" w:themeFillShade="E6"/>
          </w:tcPr>
          <w:p w14:paraId="4102F78C" w14:textId="77777777" w:rsidR="0099795D" w:rsidRPr="00C932DC" w:rsidRDefault="0099795D" w:rsidP="0099795D">
            <w:pPr>
              <w:pStyle w:val="Tabletextboldleft"/>
              <w:spacing w:before="20" w:after="20"/>
              <w:jc w:val="right"/>
            </w:pPr>
            <w:r w:rsidRPr="00C932DC">
              <w:rPr>
                <w:color w:val="000000"/>
              </w:rPr>
              <w:t>$17,773,190</w:t>
            </w:r>
          </w:p>
        </w:tc>
        <w:tc>
          <w:tcPr>
            <w:tcW w:w="1162" w:type="dxa"/>
            <w:shd w:val="clear" w:color="auto" w:fill="D0CECE" w:themeFill="background2" w:themeFillShade="E6"/>
          </w:tcPr>
          <w:p w14:paraId="29DF94A5" w14:textId="77777777" w:rsidR="0099795D" w:rsidRPr="00C932DC" w:rsidRDefault="0099795D" w:rsidP="0099795D">
            <w:pPr>
              <w:pStyle w:val="Tabletextboldleft"/>
              <w:spacing w:before="20" w:after="20"/>
              <w:jc w:val="right"/>
            </w:pPr>
            <w:r w:rsidRPr="00C932DC">
              <w:rPr>
                <w:color w:val="000000"/>
              </w:rPr>
              <w:t>$18,257,625</w:t>
            </w:r>
          </w:p>
        </w:tc>
        <w:tc>
          <w:tcPr>
            <w:tcW w:w="1163" w:type="dxa"/>
            <w:shd w:val="clear" w:color="auto" w:fill="D0CECE" w:themeFill="background2" w:themeFillShade="E6"/>
          </w:tcPr>
          <w:p w14:paraId="01564F2B" w14:textId="77777777" w:rsidR="0099795D" w:rsidRPr="00C932DC" w:rsidRDefault="0099795D" w:rsidP="0099795D">
            <w:pPr>
              <w:pStyle w:val="Tabletextboldleft"/>
              <w:spacing w:before="20" w:after="20"/>
              <w:jc w:val="right"/>
            </w:pPr>
            <w:r w:rsidRPr="00C932DC">
              <w:rPr>
                <w:color w:val="000000"/>
              </w:rPr>
              <w:t>$18,742,061</w:t>
            </w:r>
          </w:p>
        </w:tc>
      </w:tr>
    </w:tbl>
    <w:p w14:paraId="40438DA9" w14:textId="77777777" w:rsidR="00B51828" w:rsidRPr="006E5544" w:rsidRDefault="00B51828" w:rsidP="002101D2">
      <w:pPr>
        <w:spacing w:before="20" w:after="0"/>
        <w:ind w:left="0" w:firstLine="720"/>
        <w:rPr>
          <w:rFonts w:ascii="Arial Narrow" w:hAnsi="Arial Narrow"/>
          <w:sz w:val="18"/>
          <w:szCs w:val="18"/>
        </w:rPr>
      </w:pPr>
      <w:r w:rsidRPr="006E5544">
        <w:rPr>
          <w:rFonts w:ascii="Arial Narrow" w:hAnsi="Arial Narrow"/>
          <w:sz w:val="18"/>
          <w:szCs w:val="18"/>
        </w:rPr>
        <w:t xml:space="preserve">Abbreviations: S1, </w:t>
      </w:r>
      <w:r w:rsidRPr="006E5544">
        <w:rPr>
          <w:rFonts w:ascii="Arial Narrow" w:hAnsi="Arial Narrow"/>
          <w:i/>
          <w:sz w:val="18"/>
          <w:szCs w:val="18"/>
        </w:rPr>
        <w:t>Scenario 1</w:t>
      </w:r>
      <w:r w:rsidRPr="006E5544">
        <w:rPr>
          <w:rFonts w:ascii="Arial Narrow" w:hAnsi="Arial Narrow"/>
          <w:sz w:val="18"/>
          <w:szCs w:val="18"/>
        </w:rPr>
        <w:t xml:space="preserve">; S2, </w:t>
      </w:r>
      <w:r w:rsidRPr="006E5544">
        <w:rPr>
          <w:rFonts w:ascii="Arial Narrow" w:hAnsi="Arial Narrow"/>
          <w:i/>
          <w:sz w:val="18"/>
          <w:szCs w:val="18"/>
        </w:rPr>
        <w:t>Scenario 2.</w:t>
      </w:r>
      <w:r w:rsidRPr="006E5544">
        <w:rPr>
          <w:rFonts w:ascii="Arial Narrow" w:hAnsi="Arial Narrow"/>
          <w:sz w:val="18"/>
          <w:szCs w:val="18"/>
        </w:rPr>
        <w:t xml:space="preserve"> </w:t>
      </w:r>
    </w:p>
    <w:p w14:paraId="7A9E6555" w14:textId="77777777" w:rsidR="00B51828" w:rsidRPr="006E5544" w:rsidRDefault="00B51828" w:rsidP="002101D2">
      <w:pPr>
        <w:spacing w:after="0"/>
        <w:ind w:left="0" w:firstLine="720"/>
        <w:rPr>
          <w:rFonts w:ascii="Arial Narrow" w:hAnsi="Arial Narrow"/>
          <w:sz w:val="18"/>
          <w:szCs w:val="18"/>
        </w:rPr>
      </w:pPr>
      <w:r w:rsidRPr="006E5544">
        <w:rPr>
          <w:rFonts w:ascii="Arial Narrow" w:hAnsi="Arial Narrow"/>
          <w:sz w:val="18"/>
          <w:szCs w:val="18"/>
          <w:vertAlign w:val="superscript"/>
        </w:rPr>
        <w:t>a</w:t>
      </w:r>
      <w:r w:rsidRPr="006E5544">
        <w:rPr>
          <w:rFonts w:ascii="Arial Narrow" w:hAnsi="Arial Narrow"/>
          <w:sz w:val="18"/>
          <w:szCs w:val="18"/>
        </w:rPr>
        <w:t xml:space="preserve"> Includes bone marrow items</w:t>
      </w:r>
    </w:p>
    <w:p w14:paraId="29A25F06" w14:textId="77777777" w:rsidR="00B51828" w:rsidRPr="006E5544" w:rsidRDefault="00B51828" w:rsidP="002101D2">
      <w:r w:rsidRPr="006E5544">
        <w:lastRenderedPageBreak/>
        <w:t>The estimated costs also represent the total incremental cost of the proposed and associated services to the MBS, given that under current funding arrangements the relevant services are provided either without MBS reimbursement or not at all (i.e. specimen referred fee and bulk billing incentive).</w:t>
      </w:r>
    </w:p>
    <w:p w14:paraId="55242772" w14:textId="77777777" w:rsidR="00B51828" w:rsidRPr="006E5544" w:rsidRDefault="00B51828" w:rsidP="002101D2">
      <w:r w:rsidRPr="006E5544">
        <w:t>For the same reasons cited for the economic evaluation, the financial analysis does not attempt to capture the use and cost of resources that are downstream of the provision of second, expert opinion. The proposed MBS listing may result in a subsequent increase or decrease in the use of other services (e.g. biopsy, imaging, treatment, monitoring).</w:t>
      </w:r>
    </w:p>
    <w:p w14:paraId="670A1814" w14:textId="77777777" w:rsidR="00B51828" w:rsidRPr="006E5544" w:rsidRDefault="00B51828" w:rsidP="002101D2">
      <w:r w:rsidRPr="006E5544">
        <w:t>The results of key sensitivity analyses are shown in Table ES-7 (see Section E.6 for the full list of analyses).</w:t>
      </w:r>
    </w:p>
    <w:p w14:paraId="094AA50A" w14:textId="77777777" w:rsidR="00B51828" w:rsidRPr="006E5544" w:rsidRDefault="00B51828" w:rsidP="002101D2">
      <w:pPr>
        <w:widowControl w:val="0"/>
        <w:spacing w:before="40" w:after="40"/>
        <w:ind w:left="2126" w:hanging="1406"/>
        <w:rPr>
          <w:rFonts w:ascii="Arial Narrow" w:hAnsi="Arial Narrow"/>
          <w:b/>
          <w:iCs/>
          <w:sz w:val="20"/>
          <w:szCs w:val="18"/>
        </w:rPr>
      </w:pPr>
      <w:r w:rsidRPr="006E5544">
        <w:rPr>
          <w:rFonts w:ascii="Arial Narrow" w:hAnsi="Arial Narrow"/>
          <w:b/>
          <w:iCs/>
          <w:sz w:val="20"/>
          <w:szCs w:val="18"/>
        </w:rPr>
        <w:t>Table ES-7</w:t>
      </w:r>
      <w:r w:rsidRPr="006E5544">
        <w:rPr>
          <w:rFonts w:ascii="Arial Narrow" w:hAnsi="Arial Narrow"/>
          <w:b/>
          <w:iCs/>
          <w:sz w:val="20"/>
          <w:szCs w:val="18"/>
        </w:rPr>
        <w:tab/>
        <w:t>Estimated total incremental costs of the proposed and associated services over the first five years of the proposed MBS listing: Results of key sensitivity analyses</w:t>
      </w:r>
    </w:p>
    <w:tbl>
      <w:tblPr>
        <w:tblStyle w:val="TableGrid"/>
        <w:tblW w:w="4610" w:type="pct"/>
        <w:tblInd w:w="704" w:type="dxa"/>
        <w:tblLook w:val="04A0" w:firstRow="1" w:lastRow="0" w:firstColumn="1" w:lastColumn="0" w:noHBand="0" w:noVBand="1"/>
        <w:tblCaption w:val="Estimated total incremental costs"/>
        <w:tblDescription w:val="The estimated total incremental costs of the proposed and associated services over the first five years of the proposed MBS listing: Results of key sensitivity analyses"/>
      </w:tblPr>
      <w:tblGrid>
        <w:gridCol w:w="2736"/>
        <w:gridCol w:w="1157"/>
        <w:gridCol w:w="1157"/>
        <w:gridCol w:w="1157"/>
        <w:gridCol w:w="1157"/>
        <w:gridCol w:w="1157"/>
      </w:tblGrid>
      <w:tr w:rsidR="00B51828" w:rsidRPr="00BF730F" w14:paraId="1128DFB2" w14:textId="77777777" w:rsidTr="00C04E58">
        <w:trPr>
          <w:trHeight w:val="210"/>
          <w:tblHeader/>
        </w:trPr>
        <w:tc>
          <w:tcPr>
            <w:tcW w:w="1605" w:type="pct"/>
          </w:tcPr>
          <w:p w14:paraId="0FAA2815" w14:textId="77777777" w:rsidR="00B51828" w:rsidRPr="00BF730F" w:rsidRDefault="00B51828" w:rsidP="002101D2">
            <w:pPr>
              <w:spacing w:before="20" w:after="20"/>
              <w:ind w:left="0"/>
              <w:rPr>
                <w:rFonts w:ascii="Arial Narrow" w:eastAsia="Times New Roman" w:hAnsi="Arial Narrow" w:cs="Arial"/>
                <w:b/>
                <w:sz w:val="20"/>
                <w:szCs w:val="20"/>
              </w:rPr>
            </w:pPr>
            <w:r w:rsidRPr="00BF730F">
              <w:rPr>
                <w:rFonts w:ascii="Arial Narrow" w:eastAsia="Times New Roman" w:hAnsi="Arial Narrow" w:cs="Arial"/>
                <w:b/>
                <w:sz w:val="20"/>
                <w:szCs w:val="20"/>
              </w:rPr>
              <w:t>Assumption</w:t>
            </w:r>
          </w:p>
        </w:tc>
        <w:tc>
          <w:tcPr>
            <w:tcW w:w="679" w:type="pct"/>
          </w:tcPr>
          <w:p w14:paraId="0DD070FE"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Year 1</w:t>
            </w:r>
          </w:p>
          <w:p w14:paraId="108B7F11"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(2015-16)</w:t>
            </w:r>
          </w:p>
        </w:tc>
        <w:tc>
          <w:tcPr>
            <w:tcW w:w="679" w:type="pct"/>
          </w:tcPr>
          <w:p w14:paraId="52966AE5"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Year 2</w:t>
            </w:r>
          </w:p>
          <w:p w14:paraId="6F8FA41D"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(2016-17)</w:t>
            </w:r>
          </w:p>
        </w:tc>
        <w:tc>
          <w:tcPr>
            <w:tcW w:w="679" w:type="pct"/>
          </w:tcPr>
          <w:p w14:paraId="7497CCF7"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Year 3</w:t>
            </w:r>
          </w:p>
          <w:p w14:paraId="7E9F173D"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(2017-18)</w:t>
            </w:r>
          </w:p>
        </w:tc>
        <w:tc>
          <w:tcPr>
            <w:tcW w:w="679" w:type="pct"/>
          </w:tcPr>
          <w:p w14:paraId="384B7493"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Year 4</w:t>
            </w:r>
          </w:p>
          <w:p w14:paraId="41C3F728"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(2018-19)</w:t>
            </w:r>
          </w:p>
        </w:tc>
        <w:tc>
          <w:tcPr>
            <w:tcW w:w="679" w:type="pct"/>
          </w:tcPr>
          <w:p w14:paraId="15ED8583"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Year 5</w:t>
            </w:r>
          </w:p>
          <w:p w14:paraId="5427AD1C" w14:textId="77777777" w:rsidR="00B51828" w:rsidRPr="00BF730F" w:rsidRDefault="00B51828" w:rsidP="002101D2">
            <w:pPr>
              <w:spacing w:before="20" w:after="20"/>
              <w:ind w:left="0"/>
              <w:jc w:val="right"/>
              <w:rPr>
                <w:rFonts w:ascii="Arial Narrow" w:eastAsia="Times New Roman" w:hAnsi="Arial Narrow" w:cs="Arial"/>
                <w:b/>
                <w:sz w:val="20"/>
                <w:szCs w:val="20"/>
              </w:rPr>
            </w:pPr>
            <w:r w:rsidRPr="00BF730F">
              <w:rPr>
                <w:rFonts w:ascii="Arial Narrow" w:eastAsia="Times New Roman" w:hAnsi="Arial Narrow" w:cs="Arial"/>
                <w:b/>
                <w:sz w:val="20"/>
                <w:szCs w:val="20"/>
              </w:rPr>
              <w:t>(2019-20)</w:t>
            </w:r>
          </w:p>
        </w:tc>
      </w:tr>
      <w:tr w:rsidR="0099795D" w:rsidRPr="00BF730F" w14:paraId="0C1DEE1D" w14:textId="77777777" w:rsidTr="00C04E58">
        <w:trPr>
          <w:trHeight w:val="84"/>
        </w:trPr>
        <w:tc>
          <w:tcPr>
            <w:tcW w:w="1605" w:type="pct"/>
            <w:shd w:val="clear" w:color="auto" w:fill="D0CECE" w:themeFill="background2" w:themeFillShade="E6"/>
          </w:tcPr>
          <w:p w14:paraId="681A5EF1" w14:textId="77777777" w:rsidR="0099795D" w:rsidRPr="00BF730F" w:rsidRDefault="0099795D" w:rsidP="0099795D">
            <w:pPr>
              <w:spacing w:before="20" w:after="20"/>
              <w:ind w:left="0"/>
              <w:rPr>
                <w:rFonts w:ascii="Arial Narrow" w:eastAsia="Times New Roman" w:hAnsi="Arial Narrow" w:cs="Arial"/>
                <w:b/>
                <w:sz w:val="20"/>
                <w:szCs w:val="20"/>
              </w:rPr>
            </w:pPr>
            <w:r w:rsidRPr="00BF730F">
              <w:rPr>
                <w:rFonts w:ascii="Arial Narrow" w:eastAsia="Times New Roman" w:hAnsi="Arial Narrow" w:cs="Arial"/>
                <w:b/>
                <w:sz w:val="20"/>
                <w:szCs w:val="20"/>
              </w:rPr>
              <w:t>Base case – excluding gynaecological cytology</w:t>
            </w:r>
          </w:p>
        </w:tc>
        <w:tc>
          <w:tcPr>
            <w:tcW w:w="679" w:type="pct"/>
            <w:shd w:val="clear" w:color="auto" w:fill="D0CECE" w:themeFill="background2" w:themeFillShade="E6"/>
          </w:tcPr>
          <w:p w14:paraId="56B934FE" w14:textId="055D3F62"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$12,505,092</w:t>
            </w:r>
          </w:p>
        </w:tc>
        <w:tc>
          <w:tcPr>
            <w:tcW w:w="679" w:type="pct"/>
            <w:shd w:val="clear" w:color="auto" w:fill="D0CECE" w:themeFill="background2" w:themeFillShade="E6"/>
          </w:tcPr>
          <w:p w14:paraId="1A32CE44" w14:textId="15FDA174"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$12,953,716</w:t>
            </w:r>
          </w:p>
        </w:tc>
        <w:tc>
          <w:tcPr>
            <w:tcW w:w="679" w:type="pct"/>
            <w:shd w:val="clear" w:color="auto" w:fill="D0CECE" w:themeFill="background2" w:themeFillShade="E6"/>
          </w:tcPr>
          <w:p w14:paraId="2A1FBFF3" w14:textId="120AA83A"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$13,402,349</w:t>
            </w:r>
          </w:p>
        </w:tc>
        <w:tc>
          <w:tcPr>
            <w:tcW w:w="679" w:type="pct"/>
            <w:shd w:val="clear" w:color="auto" w:fill="D0CECE" w:themeFill="background2" w:themeFillShade="E6"/>
          </w:tcPr>
          <w:p w14:paraId="1F139E6D" w14:textId="7D701C2F"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$13,850,984</w:t>
            </w:r>
          </w:p>
        </w:tc>
        <w:tc>
          <w:tcPr>
            <w:tcW w:w="679" w:type="pct"/>
            <w:shd w:val="clear" w:color="auto" w:fill="D0CECE" w:themeFill="background2" w:themeFillShade="E6"/>
          </w:tcPr>
          <w:p w14:paraId="4EB18A92" w14:textId="12851B98"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$14,299,615</w:t>
            </w:r>
          </w:p>
        </w:tc>
      </w:tr>
      <w:tr w:rsidR="0099795D" w:rsidRPr="00BF730F" w14:paraId="5C4FC253" w14:textId="77777777" w:rsidTr="00C04E58">
        <w:trPr>
          <w:trHeight w:val="210"/>
        </w:trPr>
        <w:tc>
          <w:tcPr>
            <w:tcW w:w="1605" w:type="pct"/>
            <w:shd w:val="clear" w:color="auto" w:fill="FFFFFF" w:themeFill="background1"/>
          </w:tcPr>
          <w:p w14:paraId="734497AA" w14:textId="77777777" w:rsidR="0099795D" w:rsidRPr="00BF730F" w:rsidRDefault="0099795D" w:rsidP="0099795D">
            <w:pPr>
              <w:spacing w:before="20" w:after="20"/>
              <w:ind w:left="0"/>
              <w:rPr>
                <w:rFonts w:ascii="Arial Narrow" w:eastAsia="Times New Roman" w:hAnsi="Arial Narrow" w:cs="Arial"/>
                <w:sz w:val="20"/>
                <w:szCs w:val="20"/>
              </w:rPr>
            </w:pPr>
            <w:r w:rsidRPr="00BF730F">
              <w:rPr>
                <w:rFonts w:ascii="Arial Narrow" w:eastAsia="Times New Roman" w:hAnsi="Arial Narrow" w:cs="Arial"/>
                <w:sz w:val="20"/>
                <w:szCs w:val="20"/>
              </w:rPr>
              <w:t>Expert opinion survey results summarised using the median.</w:t>
            </w:r>
          </w:p>
        </w:tc>
        <w:tc>
          <w:tcPr>
            <w:tcW w:w="679" w:type="pct"/>
            <w:shd w:val="clear" w:color="auto" w:fill="FFFFFF" w:themeFill="background1"/>
          </w:tcPr>
          <w:p w14:paraId="297B3963" w14:textId="2D60D400"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$8,976,757</w:t>
            </w:r>
          </w:p>
        </w:tc>
        <w:tc>
          <w:tcPr>
            <w:tcW w:w="679" w:type="pct"/>
            <w:shd w:val="clear" w:color="auto" w:fill="FFFFFF" w:themeFill="background1"/>
          </w:tcPr>
          <w:p w14:paraId="775562B4" w14:textId="1C8D8156"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$9,300,238</w:t>
            </w:r>
          </w:p>
        </w:tc>
        <w:tc>
          <w:tcPr>
            <w:tcW w:w="679" w:type="pct"/>
            <w:shd w:val="clear" w:color="auto" w:fill="FFFFFF" w:themeFill="background1"/>
          </w:tcPr>
          <w:p w14:paraId="21B88822" w14:textId="65E07F8B"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$9,623,726</w:t>
            </w:r>
          </w:p>
        </w:tc>
        <w:tc>
          <w:tcPr>
            <w:tcW w:w="679" w:type="pct"/>
            <w:shd w:val="clear" w:color="auto" w:fill="FFFFFF" w:themeFill="background1"/>
          </w:tcPr>
          <w:p w14:paraId="3F4B33D4" w14:textId="74E282DF"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$9,947,215</w:t>
            </w:r>
          </w:p>
        </w:tc>
        <w:tc>
          <w:tcPr>
            <w:tcW w:w="679" w:type="pct"/>
            <w:shd w:val="clear" w:color="auto" w:fill="FFFFFF" w:themeFill="background1"/>
          </w:tcPr>
          <w:p w14:paraId="43101DB0" w14:textId="5DDC72C2"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$10,270,701</w:t>
            </w:r>
          </w:p>
        </w:tc>
      </w:tr>
      <w:tr w:rsidR="0099795D" w:rsidRPr="00BF730F" w14:paraId="10595A90" w14:textId="77777777" w:rsidTr="00C04E58">
        <w:trPr>
          <w:trHeight w:val="210"/>
        </w:trPr>
        <w:tc>
          <w:tcPr>
            <w:tcW w:w="1605" w:type="pct"/>
          </w:tcPr>
          <w:p w14:paraId="7ADEDEBD" w14:textId="77777777" w:rsidR="0099795D" w:rsidRPr="00BF730F" w:rsidRDefault="0099795D" w:rsidP="0099795D">
            <w:pPr>
              <w:spacing w:before="20" w:after="20"/>
              <w:ind w:left="0"/>
              <w:rPr>
                <w:rFonts w:ascii="Arial Narrow" w:eastAsia="Times New Roman" w:hAnsi="Arial Narrow" w:cs="Arial"/>
                <w:sz w:val="20"/>
                <w:szCs w:val="20"/>
              </w:rPr>
            </w:pPr>
            <w:r w:rsidRPr="00BF730F">
              <w:rPr>
                <w:rFonts w:ascii="Arial Narrow" w:eastAsia="Times New Roman" w:hAnsi="Arial Narrow" w:cs="Arial"/>
                <w:sz w:val="20"/>
                <w:szCs w:val="20"/>
              </w:rPr>
              <w:t>Expert Opinion Survey responses from a HESP member.</w:t>
            </w:r>
          </w:p>
        </w:tc>
        <w:tc>
          <w:tcPr>
            <w:tcW w:w="679" w:type="pct"/>
          </w:tcPr>
          <w:p w14:paraId="5313EAC6" w14:textId="6A2BE5EB"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$2,545,984</w:t>
            </w:r>
          </w:p>
        </w:tc>
        <w:tc>
          <w:tcPr>
            <w:tcW w:w="679" w:type="pct"/>
          </w:tcPr>
          <w:p w14:paraId="3E22A058" w14:textId="4313A42E"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$2,637,846</w:t>
            </w:r>
          </w:p>
        </w:tc>
        <w:tc>
          <w:tcPr>
            <w:tcW w:w="679" w:type="pct"/>
          </w:tcPr>
          <w:p w14:paraId="516E37D2" w14:textId="6383999A"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$2,729,710</w:t>
            </w:r>
          </w:p>
        </w:tc>
        <w:tc>
          <w:tcPr>
            <w:tcW w:w="679" w:type="pct"/>
          </w:tcPr>
          <w:p w14:paraId="0C6043B1" w14:textId="427C7357"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$2,821,575</w:t>
            </w:r>
          </w:p>
        </w:tc>
        <w:tc>
          <w:tcPr>
            <w:tcW w:w="679" w:type="pct"/>
          </w:tcPr>
          <w:p w14:paraId="64118CF4" w14:textId="2CE5E850"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$2,913,439</w:t>
            </w:r>
          </w:p>
        </w:tc>
      </w:tr>
      <w:tr w:rsidR="0099795D" w:rsidRPr="00BF730F" w14:paraId="42EBF1F6" w14:textId="77777777" w:rsidTr="00C04E58">
        <w:trPr>
          <w:trHeight w:val="70"/>
        </w:trPr>
        <w:tc>
          <w:tcPr>
            <w:tcW w:w="1605" w:type="pct"/>
          </w:tcPr>
          <w:p w14:paraId="4EF40BB2" w14:textId="77777777" w:rsidR="0099795D" w:rsidRPr="00BF730F" w:rsidRDefault="0099795D" w:rsidP="0099795D">
            <w:pPr>
              <w:spacing w:before="20" w:after="20"/>
              <w:ind w:left="0"/>
              <w:rPr>
                <w:rFonts w:ascii="Arial Narrow" w:eastAsia="Times New Roman" w:hAnsi="Arial Narrow" w:cs="Arial"/>
                <w:sz w:val="20"/>
                <w:szCs w:val="20"/>
              </w:rPr>
            </w:pPr>
            <w:r w:rsidRPr="00BF730F">
              <w:rPr>
                <w:rFonts w:ascii="Arial Narrow" w:eastAsia="Times New Roman" w:hAnsi="Arial Narrow" w:cs="Arial"/>
                <w:sz w:val="20"/>
                <w:szCs w:val="20"/>
              </w:rPr>
              <w:t>Higher second, expert opinion rate than the base case.</w:t>
            </w:r>
          </w:p>
        </w:tc>
        <w:tc>
          <w:tcPr>
            <w:tcW w:w="679" w:type="pct"/>
          </w:tcPr>
          <w:p w14:paraId="03718D26" w14:textId="33FE810B"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$17,886,453</w:t>
            </w:r>
          </w:p>
        </w:tc>
        <w:tc>
          <w:tcPr>
            <w:tcW w:w="679" w:type="pct"/>
          </w:tcPr>
          <w:p w14:paraId="3640AA58" w14:textId="0DD409FC"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$18,526,898</w:t>
            </w:r>
          </w:p>
        </w:tc>
        <w:tc>
          <w:tcPr>
            <w:tcW w:w="679" w:type="pct"/>
          </w:tcPr>
          <w:p w14:paraId="69D3CD01" w14:textId="19EA644C"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$19,167,356</w:t>
            </w:r>
          </w:p>
        </w:tc>
        <w:tc>
          <w:tcPr>
            <w:tcW w:w="679" w:type="pct"/>
          </w:tcPr>
          <w:p w14:paraId="7D6C93CC" w14:textId="0B8F0932"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$19,807,817</w:t>
            </w:r>
          </w:p>
        </w:tc>
        <w:tc>
          <w:tcPr>
            <w:tcW w:w="679" w:type="pct"/>
          </w:tcPr>
          <w:p w14:paraId="496F03A7" w14:textId="560D33BB"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$20,448,273</w:t>
            </w:r>
          </w:p>
        </w:tc>
      </w:tr>
      <w:tr w:rsidR="0099795D" w:rsidRPr="00BF730F" w14:paraId="0FC57422" w14:textId="77777777" w:rsidTr="00C04E58">
        <w:trPr>
          <w:trHeight w:val="70"/>
        </w:trPr>
        <w:tc>
          <w:tcPr>
            <w:tcW w:w="1605" w:type="pct"/>
          </w:tcPr>
          <w:p w14:paraId="70AE5177" w14:textId="77777777" w:rsidR="0099795D" w:rsidRPr="00BF730F" w:rsidRDefault="0099795D" w:rsidP="0099795D">
            <w:pPr>
              <w:spacing w:before="20" w:after="20"/>
              <w:ind w:left="0"/>
              <w:rPr>
                <w:rFonts w:ascii="Arial Narrow" w:eastAsia="Times New Roman" w:hAnsi="Arial Narrow" w:cs="Arial"/>
                <w:sz w:val="20"/>
                <w:szCs w:val="20"/>
              </w:rPr>
            </w:pPr>
            <w:r w:rsidRPr="00BF730F">
              <w:rPr>
                <w:rFonts w:ascii="Arial Narrow" w:eastAsia="Times New Roman" w:hAnsi="Arial Narrow" w:cs="Arial"/>
                <w:sz w:val="20"/>
                <w:szCs w:val="20"/>
              </w:rPr>
              <w:t>Assume a one-tier fee structure – Schedule fee $200</w:t>
            </w:r>
          </w:p>
        </w:tc>
        <w:tc>
          <w:tcPr>
            <w:tcW w:w="679" w:type="pct"/>
          </w:tcPr>
          <w:p w14:paraId="6A784008" w14:textId="071B9E7A"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$9,805,126</w:t>
            </w:r>
          </w:p>
        </w:tc>
        <w:tc>
          <w:tcPr>
            <w:tcW w:w="679" w:type="pct"/>
          </w:tcPr>
          <w:p w14:paraId="223D7236" w14:textId="692EBED7"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$10,156,207</w:t>
            </w:r>
          </w:p>
        </w:tc>
        <w:tc>
          <w:tcPr>
            <w:tcW w:w="679" w:type="pct"/>
          </w:tcPr>
          <w:p w14:paraId="2A534C66" w14:textId="073A37A1"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$10,507,295</w:t>
            </w:r>
          </w:p>
        </w:tc>
        <w:tc>
          <w:tcPr>
            <w:tcW w:w="679" w:type="pct"/>
          </w:tcPr>
          <w:p w14:paraId="58A6A32B" w14:textId="20AD3A76"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$10,858,386</w:t>
            </w:r>
          </w:p>
        </w:tc>
        <w:tc>
          <w:tcPr>
            <w:tcW w:w="679" w:type="pct"/>
          </w:tcPr>
          <w:p w14:paraId="0BCE98B8" w14:textId="4EC848FC"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$11,209,473</w:t>
            </w:r>
          </w:p>
        </w:tc>
      </w:tr>
      <w:tr w:rsidR="0099795D" w:rsidRPr="00BF730F" w14:paraId="01CAFA98" w14:textId="77777777" w:rsidTr="00C04E58">
        <w:trPr>
          <w:trHeight w:val="70"/>
        </w:trPr>
        <w:tc>
          <w:tcPr>
            <w:tcW w:w="1605" w:type="pct"/>
          </w:tcPr>
          <w:p w14:paraId="2504F30D" w14:textId="77777777" w:rsidR="0099795D" w:rsidRPr="00BF730F" w:rsidRDefault="0099795D" w:rsidP="0099795D">
            <w:pPr>
              <w:spacing w:before="20" w:after="20"/>
              <w:ind w:left="0"/>
              <w:rPr>
                <w:rFonts w:ascii="Arial Narrow" w:eastAsia="Times New Roman" w:hAnsi="Arial Narrow" w:cs="Arial"/>
                <w:sz w:val="20"/>
                <w:szCs w:val="20"/>
              </w:rPr>
            </w:pPr>
            <w:r w:rsidRPr="00BF730F">
              <w:rPr>
                <w:rFonts w:ascii="Arial Narrow" w:eastAsia="Times New Roman" w:hAnsi="Arial Narrow" w:cs="Arial"/>
                <w:sz w:val="20"/>
                <w:szCs w:val="20"/>
              </w:rPr>
              <w:t xml:space="preserve">Assume that all </w:t>
            </w:r>
            <w:r w:rsidRPr="00BF730F">
              <w:rPr>
                <w:rFonts w:ascii="Arial Narrow" w:eastAsia="Times New Roman" w:hAnsi="Arial Narrow" w:cs="Arial"/>
                <w:i/>
                <w:sz w:val="20"/>
                <w:szCs w:val="20"/>
              </w:rPr>
              <w:t xml:space="preserve">Scenario 1 </w:t>
            </w:r>
            <w:r w:rsidRPr="00BF730F">
              <w:rPr>
                <w:rFonts w:ascii="Arial Narrow" w:eastAsia="Times New Roman" w:hAnsi="Arial Narrow" w:cs="Arial"/>
                <w:sz w:val="20"/>
                <w:szCs w:val="20"/>
              </w:rPr>
              <w:t>tissue pathology cases are ‘complex’ – involving more than 30 minutes of expert pathologist’s time.</w:t>
            </w:r>
          </w:p>
        </w:tc>
        <w:tc>
          <w:tcPr>
            <w:tcW w:w="679" w:type="pct"/>
          </w:tcPr>
          <w:p w14:paraId="49ED0420" w14:textId="73B3306A"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$15,334,763</w:t>
            </w:r>
          </w:p>
        </w:tc>
        <w:tc>
          <w:tcPr>
            <w:tcW w:w="679" w:type="pct"/>
          </w:tcPr>
          <w:p w14:paraId="24C427A1" w14:textId="2DEBBD8B"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$15,885,912</w:t>
            </w:r>
          </w:p>
        </w:tc>
        <w:tc>
          <w:tcPr>
            <w:tcW w:w="679" w:type="pct"/>
          </w:tcPr>
          <w:p w14:paraId="14310376" w14:textId="0CF367A8"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$16,437,073</w:t>
            </w:r>
          </w:p>
        </w:tc>
        <w:tc>
          <w:tcPr>
            <w:tcW w:w="679" w:type="pct"/>
          </w:tcPr>
          <w:p w14:paraId="375E93A5" w14:textId="4FF018E3"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$16,988,236</w:t>
            </w:r>
          </w:p>
        </w:tc>
        <w:tc>
          <w:tcPr>
            <w:tcW w:w="679" w:type="pct"/>
          </w:tcPr>
          <w:p w14:paraId="4252E93F" w14:textId="5E7332D1"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$17,539,394</w:t>
            </w:r>
          </w:p>
        </w:tc>
      </w:tr>
      <w:tr w:rsidR="00C66BA0" w:rsidRPr="00BF730F" w14:paraId="3D5375DF" w14:textId="77777777" w:rsidTr="00C04E58">
        <w:trPr>
          <w:trHeight w:val="70"/>
        </w:trPr>
        <w:tc>
          <w:tcPr>
            <w:tcW w:w="1605" w:type="pct"/>
          </w:tcPr>
          <w:p w14:paraId="62FC517D" w14:textId="77777777" w:rsidR="00C66BA0" w:rsidRPr="00BF730F" w:rsidRDefault="00C66BA0" w:rsidP="00C66BA0">
            <w:pPr>
              <w:spacing w:before="20" w:after="20"/>
              <w:ind w:left="0"/>
              <w:rPr>
                <w:rFonts w:ascii="Arial Narrow" w:eastAsia="Times New Roman" w:hAnsi="Arial Narrow" w:cs="Arial"/>
                <w:sz w:val="20"/>
                <w:szCs w:val="20"/>
              </w:rPr>
            </w:pPr>
            <w:r w:rsidRPr="00BF730F">
              <w:rPr>
                <w:rFonts w:ascii="Arial Narrow" w:eastAsia="Times New Roman" w:hAnsi="Arial Narrow" w:cs="Arial"/>
                <w:sz w:val="20"/>
                <w:szCs w:val="20"/>
              </w:rPr>
              <w:t>Assume that second, expert opinion is not requested for complexity 2 or 3 items (MBS items 72813-72818).</w:t>
            </w:r>
          </w:p>
        </w:tc>
        <w:tc>
          <w:tcPr>
            <w:tcW w:w="679" w:type="pct"/>
          </w:tcPr>
          <w:p w14:paraId="04CF1211" w14:textId="2B281AEC" w:rsidR="00C66BA0" w:rsidRPr="00BF730F" w:rsidRDefault="00C66BA0" w:rsidP="00C66BA0">
            <w:pPr>
              <w:spacing w:before="20" w:after="20"/>
              <w:ind w:left="0"/>
              <w:jc w:val="right"/>
              <w:rPr>
                <w:rFonts w:ascii="Arial Narrow" w:eastAsia="Times New Roman" w:hAnsi="Arial Narrow" w:cs="Arial"/>
                <w:sz w:val="20"/>
                <w:szCs w:val="20"/>
              </w:rPr>
            </w:pPr>
            <w:r w:rsidRPr="00BF730F">
              <w:rPr>
                <w:rFonts w:ascii="Arial Narrow" w:hAnsi="Arial Narrow"/>
                <w:color w:val="000000"/>
                <w:sz w:val="20"/>
                <w:szCs w:val="20"/>
              </w:rPr>
              <w:t>$5,984,984</w:t>
            </w:r>
          </w:p>
        </w:tc>
        <w:tc>
          <w:tcPr>
            <w:tcW w:w="679" w:type="pct"/>
          </w:tcPr>
          <w:p w14:paraId="16F4BEA4" w14:textId="07683F1D" w:rsidR="00C66BA0" w:rsidRPr="00BF730F" w:rsidRDefault="00C66BA0" w:rsidP="00C66BA0">
            <w:pPr>
              <w:spacing w:before="20" w:after="20"/>
              <w:ind w:left="0"/>
              <w:jc w:val="right"/>
              <w:rPr>
                <w:rFonts w:ascii="Arial Narrow" w:eastAsia="Times New Roman" w:hAnsi="Arial Narrow" w:cs="Arial"/>
                <w:sz w:val="20"/>
                <w:szCs w:val="20"/>
              </w:rPr>
            </w:pPr>
            <w:r w:rsidRPr="00BF730F">
              <w:rPr>
                <w:rFonts w:ascii="Arial Narrow" w:hAnsi="Arial Narrow"/>
                <w:color w:val="000000"/>
                <w:sz w:val="20"/>
                <w:szCs w:val="20"/>
              </w:rPr>
              <w:t>$6,267,373</w:t>
            </w:r>
          </w:p>
        </w:tc>
        <w:tc>
          <w:tcPr>
            <w:tcW w:w="679" w:type="pct"/>
          </w:tcPr>
          <w:p w14:paraId="4642505A" w14:textId="3F82E1D9" w:rsidR="00C66BA0" w:rsidRPr="00BF730F" w:rsidRDefault="00C66BA0" w:rsidP="00C66BA0">
            <w:pPr>
              <w:spacing w:before="20" w:after="20"/>
              <w:ind w:left="0"/>
              <w:jc w:val="right"/>
              <w:rPr>
                <w:rFonts w:ascii="Arial Narrow" w:eastAsia="Times New Roman" w:hAnsi="Arial Narrow" w:cs="Arial"/>
                <w:sz w:val="20"/>
                <w:szCs w:val="20"/>
              </w:rPr>
            </w:pPr>
            <w:r w:rsidRPr="00BF730F">
              <w:rPr>
                <w:rFonts w:ascii="Arial Narrow" w:hAnsi="Arial Narrow"/>
                <w:color w:val="000000"/>
                <w:sz w:val="20"/>
                <w:szCs w:val="20"/>
              </w:rPr>
              <w:t>$6,549,767</w:t>
            </w:r>
          </w:p>
        </w:tc>
        <w:tc>
          <w:tcPr>
            <w:tcW w:w="679" w:type="pct"/>
          </w:tcPr>
          <w:p w14:paraId="79115E10" w14:textId="1591CED9" w:rsidR="00C66BA0" w:rsidRPr="00BF730F" w:rsidRDefault="00C66BA0" w:rsidP="00C66BA0">
            <w:pPr>
              <w:spacing w:before="20" w:after="20"/>
              <w:ind w:left="0"/>
              <w:jc w:val="right"/>
              <w:rPr>
                <w:rFonts w:ascii="Arial Narrow" w:eastAsia="Times New Roman" w:hAnsi="Arial Narrow" w:cs="Arial"/>
                <w:sz w:val="20"/>
                <w:szCs w:val="20"/>
              </w:rPr>
            </w:pPr>
            <w:r w:rsidRPr="00BF730F">
              <w:rPr>
                <w:rFonts w:ascii="Arial Narrow" w:hAnsi="Arial Narrow"/>
                <w:color w:val="000000"/>
                <w:sz w:val="20"/>
                <w:szCs w:val="20"/>
              </w:rPr>
              <w:t>$6,832,168</w:t>
            </w:r>
          </w:p>
        </w:tc>
        <w:tc>
          <w:tcPr>
            <w:tcW w:w="679" w:type="pct"/>
          </w:tcPr>
          <w:p w14:paraId="2A52960F" w14:textId="76360C14" w:rsidR="00C66BA0" w:rsidRPr="00BF730F" w:rsidRDefault="00C66BA0" w:rsidP="00C66BA0">
            <w:pPr>
              <w:spacing w:before="20" w:after="20"/>
              <w:ind w:left="0"/>
              <w:jc w:val="right"/>
              <w:rPr>
                <w:rFonts w:ascii="Arial Narrow" w:eastAsia="Times New Roman" w:hAnsi="Arial Narrow" w:cs="Arial"/>
                <w:sz w:val="20"/>
                <w:szCs w:val="20"/>
              </w:rPr>
            </w:pPr>
            <w:r w:rsidRPr="00BF730F">
              <w:rPr>
                <w:rFonts w:ascii="Arial Narrow" w:hAnsi="Arial Narrow"/>
                <w:color w:val="000000"/>
                <w:sz w:val="20"/>
                <w:szCs w:val="20"/>
              </w:rPr>
              <w:t>$7,114,561</w:t>
            </w:r>
          </w:p>
        </w:tc>
      </w:tr>
      <w:tr w:rsidR="0099795D" w:rsidRPr="00BF730F" w14:paraId="672C28C6" w14:textId="77777777" w:rsidTr="00C04E58">
        <w:trPr>
          <w:trHeight w:val="70"/>
        </w:trPr>
        <w:tc>
          <w:tcPr>
            <w:tcW w:w="1605" w:type="pct"/>
            <w:tcBorders>
              <w:bottom w:val="single" w:sz="4" w:space="0" w:color="auto"/>
            </w:tcBorders>
            <w:shd w:val="clear" w:color="auto" w:fill="BFBFBF" w:themeFill="background1" w:themeFillShade="BF"/>
          </w:tcPr>
          <w:p w14:paraId="45DDBD3C" w14:textId="77777777" w:rsidR="0099795D" w:rsidRPr="00BF730F" w:rsidRDefault="0099795D" w:rsidP="0099795D">
            <w:pPr>
              <w:spacing w:before="20" w:after="20"/>
              <w:ind w:left="0"/>
              <w:rPr>
                <w:rFonts w:ascii="Arial Narrow" w:eastAsia="Times New Roman" w:hAnsi="Arial Narrow" w:cs="Arial"/>
                <w:sz w:val="20"/>
                <w:szCs w:val="20"/>
              </w:rPr>
            </w:pPr>
            <w:r w:rsidRPr="00BF730F">
              <w:rPr>
                <w:rFonts w:ascii="Arial Narrow" w:eastAsia="Times New Roman" w:hAnsi="Arial Narrow" w:cs="Arial"/>
                <w:b/>
                <w:sz w:val="20"/>
                <w:szCs w:val="20"/>
              </w:rPr>
              <w:t>Base case – including gynaecological cytology</w:t>
            </w:r>
          </w:p>
        </w:tc>
        <w:tc>
          <w:tcPr>
            <w:tcW w:w="679" w:type="pct"/>
            <w:tcBorders>
              <w:bottom w:val="single" w:sz="4" w:space="0" w:color="auto"/>
            </w:tcBorders>
            <w:shd w:val="clear" w:color="auto" w:fill="BFBFBF" w:themeFill="background1" w:themeFillShade="BF"/>
          </w:tcPr>
          <w:p w14:paraId="66B17CBD" w14:textId="5DA0016A"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$16,804,327</w:t>
            </w:r>
          </w:p>
        </w:tc>
        <w:tc>
          <w:tcPr>
            <w:tcW w:w="679" w:type="pct"/>
            <w:tcBorders>
              <w:bottom w:val="single" w:sz="4" w:space="0" w:color="auto"/>
            </w:tcBorders>
            <w:shd w:val="clear" w:color="auto" w:fill="BFBFBF" w:themeFill="background1" w:themeFillShade="BF"/>
          </w:tcPr>
          <w:p w14:paraId="420B459D" w14:textId="1AB09E6E"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$17,288,756</w:t>
            </w:r>
          </w:p>
        </w:tc>
        <w:tc>
          <w:tcPr>
            <w:tcW w:w="679" w:type="pct"/>
            <w:tcBorders>
              <w:bottom w:val="single" w:sz="4" w:space="0" w:color="auto"/>
            </w:tcBorders>
            <w:shd w:val="clear" w:color="auto" w:fill="BFBFBF" w:themeFill="background1" w:themeFillShade="BF"/>
          </w:tcPr>
          <w:p w14:paraId="457A618A" w14:textId="05FDD01D"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$17,773,190</w:t>
            </w:r>
          </w:p>
        </w:tc>
        <w:tc>
          <w:tcPr>
            <w:tcW w:w="679" w:type="pct"/>
            <w:tcBorders>
              <w:bottom w:val="single" w:sz="4" w:space="0" w:color="auto"/>
            </w:tcBorders>
            <w:shd w:val="clear" w:color="auto" w:fill="BFBFBF" w:themeFill="background1" w:themeFillShade="BF"/>
          </w:tcPr>
          <w:p w14:paraId="02FCCC3E" w14:textId="3CD0E86E"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$18,257,625</w:t>
            </w:r>
          </w:p>
        </w:tc>
        <w:tc>
          <w:tcPr>
            <w:tcW w:w="679" w:type="pct"/>
            <w:tcBorders>
              <w:bottom w:val="single" w:sz="4" w:space="0" w:color="auto"/>
            </w:tcBorders>
            <w:shd w:val="clear" w:color="auto" w:fill="BFBFBF" w:themeFill="background1" w:themeFillShade="BF"/>
          </w:tcPr>
          <w:p w14:paraId="37342996" w14:textId="60BA2A6C" w:rsidR="0099795D" w:rsidRPr="00BF730F" w:rsidRDefault="0099795D" w:rsidP="0099795D">
            <w:pPr>
              <w:spacing w:before="20" w:after="20"/>
              <w:ind w:left="0"/>
              <w:jc w:val="right"/>
              <w:rPr>
                <w:rFonts w:ascii="Arial Narrow" w:eastAsia="Times New Roman" w:hAnsi="Arial Narrow" w:cs="Arial"/>
                <w:b/>
                <w:color w:val="000000"/>
                <w:sz w:val="20"/>
                <w:szCs w:val="20"/>
              </w:rPr>
            </w:pPr>
            <w:r w:rsidRPr="00BF730F">
              <w:rPr>
                <w:rFonts w:ascii="Arial Narrow" w:eastAsia="Times New Roman" w:hAnsi="Arial Narrow" w:cs="Arial"/>
                <w:b/>
                <w:color w:val="000000"/>
                <w:sz w:val="20"/>
                <w:szCs w:val="20"/>
              </w:rPr>
              <w:t>$18,742,061</w:t>
            </w:r>
          </w:p>
        </w:tc>
      </w:tr>
      <w:tr w:rsidR="0099795D" w:rsidRPr="006E5544" w14:paraId="0B1C43CB" w14:textId="77777777" w:rsidTr="00C04E58">
        <w:trPr>
          <w:trHeight w:val="70"/>
        </w:trPr>
        <w:tc>
          <w:tcPr>
            <w:tcW w:w="1605" w:type="pct"/>
            <w:tcBorders>
              <w:bottom w:val="single" w:sz="4" w:space="0" w:color="auto"/>
            </w:tcBorders>
          </w:tcPr>
          <w:p w14:paraId="24251723" w14:textId="77777777" w:rsidR="0099795D" w:rsidRPr="00BF730F" w:rsidRDefault="0099795D" w:rsidP="0099795D">
            <w:pPr>
              <w:spacing w:before="20" w:after="20"/>
              <w:ind w:left="0"/>
              <w:rPr>
                <w:rFonts w:ascii="Arial Narrow" w:eastAsia="Times New Roman" w:hAnsi="Arial Narrow" w:cs="Arial"/>
                <w:sz w:val="20"/>
                <w:szCs w:val="20"/>
              </w:rPr>
            </w:pPr>
            <w:r w:rsidRPr="00BF730F">
              <w:rPr>
                <w:rFonts w:ascii="Arial Narrow" w:eastAsia="Times New Roman" w:hAnsi="Arial Narrow" w:cs="Arial"/>
                <w:sz w:val="20"/>
                <w:szCs w:val="20"/>
              </w:rPr>
              <w:t xml:space="preserve">Assume that proposed changes to the NCSP come into effect in 2016, with an immediate 86% decrease in use of MBS items 73053 and 73055. </w:t>
            </w:r>
          </w:p>
        </w:tc>
        <w:tc>
          <w:tcPr>
            <w:tcW w:w="679" w:type="pct"/>
            <w:tcBorders>
              <w:bottom w:val="single" w:sz="4" w:space="0" w:color="auto"/>
            </w:tcBorders>
          </w:tcPr>
          <w:p w14:paraId="3DF56013" w14:textId="7EFC141A"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$14,983,693</w:t>
            </w:r>
          </w:p>
        </w:tc>
        <w:tc>
          <w:tcPr>
            <w:tcW w:w="679" w:type="pct"/>
            <w:tcBorders>
              <w:bottom w:val="single" w:sz="4" w:space="0" w:color="auto"/>
            </w:tcBorders>
          </w:tcPr>
          <w:p w14:paraId="097381E3" w14:textId="2DDC8CB5"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$13,614,312</w:t>
            </w:r>
          </w:p>
        </w:tc>
        <w:tc>
          <w:tcPr>
            <w:tcW w:w="679" w:type="pct"/>
            <w:tcBorders>
              <w:bottom w:val="single" w:sz="4" w:space="0" w:color="auto"/>
            </w:tcBorders>
          </w:tcPr>
          <w:p w14:paraId="2F4A91CC" w14:textId="2EB535F5"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$14,065,575</w:t>
            </w:r>
          </w:p>
        </w:tc>
        <w:tc>
          <w:tcPr>
            <w:tcW w:w="679" w:type="pct"/>
            <w:tcBorders>
              <w:bottom w:val="single" w:sz="4" w:space="0" w:color="auto"/>
            </w:tcBorders>
          </w:tcPr>
          <w:p w14:paraId="5AC7F8A7" w14:textId="52EE3712" w:rsidR="0099795D" w:rsidRPr="00BF730F"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$14,516,839</w:t>
            </w:r>
          </w:p>
        </w:tc>
        <w:tc>
          <w:tcPr>
            <w:tcW w:w="679" w:type="pct"/>
            <w:tcBorders>
              <w:bottom w:val="single" w:sz="4" w:space="0" w:color="auto"/>
            </w:tcBorders>
          </w:tcPr>
          <w:p w14:paraId="449B0BB0" w14:textId="42D16A0C" w:rsidR="0099795D" w:rsidRPr="0099795D" w:rsidRDefault="0099795D" w:rsidP="0099795D">
            <w:pPr>
              <w:spacing w:before="20" w:after="20"/>
              <w:ind w:left="0"/>
              <w:jc w:val="right"/>
              <w:rPr>
                <w:rFonts w:ascii="Arial Narrow" w:eastAsia="Times New Roman" w:hAnsi="Arial Narrow" w:cs="Arial"/>
                <w:color w:val="000000"/>
                <w:sz w:val="20"/>
                <w:szCs w:val="20"/>
              </w:rPr>
            </w:pPr>
            <w:r w:rsidRPr="00BF730F">
              <w:rPr>
                <w:rFonts w:ascii="Arial Narrow" w:eastAsia="Times New Roman" w:hAnsi="Arial Narrow" w:cs="Arial"/>
                <w:color w:val="000000"/>
                <w:sz w:val="20"/>
                <w:szCs w:val="20"/>
              </w:rPr>
              <w:t>$14,968,101</w:t>
            </w:r>
          </w:p>
        </w:tc>
      </w:tr>
    </w:tbl>
    <w:p w14:paraId="566188F4" w14:textId="77777777" w:rsidR="00B51828" w:rsidRPr="006E5544" w:rsidRDefault="00B51828" w:rsidP="002101D2">
      <w:pPr>
        <w:rPr>
          <w:rFonts w:ascii="Arial Narrow" w:hAnsi="Arial Narrow"/>
          <w:sz w:val="18"/>
          <w:szCs w:val="18"/>
        </w:rPr>
      </w:pPr>
      <w:r w:rsidRPr="006E5544">
        <w:rPr>
          <w:rFonts w:ascii="Arial Narrow" w:hAnsi="Arial Narrow"/>
          <w:sz w:val="18"/>
          <w:szCs w:val="18"/>
        </w:rPr>
        <w:t>Source: Section E.6</w:t>
      </w:r>
    </w:p>
    <w:p w14:paraId="76CFDA0B" w14:textId="77777777" w:rsidR="00B51828" w:rsidRPr="006E5544" w:rsidRDefault="00B51828" w:rsidP="002101D2">
      <w:pPr>
        <w:keepNext/>
        <w:keepLines/>
        <w:spacing w:before="240" w:after="120"/>
        <w:ind w:left="851" w:hanging="851"/>
        <w:outlineLvl w:val="2"/>
        <w:rPr>
          <w:rFonts w:ascii="Tahoma" w:eastAsiaTheme="majorEastAsia" w:hAnsi="Tahoma" w:cstheme="majorBidi"/>
          <w:b/>
          <w:sz w:val="22"/>
          <w:szCs w:val="24"/>
        </w:rPr>
      </w:pPr>
      <w:r w:rsidRPr="006E5544">
        <w:rPr>
          <w:rFonts w:ascii="Tahoma" w:eastAsiaTheme="majorEastAsia" w:hAnsi="Tahoma" w:cstheme="majorBidi"/>
          <w:b/>
          <w:sz w:val="22"/>
          <w:szCs w:val="24"/>
        </w:rPr>
        <w:t>Additional relevant information</w:t>
      </w:r>
    </w:p>
    <w:p w14:paraId="1EECDD4C" w14:textId="77777777" w:rsidR="00B51828" w:rsidRPr="006E5544" w:rsidRDefault="00B51828" w:rsidP="002101D2">
      <w:pPr>
        <w:spacing w:after="120"/>
      </w:pPr>
      <w:r w:rsidRPr="006E5544">
        <w:t>There is an argument that a lack of funding for a second, expert opinion disproportionately affects patients, clinicians and laboratory staff in rural and remote areas. Unlike their metropolitan counterparts, pathologists in remote areas have less opportunity to approach colleagues for intra-institutional second and/or expert opinion. In addition, there may be a financial disincentive to seek a second, expert opinion because the patient or their laboratory/hospital are likely to be charged for the service, plus any associated transportation costs. This contributes to inequities in the care of patients outside metropolitan areas.</w:t>
      </w:r>
    </w:p>
    <w:p w14:paraId="7FF2657A" w14:textId="77777777" w:rsidR="00B51828" w:rsidRPr="004C0DCE" w:rsidRDefault="00B51828" w:rsidP="002101D2">
      <w:pPr>
        <w:pStyle w:val="Heading1"/>
        <w:ind w:left="851" w:hanging="851"/>
      </w:pPr>
      <w:bookmarkStart w:id="10" w:name="_Toc396211680"/>
      <w:r>
        <w:lastRenderedPageBreak/>
        <w:t>Background</w:t>
      </w:r>
      <w:bookmarkEnd w:id="10"/>
    </w:p>
    <w:p w14:paraId="112BF45B" w14:textId="3896E235" w:rsidR="00B51828" w:rsidRDefault="00B51828" w:rsidP="002101D2">
      <w:pPr>
        <w:spacing w:after="120"/>
      </w:pPr>
      <w:r>
        <w:t>In September 2012, the Department of Health</w:t>
      </w:r>
      <w:r w:rsidR="00713649">
        <w:t xml:space="preserve"> and Ageing</w:t>
      </w:r>
      <w:r>
        <w:t xml:space="preserve"> received an application from The Royal College of Pathologists of Australasia (RCPA) requesting MBS reimbursement of external expert opinions for morphological pathology (histology, cytopathology, haematology, microbiology and genetic pathology). The application was initially considered in August 2013 by the Protocol Advisory Sub-Committee (PASC) of the Medical Services Advisory Committee (MSAC) who restricted the scope of the Protocol to assessment of external expert opinions for tissue pathology (which includes Group P5 items) and cytopathology (which includes Group P6 items). Although the Applicant proposed two circumstances in which expert opinion should be considered for public funding, PASC agreed with only one of these circumstances:</w:t>
      </w:r>
    </w:p>
    <w:p w14:paraId="5E4A046C" w14:textId="77777777" w:rsidR="00B51828" w:rsidRPr="006E0120" w:rsidRDefault="00B51828" w:rsidP="00B51828">
      <w:pPr>
        <w:pStyle w:val="ListParagraph"/>
        <w:numPr>
          <w:ilvl w:val="0"/>
          <w:numId w:val="40"/>
        </w:numPr>
        <w:rPr>
          <w:bCs/>
        </w:rPr>
      </w:pPr>
      <w:r>
        <w:rPr>
          <w:bCs/>
        </w:rPr>
        <w:t>w</w:t>
      </w:r>
      <w:r w:rsidRPr="006E0120">
        <w:rPr>
          <w:bCs/>
        </w:rPr>
        <w:t>here the pathologist communicates with the clinician in charge of patient management, and suggests referral to an external expert pathologist, due to a rare, unusual or complex case where a primary or definitive diagnosis cannot be confidently made by the reporting pathologist.</w:t>
      </w:r>
    </w:p>
    <w:p w14:paraId="58989A5F" w14:textId="77777777" w:rsidR="00B51828" w:rsidRDefault="00B51828" w:rsidP="002101D2">
      <w:pPr>
        <w:spacing w:after="120"/>
        <w:rPr>
          <w:bCs/>
        </w:rPr>
      </w:pPr>
      <w:r>
        <w:t xml:space="preserve">Due to inconsistencies within the Final Protocol and concerns raised by the Applicant regarding the intended circumstances for use of the service, </w:t>
      </w:r>
      <w:r>
        <w:rPr>
          <w:bCs/>
        </w:rPr>
        <w:t>the Department of Health requested that PASC reconsider the Protocol for MSAC Application 1332 at the April 2014 PASC meeting. At this meeting, the scope of the assessment was broadened to include:</w:t>
      </w:r>
    </w:p>
    <w:p w14:paraId="71670101" w14:textId="77777777" w:rsidR="00B51828" w:rsidRDefault="00B51828" w:rsidP="00B51828">
      <w:pPr>
        <w:pStyle w:val="ListParagraph"/>
        <w:numPr>
          <w:ilvl w:val="0"/>
          <w:numId w:val="40"/>
        </w:numPr>
      </w:pPr>
      <w:r>
        <w:rPr>
          <w:bCs/>
        </w:rPr>
        <w:t>s</w:t>
      </w:r>
      <w:r w:rsidRPr="00B762CB">
        <w:rPr>
          <w:bCs/>
        </w:rPr>
        <w:t>econd, expert patholog</w:t>
      </w:r>
      <w:r>
        <w:rPr>
          <w:bCs/>
        </w:rPr>
        <w:t>ist</w:t>
      </w:r>
      <w:r w:rsidRPr="00B762CB">
        <w:rPr>
          <w:bCs/>
        </w:rPr>
        <w:t xml:space="preserve"> opinion on </w:t>
      </w:r>
      <w:r>
        <w:t>bone marrow specimens (included in Group P1); and</w:t>
      </w:r>
    </w:p>
    <w:p w14:paraId="179E830B" w14:textId="427B4A54" w:rsidR="00B51828" w:rsidRPr="00B762CB" w:rsidRDefault="00B51828" w:rsidP="00B51828">
      <w:pPr>
        <w:pStyle w:val="ListParagraph"/>
        <w:numPr>
          <w:ilvl w:val="0"/>
          <w:numId w:val="40"/>
        </w:numPr>
        <w:rPr>
          <w:bCs/>
        </w:rPr>
      </w:pPr>
      <w:r>
        <w:t xml:space="preserve">second, expert pathologist opinion where the </w:t>
      </w:r>
      <w:r w:rsidRPr="00B762CB">
        <w:rPr>
          <w:szCs w:val="24"/>
        </w:rPr>
        <w:t>clinician in charge of patient management wants the initial pathology opinion verified or refined by a second, expe</w:t>
      </w:r>
      <w:r w:rsidR="00713649">
        <w:rPr>
          <w:szCs w:val="24"/>
        </w:rPr>
        <w:t>rt pathologist or by their preferred</w:t>
      </w:r>
      <w:r w:rsidRPr="00B762CB">
        <w:rPr>
          <w:szCs w:val="24"/>
        </w:rPr>
        <w:t xml:space="preserve"> pathologist</w:t>
      </w:r>
      <w:r>
        <w:rPr>
          <w:szCs w:val="24"/>
        </w:rPr>
        <w:t xml:space="preserve">, in cases where </w:t>
      </w:r>
      <w:r w:rsidRPr="00B762CB">
        <w:t>there is uncertainty in the diagnosis or insufficient information to effectively manage the patient</w:t>
      </w:r>
      <w:r w:rsidRPr="00B762CB">
        <w:rPr>
          <w:szCs w:val="24"/>
        </w:rPr>
        <w:t>.</w:t>
      </w:r>
    </w:p>
    <w:p w14:paraId="37160441" w14:textId="77777777" w:rsidR="00B51828" w:rsidRDefault="00B51828" w:rsidP="002101D2">
      <w:pPr>
        <w:rPr>
          <w:bCs/>
        </w:rPr>
      </w:pPr>
      <w:r>
        <w:rPr>
          <w:bCs/>
        </w:rPr>
        <w:t xml:space="preserve">PASC also agreed in principle to the Applicant’s simple two-tiered fee structure for second, expert opinion, which reflects the amount of work undertaken by the expert pathologist rather than linkage to the original pathology items. </w:t>
      </w:r>
    </w:p>
    <w:p w14:paraId="62AE017C" w14:textId="77777777" w:rsidR="00B51828" w:rsidRPr="004B0A69" w:rsidRDefault="00B51828" w:rsidP="002101D2">
      <w:pPr>
        <w:rPr>
          <w:bCs/>
        </w:rPr>
      </w:pPr>
      <w:r>
        <w:rPr>
          <w:bCs/>
        </w:rPr>
        <w:t>The</w:t>
      </w:r>
      <w:r>
        <w:t xml:space="preserve"> Final Protocol was revised to reflect all of these changes in May 2014 and was ratified out of session by the PASC Chair in June 2014.</w:t>
      </w:r>
    </w:p>
    <w:p w14:paraId="487BE403" w14:textId="77777777" w:rsidR="00B51828" w:rsidRPr="000172DE" w:rsidRDefault="00B51828" w:rsidP="002101D2">
      <w:pPr>
        <w:sectPr w:rsidR="00B51828" w:rsidRPr="000172DE" w:rsidSect="002101D2">
          <w:pgSz w:w="11906" w:h="16838" w:code="9"/>
          <w:pgMar w:top="1440" w:right="1440" w:bottom="1440" w:left="1440" w:header="680" w:footer="1021" w:gutter="0"/>
          <w:cols w:space="708"/>
          <w:docGrid w:linePitch="360"/>
        </w:sectPr>
      </w:pPr>
      <w:r w:rsidRPr="00593357">
        <w:t>HealthConsult Pty Ltd</w:t>
      </w:r>
      <w:r>
        <w:t xml:space="preserve"> was contracted</w:t>
      </w:r>
      <w:r w:rsidRPr="00C748CF">
        <w:t xml:space="preserve"> to conduct </w:t>
      </w:r>
      <w:r>
        <w:t>an assessment of the safety, effectiveness and cost-effectiveness of second, expert opinions for morphological pathology in order to inform a decision as to whether this service should be reimbursed through the Medicare Benefits Schedule (MBS).</w:t>
      </w:r>
    </w:p>
    <w:p w14:paraId="53E72B7E" w14:textId="77777777" w:rsidR="00B51828" w:rsidRPr="007C518C" w:rsidRDefault="00B51828" w:rsidP="00B51828">
      <w:pPr>
        <w:pStyle w:val="Heading1"/>
        <w:numPr>
          <w:ilvl w:val="0"/>
          <w:numId w:val="1"/>
        </w:numPr>
      </w:pPr>
      <w:bookmarkStart w:id="11" w:name="_Toc382219920"/>
      <w:bookmarkStart w:id="12" w:name="_Ref393276862"/>
      <w:bookmarkStart w:id="13" w:name="_Ref393286996"/>
      <w:bookmarkStart w:id="14" w:name="_Toc396211681"/>
      <w:r w:rsidRPr="00CD1742">
        <w:lastRenderedPageBreak/>
        <w:t>Details</w:t>
      </w:r>
      <w:r>
        <w:t xml:space="preserve"> of the proposed </w:t>
      </w:r>
      <w:r w:rsidRPr="00F710E2">
        <w:t>medical</w:t>
      </w:r>
      <w:r>
        <w:t xml:space="preserve"> service and its intended use</w:t>
      </w:r>
      <w:bookmarkEnd w:id="11"/>
      <w:bookmarkEnd w:id="12"/>
      <w:bookmarkEnd w:id="13"/>
      <w:bookmarkEnd w:id="14"/>
    </w:p>
    <w:p w14:paraId="667C69E5" w14:textId="77777777" w:rsidR="00B51828" w:rsidRDefault="00B51828" w:rsidP="00B51828">
      <w:pPr>
        <w:pStyle w:val="Heading2"/>
        <w:numPr>
          <w:ilvl w:val="1"/>
          <w:numId w:val="1"/>
        </w:numPr>
      </w:pPr>
      <w:bookmarkStart w:id="15" w:name="_Toc382219921"/>
      <w:bookmarkStart w:id="16" w:name="_Toc396211682"/>
      <w:r>
        <w:t>Address all items in the Protocol</w:t>
      </w:r>
      <w:bookmarkEnd w:id="15"/>
      <w:bookmarkEnd w:id="16"/>
    </w:p>
    <w:p w14:paraId="4DF77053" w14:textId="26D3C1E9" w:rsidR="00B51828" w:rsidRDefault="00B51828" w:rsidP="002101D2">
      <w:pPr>
        <w:rPr>
          <w:bCs/>
        </w:rPr>
      </w:pPr>
      <w:r>
        <w:rPr>
          <w:bCs/>
        </w:rPr>
        <w:t>This Assessment Report reflects the circumstances for funded second, expert opinions agreed to by PASC and the Applicant in the PASC meeting on 17</w:t>
      </w:r>
      <w:r w:rsidRPr="006723F0">
        <w:rPr>
          <w:bCs/>
          <w:vertAlign w:val="superscript"/>
        </w:rPr>
        <w:t>th</w:t>
      </w:r>
      <w:r>
        <w:rPr>
          <w:bCs/>
        </w:rPr>
        <w:t xml:space="preserve"> April 2014 and outlined in the revised Final Protocol, dated May 2014. </w:t>
      </w:r>
      <w:r>
        <w:rPr>
          <w:bCs/>
        </w:rPr>
        <w:fldChar w:fldCharType="begin"/>
      </w:r>
      <w:r>
        <w:rPr>
          <w:bCs/>
        </w:rPr>
        <w:instrText xml:space="preserve"> REF _Ref393783850 \h </w:instrText>
      </w:r>
      <w:r>
        <w:rPr>
          <w:bCs/>
        </w:rPr>
      </w:r>
      <w:r>
        <w:rPr>
          <w:bCs/>
        </w:rPr>
        <w:fldChar w:fldCharType="separate"/>
      </w:r>
      <w:r w:rsidR="0044620B">
        <w:t xml:space="preserve">Table </w:t>
      </w:r>
      <w:r w:rsidR="0044620B">
        <w:rPr>
          <w:noProof/>
        </w:rPr>
        <w:t>A.1</w:t>
      </w:r>
      <w:r w:rsidR="0044620B">
        <w:noBreakHyphen/>
      </w:r>
      <w:r w:rsidR="0044620B">
        <w:rPr>
          <w:noProof/>
        </w:rPr>
        <w:t>1</w:t>
      </w:r>
      <w:r>
        <w:rPr>
          <w:bCs/>
        </w:rPr>
        <w:fldChar w:fldCharType="end"/>
      </w:r>
      <w:r>
        <w:rPr>
          <w:bCs/>
        </w:rPr>
        <w:t xml:space="preserve"> shows that the Assessment Report follows the framework that was provided in the Final Protocol. However, it is noted in the Final Protocol that </w:t>
      </w:r>
      <w:r w:rsidRPr="0040791C">
        <w:rPr>
          <w:bCs/>
        </w:rPr>
        <w:t xml:space="preserve">the main outcome of interest </w:t>
      </w:r>
      <w:r>
        <w:rPr>
          <w:bCs/>
        </w:rPr>
        <w:t xml:space="preserve">for the economic evaluation </w:t>
      </w:r>
      <w:r w:rsidRPr="0040791C">
        <w:rPr>
          <w:bCs/>
        </w:rPr>
        <w:t>is cost per clinically</w:t>
      </w:r>
      <w:r w:rsidR="0053670C">
        <w:rPr>
          <w:bCs/>
        </w:rPr>
        <w:t xml:space="preserve"> </w:t>
      </w:r>
      <w:r w:rsidRPr="0040791C">
        <w:rPr>
          <w:bCs/>
        </w:rPr>
        <w:t>relevant change in diagnosis</w:t>
      </w:r>
      <w:r>
        <w:rPr>
          <w:bCs/>
        </w:rPr>
        <w:t>/</w:t>
      </w:r>
      <w:r w:rsidRPr="0040791C">
        <w:rPr>
          <w:bCs/>
        </w:rPr>
        <w:t xml:space="preserve">interpretation </w:t>
      </w:r>
      <w:r>
        <w:rPr>
          <w:bCs/>
        </w:rPr>
        <w:t xml:space="preserve">but </w:t>
      </w:r>
      <w:r w:rsidRPr="0040791C">
        <w:rPr>
          <w:bCs/>
        </w:rPr>
        <w:t xml:space="preserve">PASC </w:t>
      </w:r>
      <w:r>
        <w:rPr>
          <w:bCs/>
        </w:rPr>
        <w:t xml:space="preserve">also </w:t>
      </w:r>
      <w:r w:rsidRPr="0040791C">
        <w:rPr>
          <w:bCs/>
        </w:rPr>
        <w:t xml:space="preserve">decided that </w:t>
      </w:r>
      <w:r>
        <w:rPr>
          <w:bCs/>
        </w:rPr>
        <w:t>“</w:t>
      </w:r>
      <w:r w:rsidRPr="0040791C">
        <w:rPr>
          <w:bCs/>
        </w:rPr>
        <w:t>a small number of examples of cost-utility analysis, restricted to specific clinical areas where expert opinions are known to be sought, and where sufficient comparative evidence regarding health outcomes is available, and modelling is feasible, would be informative</w:t>
      </w:r>
      <w:r>
        <w:rPr>
          <w:bCs/>
        </w:rPr>
        <w:t>”</w:t>
      </w:r>
      <w:r w:rsidRPr="0040791C">
        <w:rPr>
          <w:bCs/>
        </w:rPr>
        <w:t>.</w:t>
      </w:r>
      <w:r>
        <w:rPr>
          <w:bCs/>
        </w:rPr>
        <w:t xml:space="preserve"> Due to limitations in the existing data sources, example cost-utility analyses were not undertaken (see Section </w:t>
      </w:r>
      <w:r>
        <w:rPr>
          <w:bCs/>
        </w:rPr>
        <w:fldChar w:fldCharType="begin"/>
      </w:r>
      <w:r>
        <w:rPr>
          <w:bCs/>
        </w:rPr>
        <w:instrText xml:space="preserve"> REF _Ref393784065 \w \h </w:instrText>
      </w:r>
      <w:r>
        <w:rPr>
          <w:bCs/>
        </w:rPr>
      </w:r>
      <w:r>
        <w:rPr>
          <w:bCs/>
        </w:rPr>
        <w:fldChar w:fldCharType="separate"/>
      </w:r>
      <w:r w:rsidR="0044620B">
        <w:rPr>
          <w:bCs/>
        </w:rPr>
        <w:t>D.3</w:t>
      </w:r>
      <w:r>
        <w:rPr>
          <w:bCs/>
        </w:rPr>
        <w:fldChar w:fldCharType="end"/>
      </w:r>
      <w:r>
        <w:rPr>
          <w:bCs/>
        </w:rPr>
        <w:t xml:space="preserve"> for a detailed explanation).</w:t>
      </w:r>
    </w:p>
    <w:p w14:paraId="289CFCD7" w14:textId="77777777" w:rsidR="00B51828" w:rsidRDefault="00B51828" w:rsidP="002101D2">
      <w:pPr>
        <w:pStyle w:val="Caption"/>
      </w:pPr>
      <w:bookmarkStart w:id="17" w:name="_Ref393783850"/>
      <w:bookmarkStart w:id="18" w:name="_Toc396211726"/>
      <w:r>
        <w:t xml:space="preserve">Table </w:t>
      </w:r>
      <w:fldSimple w:instr=" STYLEREF 2 \s ">
        <w:r w:rsidR="0044620B">
          <w:rPr>
            <w:noProof/>
          </w:rPr>
          <w:t>A.1</w:t>
        </w:r>
      </w:fldSimple>
      <w:r>
        <w:noBreakHyphen/>
      </w:r>
      <w:fldSimple w:instr=" SEQ Table \* ARABIC \s 2 ">
        <w:r w:rsidR="0044620B">
          <w:rPr>
            <w:noProof/>
          </w:rPr>
          <w:t>1</w:t>
        </w:r>
      </w:fldSimple>
      <w:bookmarkEnd w:id="17"/>
      <w:r>
        <w:tab/>
        <w:t>Items addressed in the revised Final Protocol and Assessment Report</w:t>
      </w:r>
      <w:bookmarkEnd w:id="18"/>
    </w:p>
    <w:tbl>
      <w:tblPr>
        <w:tblStyle w:val="TableGrid"/>
        <w:tblW w:w="0" w:type="auto"/>
        <w:tblInd w:w="720" w:type="dxa"/>
        <w:tblLayout w:type="fixed"/>
        <w:tblCellMar>
          <w:left w:w="57" w:type="dxa"/>
          <w:right w:w="57" w:type="dxa"/>
        </w:tblCellMar>
        <w:tblLook w:val="04A0" w:firstRow="1" w:lastRow="0" w:firstColumn="1" w:lastColumn="0" w:noHBand="0" w:noVBand="1"/>
        <w:tblCaption w:val="Items addressed in the revised Final Protocol and Assessment Report"/>
        <w:tblDescription w:val="A summary of whether the Assessment Report has followed the revised Final Protocol."/>
      </w:tblPr>
      <w:tblGrid>
        <w:gridCol w:w="1402"/>
        <w:gridCol w:w="1275"/>
        <w:gridCol w:w="993"/>
        <w:gridCol w:w="4626"/>
      </w:tblGrid>
      <w:tr w:rsidR="00B51828" w14:paraId="661D9B56" w14:textId="77777777" w:rsidTr="002101D2">
        <w:trPr>
          <w:tblHeader/>
        </w:trPr>
        <w:tc>
          <w:tcPr>
            <w:tcW w:w="1402" w:type="dxa"/>
          </w:tcPr>
          <w:p w14:paraId="299C9208" w14:textId="77777777" w:rsidR="00B51828" w:rsidRDefault="00B51828" w:rsidP="002101D2">
            <w:pPr>
              <w:pStyle w:val="Tabletextboldleft"/>
              <w:keepNext w:val="0"/>
            </w:pPr>
            <w:bookmarkStart w:id="19" w:name="_Hlk382977742"/>
            <w:r>
              <w:t>Items in the revised Final Protocol</w:t>
            </w:r>
          </w:p>
        </w:tc>
        <w:tc>
          <w:tcPr>
            <w:tcW w:w="1275" w:type="dxa"/>
          </w:tcPr>
          <w:p w14:paraId="769B1325" w14:textId="77777777" w:rsidR="00B51828" w:rsidRDefault="00B51828" w:rsidP="002101D2">
            <w:pPr>
              <w:pStyle w:val="Tabletextboldleft"/>
              <w:keepNext w:val="0"/>
              <w:jc w:val="center"/>
            </w:pPr>
            <w:r>
              <w:t>Location in Assessment Report</w:t>
            </w:r>
          </w:p>
        </w:tc>
        <w:tc>
          <w:tcPr>
            <w:tcW w:w="993" w:type="dxa"/>
          </w:tcPr>
          <w:p w14:paraId="363A7544" w14:textId="77777777" w:rsidR="00B51828" w:rsidRDefault="00B51828" w:rsidP="002101D2">
            <w:pPr>
              <w:pStyle w:val="Tabletextboldleft"/>
              <w:keepNext w:val="0"/>
              <w:jc w:val="center"/>
            </w:pPr>
            <w:r>
              <w:t>Concurs with Protocol</w:t>
            </w:r>
          </w:p>
        </w:tc>
        <w:tc>
          <w:tcPr>
            <w:tcW w:w="4626" w:type="dxa"/>
          </w:tcPr>
          <w:p w14:paraId="7BB1913C" w14:textId="77777777" w:rsidR="00B51828" w:rsidRDefault="00B51828" w:rsidP="002101D2">
            <w:pPr>
              <w:pStyle w:val="Tabletextboldleft"/>
              <w:keepNext w:val="0"/>
              <w:jc w:val="center"/>
            </w:pPr>
            <w:r>
              <w:t>Change and justification</w:t>
            </w:r>
          </w:p>
        </w:tc>
      </w:tr>
      <w:tr w:rsidR="00B51828" w14:paraId="5AE3E4E4" w14:textId="77777777" w:rsidTr="002101D2">
        <w:tc>
          <w:tcPr>
            <w:tcW w:w="1402" w:type="dxa"/>
          </w:tcPr>
          <w:p w14:paraId="18DD2BDB" w14:textId="77777777" w:rsidR="00B51828" w:rsidRDefault="00B51828" w:rsidP="002101D2">
            <w:pPr>
              <w:pStyle w:val="Tabletextcentred"/>
              <w:jc w:val="left"/>
            </w:pPr>
            <w:r>
              <w:t>Proposed MBS listing</w:t>
            </w:r>
          </w:p>
        </w:tc>
        <w:tc>
          <w:tcPr>
            <w:tcW w:w="1275" w:type="dxa"/>
          </w:tcPr>
          <w:p w14:paraId="77E81C77" w14:textId="77777777" w:rsidR="00B51828" w:rsidRPr="00211293" w:rsidRDefault="00B51828" w:rsidP="002101D2">
            <w:pPr>
              <w:pStyle w:val="Tabletextcentred"/>
            </w:pPr>
            <w:r w:rsidRPr="00211293">
              <w:t xml:space="preserve">Section </w:t>
            </w:r>
            <w:r w:rsidRPr="00211293">
              <w:fldChar w:fldCharType="begin"/>
            </w:r>
            <w:r w:rsidRPr="00211293">
              <w:instrText xml:space="preserve"> REF _Ref384031824 \r \h </w:instrText>
            </w:r>
            <w:r w:rsidRPr="00211293">
              <w:fldChar w:fldCharType="separate"/>
            </w:r>
            <w:r w:rsidR="0044620B">
              <w:t>A.3</w:t>
            </w:r>
            <w:r w:rsidRPr="00211293">
              <w:fldChar w:fldCharType="end"/>
            </w:r>
          </w:p>
        </w:tc>
        <w:tc>
          <w:tcPr>
            <w:tcW w:w="993" w:type="dxa"/>
          </w:tcPr>
          <w:p w14:paraId="1E98EC01" w14:textId="77777777" w:rsidR="00B51828" w:rsidRPr="00211293" w:rsidRDefault="00B51828" w:rsidP="002101D2">
            <w:pPr>
              <w:pStyle w:val="Tabletextcentred"/>
            </w:pPr>
            <w:r w:rsidRPr="00211293">
              <w:t>Yes</w:t>
            </w:r>
          </w:p>
        </w:tc>
        <w:tc>
          <w:tcPr>
            <w:tcW w:w="4626" w:type="dxa"/>
          </w:tcPr>
          <w:p w14:paraId="6BA2B60E" w14:textId="77777777" w:rsidR="00B51828" w:rsidRDefault="00B51828" w:rsidP="002101D2">
            <w:pPr>
              <w:pStyle w:val="Tabletextcentred"/>
              <w:jc w:val="left"/>
            </w:pPr>
            <w:r>
              <w:t>The proposed MBS listing is consistent with the advice from PASC in terms of restricting second, expert opinion to:</w:t>
            </w:r>
          </w:p>
          <w:p w14:paraId="5C2F332A" w14:textId="77777777" w:rsidR="00B51828" w:rsidRDefault="00B51828" w:rsidP="00B51828">
            <w:pPr>
              <w:pStyle w:val="Tabletextcentred"/>
              <w:numPr>
                <w:ilvl w:val="0"/>
                <w:numId w:val="10"/>
              </w:numPr>
              <w:ind w:left="175" w:hanging="175"/>
              <w:jc w:val="left"/>
            </w:pPr>
            <w:r>
              <w:t>Bone marrow (Group P1), tissue pathology (Group P5) and cytopathology (Group P6) items only; and</w:t>
            </w:r>
          </w:p>
          <w:p w14:paraId="19CACAAC" w14:textId="77777777" w:rsidR="00B51828" w:rsidRDefault="00B51828" w:rsidP="00B51828">
            <w:pPr>
              <w:pStyle w:val="Tabletextcentred"/>
              <w:numPr>
                <w:ilvl w:val="0"/>
                <w:numId w:val="10"/>
              </w:numPr>
              <w:ind w:left="175" w:hanging="175"/>
              <w:jc w:val="left"/>
            </w:pPr>
            <w:r>
              <w:t>Only those circumstances where a treating clinician needs further information for accurate diagnosis and appropriate patient management (i.e. not for routine review of all cases).</w:t>
            </w:r>
          </w:p>
          <w:p w14:paraId="13CDD7FE" w14:textId="77777777" w:rsidR="00B51828" w:rsidRPr="00387119" w:rsidRDefault="00B51828" w:rsidP="002101D2">
            <w:pPr>
              <w:pStyle w:val="Tabletextcentred"/>
              <w:jc w:val="left"/>
            </w:pPr>
            <w:r>
              <w:t>The MBS fees for second, expert opinion are consistent with the simple two-tiered fee structure proposed in the revised Final Protocol.</w:t>
            </w:r>
          </w:p>
        </w:tc>
      </w:tr>
      <w:tr w:rsidR="00B51828" w14:paraId="1F6E04FA" w14:textId="77777777" w:rsidTr="002101D2">
        <w:tc>
          <w:tcPr>
            <w:tcW w:w="1402" w:type="dxa"/>
          </w:tcPr>
          <w:p w14:paraId="73D0F2D0" w14:textId="77777777" w:rsidR="00B51828" w:rsidRDefault="00B51828" w:rsidP="002101D2">
            <w:pPr>
              <w:pStyle w:val="Tabletextcentred"/>
              <w:jc w:val="left"/>
            </w:pPr>
            <w:r>
              <w:t>Comparator</w:t>
            </w:r>
          </w:p>
        </w:tc>
        <w:tc>
          <w:tcPr>
            <w:tcW w:w="1275" w:type="dxa"/>
          </w:tcPr>
          <w:p w14:paraId="32001CA9" w14:textId="77777777" w:rsidR="00B51828" w:rsidRPr="00211293" w:rsidRDefault="00B51828" w:rsidP="002101D2">
            <w:pPr>
              <w:pStyle w:val="Tabletextcentred"/>
            </w:pPr>
            <w:r w:rsidRPr="00211293">
              <w:t xml:space="preserve">Section </w:t>
            </w:r>
            <w:r w:rsidRPr="00211293">
              <w:fldChar w:fldCharType="begin"/>
            </w:r>
            <w:r w:rsidRPr="00211293">
              <w:instrText xml:space="preserve"> REF _Ref384033358 \r \h </w:instrText>
            </w:r>
            <w:r w:rsidRPr="00211293">
              <w:fldChar w:fldCharType="separate"/>
            </w:r>
            <w:r w:rsidR="0044620B">
              <w:t>A.4</w:t>
            </w:r>
            <w:r w:rsidRPr="00211293">
              <w:fldChar w:fldCharType="end"/>
            </w:r>
          </w:p>
        </w:tc>
        <w:tc>
          <w:tcPr>
            <w:tcW w:w="993" w:type="dxa"/>
          </w:tcPr>
          <w:p w14:paraId="4958460D" w14:textId="77777777" w:rsidR="00B51828" w:rsidRPr="00211293" w:rsidRDefault="00B51828" w:rsidP="002101D2">
            <w:pPr>
              <w:pStyle w:val="Tabletextcentred"/>
            </w:pPr>
            <w:r w:rsidRPr="00211293">
              <w:t>Yes</w:t>
            </w:r>
          </w:p>
        </w:tc>
        <w:tc>
          <w:tcPr>
            <w:tcW w:w="4626" w:type="dxa"/>
          </w:tcPr>
          <w:p w14:paraId="5A844593" w14:textId="77777777" w:rsidR="00B51828" w:rsidRPr="00387119" w:rsidRDefault="00B51828" w:rsidP="002101D2">
            <w:pPr>
              <w:pStyle w:val="Tabletextcentred"/>
              <w:jc w:val="left"/>
            </w:pPr>
            <w:r>
              <w:t>The comparator is consistent with the revised Final Protocol.</w:t>
            </w:r>
          </w:p>
        </w:tc>
      </w:tr>
      <w:bookmarkEnd w:id="19"/>
      <w:tr w:rsidR="00B51828" w14:paraId="7ADAD6DF" w14:textId="77777777" w:rsidTr="002101D2">
        <w:tc>
          <w:tcPr>
            <w:tcW w:w="1402" w:type="dxa"/>
          </w:tcPr>
          <w:p w14:paraId="5AC1A5DD" w14:textId="77777777" w:rsidR="00B51828" w:rsidRDefault="00B51828" w:rsidP="002101D2">
            <w:pPr>
              <w:pStyle w:val="Tabletextcentred"/>
              <w:jc w:val="left"/>
            </w:pPr>
            <w:r>
              <w:t>Clinical management algorithm</w:t>
            </w:r>
          </w:p>
        </w:tc>
        <w:tc>
          <w:tcPr>
            <w:tcW w:w="1275" w:type="dxa"/>
          </w:tcPr>
          <w:p w14:paraId="5204EE38" w14:textId="77777777" w:rsidR="00B51828" w:rsidRPr="00211293" w:rsidRDefault="00B51828" w:rsidP="002101D2">
            <w:pPr>
              <w:pStyle w:val="Tabletextcentred"/>
            </w:pPr>
            <w:r w:rsidRPr="00211293">
              <w:t xml:space="preserve">Section </w:t>
            </w:r>
            <w:r w:rsidRPr="00211293">
              <w:fldChar w:fldCharType="begin"/>
            </w:r>
            <w:r w:rsidRPr="00211293">
              <w:instrText xml:space="preserve"> REF _Ref384033381 \r \h </w:instrText>
            </w:r>
            <w:r w:rsidRPr="00211293">
              <w:fldChar w:fldCharType="separate"/>
            </w:r>
            <w:r w:rsidR="0044620B">
              <w:t>A.5</w:t>
            </w:r>
            <w:r w:rsidRPr="00211293">
              <w:fldChar w:fldCharType="end"/>
            </w:r>
            <w:r w:rsidRPr="00211293">
              <w:t xml:space="preserve">, </w:t>
            </w:r>
            <w:r w:rsidRPr="00211293">
              <w:fldChar w:fldCharType="begin"/>
            </w:r>
            <w:r w:rsidRPr="00211293">
              <w:instrText xml:space="preserve"> REF _Ref382979428 \h </w:instrText>
            </w:r>
            <w:r w:rsidRPr="00211293">
              <w:fldChar w:fldCharType="separate"/>
            </w:r>
            <w:r w:rsidR="0044620B">
              <w:t xml:space="preserve">Figure </w:t>
            </w:r>
            <w:r w:rsidR="0044620B">
              <w:rPr>
                <w:noProof/>
              </w:rPr>
              <w:t>A</w:t>
            </w:r>
            <w:r w:rsidR="0044620B">
              <w:noBreakHyphen/>
            </w:r>
            <w:r w:rsidR="0044620B">
              <w:rPr>
                <w:noProof/>
              </w:rPr>
              <w:t>1</w:t>
            </w:r>
            <w:r w:rsidRPr="00211293">
              <w:fldChar w:fldCharType="end"/>
            </w:r>
            <w:r w:rsidRPr="00211293">
              <w:t xml:space="preserve">, </w:t>
            </w:r>
            <w:r w:rsidRPr="00211293">
              <w:fldChar w:fldCharType="begin"/>
            </w:r>
            <w:r w:rsidRPr="00211293">
              <w:instrText xml:space="preserve"> REF _Ref382979477 \h </w:instrText>
            </w:r>
            <w:r w:rsidRPr="00211293">
              <w:fldChar w:fldCharType="separate"/>
            </w:r>
            <w:r w:rsidR="0044620B">
              <w:t xml:space="preserve">Figure </w:t>
            </w:r>
            <w:r w:rsidR="0044620B">
              <w:rPr>
                <w:noProof/>
              </w:rPr>
              <w:t>A</w:t>
            </w:r>
            <w:r w:rsidR="0044620B">
              <w:noBreakHyphen/>
            </w:r>
            <w:r w:rsidR="0044620B">
              <w:rPr>
                <w:noProof/>
              </w:rPr>
              <w:t>2</w:t>
            </w:r>
            <w:r w:rsidRPr="00211293">
              <w:fldChar w:fldCharType="end"/>
            </w:r>
            <w:r>
              <w:t xml:space="preserve">, </w:t>
            </w:r>
            <w:r>
              <w:fldChar w:fldCharType="begin"/>
            </w:r>
            <w:r>
              <w:instrText xml:space="preserve"> REF _Ref392074067 \h </w:instrText>
            </w:r>
            <w:r>
              <w:fldChar w:fldCharType="separate"/>
            </w:r>
            <w:r w:rsidR="0044620B">
              <w:t xml:space="preserve">Figure </w:t>
            </w:r>
            <w:r w:rsidR="0044620B">
              <w:rPr>
                <w:noProof/>
              </w:rPr>
              <w:t>A</w:t>
            </w:r>
            <w:r w:rsidR="0044620B">
              <w:noBreakHyphen/>
            </w:r>
            <w:r w:rsidR="0044620B">
              <w:rPr>
                <w:noProof/>
              </w:rPr>
              <w:t>3</w:t>
            </w:r>
            <w:r>
              <w:fldChar w:fldCharType="end"/>
            </w:r>
          </w:p>
        </w:tc>
        <w:tc>
          <w:tcPr>
            <w:tcW w:w="993" w:type="dxa"/>
          </w:tcPr>
          <w:p w14:paraId="2233B981" w14:textId="77777777" w:rsidR="00B51828" w:rsidRPr="00211293" w:rsidRDefault="00B51828" w:rsidP="002101D2">
            <w:pPr>
              <w:pStyle w:val="Tabletextcentred"/>
            </w:pPr>
            <w:r>
              <w:t>Yes</w:t>
            </w:r>
          </w:p>
        </w:tc>
        <w:tc>
          <w:tcPr>
            <w:tcW w:w="4626" w:type="dxa"/>
          </w:tcPr>
          <w:p w14:paraId="35605791" w14:textId="77777777" w:rsidR="00B51828" w:rsidRDefault="00B51828" w:rsidP="002101D2">
            <w:pPr>
              <w:pStyle w:val="Tabletextcentred"/>
              <w:jc w:val="left"/>
            </w:pPr>
            <w:r>
              <w:t>The three clinical management algorithms (one current and two proposed) are consistent with the revised Final Protocol.</w:t>
            </w:r>
          </w:p>
          <w:p w14:paraId="4C0C1703" w14:textId="77777777" w:rsidR="00B51828" w:rsidRDefault="00B51828" w:rsidP="002101D2">
            <w:pPr>
              <w:pStyle w:val="Tabletextcentred"/>
              <w:jc w:val="left"/>
            </w:pPr>
            <w:r>
              <w:t>There are different algorithms reflecting the two proposed scenarios where second, expert opinion is either:</w:t>
            </w:r>
          </w:p>
          <w:p w14:paraId="06DBB6EB" w14:textId="77777777" w:rsidR="00B51828" w:rsidRDefault="00B51828" w:rsidP="00B51828">
            <w:pPr>
              <w:pStyle w:val="Tabletextcentred"/>
              <w:numPr>
                <w:ilvl w:val="0"/>
                <w:numId w:val="10"/>
              </w:numPr>
              <w:ind w:left="175" w:hanging="175"/>
              <w:jc w:val="left"/>
            </w:pPr>
            <w:r>
              <w:t>desired by the initial pathologist but requested by the treating clinician (</w:t>
            </w:r>
            <w:r w:rsidRPr="004A60EE">
              <w:rPr>
                <w:i/>
              </w:rPr>
              <w:t>Scenario 1</w:t>
            </w:r>
            <w:r>
              <w:t>), or</w:t>
            </w:r>
          </w:p>
          <w:p w14:paraId="36050D45" w14:textId="77777777" w:rsidR="00B51828" w:rsidRDefault="00B51828" w:rsidP="00B51828">
            <w:pPr>
              <w:pStyle w:val="Tabletextcentred"/>
              <w:numPr>
                <w:ilvl w:val="0"/>
                <w:numId w:val="10"/>
              </w:numPr>
              <w:ind w:left="175" w:hanging="175"/>
              <w:jc w:val="left"/>
            </w:pPr>
            <w:r>
              <w:t>desired and requested by the treating clinician (</w:t>
            </w:r>
            <w:r w:rsidRPr="004A60EE">
              <w:rPr>
                <w:i/>
              </w:rPr>
              <w:t>Scenario 2</w:t>
            </w:r>
            <w:r>
              <w:t>).</w:t>
            </w:r>
          </w:p>
        </w:tc>
      </w:tr>
      <w:tr w:rsidR="00B51828" w14:paraId="6C067E8C" w14:textId="77777777" w:rsidTr="002101D2">
        <w:tc>
          <w:tcPr>
            <w:tcW w:w="1402" w:type="dxa"/>
          </w:tcPr>
          <w:p w14:paraId="38721BCD" w14:textId="77777777" w:rsidR="00B51828" w:rsidRDefault="00B51828" w:rsidP="002101D2">
            <w:pPr>
              <w:pStyle w:val="Tabletextcentred"/>
              <w:jc w:val="left"/>
            </w:pPr>
            <w:r>
              <w:t>Clinical outcomes assessed</w:t>
            </w:r>
          </w:p>
        </w:tc>
        <w:tc>
          <w:tcPr>
            <w:tcW w:w="1275" w:type="dxa"/>
          </w:tcPr>
          <w:p w14:paraId="0CA16BCE" w14:textId="77777777" w:rsidR="00B51828" w:rsidRPr="00211293" w:rsidRDefault="00B51828" w:rsidP="002101D2">
            <w:pPr>
              <w:pStyle w:val="Tabletextcentred"/>
            </w:pPr>
            <w:r w:rsidRPr="00211293">
              <w:t xml:space="preserve">Section </w:t>
            </w:r>
            <w:r w:rsidRPr="00211293">
              <w:fldChar w:fldCharType="begin"/>
            </w:r>
            <w:r w:rsidRPr="00211293">
              <w:instrText xml:space="preserve"> REF _Ref384066703 \r \h </w:instrText>
            </w:r>
            <w:r w:rsidRPr="00211293">
              <w:fldChar w:fldCharType="separate"/>
            </w:r>
            <w:r w:rsidR="0044620B">
              <w:t>A.8</w:t>
            </w:r>
            <w:r w:rsidRPr="00211293">
              <w:fldChar w:fldCharType="end"/>
            </w:r>
            <w:r w:rsidRPr="00211293">
              <w:t xml:space="preserve">; Section </w:t>
            </w:r>
            <w:r>
              <w:fldChar w:fldCharType="begin"/>
            </w:r>
            <w:r>
              <w:instrText xml:space="preserve"> REF _Ref393726308 \r \h </w:instrText>
            </w:r>
            <w:r>
              <w:fldChar w:fldCharType="separate"/>
            </w:r>
            <w:r w:rsidR="0044620B">
              <w:t>B.5</w:t>
            </w:r>
            <w:r>
              <w:fldChar w:fldCharType="end"/>
            </w:r>
          </w:p>
        </w:tc>
        <w:tc>
          <w:tcPr>
            <w:tcW w:w="993" w:type="dxa"/>
          </w:tcPr>
          <w:p w14:paraId="27B179A1" w14:textId="77777777" w:rsidR="00B51828" w:rsidRPr="00211293" w:rsidRDefault="00B51828" w:rsidP="002101D2">
            <w:pPr>
              <w:pStyle w:val="Tabletextcentred"/>
            </w:pPr>
            <w:r w:rsidRPr="00211293">
              <w:t>Yes</w:t>
            </w:r>
          </w:p>
        </w:tc>
        <w:tc>
          <w:tcPr>
            <w:tcW w:w="4626" w:type="dxa"/>
          </w:tcPr>
          <w:p w14:paraId="5E93ED61" w14:textId="77777777" w:rsidR="00B51828" w:rsidRDefault="00B51828" w:rsidP="002101D2">
            <w:pPr>
              <w:pStyle w:val="Tabletextcentred"/>
              <w:jc w:val="left"/>
            </w:pPr>
            <w:r>
              <w:t>The evidence was reviewed for the clinical outcomes outlined in the PICO criteria in the Final Protocol. However, the available evidence does not address all of the specified outcomes.</w:t>
            </w:r>
          </w:p>
        </w:tc>
      </w:tr>
      <w:tr w:rsidR="00B51828" w14:paraId="648E73A2" w14:textId="77777777" w:rsidTr="002101D2">
        <w:tc>
          <w:tcPr>
            <w:tcW w:w="1402" w:type="dxa"/>
          </w:tcPr>
          <w:p w14:paraId="5031B8AB" w14:textId="77777777" w:rsidR="00B51828" w:rsidRDefault="00B51828" w:rsidP="002101D2">
            <w:pPr>
              <w:pStyle w:val="Tabletextcentred"/>
              <w:jc w:val="left"/>
            </w:pPr>
            <w:r>
              <w:t>Healthcare resources</w:t>
            </w:r>
          </w:p>
        </w:tc>
        <w:tc>
          <w:tcPr>
            <w:tcW w:w="1275" w:type="dxa"/>
          </w:tcPr>
          <w:p w14:paraId="1E86630C" w14:textId="77777777" w:rsidR="00B51828" w:rsidRPr="003D2AD3" w:rsidRDefault="00B51828" w:rsidP="002101D2">
            <w:pPr>
              <w:pStyle w:val="Tabletextcentred"/>
            </w:pPr>
            <w:r w:rsidRPr="003D2AD3">
              <w:t xml:space="preserve">Section </w:t>
            </w:r>
            <w:r w:rsidRPr="003D2AD3">
              <w:fldChar w:fldCharType="begin"/>
            </w:r>
            <w:r w:rsidRPr="003D2AD3">
              <w:instrText xml:space="preserve"> REF _Ref394999310 \r \h </w:instrText>
            </w:r>
            <w:r>
              <w:instrText xml:space="preserve"> \* MERGEFORMAT </w:instrText>
            </w:r>
            <w:r w:rsidRPr="003D2AD3">
              <w:fldChar w:fldCharType="separate"/>
            </w:r>
            <w:r w:rsidR="0044620B">
              <w:t>D.3.1</w:t>
            </w:r>
            <w:r w:rsidRPr="003D2AD3">
              <w:fldChar w:fldCharType="end"/>
            </w:r>
            <w:r w:rsidRPr="003D2AD3">
              <w:t xml:space="preserve">, Section </w:t>
            </w:r>
            <w:r w:rsidRPr="003D2AD3">
              <w:fldChar w:fldCharType="begin"/>
            </w:r>
            <w:r w:rsidRPr="003D2AD3">
              <w:instrText xml:space="preserve"> REF _Ref394917702 \r \h </w:instrText>
            </w:r>
            <w:r>
              <w:instrText xml:space="preserve"> \* MERGEFORMAT </w:instrText>
            </w:r>
            <w:r w:rsidRPr="003D2AD3">
              <w:fldChar w:fldCharType="separate"/>
            </w:r>
            <w:r w:rsidR="0044620B">
              <w:t>E.1.4</w:t>
            </w:r>
            <w:r w:rsidRPr="003D2AD3">
              <w:fldChar w:fldCharType="end"/>
            </w:r>
          </w:p>
        </w:tc>
        <w:tc>
          <w:tcPr>
            <w:tcW w:w="993" w:type="dxa"/>
          </w:tcPr>
          <w:p w14:paraId="24927E8E" w14:textId="3DC882DB" w:rsidR="00B51828" w:rsidRPr="003D2AD3" w:rsidRDefault="00B51828" w:rsidP="002101D2">
            <w:pPr>
              <w:pStyle w:val="Tabletextcentred"/>
            </w:pPr>
            <w:r>
              <w:t>Part</w:t>
            </w:r>
            <w:r w:rsidR="008F32BF">
              <w:t>l</w:t>
            </w:r>
            <w:r>
              <w:t>y</w:t>
            </w:r>
          </w:p>
        </w:tc>
        <w:tc>
          <w:tcPr>
            <w:tcW w:w="4626" w:type="dxa"/>
          </w:tcPr>
          <w:p w14:paraId="230DD418" w14:textId="77777777" w:rsidR="00B51828" w:rsidRDefault="00B51828" w:rsidP="002101D2">
            <w:pPr>
              <w:pStyle w:val="Tabletextcentred"/>
              <w:jc w:val="left"/>
            </w:pPr>
            <w:r>
              <w:t xml:space="preserve">The economic evaluation considered the costs associated with the expert opinion item and ancillary tests. The financial estimates apply the resources outlined in the Final Protocol, with the exception of an additional consultation item. </w:t>
            </w:r>
          </w:p>
        </w:tc>
      </w:tr>
      <w:tr w:rsidR="00B51828" w14:paraId="0A328631" w14:textId="77777777" w:rsidTr="002101D2">
        <w:tc>
          <w:tcPr>
            <w:tcW w:w="1402" w:type="dxa"/>
          </w:tcPr>
          <w:p w14:paraId="47F702AA" w14:textId="77777777" w:rsidR="00B51828" w:rsidRDefault="00B51828" w:rsidP="002101D2">
            <w:pPr>
              <w:pStyle w:val="Tabletextcentred"/>
              <w:keepNext/>
              <w:jc w:val="left"/>
            </w:pPr>
            <w:r>
              <w:lastRenderedPageBreak/>
              <w:t>Economic evaluation structure</w:t>
            </w:r>
          </w:p>
        </w:tc>
        <w:tc>
          <w:tcPr>
            <w:tcW w:w="1275" w:type="dxa"/>
          </w:tcPr>
          <w:p w14:paraId="6A2E146A" w14:textId="77777777" w:rsidR="00B51828" w:rsidRPr="00F72EAC" w:rsidRDefault="00B51828" w:rsidP="002101D2">
            <w:pPr>
              <w:pStyle w:val="Tabletextcentred"/>
              <w:keepNext/>
            </w:pPr>
            <w:r>
              <w:t xml:space="preserve">Section </w:t>
            </w:r>
            <w:r>
              <w:fldChar w:fldCharType="begin"/>
            </w:r>
            <w:r>
              <w:instrText xml:space="preserve"> REF _Ref395087861 \r \h </w:instrText>
            </w:r>
            <w:r>
              <w:fldChar w:fldCharType="separate"/>
            </w:r>
            <w:r w:rsidR="0044620B">
              <w:t>D.2.2</w:t>
            </w:r>
            <w:r>
              <w:fldChar w:fldCharType="end"/>
            </w:r>
            <w:r>
              <w:t xml:space="preserve">, </w:t>
            </w:r>
            <w:r w:rsidRPr="00F72EAC">
              <w:t xml:space="preserve">Section </w:t>
            </w:r>
            <w:r w:rsidRPr="00F72EAC">
              <w:fldChar w:fldCharType="begin"/>
            </w:r>
            <w:r w:rsidRPr="00F72EAC">
              <w:instrText xml:space="preserve"> REF _Ref393784272 \w \h </w:instrText>
            </w:r>
            <w:r>
              <w:instrText xml:space="preserve"> \* MERGEFORMAT </w:instrText>
            </w:r>
            <w:r w:rsidRPr="00F72EAC">
              <w:fldChar w:fldCharType="separate"/>
            </w:r>
            <w:r w:rsidR="0044620B">
              <w:t>D.3</w:t>
            </w:r>
            <w:r w:rsidRPr="00F72EAC">
              <w:fldChar w:fldCharType="end"/>
            </w:r>
            <w:r>
              <w:t>,</w:t>
            </w:r>
          </w:p>
          <w:p w14:paraId="04D20C7D" w14:textId="77777777" w:rsidR="00B51828" w:rsidRPr="00211293" w:rsidRDefault="00B51828" w:rsidP="002101D2">
            <w:pPr>
              <w:pStyle w:val="Tabletextcentred"/>
              <w:keepNext/>
              <w:rPr>
                <w:highlight w:val="yellow"/>
              </w:rPr>
            </w:pPr>
            <w:r w:rsidRPr="00F72EAC">
              <w:fldChar w:fldCharType="begin"/>
            </w:r>
            <w:r w:rsidRPr="00F72EAC">
              <w:instrText xml:space="preserve"> REF _Ref393269686 \h </w:instrText>
            </w:r>
            <w:r>
              <w:instrText xml:space="preserve"> \* MERGEFORMAT </w:instrText>
            </w:r>
            <w:r w:rsidRPr="00F72EAC">
              <w:fldChar w:fldCharType="separate"/>
            </w:r>
            <w:r w:rsidR="0044620B">
              <w:t xml:space="preserve">Figure </w:t>
            </w:r>
            <w:r w:rsidR="0044620B">
              <w:rPr>
                <w:noProof/>
              </w:rPr>
              <w:t>D</w:t>
            </w:r>
            <w:r w:rsidR="0044620B">
              <w:rPr>
                <w:noProof/>
              </w:rPr>
              <w:noBreakHyphen/>
              <w:t>1</w:t>
            </w:r>
            <w:r w:rsidRPr="00F72EAC">
              <w:fldChar w:fldCharType="end"/>
            </w:r>
          </w:p>
        </w:tc>
        <w:tc>
          <w:tcPr>
            <w:tcW w:w="993" w:type="dxa"/>
          </w:tcPr>
          <w:p w14:paraId="0935D30F" w14:textId="77777777" w:rsidR="00B51828" w:rsidRPr="00211293" w:rsidRDefault="00B51828" w:rsidP="002101D2">
            <w:pPr>
              <w:pStyle w:val="Tabletextcentred"/>
              <w:keepNext/>
              <w:rPr>
                <w:highlight w:val="yellow"/>
              </w:rPr>
            </w:pPr>
            <w:r w:rsidRPr="00F72EAC">
              <w:t>Partly</w:t>
            </w:r>
          </w:p>
        </w:tc>
        <w:tc>
          <w:tcPr>
            <w:tcW w:w="4626" w:type="dxa"/>
          </w:tcPr>
          <w:p w14:paraId="70EE8A0A" w14:textId="43689C58" w:rsidR="00B51828" w:rsidRDefault="00B51828" w:rsidP="002101D2">
            <w:pPr>
              <w:pStyle w:val="Tabletextcentred"/>
              <w:keepNext/>
              <w:jc w:val="left"/>
            </w:pPr>
            <w:r>
              <w:t xml:space="preserve">The </w:t>
            </w:r>
            <w:r w:rsidRPr="009541B3">
              <w:t xml:space="preserve">economic evaluation </w:t>
            </w:r>
            <w:r>
              <w:t>is</w:t>
            </w:r>
            <w:r w:rsidRPr="009541B3">
              <w:t xml:space="preserve"> based on the structure </w:t>
            </w:r>
            <w:r>
              <w:t xml:space="preserve">of the Decision Analytic </w:t>
            </w:r>
            <w:r w:rsidRPr="009541B3">
              <w:t>proposed</w:t>
            </w:r>
            <w:r>
              <w:t xml:space="preserve"> in the Final Protocol, with simplifications due to limitations in the available clinical evidence. T</w:t>
            </w:r>
            <w:r w:rsidRPr="00280ABF">
              <w:t xml:space="preserve">he economic evaluation estimates the incremental cost per significant </w:t>
            </w:r>
            <w:r>
              <w:t>(clinically</w:t>
            </w:r>
            <w:r w:rsidR="0053670C">
              <w:t xml:space="preserve"> </w:t>
            </w:r>
            <w:r>
              <w:t xml:space="preserve">relevant) </w:t>
            </w:r>
            <w:r w:rsidRPr="00280ABF">
              <w:t>change in diagnosis</w:t>
            </w:r>
            <w:r>
              <w:t xml:space="preserve"> or interpretation</w:t>
            </w:r>
            <w:r w:rsidRPr="00280ABF">
              <w:t xml:space="preserve">. </w:t>
            </w:r>
            <w:r>
              <w:t xml:space="preserve">There is no extrapolation to final health outcomes. Instead, the focus is </w:t>
            </w:r>
            <w:r w:rsidRPr="00280ABF">
              <w:t>on the attai</w:t>
            </w:r>
            <w:r>
              <w:t>nment of a definitive diagnosis upon which patients can be effectively managed. Example CUAs were not feasible or credible with existing data sources.</w:t>
            </w:r>
          </w:p>
        </w:tc>
      </w:tr>
    </w:tbl>
    <w:p w14:paraId="4F52B049" w14:textId="77777777" w:rsidR="00B51828" w:rsidRDefault="00B51828" w:rsidP="002101D2">
      <w:pPr>
        <w:pStyle w:val="Tablefootnotes"/>
      </w:pPr>
      <w:bookmarkStart w:id="20" w:name="_Toc382219922"/>
      <w:bookmarkStart w:id="21" w:name="_Ref385184195"/>
      <w:bookmarkStart w:id="22" w:name="_Ref393207497"/>
      <w:bookmarkStart w:id="23" w:name="_Toc374972254"/>
      <w:bookmarkStart w:id="24" w:name="_Toc374972615"/>
      <w:r w:rsidRPr="00F94D4D">
        <w:t>Abbreviations</w:t>
      </w:r>
      <w:r>
        <w:t>: CUAs, cost-utility analyses; MBS, Medicare Benefits Schedule; PASC, Protocol Advisory Sub-Committee</w:t>
      </w:r>
    </w:p>
    <w:p w14:paraId="3241B9FC" w14:textId="77777777" w:rsidR="00B51828" w:rsidRDefault="00B51828" w:rsidP="00B51828">
      <w:pPr>
        <w:pStyle w:val="Heading2"/>
        <w:numPr>
          <w:ilvl w:val="1"/>
          <w:numId w:val="1"/>
        </w:numPr>
      </w:pPr>
      <w:bookmarkStart w:id="25" w:name="_Ref393786125"/>
      <w:bookmarkStart w:id="26" w:name="_Toc396211683"/>
      <w:r>
        <w:t>Proposed medical service</w:t>
      </w:r>
      <w:bookmarkEnd w:id="20"/>
      <w:bookmarkEnd w:id="21"/>
      <w:bookmarkEnd w:id="22"/>
      <w:bookmarkEnd w:id="25"/>
      <w:bookmarkEnd w:id="26"/>
    </w:p>
    <w:p w14:paraId="1E88CDBE" w14:textId="77777777" w:rsidR="00B51828" w:rsidRDefault="00B51828" w:rsidP="002101D2">
      <w:pPr>
        <w:spacing w:after="120"/>
      </w:pPr>
      <w:r>
        <w:t>The proposed service involves the provision of a morphological second opinion on a patient sample by an expert pathologist. Currently, public reimbursement of pathology opinions only applies to the initial pathology report.</w:t>
      </w:r>
    </w:p>
    <w:p w14:paraId="0149B9A9" w14:textId="77777777" w:rsidR="00B51828" w:rsidRPr="003F1BD3" w:rsidRDefault="00B51828" w:rsidP="002101D2">
      <w:pPr>
        <w:spacing w:after="120"/>
        <w:rPr>
          <w:szCs w:val="24"/>
        </w:rPr>
      </w:pPr>
      <w:r>
        <w:t xml:space="preserve">PASC has advised that public funding for the proposed service should only apply in the following </w:t>
      </w:r>
      <w:r w:rsidRPr="003F1BD3">
        <w:rPr>
          <w:szCs w:val="24"/>
        </w:rPr>
        <w:t xml:space="preserve">circumstances where: </w:t>
      </w:r>
    </w:p>
    <w:p w14:paraId="04642E63" w14:textId="77777777" w:rsidR="00B51828" w:rsidRPr="003F1BD3" w:rsidRDefault="00B51828" w:rsidP="002101D2">
      <w:pPr>
        <w:spacing w:after="120"/>
        <w:rPr>
          <w:szCs w:val="24"/>
        </w:rPr>
      </w:pPr>
      <w:r w:rsidRPr="004A60EE">
        <w:rPr>
          <w:i/>
          <w:szCs w:val="24"/>
        </w:rPr>
        <w:t>Scenario 1</w:t>
      </w:r>
      <w:r>
        <w:rPr>
          <w:i/>
          <w:szCs w:val="24"/>
        </w:rPr>
        <w:t xml:space="preserve"> </w:t>
      </w:r>
      <w:r>
        <w:rPr>
          <w:szCs w:val="24"/>
        </w:rPr>
        <w:t xml:space="preserve">– the </w:t>
      </w:r>
      <w:r w:rsidRPr="003F1BD3">
        <w:rPr>
          <w:szCs w:val="24"/>
        </w:rPr>
        <w:t>initial pathologist communicates with the clinician in charge of patient management, and suggests referral to an external expert pathologist, due to a rare, unusual or complex case where a primary or definitive diagnosis cannot be confidently made. It would then be at the discretion of the treating clinician to decide whether expert opinion is necessary (i.e. the service is not pathologist determinable)</w:t>
      </w:r>
      <w:r>
        <w:rPr>
          <w:szCs w:val="24"/>
        </w:rPr>
        <w:t>.</w:t>
      </w:r>
      <w:r w:rsidRPr="003F1BD3">
        <w:rPr>
          <w:szCs w:val="24"/>
        </w:rPr>
        <w:t xml:space="preserve"> </w:t>
      </w:r>
    </w:p>
    <w:p w14:paraId="125442F7" w14:textId="7A6A8BDE" w:rsidR="00B51828" w:rsidRPr="003F1BD3" w:rsidRDefault="00B51828" w:rsidP="002101D2">
      <w:pPr>
        <w:spacing w:after="120"/>
        <w:rPr>
          <w:szCs w:val="24"/>
        </w:rPr>
      </w:pPr>
      <w:r w:rsidRPr="004A60EE">
        <w:rPr>
          <w:i/>
          <w:szCs w:val="24"/>
        </w:rPr>
        <w:t>Scenario 2</w:t>
      </w:r>
      <w:r>
        <w:rPr>
          <w:i/>
          <w:szCs w:val="24"/>
        </w:rPr>
        <w:t xml:space="preserve"> – </w:t>
      </w:r>
      <w:r w:rsidRPr="003F1BD3">
        <w:rPr>
          <w:szCs w:val="24"/>
        </w:rPr>
        <w:t>the clinician in charge of patient management wants the initial pathology opinion verified or refined by a second, expe</w:t>
      </w:r>
      <w:r w:rsidR="00713649">
        <w:rPr>
          <w:szCs w:val="24"/>
        </w:rPr>
        <w:t>rt pathologist or by their preferred</w:t>
      </w:r>
      <w:r w:rsidRPr="003F1BD3">
        <w:rPr>
          <w:szCs w:val="24"/>
        </w:rPr>
        <w:t xml:space="preserve"> </w:t>
      </w:r>
      <w:r>
        <w:rPr>
          <w:szCs w:val="24"/>
        </w:rPr>
        <w:t>pathologist, irrespective of whether the initial pathologist cited uncertainty in their initial diagnosis or not</w:t>
      </w:r>
      <w:r w:rsidRPr="003F1BD3">
        <w:rPr>
          <w:szCs w:val="24"/>
        </w:rPr>
        <w:t>.</w:t>
      </w:r>
    </w:p>
    <w:p w14:paraId="4599C924" w14:textId="77777777" w:rsidR="00B51828" w:rsidRDefault="00B51828" w:rsidP="002101D2">
      <w:pPr>
        <w:spacing w:after="120"/>
      </w:pPr>
      <w:r>
        <w:t>There are a number of reasons why a pathologist may not be able to provide a primary or definitive diagnosis or why a clinician may lack confidence in the initial pathologist’s diagnosis:</w:t>
      </w:r>
    </w:p>
    <w:p w14:paraId="37C6489F" w14:textId="77777777" w:rsidR="00B51828" w:rsidRDefault="00B51828" w:rsidP="00B51828">
      <w:pPr>
        <w:pStyle w:val="ListParagraph"/>
        <w:numPr>
          <w:ilvl w:val="0"/>
          <w:numId w:val="11"/>
        </w:numPr>
        <w:rPr>
          <w:szCs w:val="24"/>
        </w:rPr>
      </w:pPr>
      <w:r w:rsidRPr="00D813C5">
        <w:rPr>
          <w:szCs w:val="24"/>
        </w:rPr>
        <w:t>t</w:t>
      </w:r>
      <w:r w:rsidRPr="00F62D38">
        <w:rPr>
          <w:szCs w:val="24"/>
        </w:rPr>
        <w:t>he rare or esoteric nature of the lesion;</w:t>
      </w:r>
    </w:p>
    <w:p w14:paraId="4CDCBFF2" w14:textId="77777777" w:rsidR="00B51828" w:rsidRPr="00F62D38" w:rsidRDefault="00B51828" w:rsidP="00B51828">
      <w:pPr>
        <w:pStyle w:val="ListParagraph"/>
        <w:numPr>
          <w:ilvl w:val="0"/>
          <w:numId w:val="11"/>
        </w:numPr>
        <w:rPr>
          <w:szCs w:val="24"/>
        </w:rPr>
      </w:pPr>
      <w:r>
        <w:rPr>
          <w:szCs w:val="24"/>
        </w:rPr>
        <w:t>complexity of, or lack of familiarity with, a particular cancer classification scheme;</w:t>
      </w:r>
    </w:p>
    <w:p w14:paraId="4BBC8BFE" w14:textId="77777777" w:rsidR="00B51828" w:rsidRPr="00BA4703" w:rsidRDefault="00B51828" w:rsidP="00B51828">
      <w:pPr>
        <w:pStyle w:val="ListParagraph"/>
        <w:numPr>
          <w:ilvl w:val="0"/>
          <w:numId w:val="11"/>
        </w:numPr>
        <w:rPr>
          <w:szCs w:val="24"/>
        </w:rPr>
      </w:pPr>
      <w:r w:rsidRPr="0045072A">
        <w:rPr>
          <w:szCs w:val="24"/>
        </w:rPr>
        <w:t xml:space="preserve">the </w:t>
      </w:r>
      <w:r>
        <w:rPr>
          <w:szCs w:val="24"/>
        </w:rPr>
        <w:t>type, quantity or quality of</w:t>
      </w:r>
      <w:r w:rsidRPr="0045072A">
        <w:rPr>
          <w:szCs w:val="24"/>
        </w:rPr>
        <w:t xml:space="preserve"> </w:t>
      </w:r>
      <w:r>
        <w:rPr>
          <w:szCs w:val="24"/>
        </w:rPr>
        <w:t xml:space="preserve">the </w:t>
      </w:r>
      <w:r w:rsidRPr="0045072A">
        <w:rPr>
          <w:szCs w:val="24"/>
        </w:rPr>
        <w:t>diagnostic biopsy specimen;</w:t>
      </w:r>
      <w:r w:rsidRPr="00BA4703">
        <w:rPr>
          <w:szCs w:val="24"/>
        </w:rPr>
        <w:t xml:space="preserve"> or</w:t>
      </w:r>
    </w:p>
    <w:p w14:paraId="1B536A64" w14:textId="77777777" w:rsidR="00B51828" w:rsidRPr="001B1049" w:rsidRDefault="00B51828" w:rsidP="00B51828">
      <w:pPr>
        <w:pStyle w:val="ListParagraph"/>
        <w:numPr>
          <w:ilvl w:val="0"/>
          <w:numId w:val="11"/>
        </w:numPr>
        <w:rPr>
          <w:szCs w:val="24"/>
        </w:rPr>
      </w:pPr>
      <w:r w:rsidRPr="001B1049">
        <w:rPr>
          <w:szCs w:val="24"/>
        </w:rPr>
        <w:t xml:space="preserve">the requirement for </w:t>
      </w:r>
      <w:r>
        <w:rPr>
          <w:szCs w:val="24"/>
        </w:rPr>
        <w:t xml:space="preserve">special </w:t>
      </w:r>
      <w:r w:rsidRPr="001B1049">
        <w:rPr>
          <w:szCs w:val="24"/>
        </w:rPr>
        <w:t xml:space="preserve">ancillary stains or tests </w:t>
      </w:r>
      <w:r>
        <w:rPr>
          <w:szCs w:val="24"/>
        </w:rPr>
        <w:t>to aid interpretation</w:t>
      </w:r>
      <w:r w:rsidRPr="001B1049">
        <w:rPr>
          <w:szCs w:val="24"/>
        </w:rPr>
        <w:t>.</w:t>
      </w:r>
    </w:p>
    <w:p w14:paraId="6A252D02" w14:textId="77777777" w:rsidR="00B51828" w:rsidRDefault="00B51828" w:rsidP="002101D2">
      <w:pPr>
        <w:spacing w:after="120"/>
      </w:pPr>
      <w:r>
        <w:t>In such cases, the initial pathologist would communicate an initial opinion to the treating clinician, together with a recommendation that the case is referred for expert opinion. The initial pathology opinion could include:</w:t>
      </w:r>
    </w:p>
    <w:p w14:paraId="2F3C85C9" w14:textId="77777777" w:rsidR="00B51828" w:rsidRDefault="00B51828" w:rsidP="00B51828">
      <w:pPr>
        <w:pStyle w:val="ListParagraph"/>
        <w:numPr>
          <w:ilvl w:val="0"/>
          <w:numId w:val="11"/>
        </w:numPr>
        <w:rPr>
          <w:szCs w:val="24"/>
        </w:rPr>
      </w:pPr>
      <w:r>
        <w:rPr>
          <w:szCs w:val="24"/>
        </w:rPr>
        <w:t>no diagnostic interpretation;</w:t>
      </w:r>
    </w:p>
    <w:p w14:paraId="3FE5449D" w14:textId="77777777" w:rsidR="00B51828" w:rsidRDefault="00B51828" w:rsidP="00B51828">
      <w:pPr>
        <w:pStyle w:val="ListParagraph"/>
        <w:numPr>
          <w:ilvl w:val="0"/>
          <w:numId w:val="11"/>
        </w:numPr>
        <w:rPr>
          <w:szCs w:val="24"/>
        </w:rPr>
      </w:pPr>
      <w:r w:rsidRPr="00EC6B10">
        <w:rPr>
          <w:szCs w:val="24"/>
        </w:rPr>
        <w:t>a differential diagnosis (</w:t>
      </w:r>
      <w:r>
        <w:rPr>
          <w:szCs w:val="24"/>
        </w:rPr>
        <w:t xml:space="preserve">i.e. </w:t>
      </w:r>
      <w:r w:rsidRPr="00486B37">
        <w:rPr>
          <w:szCs w:val="24"/>
        </w:rPr>
        <w:t>a written list of alternative diagnoses, provided due to diagnostic uncertainty, which may or may not indicate the preferred or primary diagnosis</w:t>
      </w:r>
      <w:r w:rsidRPr="00EC6B10">
        <w:rPr>
          <w:szCs w:val="24"/>
        </w:rPr>
        <w:t>)</w:t>
      </w:r>
      <w:r>
        <w:rPr>
          <w:szCs w:val="24"/>
        </w:rPr>
        <w:t>; or</w:t>
      </w:r>
    </w:p>
    <w:p w14:paraId="598617A5" w14:textId="77777777" w:rsidR="00B51828" w:rsidRDefault="00B51828" w:rsidP="00B51828">
      <w:pPr>
        <w:pStyle w:val="ListParagraph"/>
        <w:numPr>
          <w:ilvl w:val="0"/>
          <w:numId w:val="11"/>
        </w:numPr>
        <w:rPr>
          <w:szCs w:val="24"/>
        </w:rPr>
      </w:pPr>
      <w:r w:rsidRPr="00EC6B10">
        <w:rPr>
          <w:szCs w:val="24"/>
        </w:rPr>
        <w:t>a provisional</w:t>
      </w:r>
      <w:r>
        <w:rPr>
          <w:szCs w:val="24"/>
        </w:rPr>
        <w:t>/preliminary/tentative</w:t>
      </w:r>
      <w:r w:rsidRPr="00EC6B10">
        <w:rPr>
          <w:szCs w:val="24"/>
        </w:rPr>
        <w:t xml:space="preserve"> diagnosis</w:t>
      </w:r>
      <w:r>
        <w:rPr>
          <w:szCs w:val="24"/>
        </w:rPr>
        <w:t xml:space="preserve">, issued </w:t>
      </w:r>
      <w:r w:rsidRPr="00EC6B10">
        <w:rPr>
          <w:szCs w:val="24"/>
        </w:rPr>
        <w:t>with the intent of following up with supplemental information or a final diagn</w:t>
      </w:r>
      <w:r>
        <w:rPr>
          <w:szCs w:val="24"/>
        </w:rPr>
        <w:t>osis after expert consultation</w:t>
      </w:r>
      <w:r w:rsidRPr="00EC6B10">
        <w:rPr>
          <w:szCs w:val="24"/>
        </w:rPr>
        <w:t xml:space="preserve">. </w:t>
      </w:r>
    </w:p>
    <w:p w14:paraId="08460244" w14:textId="77777777" w:rsidR="00B51828" w:rsidRDefault="00B51828" w:rsidP="002101D2">
      <w:pPr>
        <w:spacing w:after="120"/>
      </w:pPr>
      <w:r>
        <w:lastRenderedPageBreak/>
        <w:t xml:space="preserve">Alternatively, the clinician may have concerns about the initial opinion, regardless of whether a confident diagnosis was provided, and decide that a second, expert opinion is necessary. </w:t>
      </w:r>
    </w:p>
    <w:p w14:paraId="00D19EB5" w14:textId="77777777" w:rsidR="00B51828" w:rsidRDefault="00B51828" w:rsidP="002101D2">
      <w:pPr>
        <w:spacing w:after="120"/>
      </w:pPr>
      <w:r>
        <w:t xml:space="preserve">In both circumstances, the decision to obtain a second, expert opinion is ultimately at the discretion of the clinician who is aiming for an authoritative final diagnosis upon which treatment decisions could be made (i.e. ‘definitive’ diagnosis). </w:t>
      </w:r>
    </w:p>
    <w:p w14:paraId="04C23B7B" w14:textId="77777777" w:rsidR="00B51828" w:rsidRDefault="00B51828" w:rsidP="002101D2">
      <w:pPr>
        <w:rPr>
          <w:szCs w:val="24"/>
        </w:rPr>
      </w:pPr>
      <w:r>
        <w:t xml:space="preserve">In cases where external expert second opinion is sought due to pathologist uncertainty, usual practice is to provide the </w:t>
      </w:r>
      <w:r w:rsidRPr="00DA6068">
        <w:t xml:space="preserve">expert pathologist </w:t>
      </w:r>
      <w:r>
        <w:t>with</w:t>
      </w:r>
      <w:r w:rsidRPr="00DA6068">
        <w:t xml:space="preserve"> the same </w:t>
      </w:r>
      <w:r>
        <w:t>specimens/</w:t>
      </w:r>
      <w:r w:rsidRPr="00DA6068">
        <w:t>slides and case material as th</w:t>
      </w:r>
      <w:r>
        <w:t>at reviewed by the</w:t>
      </w:r>
      <w:r w:rsidRPr="00DA6068">
        <w:t xml:space="preserve"> </w:t>
      </w:r>
      <w:r>
        <w:t>initial</w:t>
      </w:r>
      <w:r w:rsidRPr="00DA6068">
        <w:t xml:space="preserve"> pathologist</w:t>
      </w:r>
      <w:r>
        <w:t xml:space="preserve">. The expert pathologist then provides a diagnosis and a comprehensive written report back to the primary (initial) pathologist, who retains the medico-legal responsibility for the diagnosis. The primary pathologist is responsible for synthesising the information and refining the diagnosis as </w:t>
      </w:r>
      <w:r w:rsidRPr="00770688">
        <w:rPr>
          <w:szCs w:val="24"/>
        </w:rPr>
        <w:t>required.</w:t>
      </w:r>
      <w:r>
        <w:rPr>
          <w:szCs w:val="24"/>
        </w:rPr>
        <w:t xml:space="preserve"> </w:t>
      </w:r>
    </w:p>
    <w:p w14:paraId="2A709A3A" w14:textId="77777777" w:rsidR="00B51828" w:rsidRDefault="00B51828" w:rsidP="002101D2">
      <w:pPr>
        <w:rPr>
          <w:szCs w:val="24"/>
        </w:rPr>
      </w:pPr>
      <w:r>
        <w:rPr>
          <w:szCs w:val="24"/>
        </w:rPr>
        <w:t xml:space="preserve">Clinician-initiated expert opinions would also involve review of the original pathology case material by an expert pathologist. This type of expert opinion typically occurs at a tertiary centre to which a patient (most often an oncology patient) has been referred for further management. The initial pathology report may provide insufficient information to effectively manage the patient and the clinician may request an expert opinion from a pathologist who would normally provide the service to the treatment centre (i.e. the requesting clinician and the expert pathologist may be co-located). Nevertheless, the expert pathologist would still need to provide a comprehensive written report in order for the service to be eligible for MBS funding. </w:t>
      </w:r>
    </w:p>
    <w:p w14:paraId="3CD97F6A" w14:textId="77777777" w:rsidR="00B51828" w:rsidRDefault="00B51828" w:rsidP="002101D2">
      <w:pPr>
        <w:rPr>
          <w:szCs w:val="24"/>
        </w:rPr>
      </w:pPr>
      <w:r w:rsidRPr="00636135">
        <w:rPr>
          <w:szCs w:val="24"/>
        </w:rPr>
        <w:t xml:space="preserve">PASC has advised that second, expert opinions requested by a treating clinician (such as in a referral centre) should only be considered for public funding when there is uncertainty in the diagnosis or insufficient information to effectively manage the patient. The intention of the proposed MBS item is not to provide funding for mandatory </w:t>
      </w:r>
      <w:r>
        <w:rPr>
          <w:szCs w:val="24"/>
        </w:rPr>
        <w:t xml:space="preserve">or routine </w:t>
      </w:r>
      <w:r w:rsidRPr="00636135">
        <w:rPr>
          <w:szCs w:val="24"/>
        </w:rPr>
        <w:t>review of all cases referred to treatment centres.</w:t>
      </w:r>
    </w:p>
    <w:p w14:paraId="7EF9E5F9" w14:textId="77777777" w:rsidR="00B51828" w:rsidRPr="007F0B28" w:rsidRDefault="00B51828" w:rsidP="00B51828">
      <w:pPr>
        <w:pStyle w:val="Heading3"/>
        <w:numPr>
          <w:ilvl w:val="2"/>
          <w:numId w:val="1"/>
        </w:numPr>
      </w:pPr>
      <w:bookmarkStart w:id="27" w:name="_Ref385414076"/>
      <w:r w:rsidRPr="007F0B28">
        <w:t>Clinical need</w:t>
      </w:r>
      <w:bookmarkEnd w:id="27"/>
    </w:p>
    <w:p w14:paraId="53F88F85" w14:textId="183C7FDF" w:rsidR="00B51828" w:rsidRPr="00F63817" w:rsidRDefault="00B51828" w:rsidP="002101D2">
      <w:pPr>
        <w:rPr>
          <w:highlight w:val="cyan"/>
        </w:rPr>
      </w:pPr>
      <w:r w:rsidRPr="00435129">
        <w:t>Incorrect or incomplete diagnoses may lead to delayed or sub</w:t>
      </w:r>
      <w:r w:rsidR="00DB23AB">
        <w:t>-optimal</w:t>
      </w:r>
      <w:r w:rsidRPr="00435129">
        <w:t xml:space="preserve"> care, adversely affect</w:t>
      </w:r>
      <w:r>
        <w:t>ing</w:t>
      </w:r>
      <w:r w:rsidRPr="00435129">
        <w:t xml:space="preserve"> clinical outcomes and result</w:t>
      </w:r>
      <w:r>
        <w:t>ing</w:t>
      </w:r>
      <w:r w:rsidRPr="00435129">
        <w:t xml:space="preserve"> in inefficient use of resources. The purpose of seeking MBS funding for expert opinions for morphological pathology is therefore to facilitate access to expert pathologists for review of rare, unusual or complex cases, thereby decreasing the frequency of incorrect or incomplete diagnoses. Expert</w:t>
      </w:r>
      <w:r>
        <w:t xml:space="preserve"> p</w:t>
      </w:r>
      <w:r w:rsidRPr="002008EF">
        <w:t xml:space="preserve">athologists often have to prioritise routine work over unfunded expert opinions and therefore the </w:t>
      </w:r>
      <w:r>
        <w:t>introduction of an MBS item (or items)</w:t>
      </w:r>
      <w:r w:rsidRPr="002008EF">
        <w:t xml:space="preserve"> could</w:t>
      </w:r>
      <w:r>
        <w:t xml:space="preserve"> result in more</w:t>
      </w:r>
      <w:r w:rsidRPr="002008EF">
        <w:t xml:space="preserve"> timely and optimal treatment of patients (see Section </w:t>
      </w:r>
      <w:r w:rsidRPr="002008EF">
        <w:fldChar w:fldCharType="begin"/>
      </w:r>
      <w:r w:rsidRPr="002008EF">
        <w:instrText xml:space="preserve"> REF _Ref385187052 \r \h </w:instrText>
      </w:r>
      <w:r>
        <w:instrText xml:space="preserve"> \* MERGEFORMAT </w:instrText>
      </w:r>
      <w:r w:rsidRPr="002008EF">
        <w:fldChar w:fldCharType="separate"/>
      </w:r>
      <w:r w:rsidR="0044620B">
        <w:t>A.7</w:t>
      </w:r>
      <w:r w:rsidRPr="002008EF">
        <w:fldChar w:fldCharType="end"/>
      </w:r>
      <w:r>
        <w:t xml:space="preserve"> for the clinical claim</w:t>
      </w:r>
      <w:r w:rsidRPr="002008EF">
        <w:t>).</w:t>
      </w:r>
      <w:r>
        <w:t xml:space="preserve"> </w:t>
      </w:r>
    </w:p>
    <w:p w14:paraId="01A6CA25" w14:textId="77777777" w:rsidR="00B51828" w:rsidRDefault="00B51828" w:rsidP="002101D2">
      <w:pPr>
        <w:rPr>
          <w:szCs w:val="24"/>
        </w:rPr>
      </w:pPr>
      <w:r>
        <w:rPr>
          <w:szCs w:val="24"/>
        </w:rPr>
        <w:t xml:space="preserve">Second opinions for morphological pathology have received a great deal of attention as a result of efforts to enhance institutional performance plans as well as reduce medical errors. Many studies have explored the value of second morphological opinions in terms of identifying discrepancies between the diagnoses made by the primary and secondary pathologist </w:t>
      </w:r>
      <w:r>
        <w:rPr>
          <w:noProof/>
          <w:szCs w:val="24"/>
        </w:rPr>
        <w:t>(Ray-Coquard et al, 2012; Renshaw and Gould, 2005; Veenhuizen et al, 1997)</w:t>
      </w:r>
      <w:r>
        <w:rPr>
          <w:szCs w:val="24"/>
        </w:rPr>
        <w:t xml:space="preserve">. The studies often evaluate whether diagnostic errors made by the primary pathologist are clinically important; that is, whether discrepancies have major or minor therapeutic significance. Diagnostic discrepancies can result in over- or under-diagnosis of a particular condition or changes in status (e.g. tumour grade, subtype, resection </w:t>
      </w:r>
      <w:r>
        <w:rPr>
          <w:szCs w:val="24"/>
        </w:rPr>
        <w:lastRenderedPageBreak/>
        <w:t xml:space="preserve">margin, etc.), all of which can have a significant impact on prognosis, clinical management, quality of life and cost. </w:t>
      </w:r>
    </w:p>
    <w:p w14:paraId="76A5A556" w14:textId="55E471EC" w:rsidR="00B51828" w:rsidRPr="00877D48" w:rsidRDefault="00B51828" w:rsidP="002101D2">
      <w:pPr>
        <w:rPr>
          <w:szCs w:val="24"/>
        </w:rPr>
      </w:pPr>
      <w:r>
        <w:rPr>
          <w:szCs w:val="24"/>
        </w:rPr>
        <w:t>However, the mechanism by which a second opinion is obtained greatly influences discrepancy rates. Relatively low discrepancy rates have been cited when all surgical pathology specimens are reviewed by a second (intramural) pathologist. In contrast, second opinions performed by another institution or a specialty panel at the time of patient referral produce higher discrepancy rates because of the bias toward</w:t>
      </w:r>
      <w:r w:rsidR="005414B7">
        <w:rPr>
          <w:szCs w:val="24"/>
        </w:rPr>
        <w:t>s</w:t>
      </w:r>
      <w:r>
        <w:rPr>
          <w:szCs w:val="24"/>
        </w:rPr>
        <w:t xml:space="preserve"> complicated </w:t>
      </w:r>
      <w:r w:rsidRPr="00877D48">
        <w:rPr>
          <w:szCs w:val="24"/>
        </w:rPr>
        <w:t xml:space="preserve">case material and/or the use of different pathology classification systems between institutions. Within general surgical pathology, reported discrepancy rates range </w:t>
      </w:r>
      <w:r>
        <w:rPr>
          <w:szCs w:val="24"/>
        </w:rPr>
        <w:t>from approximately 30% to 65%</w:t>
      </w:r>
      <w:r w:rsidRPr="00877D48">
        <w:rPr>
          <w:szCs w:val="24"/>
        </w:rPr>
        <w:t xml:space="preserve">, with approximately </w:t>
      </w:r>
      <w:r>
        <w:rPr>
          <w:szCs w:val="24"/>
        </w:rPr>
        <w:t>12-18</w:t>
      </w:r>
      <w:r w:rsidRPr="00877D48">
        <w:rPr>
          <w:szCs w:val="24"/>
        </w:rPr>
        <w:t>% having major therapeut</w:t>
      </w:r>
      <w:r>
        <w:rPr>
          <w:szCs w:val="24"/>
        </w:rPr>
        <w:t xml:space="preserve">ic significance </w:t>
      </w:r>
      <w:r>
        <w:rPr>
          <w:noProof/>
          <w:szCs w:val="24"/>
        </w:rPr>
        <w:t>(Ahmed et al, 2004; Cook et al, 2001; Hsu et al, 2010)</w:t>
      </w:r>
      <w:r w:rsidRPr="00877D48">
        <w:rPr>
          <w:szCs w:val="24"/>
        </w:rPr>
        <w:t xml:space="preserve">. </w:t>
      </w:r>
    </w:p>
    <w:p w14:paraId="4BC4C16A" w14:textId="2A9FE7E6" w:rsidR="00B51828" w:rsidRDefault="00B51828" w:rsidP="002101D2">
      <w:pPr>
        <w:rPr>
          <w:szCs w:val="24"/>
        </w:rPr>
      </w:pPr>
      <w:r w:rsidRPr="00877D48">
        <w:rPr>
          <w:szCs w:val="24"/>
        </w:rPr>
        <w:t xml:space="preserve">More recently, there has been interest in evaluating the value of second opinions within subspecialty areas because of the assumption that certain areas in anatomic pathology present difficult or unique diagnostic challenges. For example, </w:t>
      </w:r>
      <w:r>
        <w:rPr>
          <w:szCs w:val="24"/>
        </w:rPr>
        <w:t>diagnostic discrepancies occur with a high frequency in soft tissue sarcomas, which is</w:t>
      </w:r>
      <w:r w:rsidRPr="00877D48">
        <w:rPr>
          <w:szCs w:val="24"/>
        </w:rPr>
        <w:t xml:space="preserve"> likely attributable to the relative paucity of these malignancies in conjunction with their vast heterogeneity and complex classification schemes. Major discrepancy rates for </w:t>
      </w:r>
      <w:r>
        <w:rPr>
          <w:szCs w:val="24"/>
        </w:rPr>
        <w:t>expert</w:t>
      </w:r>
      <w:r w:rsidRPr="00877D48">
        <w:rPr>
          <w:szCs w:val="24"/>
        </w:rPr>
        <w:t xml:space="preserve"> opinion on skin biopsies is </w:t>
      </w:r>
      <w:r>
        <w:rPr>
          <w:szCs w:val="24"/>
        </w:rPr>
        <w:t xml:space="preserve">approximately 25% across several studies </w:t>
      </w:r>
      <w:r>
        <w:rPr>
          <w:noProof/>
          <w:szCs w:val="24"/>
        </w:rPr>
        <w:t xml:space="preserve">(Arbiser et al, 2001; Gaudi et al, 2013; </w:t>
      </w:r>
      <w:r w:rsidR="00525F10">
        <w:rPr>
          <w:noProof/>
          <w:szCs w:val="24"/>
        </w:rPr>
        <w:t>v</w:t>
      </w:r>
      <w:r>
        <w:rPr>
          <w:noProof/>
          <w:szCs w:val="24"/>
        </w:rPr>
        <w:t>an Dijk et al, 2008; Veenhuizen et al, 1997)</w:t>
      </w:r>
      <w:r>
        <w:rPr>
          <w:szCs w:val="24"/>
        </w:rPr>
        <w:t xml:space="preserve">. However, that rate could vary quite substantially depending </w:t>
      </w:r>
      <w:r w:rsidRPr="00877D48">
        <w:rPr>
          <w:szCs w:val="24"/>
        </w:rPr>
        <w:t>on the</w:t>
      </w:r>
      <w:r>
        <w:rPr>
          <w:szCs w:val="24"/>
        </w:rPr>
        <w:t xml:space="preserve"> case mix of patients that the initial pathologist ordinarily encounters, the availability of intra-institutional or intra-departmental consultation prior to referral, and also the</w:t>
      </w:r>
      <w:r w:rsidRPr="00877D48">
        <w:rPr>
          <w:szCs w:val="24"/>
        </w:rPr>
        <w:t xml:space="preserve"> </w:t>
      </w:r>
      <w:r>
        <w:rPr>
          <w:szCs w:val="24"/>
        </w:rPr>
        <w:t xml:space="preserve">precise experience and qualifications of the expert pathologist who reviews the case. </w:t>
      </w:r>
    </w:p>
    <w:p w14:paraId="563CD78C" w14:textId="77777777" w:rsidR="00B51828" w:rsidRPr="005C2C20" w:rsidRDefault="00B51828" w:rsidP="00B51828">
      <w:pPr>
        <w:pStyle w:val="Heading3"/>
        <w:numPr>
          <w:ilvl w:val="2"/>
          <w:numId w:val="1"/>
        </w:numPr>
      </w:pPr>
      <w:bookmarkStart w:id="28" w:name="_Ref385183592"/>
      <w:r w:rsidRPr="005C2C20">
        <w:t>Regulatory status</w:t>
      </w:r>
      <w:r>
        <w:t xml:space="preserve"> and prerequisites</w:t>
      </w:r>
      <w:bookmarkEnd w:id="28"/>
    </w:p>
    <w:p w14:paraId="7726001B" w14:textId="743B3B88" w:rsidR="00B51828" w:rsidRDefault="00B51828" w:rsidP="002101D2">
      <w:r>
        <w:t>Second, expert opinions for morphological pathology would be provided by pathologists and laboratories operating under the same regulatory requirements as those for initial pathology opinions; that is, Approved Pathology Practitioners (APP) operating in National Association of Testing Authorities (NATA) and RCPA accredited laboratories (Approved Pathology Laboratory; APL)</w:t>
      </w:r>
      <w:r w:rsidR="00FD59CA">
        <w:t xml:space="preserve"> within Australia</w:t>
      </w:r>
      <w:r>
        <w:t xml:space="preserve">. </w:t>
      </w:r>
    </w:p>
    <w:p w14:paraId="07DEFB61" w14:textId="77777777" w:rsidR="00B51828" w:rsidRDefault="00B51828" w:rsidP="002101D2">
      <w:r>
        <w:t xml:space="preserve">To be eligible for public funding, the service would be required to be undertaken in NATA/RCPA accredited laboratories within Australia. Furthermore, the Anatomical Pathologists, and General Pathologists, who provide the morphological interpretive assessment would be required to have Fellowship of the RCPA, or equivalent. </w:t>
      </w:r>
    </w:p>
    <w:p w14:paraId="105E7D8D" w14:textId="77777777" w:rsidR="00B51828" w:rsidRDefault="00B51828" w:rsidP="002101D2">
      <w:r w:rsidRPr="00770688">
        <w:t xml:space="preserve">Under the proposed funding arrangement, an expert pathology opinion </w:t>
      </w:r>
      <w:r>
        <w:t xml:space="preserve">could be sought from within the same </w:t>
      </w:r>
      <w:r w:rsidRPr="00770688">
        <w:t>Approved Pathology Authority (APA)</w:t>
      </w:r>
      <w:r>
        <w:t>, but must be conducted by a pathologist from a different APL. This requirement has been proposed by the Applicant to avoid any concern that inappropriate internal pathologist referrals might be made to generate revenue. However, the requirement that the two pathologists are from different APLs would also apply in circumstances where the expert opinion was clinician-initiated. C</w:t>
      </w:r>
      <w:r w:rsidRPr="000638B6">
        <w:t>onsideration should be given as to whether there could also be inappropriate referrals between a clinician and an expert pathologist who are co-located at a tertiary treatment centre.</w:t>
      </w:r>
    </w:p>
    <w:p w14:paraId="14033E60" w14:textId="77777777" w:rsidR="00B51828" w:rsidRDefault="00B51828" w:rsidP="002101D2">
      <w:r w:rsidRPr="00770688">
        <w:lastRenderedPageBreak/>
        <w:t>Experts advise that within any given laboratory there are many referrals for second opinion between pathologists during the course of a day’s work.</w:t>
      </w:r>
      <w:r w:rsidRPr="00770688">
        <w:rPr>
          <w:rStyle w:val="FootnoteReference"/>
          <w:szCs w:val="24"/>
        </w:rPr>
        <w:footnoteReference w:id="2"/>
      </w:r>
      <w:r w:rsidRPr="00770688">
        <w:t xml:space="preserve"> It is not the intent of the application to pro</w:t>
      </w:r>
      <w:r>
        <w:t>vide funding for this activity. As such, the proposed MBS items require that expert opinion can only be sought from a pathologist at a different APL to that of the initial pathologist, upon the request of the treating clinician. It is argued that if the initial pathologist defers to expert opinion too often, it is quite likely that the clinician will refrain from using them for diagnosis in the future.</w:t>
      </w:r>
    </w:p>
    <w:p w14:paraId="5B7CAC89" w14:textId="77777777" w:rsidR="00B51828" w:rsidRPr="00AA1AAD" w:rsidRDefault="00B51828" w:rsidP="00B51828">
      <w:pPr>
        <w:pStyle w:val="Heading3"/>
        <w:numPr>
          <w:ilvl w:val="2"/>
          <w:numId w:val="1"/>
        </w:numPr>
      </w:pPr>
      <w:bookmarkStart w:id="29" w:name="_Ref394580046"/>
      <w:r>
        <w:t>Co-administered and associated services</w:t>
      </w:r>
      <w:bookmarkEnd w:id="29"/>
    </w:p>
    <w:p w14:paraId="58F3DE6E" w14:textId="77777777" w:rsidR="00B51828" w:rsidRDefault="00B51828" w:rsidP="002101D2">
      <w:pPr>
        <w:rPr>
          <w:rFonts w:cs="Garamond"/>
          <w:szCs w:val="24"/>
          <w:lang w:val="en"/>
        </w:rPr>
      </w:pPr>
      <w:bookmarkStart w:id="30" w:name="_Ref385172887"/>
      <w:r>
        <w:t>Second, expert opinions for morphological pathology are undertaken using the specimens/samples/slides used to inform the initial opinion/diagnosis from the initial pathologist. However, where necessary, the expert pathologist may repeat or conduct additional tests, such as immunohistochemistry (IHC), immunocytochemistry (ICC) or molecular testing (collectively referred to as ‘ancillary services’ or ‘ancillary tests’), to provide a more refined diagnosis. It is anticipated that any ancillary services undertaken in conjunction with a second, expert opinion could be reimbursed through the MBS in the normal way, as the fee for these additional services reflects the cost of performing and interpreting the tests.</w:t>
      </w:r>
      <w:r w:rsidRPr="00B93DB3">
        <w:rPr>
          <w:rFonts w:cs="Garamond"/>
          <w:szCs w:val="24"/>
          <w:lang w:val="en"/>
        </w:rPr>
        <w:t xml:space="preserve"> </w:t>
      </w:r>
      <w:r>
        <w:rPr>
          <w:rFonts w:cs="Garamond"/>
          <w:szCs w:val="24"/>
          <w:lang w:val="en"/>
        </w:rPr>
        <w:t>Thus,</w:t>
      </w:r>
      <w:r w:rsidRPr="00B93DB3">
        <w:rPr>
          <w:rFonts w:cs="Garamond"/>
          <w:szCs w:val="24"/>
          <w:lang w:val="en"/>
        </w:rPr>
        <w:t xml:space="preserve"> expert pathologists </w:t>
      </w:r>
      <w:r>
        <w:rPr>
          <w:rFonts w:cs="Garamond"/>
          <w:szCs w:val="24"/>
          <w:lang w:val="en"/>
        </w:rPr>
        <w:t xml:space="preserve">would be able to </w:t>
      </w:r>
      <w:r w:rsidRPr="00B93DB3">
        <w:rPr>
          <w:rFonts w:cs="Garamond"/>
          <w:szCs w:val="24"/>
          <w:lang w:val="en"/>
        </w:rPr>
        <w:t xml:space="preserve">charge for </w:t>
      </w:r>
      <w:r>
        <w:rPr>
          <w:rFonts w:cs="Garamond"/>
          <w:szCs w:val="24"/>
          <w:lang w:val="en"/>
        </w:rPr>
        <w:t>additional ancillary</w:t>
      </w:r>
      <w:r w:rsidRPr="00B93DB3">
        <w:rPr>
          <w:rFonts w:cs="Garamond"/>
          <w:szCs w:val="24"/>
          <w:lang w:val="en"/>
        </w:rPr>
        <w:t xml:space="preserve"> </w:t>
      </w:r>
      <w:r>
        <w:rPr>
          <w:rFonts w:cs="Garamond"/>
          <w:szCs w:val="24"/>
          <w:lang w:val="en"/>
        </w:rPr>
        <w:t>tests</w:t>
      </w:r>
      <w:r w:rsidRPr="00B93DB3">
        <w:rPr>
          <w:rFonts w:cs="Garamond"/>
          <w:szCs w:val="24"/>
          <w:lang w:val="en"/>
        </w:rPr>
        <w:t xml:space="preserve"> required to</w:t>
      </w:r>
      <w:r>
        <w:rPr>
          <w:rFonts w:cs="Garamond"/>
          <w:szCs w:val="24"/>
          <w:lang w:val="en"/>
        </w:rPr>
        <w:t xml:space="preserve"> provide a definitive diagnosis, irrespective of whether </w:t>
      </w:r>
      <w:r w:rsidRPr="00B93DB3">
        <w:rPr>
          <w:rFonts w:cs="Garamond"/>
          <w:szCs w:val="24"/>
          <w:lang w:val="en"/>
        </w:rPr>
        <w:t xml:space="preserve">or not the test had already been conducted to inform the original pathology opinion. </w:t>
      </w:r>
    </w:p>
    <w:p w14:paraId="1EA919EC" w14:textId="77777777" w:rsidR="00B51828" w:rsidRPr="00D63E06" w:rsidRDefault="00B51828" w:rsidP="002101D2">
      <w:r>
        <w:rPr>
          <w:rFonts w:cs="Garamond"/>
          <w:szCs w:val="24"/>
          <w:lang w:val="en"/>
        </w:rPr>
        <w:t xml:space="preserve">Examination of patient material using IHC, ICC or electron microscopy is subject to Rule 13 of the Pathology Services Table, which states that if multiple services are delivered in a single patient </w:t>
      </w:r>
      <w:r w:rsidRPr="00B76A6C">
        <w:rPr>
          <w:rFonts w:cs="Garamond"/>
          <w:szCs w:val="24"/>
          <w:lang w:val="en"/>
        </w:rPr>
        <w:t>episode, a Medicare benefit is payable only for the item performed that has the highest scheduled fee (see Appendix 2).</w:t>
      </w:r>
      <w:r w:rsidRPr="00B76A6C">
        <w:t xml:space="preserve"> </w:t>
      </w:r>
      <w:r w:rsidRPr="00B76A6C">
        <w:rPr>
          <w:rFonts w:cs="Garamond"/>
          <w:szCs w:val="24"/>
          <w:lang w:val="en"/>
        </w:rPr>
        <w:t xml:space="preserve">The Applicant has advised that current MBS </w:t>
      </w:r>
      <w:r>
        <w:rPr>
          <w:rFonts w:cs="Garamond"/>
          <w:szCs w:val="24"/>
          <w:lang w:val="en"/>
        </w:rPr>
        <w:t>‘</w:t>
      </w:r>
      <w:r w:rsidRPr="00B76A6C">
        <w:rPr>
          <w:rFonts w:cs="Garamond"/>
          <w:szCs w:val="24"/>
          <w:lang w:val="en"/>
        </w:rPr>
        <w:t>cones</w:t>
      </w:r>
      <w:r>
        <w:rPr>
          <w:rFonts w:cs="Garamond"/>
          <w:szCs w:val="24"/>
          <w:lang w:val="en"/>
        </w:rPr>
        <w:t>’</w:t>
      </w:r>
      <w:r w:rsidRPr="00B76A6C">
        <w:rPr>
          <w:rFonts w:cs="Garamond"/>
          <w:szCs w:val="24"/>
          <w:lang w:val="en"/>
        </w:rPr>
        <w:t xml:space="preserve"> provide a significant disincentive to</w:t>
      </w:r>
      <w:r w:rsidRPr="00B93DB3">
        <w:rPr>
          <w:rFonts w:cs="Garamond"/>
          <w:szCs w:val="24"/>
          <w:lang w:val="en"/>
        </w:rPr>
        <w:t xml:space="preserve"> unnecessary ordering of ancillary tests.</w:t>
      </w:r>
    </w:p>
    <w:p w14:paraId="58544528" w14:textId="77777777" w:rsidR="00B51828" w:rsidRDefault="00B51828" w:rsidP="002101D2">
      <w:r>
        <w:t>The need to repeat or conduct ancillary tests will vary according to the clinical condition under review. For example, additional IHC stains are often required to confirm, refute or modify a lymphoma diagnosis whereas it would be rare to repeat stains for breast or colon cancer review</w:t>
      </w:r>
      <w:r>
        <w:rPr>
          <w:rStyle w:val="FootnoteReference"/>
        </w:rPr>
        <w:footnoteReference w:id="3"/>
      </w:r>
      <w:r>
        <w:t xml:space="preserve">. </w:t>
      </w:r>
    </w:p>
    <w:p w14:paraId="33EDE1E1" w14:textId="77777777" w:rsidR="00B51828" w:rsidRDefault="00B51828" w:rsidP="002101D2">
      <w:r>
        <w:t>Likewise, it would rarely be the case that an expert pathologist would need to conduct additional electron microscopy or enzyme histochemistry as part of their review. In cases where electron microscopy is required, it would most likely have been conducted by the initial reporting pathologist and the relevant images or grids would be sent to the expert pathologist. Nevertheless, it is anticipated that, if required, these additional services would be claimed through the existing scheduled item in the normal way, in conjunction with one of the proposed expert opinion items.</w:t>
      </w:r>
    </w:p>
    <w:p w14:paraId="47FF401E" w14:textId="77777777" w:rsidR="00B51828" w:rsidRPr="00770688" w:rsidRDefault="00B51828" w:rsidP="002101D2">
      <w:pPr>
        <w:rPr>
          <w:szCs w:val="24"/>
        </w:rPr>
      </w:pPr>
      <w:r>
        <w:rPr>
          <w:szCs w:val="24"/>
        </w:rPr>
        <w:t xml:space="preserve">The provision of external expert opinion is also associated with </w:t>
      </w:r>
      <w:r w:rsidRPr="00770688">
        <w:rPr>
          <w:szCs w:val="24"/>
        </w:rPr>
        <w:t xml:space="preserve">administrative and </w:t>
      </w:r>
      <w:r>
        <w:rPr>
          <w:szCs w:val="24"/>
        </w:rPr>
        <w:t>handling</w:t>
      </w:r>
      <w:r w:rsidRPr="00770688">
        <w:rPr>
          <w:szCs w:val="24"/>
        </w:rPr>
        <w:t xml:space="preserve"> costs </w:t>
      </w:r>
      <w:r>
        <w:rPr>
          <w:szCs w:val="24"/>
        </w:rPr>
        <w:t xml:space="preserve">relating to </w:t>
      </w:r>
      <w:r w:rsidRPr="00770688">
        <w:rPr>
          <w:szCs w:val="24"/>
        </w:rPr>
        <w:t>trans</w:t>
      </w:r>
      <w:r>
        <w:rPr>
          <w:szCs w:val="24"/>
        </w:rPr>
        <w:t>ferr</w:t>
      </w:r>
      <w:r w:rsidRPr="00770688">
        <w:rPr>
          <w:szCs w:val="24"/>
        </w:rPr>
        <w:t>ing the origina</w:t>
      </w:r>
      <w:r>
        <w:rPr>
          <w:szCs w:val="24"/>
        </w:rPr>
        <w:t>l specimens/slides to and from an external</w:t>
      </w:r>
      <w:r w:rsidRPr="00770688">
        <w:rPr>
          <w:szCs w:val="24"/>
        </w:rPr>
        <w:t xml:space="preserve"> expert pathologist</w:t>
      </w:r>
      <w:r>
        <w:rPr>
          <w:szCs w:val="24"/>
        </w:rPr>
        <w:t>. It is unclear</w:t>
      </w:r>
      <w:r w:rsidRPr="00770688">
        <w:rPr>
          <w:szCs w:val="24"/>
        </w:rPr>
        <w:t xml:space="preserve"> whether utilisation of the</w:t>
      </w:r>
      <w:r>
        <w:rPr>
          <w:szCs w:val="24"/>
        </w:rPr>
        <w:t xml:space="preserve"> ‘</w:t>
      </w:r>
      <w:r w:rsidRPr="00770688">
        <w:rPr>
          <w:szCs w:val="24"/>
        </w:rPr>
        <w:t>specimen referred fee</w:t>
      </w:r>
      <w:r>
        <w:rPr>
          <w:szCs w:val="24"/>
        </w:rPr>
        <w:t>’ (MBS Group 11, i</w:t>
      </w:r>
      <w:r w:rsidRPr="00770688">
        <w:rPr>
          <w:szCs w:val="24"/>
        </w:rPr>
        <w:t xml:space="preserve">tem 73940) would be appropriate to cover </w:t>
      </w:r>
      <w:r>
        <w:rPr>
          <w:szCs w:val="24"/>
        </w:rPr>
        <w:t>these costs</w:t>
      </w:r>
      <w:r w:rsidRPr="00770688">
        <w:rPr>
          <w:szCs w:val="24"/>
        </w:rPr>
        <w:t xml:space="preserve">. </w:t>
      </w:r>
      <w:r>
        <w:rPr>
          <w:szCs w:val="24"/>
        </w:rPr>
        <w:t>T</w:t>
      </w:r>
      <w:r w:rsidRPr="00770688">
        <w:rPr>
          <w:szCs w:val="24"/>
        </w:rPr>
        <w:t>he current wording of MBS item 73940 is restricted to being claimed by the second laboratory</w:t>
      </w:r>
      <w:r>
        <w:rPr>
          <w:szCs w:val="24"/>
        </w:rPr>
        <w:t>; however</w:t>
      </w:r>
      <w:r w:rsidRPr="00770688">
        <w:rPr>
          <w:szCs w:val="24"/>
        </w:rPr>
        <w:t xml:space="preserve">, there are costs involved with both laboratories. Laboratory 1 may incur costs of </w:t>
      </w:r>
      <w:r w:rsidRPr="00770688">
        <w:rPr>
          <w:szCs w:val="24"/>
        </w:rPr>
        <w:lastRenderedPageBreak/>
        <w:t>retrieving the slides from the archives, and would incur the cost of collating the case, sending the slides and refining the original diagnosis and for re-filing the case material upon return. Laboratory 2 would incur costs in receiving the case material and accessioning the case; and packaging and returning the case material to Laboratory 1 at the end of the episode.</w:t>
      </w:r>
      <w:r w:rsidRPr="00770688">
        <w:rPr>
          <w:rStyle w:val="FootnoteReference"/>
          <w:szCs w:val="24"/>
        </w:rPr>
        <w:footnoteReference w:id="4"/>
      </w:r>
      <w:r w:rsidRPr="00770688">
        <w:rPr>
          <w:szCs w:val="24"/>
        </w:rPr>
        <w:t xml:space="preserve"> </w:t>
      </w:r>
      <w:r>
        <w:rPr>
          <w:szCs w:val="24"/>
        </w:rPr>
        <w:t xml:space="preserve">In the Final Protocol (p14), </w:t>
      </w:r>
      <w:r w:rsidRPr="00770688">
        <w:rPr>
          <w:szCs w:val="24"/>
        </w:rPr>
        <w:t xml:space="preserve">PASC suggested that these costs require separate consideration, similar to </w:t>
      </w:r>
      <w:r>
        <w:rPr>
          <w:szCs w:val="24"/>
        </w:rPr>
        <w:t>MSAC A</w:t>
      </w:r>
      <w:r w:rsidRPr="00770688">
        <w:rPr>
          <w:szCs w:val="24"/>
        </w:rPr>
        <w:t xml:space="preserve">pplication 1331 (Retrieval of tissue for further diagnostic testing specifically genetic testing for diagnostic/prognostic purposes). </w:t>
      </w:r>
    </w:p>
    <w:p w14:paraId="264B8E66" w14:textId="77777777" w:rsidR="00B51828" w:rsidRPr="000734BA" w:rsidRDefault="00B51828" w:rsidP="00B51828">
      <w:pPr>
        <w:pStyle w:val="Heading3"/>
        <w:numPr>
          <w:ilvl w:val="2"/>
          <w:numId w:val="1"/>
        </w:numPr>
      </w:pPr>
      <w:bookmarkStart w:id="31" w:name="_Ref394416267"/>
      <w:r w:rsidRPr="000734BA">
        <w:t>Current reimbursement arrangements</w:t>
      </w:r>
      <w:bookmarkEnd w:id="30"/>
      <w:bookmarkEnd w:id="31"/>
    </w:p>
    <w:p w14:paraId="3BA2AE2E" w14:textId="2EFC2B3A" w:rsidR="00B51828" w:rsidRPr="000734BA" w:rsidRDefault="00B51828" w:rsidP="002101D2">
      <w:r w:rsidRPr="000734BA">
        <w:t>Currently, the public reimbursement of pathology opinions only applies to the initial pathology</w:t>
      </w:r>
      <w:r>
        <w:t xml:space="preserve"> report (see </w:t>
      </w:r>
      <w:r w:rsidRPr="000C6BCF">
        <w:t xml:space="preserve">Section </w:t>
      </w:r>
      <w:r w:rsidRPr="000C6BCF">
        <w:fldChar w:fldCharType="begin"/>
      </w:r>
      <w:r w:rsidRPr="000C6BCF">
        <w:instrText xml:space="preserve"> REF _Ref385171883 \r \h </w:instrText>
      </w:r>
      <w:r>
        <w:instrText xml:space="preserve"> \* MERGEFORMAT </w:instrText>
      </w:r>
      <w:r w:rsidRPr="000C6BCF">
        <w:fldChar w:fldCharType="separate"/>
      </w:r>
      <w:r w:rsidR="0044620B">
        <w:t>A.2.5</w:t>
      </w:r>
      <w:r w:rsidRPr="000C6BCF">
        <w:fldChar w:fldCharType="end"/>
      </w:r>
      <w:r w:rsidRPr="000C6BCF">
        <w:t xml:space="preserve"> for details of the existing pathology ser</w:t>
      </w:r>
      <w:r>
        <w:t xml:space="preserve">vices relevant to this </w:t>
      </w:r>
      <w:r w:rsidR="007C5E96">
        <w:t>a</w:t>
      </w:r>
      <w:r w:rsidRPr="000C6BCF">
        <w:t xml:space="preserve">pplication). As discussed in </w:t>
      </w:r>
      <w:r>
        <w:t xml:space="preserve">Section </w:t>
      </w:r>
      <w:r>
        <w:fldChar w:fldCharType="begin"/>
      </w:r>
      <w:r>
        <w:instrText xml:space="preserve"> REF _Ref385414076 \w \h </w:instrText>
      </w:r>
      <w:r>
        <w:fldChar w:fldCharType="separate"/>
      </w:r>
      <w:r w:rsidR="0044620B">
        <w:t>A.2.1</w:t>
      </w:r>
      <w:r>
        <w:fldChar w:fldCharType="end"/>
      </w:r>
      <w:r w:rsidRPr="000C6BCF">
        <w:t>, morphological diagnosis and staging is integral to the management of many diseases</w:t>
      </w:r>
      <w:r>
        <w:t>, particularly cancers. Providing a definitive diagnosis can be difficult in rare or complex diseases and so a second opinion from another pathologist with a particular expertise in the condition, or type of disease, is sometimes required. I</w:t>
      </w:r>
      <w:r w:rsidRPr="009030C3">
        <w:t xml:space="preserve">n circumstances where </w:t>
      </w:r>
      <w:r>
        <w:t>an expert</w:t>
      </w:r>
      <w:r w:rsidRPr="009030C3">
        <w:t xml:space="preserve"> pathology opinion is considered necessary for </w:t>
      </w:r>
      <w:r>
        <w:t>patient management</w:t>
      </w:r>
      <w:r w:rsidRPr="009030C3">
        <w:t xml:space="preserve">, </w:t>
      </w:r>
      <w:r>
        <w:t>it</w:t>
      </w:r>
      <w:r w:rsidRPr="009030C3">
        <w:t xml:space="preserve"> </w:t>
      </w:r>
      <w:r>
        <w:t>is</w:t>
      </w:r>
      <w:r w:rsidRPr="009030C3">
        <w:t xml:space="preserve"> requested and provided though approved laboratories</w:t>
      </w:r>
      <w:r>
        <w:t xml:space="preserve"> but this extra service </w:t>
      </w:r>
      <w:r w:rsidRPr="009030C3">
        <w:t xml:space="preserve">is not eligible for MBS reimbursement. Therefore, the second </w:t>
      </w:r>
      <w:r>
        <w:t xml:space="preserve">pathologist </w:t>
      </w:r>
      <w:r w:rsidRPr="009030C3">
        <w:t>opinion is currently provided either</w:t>
      </w:r>
      <w:r>
        <w:t>:</w:t>
      </w:r>
      <w:r w:rsidRPr="009030C3">
        <w:t xml:space="preserve"> (i) without payment; (ii) at the expense of the patient; (iii) at the expense of the requesting hospital/unit (which may be </w:t>
      </w:r>
      <w:r w:rsidRPr="000734BA">
        <w:t xml:space="preserve">publicly funded through other health budgets); or (iv) at the expense of the initial pathology laboratory, if this was the source of the referral.  </w:t>
      </w:r>
    </w:p>
    <w:p w14:paraId="6B00ED5B" w14:textId="77777777" w:rsidR="00B51828" w:rsidRDefault="00B51828" w:rsidP="002101D2">
      <w:r w:rsidRPr="000734BA">
        <w:t>There is</w:t>
      </w:r>
      <w:r>
        <w:t xml:space="preserve"> anecdotal evidence that second,</w:t>
      </w:r>
      <w:r w:rsidRPr="000734BA">
        <w:t xml:space="preserve"> expert opinions are not sought as frequently as they should be (particularly from isolated regional or remote pathologists) if there is a charge levied on the service (or to the patient) by the referring laboratory or if it is seen as an impost on colleagues.</w:t>
      </w:r>
      <w:r w:rsidRPr="000734BA">
        <w:rPr>
          <w:vertAlign w:val="superscript"/>
        </w:rPr>
        <w:footnoteReference w:id="5"/>
      </w:r>
    </w:p>
    <w:p w14:paraId="1D9EA350" w14:textId="77777777" w:rsidR="00B51828" w:rsidRDefault="00B51828" w:rsidP="00B51828">
      <w:pPr>
        <w:pStyle w:val="Heading3"/>
        <w:numPr>
          <w:ilvl w:val="2"/>
          <w:numId w:val="1"/>
        </w:numPr>
        <w:rPr>
          <w:lang w:val="en-US" w:eastAsia="ja-JP"/>
        </w:rPr>
      </w:pPr>
      <w:bookmarkStart w:id="32" w:name="_Ref385171883"/>
      <w:r>
        <w:rPr>
          <w:lang w:val="en-US" w:eastAsia="ja-JP"/>
        </w:rPr>
        <w:t>Existing pathology services for morphological pathology</w:t>
      </w:r>
      <w:bookmarkEnd w:id="32"/>
    </w:p>
    <w:p w14:paraId="69EBF33A" w14:textId="77777777" w:rsidR="00B51828" w:rsidRDefault="00B51828" w:rsidP="002101D2">
      <w:r>
        <w:rPr>
          <w:bCs/>
        </w:rPr>
        <w:t>Under current arrangements, pathologists are reimbursed for initial pathology opinions using items under Category 6 (Pathology Services) of the MBS. Haematology, histology and cytopathology services that are relevant to this assessment are covered in Group P1 (Haematology), Group P5 (Tissue pathology) and Group P6 (Cytology) of Category 6</w:t>
      </w:r>
      <w:r>
        <w:t xml:space="preserve"> (see Appendix 2 for the full MBS item descriptors and fees). </w:t>
      </w:r>
    </w:p>
    <w:p w14:paraId="1BDED6A2" w14:textId="77777777" w:rsidR="00B51828" w:rsidRDefault="00B51828" w:rsidP="002101D2">
      <w:r>
        <w:t>Many of these services involve the examination of tissue or cells under a microscope and are usually conducted when the presence of a disease or health condition is suspected in order to provide a definitive diagnosis.</w:t>
      </w:r>
    </w:p>
    <w:p w14:paraId="4EDCC12B" w14:textId="77777777" w:rsidR="00B51828" w:rsidRPr="004E6F90" w:rsidRDefault="00B51828" w:rsidP="002101D2">
      <w:pPr>
        <w:pStyle w:val="Heading4"/>
      </w:pPr>
      <w:r w:rsidRPr="004E6F90">
        <w:lastRenderedPageBreak/>
        <w:t xml:space="preserve">Haematology (bone marrow) items </w:t>
      </w:r>
    </w:p>
    <w:p w14:paraId="05EB70EE" w14:textId="77777777" w:rsidR="00B51828" w:rsidRDefault="00B51828" w:rsidP="006E65FC">
      <w:pPr>
        <w:keepNext/>
      </w:pPr>
      <w:r>
        <w:t xml:space="preserve">Examination of bone marrow specimens is included in Group P1 (items 65084-65087). The pathology opinion may involve examination of aspirated material and histopathological sections of bone marrow trephine biopsies. The MBS Schedule fee for bone marrow items is inclusive of any ancillary test described in items 65060, 65066 and 65070. In addition to those ancillary services included in the Schedule fee, the expert pathologists may undertake other relevant ancillary tests that are not necessarily in Group P1, such as immunoperoxidase stains on bone marrow trephines (claimed under Group P5, item 72846). </w:t>
      </w:r>
    </w:p>
    <w:p w14:paraId="345819ED" w14:textId="77777777" w:rsidR="00B51828" w:rsidRPr="00D00ADF" w:rsidRDefault="00B51828" w:rsidP="002101D2">
      <w:pPr>
        <w:pStyle w:val="Caption"/>
      </w:pPr>
      <w:bookmarkStart w:id="33" w:name="_Toc396211727"/>
      <w:r>
        <w:t xml:space="preserve">Table </w:t>
      </w:r>
      <w:fldSimple w:instr=" STYLEREF 2 \s ">
        <w:r w:rsidR="0044620B">
          <w:rPr>
            <w:noProof/>
          </w:rPr>
          <w:t>A.2</w:t>
        </w:r>
      </w:fldSimple>
      <w:r>
        <w:noBreakHyphen/>
      </w:r>
      <w:fldSimple w:instr=" SEQ Table \* ARABIC \s 2 ">
        <w:r w:rsidR="0044620B">
          <w:rPr>
            <w:noProof/>
          </w:rPr>
          <w:t>1</w:t>
        </w:r>
      </w:fldSimple>
      <w:r>
        <w:tab/>
        <w:t>Relevant Medicare items in Group P1 (Haematology)</w:t>
      </w:r>
      <w:bookmarkEnd w:id="33"/>
    </w:p>
    <w:tbl>
      <w:tblPr>
        <w:tblStyle w:val="TableGrid"/>
        <w:tblW w:w="4610" w:type="pct"/>
        <w:tblInd w:w="704" w:type="dxa"/>
        <w:tblLook w:val="04A0" w:firstRow="1" w:lastRow="0" w:firstColumn="1" w:lastColumn="0" w:noHBand="0" w:noVBand="1"/>
        <w:tblCaption w:val="Relevant Medicare items in Group P1 (Haematology)"/>
        <w:tblDescription w:val="MBS items, brief descriptors and Schedules fees for Group P1 bone marrow items."/>
      </w:tblPr>
      <w:tblGrid>
        <w:gridCol w:w="1186"/>
        <w:gridCol w:w="6088"/>
        <w:gridCol w:w="1247"/>
      </w:tblGrid>
      <w:tr w:rsidR="00B51828" w:rsidRPr="00851D0E" w14:paraId="2459DAAD" w14:textId="77777777" w:rsidTr="006F2875">
        <w:trPr>
          <w:tblHeader/>
        </w:trPr>
        <w:tc>
          <w:tcPr>
            <w:tcW w:w="1132" w:type="dxa"/>
          </w:tcPr>
          <w:p w14:paraId="32E76D2B" w14:textId="77777777" w:rsidR="00B51828" w:rsidRPr="001D29BD" w:rsidRDefault="00B51828" w:rsidP="002101D2">
            <w:pPr>
              <w:spacing w:before="20" w:after="20"/>
              <w:ind w:left="0"/>
              <w:rPr>
                <w:rFonts w:ascii="Arial Narrow" w:hAnsi="Arial Narrow"/>
                <w:b/>
                <w:sz w:val="20"/>
                <w:szCs w:val="20"/>
              </w:rPr>
            </w:pPr>
            <w:r w:rsidRPr="001D29BD">
              <w:rPr>
                <w:rFonts w:ascii="Arial Narrow" w:hAnsi="Arial Narrow"/>
                <w:b/>
                <w:sz w:val="20"/>
                <w:szCs w:val="20"/>
              </w:rPr>
              <w:t>MBS item</w:t>
            </w:r>
          </w:p>
        </w:tc>
        <w:tc>
          <w:tcPr>
            <w:tcW w:w="5814" w:type="dxa"/>
          </w:tcPr>
          <w:p w14:paraId="7353DCD1" w14:textId="77777777" w:rsidR="00B51828" w:rsidRPr="001D29BD" w:rsidRDefault="00B51828" w:rsidP="002101D2">
            <w:pPr>
              <w:spacing w:before="20" w:after="20"/>
              <w:ind w:left="0"/>
              <w:rPr>
                <w:rFonts w:ascii="Arial Narrow" w:hAnsi="Arial Narrow"/>
                <w:b/>
                <w:sz w:val="20"/>
                <w:szCs w:val="20"/>
              </w:rPr>
            </w:pPr>
            <w:r w:rsidRPr="001D29BD">
              <w:rPr>
                <w:rFonts w:ascii="Arial Narrow" w:hAnsi="Arial Narrow"/>
                <w:b/>
                <w:sz w:val="20"/>
                <w:szCs w:val="20"/>
              </w:rPr>
              <w:t>Brief descriptor</w:t>
            </w:r>
          </w:p>
        </w:tc>
        <w:tc>
          <w:tcPr>
            <w:tcW w:w="1191" w:type="dxa"/>
          </w:tcPr>
          <w:p w14:paraId="734B21BA" w14:textId="77777777" w:rsidR="00B51828" w:rsidRPr="001D29BD" w:rsidRDefault="00B51828" w:rsidP="002101D2">
            <w:pPr>
              <w:spacing w:before="20" w:after="20"/>
              <w:ind w:left="0"/>
              <w:jc w:val="right"/>
              <w:rPr>
                <w:rFonts w:ascii="Arial Narrow" w:hAnsi="Arial Narrow"/>
                <w:b/>
                <w:sz w:val="20"/>
                <w:szCs w:val="20"/>
              </w:rPr>
            </w:pPr>
            <w:r>
              <w:rPr>
                <w:rFonts w:ascii="Arial Narrow" w:hAnsi="Arial Narrow"/>
                <w:b/>
                <w:sz w:val="20"/>
                <w:szCs w:val="20"/>
              </w:rPr>
              <w:t>Schedule f</w:t>
            </w:r>
            <w:r w:rsidRPr="001D29BD">
              <w:rPr>
                <w:rFonts w:ascii="Arial Narrow" w:hAnsi="Arial Narrow"/>
                <w:b/>
                <w:sz w:val="20"/>
                <w:szCs w:val="20"/>
              </w:rPr>
              <w:t>ee</w:t>
            </w:r>
          </w:p>
        </w:tc>
      </w:tr>
      <w:tr w:rsidR="006F2875" w:rsidRPr="00851D0E" w14:paraId="3E6A5D44" w14:textId="77777777" w:rsidTr="006F2875">
        <w:tc>
          <w:tcPr>
            <w:tcW w:w="1132" w:type="dxa"/>
            <w:shd w:val="clear" w:color="auto" w:fill="BFBFBF" w:themeFill="background1" w:themeFillShade="BF"/>
          </w:tcPr>
          <w:p w14:paraId="6853B93E" w14:textId="77777777" w:rsidR="006F2875" w:rsidRPr="00D5518F" w:rsidRDefault="006F2875" w:rsidP="002101D2">
            <w:pPr>
              <w:spacing w:before="20" w:after="20"/>
              <w:ind w:left="0"/>
              <w:rPr>
                <w:rFonts w:ascii="Arial Narrow" w:hAnsi="Arial Narrow"/>
                <w:b/>
                <w:sz w:val="20"/>
                <w:szCs w:val="20"/>
              </w:rPr>
            </w:pPr>
            <w:r>
              <w:rPr>
                <w:rFonts w:ascii="Arial Narrow" w:hAnsi="Arial Narrow"/>
                <w:b/>
                <w:sz w:val="20"/>
                <w:szCs w:val="20"/>
              </w:rPr>
              <w:t>‘</w:t>
            </w:r>
            <w:r w:rsidRPr="00D5518F">
              <w:rPr>
                <w:rFonts w:ascii="Arial Narrow" w:hAnsi="Arial Narrow"/>
                <w:b/>
                <w:sz w:val="20"/>
                <w:szCs w:val="20"/>
              </w:rPr>
              <w:t>Core</w:t>
            </w:r>
            <w:r>
              <w:rPr>
                <w:rFonts w:ascii="Arial Narrow" w:hAnsi="Arial Narrow"/>
                <w:b/>
                <w:sz w:val="20"/>
                <w:szCs w:val="20"/>
              </w:rPr>
              <w:t>’</w:t>
            </w:r>
            <w:r w:rsidRPr="00D5518F">
              <w:rPr>
                <w:rFonts w:ascii="Arial Narrow" w:hAnsi="Arial Narrow"/>
                <w:b/>
                <w:sz w:val="20"/>
                <w:szCs w:val="20"/>
              </w:rPr>
              <w:t xml:space="preserve"> items</w:t>
            </w:r>
          </w:p>
        </w:tc>
        <w:tc>
          <w:tcPr>
            <w:tcW w:w="5814" w:type="dxa"/>
            <w:shd w:val="clear" w:color="auto" w:fill="BFBFBF" w:themeFill="background1" w:themeFillShade="BF"/>
          </w:tcPr>
          <w:p w14:paraId="6EF674DC" w14:textId="78FDEA67" w:rsidR="006F2875" w:rsidRPr="00D5518F" w:rsidRDefault="006F2875" w:rsidP="002101D2">
            <w:pPr>
              <w:spacing w:before="20" w:after="20"/>
              <w:ind w:left="0"/>
              <w:rPr>
                <w:rFonts w:ascii="Arial Narrow" w:hAnsi="Arial Narrow"/>
                <w:b/>
                <w:sz w:val="20"/>
                <w:szCs w:val="20"/>
              </w:rPr>
            </w:pPr>
            <w:r>
              <w:rPr>
                <w:rFonts w:ascii="Arial Narrow" w:hAnsi="Arial Narrow"/>
                <w:b/>
                <w:sz w:val="20"/>
                <w:szCs w:val="20"/>
              </w:rPr>
              <w:t>-</w:t>
            </w:r>
          </w:p>
        </w:tc>
        <w:tc>
          <w:tcPr>
            <w:tcW w:w="1191" w:type="dxa"/>
            <w:shd w:val="clear" w:color="auto" w:fill="BFBFBF" w:themeFill="background1" w:themeFillShade="BF"/>
          </w:tcPr>
          <w:p w14:paraId="2626ED4D" w14:textId="1ED9A186" w:rsidR="006F2875" w:rsidRPr="00D5518F" w:rsidRDefault="006F2875" w:rsidP="006F2875">
            <w:pPr>
              <w:spacing w:before="20" w:after="20"/>
              <w:ind w:left="0"/>
              <w:jc w:val="right"/>
              <w:rPr>
                <w:rFonts w:ascii="Arial Narrow" w:hAnsi="Arial Narrow"/>
                <w:b/>
                <w:sz w:val="20"/>
                <w:szCs w:val="20"/>
              </w:rPr>
            </w:pPr>
            <w:r>
              <w:rPr>
                <w:rFonts w:ascii="Arial Narrow" w:hAnsi="Arial Narrow"/>
                <w:b/>
                <w:sz w:val="20"/>
                <w:szCs w:val="20"/>
              </w:rPr>
              <w:t>-</w:t>
            </w:r>
          </w:p>
        </w:tc>
      </w:tr>
      <w:tr w:rsidR="00B51828" w:rsidRPr="00851D0E" w14:paraId="08F9B62B" w14:textId="77777777" w:rsidTr="006F2875">
        <w:tc>
          <w:tcPr>
            <w:tcW w:w="1132" w:type="dxa"/>
          </w:tcPr>
          <w:p w14:paraId="1188DFAF"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65084</w:t>
            </w:r>
          </w:p>
        </w:tc>
        <w:tc>
          <w:tcPr>
            <w:tcW w:w="5814" w:type="dxa"/>
          </w:tcPr>
          <w:p w14:paraId="4AF9F838"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 xml:space="preserve">Bone marrow trephine biopsy – examination of sections and aspirated material </w:t>
            </w:r>
          </w:p>
        </w:tc>
        <w:tc>
          <w:tcPr>
            <w:tcW w:w="1191" w:type="dxa"/>
          </w:tcPr>
          <w:p w14:paraId="72B4464C"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$165.85</w:t>
            </w:r>
          </w:p>
        </w:tc>
      </w:tr>
      <w:tr w:rsidR="00B51828" w:rsidRPr="00851D0E" w14:paraId="127B3A93" w14:textId="77777777" w:rsidTr="006F2875">
        <w:tc>
          <w:tcPr>
            <w:tcW w:w="1132" w:type="dxa"/>
          </w:tcPr>
          <w:p w14:paraId="6ECE3A1A"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65087</w:t>
            </w:r>
          </w:p>
        </w:tc>
        <w:tc>
          <w:tcPr>
            <w:tcW w:w="5814" w:type="dxa"/>
          </w:tcPr>
          <w:p w14:paraId="7897F745"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Bone marrow – examination of aspirated material</w:t>
            </w:r>
          </w:p>
        </w:tc>
        <w:tc>
          <w:tcPr>
            <w:tcW w:w="1191" w:type="dxa"/>
          </w:tcPr>
          <w:p w14:paraId="78F60DC5"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$83.10</w:t>
            </w:r>
          </w:p>
        </w:tc>
      </w:tr>
    </w:tbl>
    <w:p w14:paraId="1C82E48F" w14:textId="77777777" w:rsidR="00B51828" w:rsidRDefault="00B51828" w:rsidP="002101D2">
      <w:pPr>
        <w:spacing w:after="360"/>
        <w:rPr>
          <w:rFonts w:ascii="Arial Narrow" w:hAnsi="Arial Narrow"/>
          <w:sz w:val="16"/>
          <w:szCs w:val="16"/>
        </w:rPr>
      </w:pPr>
      <w:r w:rsidRPr="00834691">
        <w:rPr>
          <w:rFonts w:ascii="Arial Narrow" w:hAnsi="Arial Narrow"/>
          <w:sz w:val="16"/>
          <w:szCs w:val="16"/>
        </w:rPr>
        <w:t xml:space="preserve">Source: </w:t>
      </w:r>
      <w:r>
        <w:rPr>
          <w:rFonts w:ascii="Arial Narrow" w:hAnsi="Arial Narrow"/>
          <w:sz w:val="16"/>
          <w:szCs w:val="16"/>
        </w:rPr>
        <w:t>Final Protocol May 2014, p28</w:t>
      </w:r>
    </w:p>
    <w:p w14:paraId="6486FC8B" w14:textId="77777777" w:rsidR="00B51828" w:rsidRPr="008C6CD6" w:rsidRDefault="00B51828" w:rsidP="002101D2">
      <w:pPr>
        <w:pStyle w:val="Heading4"/>
      </w:pPr>
      <w:r>
        <w:t>Tissue pathology items</w:t>
      </w:r>
    </w:p>
    <w:p w14:paraId="29933BFC" w14:textId="77777777" w:rsidR="00B51828" w:rsidRDefault="00B51828" w:rsidP="002101D2">
      <w:r>
        <w:t xml:space="preserve">The majority of the tissue pathology services in Group P5 (items 72813-72838) involve the examination of biopsy material, often a stained histologic specimen, under a light microscope. The various item numbers differentiate the service provided based on the number of separate specimens examined and the complexity of the material (see </w:t>
      </w:r>
      <w:r>
        <w:fldChar w:fldCharType="begin"/>
      </w:r>
      <w:r>
        <w:instrText xml:space="preserve"> REF _Ref385025332 \h </w:instrText>
      </w:r>
      <w:r>
        <w:fldChar w:fldCharType="separate"/>
      </w:r>
      <w:r w:rsidR="0044620B">
        <w:t xml:space="preserve">Table </w:t>
      </w:r>
      <w:r w:rsidR="0044620B">
        <w:rPr>
          <w:noProof/>
        </w:rPr>
        <w:t>A.2</w:t>
      </w:r>
      <w:r w:rsidR="0044620B">
        <w:noBreakHyphen/>
      </w:r>
      <w:r w:rsidR="0044620B">
        <w:rPr>
          <w:noProof/>
        </w:rPr>
        <w:t>2</w:t>
      </w:r>
      <w:r>
        <w:fldChar w:fldCharType="end"/>
      </w:r>
      <w:r>
        <w:t xml:space="preserve"> for a summary of Group P5 items). </w:t>
      </w:r>
      <w:r>
        <w:fldChar w:fldCharType="begin"/>
      </w:r>
      <w:r>
        <w:instrText xml:space="preserve"> REF _Ref385025387 \h </w:instrText>
      </w:r>
      <w:r>
        <w:fldChar w:fldCharType="separate"/>
      </w:r>
      <w:r w:rsidR="0044620B">
        <w:t xml:space="preserve">Table </w:t>
      </w:r>
      <w:r w:rsidR="0044620B">
        <w:rPr>
          <w:noProof/>
        </w:rPr>
        <w:t>A.2</w:t>
      </w:r>
      <w:r w:rsidR="0044620B">
        <w:noBreakHyphen/>
      </w:r>
      <w:r w:rsidR="0044620B">
        <w:rPr>
          <w:noProof/>
        </w:rPr>
        <w:t>3</w:t>
      </w:r>
      <w:r>
        <w:fldChar w:fldCharType="end"/>
      </w:r>
      <w:r>
        <w:t xml:space="preserve"> provides a list of the complexity levels assigned to tissue types from different anatomical sites.</w:t>
      </w:r>
    </w:p>
    <w:p w14:paraId="10710412" w14:textId="77777777" w:rsidR="00B51828" w:rsidRDefault="00B51828" w:rsidP="002101D2">
      <w:r>
        <w:t>Other items in Group P5 (items 72844-72852) relate to IHC examination of biopsy material, enzyme histochemistry of skeletal muscle and electron microscopic examination. These are not ‘core’ items and are always claimed in conjunction with one of the ‘core’ items outlined above. Items relating to intraoperative consultation and examination of biopsy material by frozen section or tissue imprint or smear (items 72855-72857) are not applicable to second, expert opinion in the Australian setting. In practice, where a definitive diagnosis cannot be made intraoperatively</w:t>
      </w:r>
      <w:r w:rsidRPr="00FE3D09">
        <w:t xml:space="preserve">, </w:t>
      </w:r>
      <w:r>
        <w:t>the diagnosis is deferred to permanent section and the ‘core’ tissue pathology items apply.</w:t>
      </w:r>
    </w:p>
    <w:p w14:paraId="5AB5F1FE" w14:textId="77777777" w:rsidR="00B51828" w:rsidRDefault="00B51828" w:rsidP="002101D2">
      <w:pPr>
        <w:pStyle w:val="Caption"/>
        <w:ind w:left="2126" w:hanging="1406"/>
      </w:pPr>
      <w:bookmarkStart w:id="34" w:name="_Ref385025332"/>
      <w:bookmarkStart w:id="35" w:name="_Toc396211728"/>
      <w:r>
        <w:lastRenderedPageBreak/>
        <w:t xml:space="preserve">Table </w:t>
      </w:r>
      <w:fldSimple w:instr=" STYLEREF 2 \s ">
        <w:r w:rsidR="0044620B">
          <w:rPr>
            <w:noProof/>
          </w:rPr>
          <w:t>A.2</w:t>
        </w:r>
      </w:fldSimple>
      <w:r>
        <w:noBreakHyphen/>
      </w:r>
      <w:fldSimple w:instr=" SEQ Table \* ARABIC \s 2 ">
        <w:r w:rsidR="0044620B">
          <w:rPr>
            <w:noProof/>
          </w:rPr>
          <w:t>2</w:t>
        </w:r>
      </w:fldSimple>
      <w:bookmarkEnd w:id="34"/>
      <w:r>
        <w:tab/>
        <w:t>Medicare items in Group P5 (Tissue pathology)</w:t>
      </w:r>
      <w:bookmarkEnd w:id="35"/>
    </w:p>
    <w:tbl>
      <w:tblPr>
        <w:tblStyle w:val="TableGrid"/>
        <w:tblW w:w="4610" w:type="pct"/>
        <w:tblInd w:w="704" w:type="dxa"/>
        <w:tblLook w:val="04A0" w:firstRow="1" w:lastRow="0" w:firstColumn="1" w:lastColumn="0" w:noHBand="0" w:noVBand="1"/>
        <w:tblCaption w:val="Medicare items in Group P5 (Tissue pathology)"/>
        <w:tblDescription w:val="MBS items, brief descriptors and Schedules fees for Group P5 tissue pathology items"/>
      </w:tblPr>
      <w:tblGrid>
        <w:gridCol w:w="1453"/>
        <w:gridCol w:w="5771"/>
        <w:gridCol w:w="1297"/>
      </w:tblGrid>
      <w:tr w:rsidR="00B51828" w:rsidRPr="00851D0E" w14:paraId="45101E0B" w14:textId="77777777" w:rsidTr="00447D71">
        <w:trPr>
          <w:tblHeader/>
        </w:trPr>
        <w:tc>
          <w:tcPr>
            <w:tcW w:w="1418" w:type="dxa"/>
          </w:tcPr>
          <w:p w14:paraId="111173BE" w14:textId="77777777" w:rsidR="00B51828" w:rsidRPr="001D29BD" w:rsidRDefault="00B51828" w:rsidP="002101D2">
            <w:pPr>
              <w:keepNext/>
              <w:spacing w:before="20" w:after="20"/>
              <w:ind w:left="0"/>
              <w:rPr>
                <w:rFonts w:ascii="Arial Narrow" w:hAnsi="Arial Narrow"/>
                <w:b/>
                <w:sz w:val="20"/>
                <w:szCs w:val="20"/>
              </w:rPr>
            </w:pPr>
            <w:r w:rsidRPr="001D29BD">
              <w:rPr>
                <w:rFonts w:ascii="Arial Narrow" w:hAnsi="Arial Narrow"/>
                <w:b/>
                <w:sz w:val="20"/>
                <w:szCs w:val="20"/>
              </w:rPr>
              <w:t>MBS item</w:t>
            </w:r>
          </w:p>
        </w:tc>
        <w:tc>
          <w:tcPr>
            <w:tcW w:w="5630" w:type="dxa"/>
          </w:tcPr>
          <w:p w14:paraId="65920B06" w14:textId="77777777" w:rsidR="00B51828" w:rsidRPr="001D29BD" w:rsidRDefault="00B51828" w:rsidP="002101D2">
            <w:pPr>
              <w:keepNext/>
              <w:spacing w:before="20" w:after="20"/>
              <w:ind w:left="0"/>
              <w:rPr>
                <w:rFonts w:ascii="Arial Narrow" w:hAnsi="Arial Narrow"/>
                <w:b/>
                <w:sz w:val="20"/>
                <w:szCs w:val="20"/>
              </w:rPr>
            </w:pPr>
            <w:r w:rsidRPr="001D29BD">
              <w:rPr>
                <w:rFonts w:ascii="Arial Narrow" w:hAnsi="Arial Narrow"/>
                <w:b/>
                <w:sz w:val="20"/>
                <w:szCs w:val="20"/>
              </w:rPr>
              <w:t>Brief descriptor</w:t>
            </w:r>
          </w:p>
        </w:tc>
        <w:tc>
          <w:tcPr>
            <w:tcW w:w="1265" w:type="dxa"/>
          </w:tcPr>
          <w:p w14:paraId="2EBDDE91" w14:textId="77777777" w:rsidR="00B51828" w:rsidRPr="001D29BD" w:rsidRDefault="00B51828" w:rsidP="002101D2">
            <w:pPr>
              <w:keepNext/>
              <w:spacing w:before="20" w:after="20"/>
              <w:ind w:left="0"/>
              <w:jc w:val="right"/>
              <w:rPr>
                <w:rFonts w:ascii="Arial Narrow" w:hAnsi="Arial Narrow"/>
                <w:b/>
                <w:sz w:val="20"/>
                <w:szCs w:val="20"/>
              </w:rPr>
            </w:pPr>
            <w:r>
              <w:rPr>
                <w:rFonts w:ascii="Arial Narrow" w:hAnsi="Arial Narrow"/>
                <w:b/>
                <w:sz w:val="20"/>
                <w:szCs w:val="20"/>
              </w:rPr>
              <w:t>Schedule f</w:t>
            </w:r>
            <w:r w:rsidRPr="001D29BD">
              <w:rPr>
                <w:rFonts w:ascii="Arial Narrow" w:hAnsi="Arial Narrow"/>
                <w:b/>
                <w:sz w:val="20"/>
                <w:szCs w:val="20"/>
              </w:rPr>
              <w:t>ee</w:t>
            </w:r>
          </w:p>
        </w:tc>
      </w:tr>
      <w:tr w:rsidR="00447D71" w:rsidRPr="00851D0E" w14:paraId="16BCC411" w14:textId="77777777" w:rsidTr="00447D71">
        <w:tc>
          <w:tcPr>
            <w:tcW w:w="1418" w:type="dxa"/>
            <w:shd w:val="clear" w:color="auto" w:fill="BFBFBF" w:themeFill="background1" w:themeFillShade="BF"/>
          </w:tcPr>
          <w:p w14:paraId="5472A084" w14:textId="77777777" w:rsidR="00447D71" w:rsidRPr="00D5518F" w:rsidRDefault="00447D71" w:rsidP="002101D2">
            <w:pPr>
              <w:keepNext/>
              <w:spacing w:before="20" w:after="20"/>
              <w:ind w:left="0"/>
              <w:rPr>
                <w:rFonts w:ascii="Arial Narrow" w:hAnsi="Arial Narrow"/>
                <w:b/>
                <w:sz w:val="20"/>
                <w:szCs w:val="20"/>
              </w:rPr>
            </w:pPr>
            <w:r>
              <w:rPr>
                <w:rFonts w:ascii="Arial Narrow" w:hAnsi="Arial Narrow"/>
                <w:b/>
                <w:sz w:val="20"/>
                <w:szCs w:val="20"/>
              </w:rPr>
              <w:t>‘</w:t>
            </w:r>
            <w:r w:rsidRPr="00D5518F">
              <w:rPr>
                <w:rFonts w:ascii="Arial Narrow" w:hAnsi="Arial Narrow"/>
                <w:b/>
                <w:sz w:val="20"/>
                <w:szCs w:val="20"/>
              </w:rPr>
              <w:t>Core</w:t>
            </w:r>
            <w:r>
              <w:rPr>
                <w:rFonts w:ascii="Arial Narrow" w:hAnsi="Arial Narrow"/>
                <w:b/>
                <w:sz w:val="20"/>
                <w:szCs w:val="20"/>
              </w:rPr>
              <w:t>’</w:t>
            </w:r>
            <w:r w:rsidRPr="00D5518F">
              <w:rPr>
                <w:rFonts w:ascii="Arial Narrow" w:hAnsi="Arial Narrow"/>
                <w:b/>
                <w:sz w:val="20"/>
                <w:szCs w:val="20"/>
              </w:rPr>
              <w:t xml:space="preserve"> items</w:t>
            </w:r>
          </w:p>
        </w:tc>
        <w:tc>
          <w:tcPr>
            <w:tcW w:w="5630" w:type="dxa"/>
            <w:shd w:val="clear" w:color="auto" w:fill="BFBFBF" w:themeFill="background1" w:themeFillShade="BF"/>
          </w:tcPr>
          <w:p w14:paraId="4C84D293" w14:textId="17E85E7F" w:rsidR="00447D71" w:rsidRPr="00D5518F" w:rsidRDefault="00447D71" w:rsidP="002101D2">
            <w:pPr>
              <w:keepNext/>
              <w:spacing w:before="20" w:after="20"/>
              <w:ind w:left="0"/>
              <w:rPr>
                <w:rFonts w:ascii="Arial Narrow" w:hAnsi="Arial Narrow"/>
                <w:b/>
                <w:sz w:val="20"/>
                <w:szCs w:val="20"/>
              </w:rPr>
            </w:pPr>
            <w:r>
              <w:rPr>
                <w:rFonts w:ascii="Arial Narrow" w:hAnsi="Arial Narrow"/>
                <w:b/>
                <w:sz w:val="20"/>
                <w:szCs w:val="20"/>
              </w:rPr>
              <w:t>-</w:t>
            </w:r>
          </w:p>
        </w:tc>
        <w:tc>
          <w:tcPr>
            <w:tcW w:w="1265" w:type="dxa"/>
            <w:shd w:val="clear" w:color="auto" w:fill="BFBFBF" w:themeFill="background1" w:themeFillShade="BF"/>
          </w:tcPr>
          <w:p w14:paraId="165D5CC6" w14:textId="3AE73569" w:rsidR="00447D71" w:rsidRPr="00D5518F" w:rsidRDefault="00447D71" w:rsidP="00447D71">
            <w:pPr>
              <w:keepNext/>
              <w:spacing w:before="20" w:after="20"/>
              <w:ind w:left="0"/>
              <w:jc w:val="right"/>
              <w:rPr>
                <w:rFonts w:ascii="Arial Narrow" w:hAnsi="Arial Narrow"/>
                <w:b/>
                <w:sz w:val="20"/>
                <w:szCs w:val="20"/>
              </w:rPr>
            </w:pPr>
            <w:r>
              <w:rPr>
                <w:rFonts w:ascii="Arial Narrow" w:hAnsi="Arial Narrow"/>
                <w:b/>
                <w:sz w:val="20"/>
                <w:szCs w:val="20"/>
              </w:rPr>
              <w:t>-</w:t>
            </w:r>
          </w:p>
        </w:tc>
      </w:tr>
      <w:tr w:rsidR="00B51828" w:rsidRPr="00851D0E" w14:paraId="7DBAC470" w14:textId="77777777" w:rsidTr="00447D71">
        <w:tc>
          <w:tcPr>
            <w:tcW w:w="1418" w:type="dxa"/>
          </w:tcPr>
          <w:p w14:paraId="62BA7320"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72813</w:t>
            </w:r>
          </w:p>
        </w:tc>
        <w:tc>
          <w:tcPr>
            <w:tcW w:w="5630" w:type="dxa"/>
          </w:tcPr>
          <w:p w14:paraId="25DF803F"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2 biopsy material – ≥1 specimens</w:t>
            </w:r>
          </w:p>
        </w:tc>
        <w:tc>
          <w:tcPr>
            <w:tcW w:w="1265" w:type="dxa"/>
          </w:tcPr>
          <w:p w14:paraId="0A47C0C4"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$71.50</w:t>
            </w:r>
          </w:p>
        </w:tc>
      </w:tr>
      <w:tr w:rsidR="00B51828" w:rsidRPr="00851D0E" w14:paraId="01FE841D" w14:textId="77777777" w:rsidTr="00447D71">
        <w:tc>
          <w:tcPr>
            <w:tcW w:w="1418" w:type="dxa"/>
          </w:tcPr>
          <w:p w14:paraId="010F0775"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72816</w:t>
            </w:r>
          </w:p>
        </w:tc>
        <w:tc>
          <w:tcPr>
            <w:tcW w:w="5630" w:type="dxa"/>
          </w:tcPr>
          <w:p w14:paraId="389DD644"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3 biopsy material – 1 specimen</w:t>
            </w:r>
          </w:p>
        </w:tc>
        <w:tc>
          <w:tcPr>
            <w:tcW w:w="1265" w:type="dxa"/>
          </w:tcPr>
          <w:p w14:paraId="1A31C27A"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$86.35</w:t>
            </w:r>
          </w:p>
        </w:tc>
      </w:tr>
      <w:tr w:rsidR="00B51828" w:rsidRPr="00851D0E" w14:paraId="576AB605" w14:textId="77777777" w:rsidTr="00447D71">
        <w:tc>
          <w:tcPr>
            <w:tcW w:w="1418" w:type="dxa"/>
          </w:tcPr>
          <w:p w14:paraId="1C1EEC15"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72817</w:t>
            </w:r>
          </w:p>
        </w:tc>
        <w:tc>
          <w:tcPr>
            <w:tcW w:w="5630" w:type="dxa"/>
          </w:tcPr>
          <w:p w14:paraId="6953A72A"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3 biopsy material – 2-4 specimens</w:t>
            </w:r>
          </w:p>
        </w:tc>
        <w:tc>
          <w:tcPr>
            <w:tcW w:w="1265" w:type="dxa"/>
          </w:tcPr>
          <w:p w14:paraId="4940D651"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$96.80</w:t>
            </w:r>
          </w:p>
        </w:tc>
      </w:tr>
      <w:tr w:rsidR="00B51828" w:rsidRPr="00851D0E" w14:paraId="0A54A963" w14:textId="77777777" w:rsidTr="00447D71">
        <w:tc>
          <w:tcPr>
            <w:tcW w:w="1418" w:type="dxa"/>
          </w:tcPr>
          <w:p w14:paraId="33D5BA6E"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72818</w:t>
            </w:r>
          </w:p>
        </w:tc>
        <w:tc>
          <w:tcPr>
            <w:tcW w:w="5630" w:type="dxa"/>
          </w:tcPr>
          <w:p w14:paraId="295DD4EB"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3 biopsy material – ≥5 specimens</w:t>
            </w:r>
          </w:p>
        </w:tc>
        <w:tc>
          <w:tcPr>
            <w:tcW w:w="1265" w:type="dxa"/>
          </w:tcPr>
          <w:p w14:paraId="0FBE15BD"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$107.05</w:t>
            </w:r>
          </w:p>
        </w:tc>
      </w:tr>
      <w:tr w:rsidR="00B51828" w:rsidRPr="00851D0E" w14:paraId="236BF437" w14:textId="77777777" w:rsidTr="00447D71">
        <w:tc>
          <w:tcPr>
            <w:tcW w:w="1418" w:type="dxa"/>
          </w:tcPr>
          <w:p w14:paraId="6CF2F781"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72823</w:t>
            </w:r>
          </w:p>
        </w:tc>
        <w:tc>
          <w:tcPr>
            <w:tcW w:w="5630" w:type="dxa"/>
          </w:tcPr>
          <w:p w14:paraId="400E0713"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4 biopsy material – 1 specimen</w:t>
            </w:r>
          </w:p>
        </w:tc>
        <w:tc>
          <w:tcPr>
            <w:tcW w:w="1265" w:type="dxa"/>
          </w:tcPr>
          <w:p w14:paraId="75323D70"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$97.15</w:t>
            </w:r>
          </w:p>
        </w:tc>
      </w:tr>
      <w:tr w:rsidR="00B51828" w:rsidRPr="00851D0E" w14:paraId="5C5FFA6C" w14:textId="77777777" w:rsidTr="00447D71">
        <w:tc>
          <w:tcPr>
            <w:tcW w:w="1418" w:type="dxa"/>
          </w:tcPr>
          <w:p w14:paraId="7F84A5A3"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72824</w:t>
            </w:r>
          </w:p>
        </w:tc>
        <w:tc>
          <w:tcPr>
            <w:tcW w:w="5630" w:type="dxa"/>
          </w:tcPr>
          <w:p w14:paraId="1ED35F3E"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4 biopsy material – 2-4 specimens</w:t>
            </w:r>
          </w:p>
        </w:tc>
        <w:tc>
          <w:tcPr>
            <w:tcW w:w="1265" w:type="dxa"/>
          </w:tcPr>
          <w:p w14:paraId="2DF99F46"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$141.35</w:t>
            </w:r>
          </w:p>
        </w:tc>
      </w:tr>
      <w:tr w:rsidR="00B51828" w:rsidRPr="00851D0E" w14:paraId="1775F836" w14:textId="77777777" w:rsidTr="00447D71">
        <w:tc>
          <w:tcPr>
            <w:tcW w:w="1418" w:type="dxa"/>
          </w:tcPr>
          <w:p w14:paraId="6916F1B3"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72825</w:t>
            </w:r>
          </w:p>
        </w:tc>
        <w:tc>
          <w:tcPr>
            <w:tcW w:w="5630" w:type="dxa"/>
          </w:tcPr>
          <w:p w14:paraId="30435285"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4 biopsy material – 5-7 specimens</w:t>
            </w:r>
          </w:p>
        </w:tc>
        <w:tc>
          <w:tcPr>
            <w:tcW w:w="1265" w:type="dxa"/>
          </w:tcPr>
          <w:p w14:paraId="21C180C6"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$180.25</w:t>
            </w:r>
          </w:p>
        </w:tc>
      </w:tr>
      <w:tr w:rsidR="00B51828" w:rsidRPr="00851D0E" w14:paraId="276901BE" w14:textId="77777777" w:rsidTr="00447D71">
        <w:tc>
          <w:tcPr>
            <w:tcW w:w="1418" w:type="dxa"/>
          </w:tcPr>
          <w:p w14:paraId="23BFDFA6"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72826</w:t>
            </w:r>
          </w:p>
        </w:tc>
        <w:tc>
          <w:tcPr>
            <w:tcW w:w="5630" w:type="dxa"/>
          </w:tcPr>
          <w:p w14:paraId="12F3A758"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4 biopsy material – 8-11 specimens</w:t>
            </w:r>
          </w:p>
        </w:tc>
        <w:tc>
          <w:tcPr>
            <w:tcW w:w="1265" w:type="dxa"/>
          </w:tcPr>
          <w:p w14:paraId="28678BC0"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$194.60</w:t>
            </w:r>
          </w:p>
        </w:tc>
      </w:tr>
      <w:tr w:rsidR="00B51828" w:rsidRPr="00851D0E" w14:paraId="66F13AEA" w14:textId="77777777" w:rsidTr="00447D71">
        <w:tc>
          <w:tcPr>
            <w:tcW w:w="1418" w:type="dxa"/>
          </w:tcPr>
          <w:p w14:paraId="0274AA52"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72827</w:t>
            </w:r>
          </w:p>
        </w:tc>
        <w:tc>
          <w:tcPr>
            <w:tcW w:w="5630" w:type="dxa"/>
          </w:tcPr>
          <w:p w14:paraId="50B6CC87"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4 biopsy material – 12-17 specimens</w:t>
            </w:r>
          </w:p>
        </w:tc>
        <w:tc>
          <w:tcPr>
            <w:tcW w:w="1265" w:type="dxa"/>
          </w:tcPr>
          <w:p w14:paraId="0FD12E7D"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$208.95</w:t>
            </w:r>
          </w:p>
        </w:tc>
      </w:tr>
      <w:tr w:rsidR="00B51828" w:rsidRPr="00851D0E" w14:paraId="23A21782" w14:textId="77777777" w:rsidTr="00447D71">
        <w:tc>
          <w:tcPr>
            <w:tcW w:w="1418" w:type="dxa"/>
          </w:tcPr>
          <w:p w14:paraId="4F6E041D"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72828</w:t>
            </w:r>
          </w:p>
        </w:tc>
        <w:tc>
          <w:tcPr>
            <w:tcW w:w="5630" w:type="dxa"/>
          </w:tcPr>
          <w:p w14:paraId="4AA0B5F5"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4 biopsy material – ≥18 specimens</w:t>
            </w:r>
          </w:p>
        </w:tc>
        <w:tc>
          <w:tcPr>
            <w:tcW w:w="1265" w:type="dxa"/>
          </w:tcPr>
          <w:p w14:paraId="127167A6"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$233.30</w:t>
            </w:r>
          </w:p>
        </w:tc>
      </w:tr>
      <w:tr w:rsidR="00B51828" w:rsidRPr="00851D0E" w14:paraId="6D6D67BF" w14:textId="77777777" w:rsidTr="00447D71">
        <w:tc>
          <w:tcPr>
            <w:tcW w:w="1418" w:type="dxa"/>
          </w:tcPr>
          <w:p w14:paraId="1C6CA5A7"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72830</w:t>
            </w:r>
          </w:p>
        </w:tc>
        <w:tc>
          <w:tcPr>
            <w:tcW w:w="5630" w:type="dxa"/>
          </w:tcPr>
          <w:p w14:paraId="0F1BBFD4"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5 biopsy material –  ≥1 specimens</w:t>
            </w:r>
          </w:p>
        </w:tc>
        <w:tc>
          <w:tcPr>
            <w:tcW w:w="1265" w:type="dxa"/>
          </w:tcPr>
          <w:p w14:paraId="369AD86C"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$274.15</w:t>
            </w:r>
          </w:p>
        </w:tc>
      </w:tr>
      <w:tr w:rsidR="00B51828" w:rsidRPr="00851D0E" w14:paraId="392CF97D" w14:textId="77777777" w:rsidTr="00447D71">
        <w:tc>
          <w:tcPr>
            <w:tcW w:w="1418" w:type="dxa"/>
          </w:tcPr>
          <w:p w14:paraId="1931F34A"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72836</w:t>
            </w:r>
          </w:p>
        </w:tc>
        <w:tc>
          <w:tcPr>
            <w:tcW w:w="5630" w:type="dxa"/>
          </w:tcPr>
          <w:p w14:paraId="2C4F1CC0"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6 biopsy material –  ≥1 specimens</w:t>
            </w:r>
          </w:p>
        </w:tc>
        <w:tc>
          <w:tcPr>
            <w:tcW w:w="1265" w:type="dxa"/>
          </w:tcPr>
          <w:p w14:paraId="720EB46F"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$417.20</w:t>
            </w:r>
          </w:p>
        </w:tc>
      </w:tr>
      <w:tr w:rsidR="00B51828" w:rsidRPr="00851D0E" w14:paraId="2A10E1E9" w14:textId="77777777" w:rsidTr="00447D71">
        <w:tc>
          <w:tcPr>
            <w:tcW w:w="1418" w:type="dxa"/>
          </w:tcPr>
          <w:p w14:paraId="0D6C114C"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72838</w:t>
            </w:r>
          </w:p>
        </w:tc>
        <w:tc>
          <w:tcPr>
            <w:tcW w:w="5630" w:type="dxa"/>
          </w:tcPr>
          <w:p w14:paraId="05E03EC5" w14:textId="77777777" w:rsidR="00B51828" w:rsidRPr="00851D0E" w:rsidRDefault="00B51828" w:rsidP="002101D2">
            <w:pPr>
              <w:keepNext/>
              <w:spacing w:before="20" w:after="20"/>
              <w:ind w:left="0"/>
              <w:rPr>
                <w:rFonts w:ascii="Arial Narrow" w:hAnsi="Arial Narrow"/>
                <w:sz w:val="20"/>
                <w:szCs w:val="20"/>
              </w:rPr>
            </w:pPr>
            <w:r>
              <w:rPr>
                <w:rFonts w:ascii="Arial Narrow" w:hAnsi="Arial Narrow"/>
                <w:sz w:val="20"/>
                <w:szCs w:val="20"/>
              </w:rPr>
              <w:t>Complexity level 7 biopsy material –  ≥1 specimens</w:t>
            </w:r>
          </w:p>
        </w:tc>
        <w:tc>
          <w:tcPr>
            <w:tcW w:w="1265" w:type="dxa"/>
          </w:tcPr>
          <w:p w14:paraId="06D4BADA" w14:textId="77777777" w:rsidR="00B51828" w:rsidRPr="00851D0E" w:rsidRDefault="00B51828" w:rsidP="002101D2">
            <w:pPr>
              <w:keepNext/>
              <w:spacing w:before="20" w:after="20"/>
              <w:ind w:left="0"/>
              <w:jc w:val="right"/>
              <w:rPr>
                <w:rFonts w:ascii="Arial Narrow" w:hAnsi="Arial Narrow"/>
                <w:sz w:val="20"/>
                <w:szCs w:val="20"/>
              </w:rPr>
            </w:pPr>
            <w:r>
              <w:rPr>
                <w:rFonts w:ascii="Arial Narrow" w:hAnsi="Arial Narrow"/>
                <w:sz w:val="20"/>
                <w:szCs w:val="20"/>
              </w:rPr>
              <w:t>$466.85</w:t>
            </w:r>
          </w:p>
        </w:tc>
      </w:tr>
      <w:tr w:rsidR="00447D71" w:rsidRPr="00851D0E" w14:paraId="6EF50375" w14:textId="77777777" w:rsidTr="00447D71">
        <w:tc>
          <w:tcPr>
            <w:tcW w:w="1418" w:type="dxa"/>
            <w:shd w:val="clear" w:color="auto" w:fill="BFBFBF" w:themeFill="background1" w:themeFillShade="BF"/>
          </w:tcPr>
          <w:p w14:paraId="20B1E7F0" w14:textId="77777777" w:rsidR="00447D71" w:rsidRDefault="00447D71" w:rsidP="002101D2">
            <w:pPr>
              <w:keepNext/>
              <w:spacing w:before="20" w:after="20"/>
              <w:ind w:left="0"/>
              <w:rPr>
                <w:rFonts w:ascii="Arial Narrow" w:hAnsi="Arial Narrow"/>
                <w:b/>
                <w:sz w:val="20"/>
                <w:szCs w:val="20"/>
              </w:rPr>
            </w:pPr>
            <w:r>
              <w:rPr>
                <w:rFonts w:ascii="Arial Narrow" w:hAnsi="Arial Narrow"/>
                <w:b/>
                <w:sz w:val="20"/>
                <w:szCs w:val="20"/>
              </w:rPr>
              <w:t>‘</w:t>
            </w:r>
            <w:r w:rsidRPr="00F0286B">
              <w:rPr>
                <w:rFonts w:ascii="Arial Narrow" w:hAnsi="Arial Narrow"/>
                <w:b/>
                <w:sz w:val="20"/>
                <w:szCs w:val="20"/>
              </w:rPr>
              <w:t>Non-core</w:t>
            </w:r>
            <w:r>
              <w:rPr>
                <w:rFonts w:ascii="Arial Narrow" w:hAnsi="Arial Narrow"/>
                <w:b/>
                <w:sz w:val="20"/>
                <w:szCs w:val="20"/>
              </w:rPr>
              <w:t>’</w:t>
            </w:r>
            <w:r w:rsidRPr="00F0286B">
              <w:rPr>
                <w:rFonts w:ascii="Arial Narrow" w:hAnsi="Arial Narrow"/>
                <w:b/>
                <w:sz w:val="20"/>
                <w:szCs w:val="20"/>
              </w:rPr>
              <w:t xml:space="preserve"> </w:t>
            </w:r>
          </w:p>
          <w:p w14:paraId="592837A0" w14:textId="4ED8F642" w:rsidR="00447D71" w:rsidRDefault="00447D71" w:rsidP="002101D2">
            <w:pPr>
              <w:keepNext/>
              <w:spacing w:before="20" w:after="20"/>
              <w:ind w:left="0"/>
              <w:rPr>
                <w:rFonts w:ascii="Arial Narrow" w:hAnsi="Arial Narrow"/>
                <w:b/>
                <w:sz w:val="20"/>
                <w:szCs w:val="20"/>
              </w:rPr>
            </w:pPr>
            <w:r w:rsidRPr="00F0286B">
              <w:rPr>
                <w:rFonts w:ascii="Arial Narrow" w:hAnsi="Arial Narrow"/>
                <w:b/>
                <w:sz w:val="20"/>
                <w:szCs w:val="20"/>
              </w:rPr>
              <w:t>ancillary items</w:t>
            </w:r>
          </w:p>
        </w:tc>
        <w:tc>
          <w:tcPr>
            <w:tcW w:w="5630" w:type="dxa"/>
            <w:shd w:val="clear" w:color="auto" w:fill="BFBFBF" w:themeFill="background1" w:themeFillShade="BF"/>
          </w:tcPr>
          <w:p w14:paraId="5AE5441C" w14:textId="1D2CD3AE" w:rsidR="00447D71" w:rsidRPr="00F0286B" w:rsidRDefault="00447D71" w:rsidP="002101D2">
            <w:pPr>
              <w:keepNext/>
              <w:spacing w:before="20" w:after="20"/>
              <w:ind w:left="0"/>
              <w:rPr>
                <w:rFonts w:ascii="Arial Narrow" w:hAnsi="Arial Narrow"/>
                <w:b/>
                <w:sz w:val="20"/>
                <w:szCs w:val="20"/>
              </w:rPr>
            </w:pPr>
            <w:r>
              <w:rPr>
                <w:rFonts w:ascii="Arial Narrow" w:hAnsi="Arial Narrow"/>
                <w:b/>
                <w:sz w:val="20"/>
                <w:szCs w:val="20"/>
              </w:rPr>
              <w:t>-</w:t>
            </w:r>
          </w:p>
        </w:tc>
        <w:tc>
          <w:tcPr>
            <w:tcW w:w="1265" w:type="dxa"/>
            <w:shd w:val="clear" w:color="auto" w:fill="BFBFBF" w:themeFill="background1" w:themeFillShade="BF"/>
          </w:tcPr>
          <w:p w14:paraId="64B781A2" w14:textId="41C2975D" w:rsidR="00447D71" w:rsidRPr="00F0286B" w:rsidRDefault="00447D71" w:rsidP="00447D71">
            <w:pPr>
              <w:keepNext/>
              <w:spacing w:before="20" w:after="20"/>
              <w:ind w:left="0"/>
              <w:jc w:val="right"/>
              <w:rPr>
                <w:rFonts w:ascii="Arial Narrow" w:hAnsi="Arial Narrow"/>
                <w:b/>
                <w:sz w:val="20"/>
                <w:szCs w:val="20"/>
              </w:rPr>
            </w:pPr>
            <w:r>
              <w:rPr>
                <w:rFonts w:ascii="Arial Narrow" w:hAnsi="Arial Narrow"/>
                <w:b/>
                <w:sz w:val="20"/>
                <w:szCs w:val="20"/>
              </w:rPr>
              <w:t>-</w:t>
            </w:r>
          </w:p>
        </w:tc>
      </w:tr>
      <w:tr w:rsidR="00B51828" w:rsidRPr="00851D0E" w14:paraId="5BB0D481" w14:textId="77777777" w:rsidTr="00447D71">
        <w:tc>
          <w:tcPr>
            <w:tcW w:w="1418" w:type="dxa"/>
          </w:tcPr>
          <w:p w14:paraId="48929704"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72844</w:t>
            </w:r>
          </w:p>
        </w:tc>
        <w:tc>
          <w:tcPr>
            <w:tcW w:w="5630" w:type="dxa"/>
          </w:tcPr>
          <w:p w14:paraId="3AB84381"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Enzyme histochemistry of skeletal muscle – ≥1 tests</w:t>
            </w:r>
          </w:p>
        </w:tc>
        <w:tc>
          <w:tcPr>
            <w:tcW w:w="1265" w:type="dxa"/>
          </w:tcPr>
          <w:p w14:paraId="4A02778A"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$30.75</w:t>
            </w:r>
          </w:p>
        </w:tc>
      </w:tr>
      <w:tr w:rsidR="00B51828" w:rsidRPr="00851D0E" w14:paraId="5CBA877A" w14:textId="77777777" w:rsidTr="00447D71">
        <w:tc>
          <w:tcPr>
            <w:tcW w:w="1418" w:type="dxa"/>
          </w:tcPr>
          <w:p w14:paraId="29D53DDE"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72846</w:t>
            </w:r>
          </w:p>
        </w:tc>
        <w:tc>
          <w:tcPr>
            <w:tcW w:w="5630" w:type="dxa"/>
          </w:tcPr>
          <w:p w14:paraId="74B341CA"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IHC examination of biopsy material – 1-3 antibodies</w:t>
            </w:r>
          </w:p>
        </w:tc>
        <w:tc>
          <w:tcPr>
            <w:tcW w:w="1265" w:type="dxa"/>
          </w:tcPr>
          <w:p w14:paraId="1BEFE1EA"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$59.60</w:t>
            </w:r>
          </w:p>
        </w:tc>
      </w:tr>
      <w:tr w:rsidR="00B51828" w:rsidRPr="00851D0E" w14:paraId="7E771652" w14:textId="77777777" w:rsidTr="00447D71">
        <w:tc>
          <w:tcPr>
            <w:tcW w:w="1418" w:type="dxa"/>
          </w:tcPr>
          <w:p w14:paraId="7AEC395F"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72848</w:t>
            </w:r>
          </w:p>
        </w:tc>
        <w:tc>
          <w:tcPr>
            <w:tcW w:w="5630" w:type="dxa"/>
          </w:tcPr>
          <w:p w14:paraId="5361DA7C"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IHC examination of biopsy material – 1-3 of the following antibodies: oestrogen, progesterone, c-erb-B2</w:t>
            </w:r>
          </w:p>
        </w:tc>
        <w:tc>
          <w:tcPr>
            <w:tcW w:w="1265" w:type="dxa"/>
          </w:tcPr>
          <w:p w14:paraId="6C07B351"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$74.50</w:t>
            </w:r>
          </w:p>
        </w:tc>
      </w:tr>
      <w:tr w:rsidR="00B51828" w:rsidRPr="00851D0E" w14:paraId="78675007" w14:textId="77777777" w:rsidTr="00447D71">
        <w:tc>
          <w:tcPr>
            <w:tcW w:w="1418" w:type="dxa"/>
          </w:tcPr>
          <w:p w14:paraId="39A03735"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72847</w:t>
            </w:r>
          </w:p>
        </w:tc>
        <w:tc>
          <w:tcPr>
            <w:tcW w:w="5630" w:type="dxa"/>
          </w:tcPr>
          <w:p w14:paraId="5272C9F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IHC examination of biopsy material – 4-6 antibodies</w:t>
            </w:r>
          </w:p>
        </w:tc>
        <w:tc>
          <w:tcPr>
            <w:tcW w:w="1265" w:type="dxa"/>
          </w:tcPr>
          <w:p w14:paraId="18BBD1AB"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$89.40</w:t>
            </w:r>
          </w:p>
        </w:tc>
      </w:tr>
      <w:tr w:rsidR="00B51828" w:rsidRPr="00851D0E" w14:paraId="04AAE8A0" w14:textId="77777777" w:rsidTr="00447D71">
        <w:tc>
          <w:tcPr>
            <w:tcW w:w="1418" w:type="dxa"/>
          </w:tcPr>
          <w:p w14:paraId="2E76249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72849</w:t>
            </w:r>
          </w:p>
        </w:tc>
        <w:tc>
          <w:tcPr>
            <w:tcW w:w="5630" w:type="dxa"/>
          </w:tcPr>
          <w:p w14:paraId="05676F7C"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IHC examination of biopsy material – 7-10 antibodies</w:t>
            </w:r>
          </w:p>
        </w:tc>
        <w:tc>
          <w:tcPr>
            <w:tcW w:w="1265" w:type="dxa"/>
          </w:tcPr>
          <w:p w14:paraId="6C2C905B"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$104.30</w:t>
            </w:r>
          </w:p>
        </w:tc>
      </w:tr>
      <w:tr w:rsidR="00B51828" w:rsidRPr="00851D0E" w14:paraId="5FB9B733" w14:textId="77777777" w:rsidTr="00447D71">
        <w:tc>
          <w:tcPr>
            <w:tcW w:w="1418" w:type="dxa"/>
          </w:tcPr>
          <w:p w14:paraId="2BAAF574"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72850</w:t>
            </w:r>
          </w:p>
        </w:tc>
        <w:tc>
          <w:tcPr>
            <w:tcW w:w="5630" w:type="dxa"/>
          </w:tcPr>
          <w:p w14:paraId="589726E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IHC examination of biopsy material – ≥11 antibodies</w:t>
            </w:r>
          </w:p>
        </w:tc>
        <w:tc>
          <w:tcPr>
            <w:tcW w:w="1265" w:type="dxa"/>
          </w:tcPr>
          <w:p w14:paraId="39BB4102"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$119.20</w:t>
            </w:r>
          </w:p>
        </w:tc>
      </w:tr>
      <w:tr w:rsidR="00B51828" w:rsidRPr="00851D0E" w14:paraId="11A17F32" w14:textId="77777777" w:rsidTr="00447D71">
        <w:tc>
          <w:tcPr>
            <w:tcW w:w="1418" w:type="dxa"/>
          </w:tcPr>
          <w:p w14:paraId="72B618AF"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72851</w:t>
            </w:r>
          </w:p>
        </w:tc>
        <w:tc>
          <w:tcPr>
            <w:tcW w:w="5630" w:type="dxa"/>
          </w:tcPr>
          <w:p w14:paraId="4EDDE6C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Electron microscope examination of biopsy material – 1 specimen</w:t>
            </w:r>
          </w:p>
        </w:tc>
        <w:tc>
          <w:tcPr>
            <w:tcW w:w="1265" w:type="dxa"/>
          </w:tcPr>
          <w:p w14:paraId="31EAA3FA"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$184.35</w:t>
            </w:r>
          </w:p>
        </w:tc>
      </w:tr>
      <w:tr w:rsidR="00B51828" w:rsidRPr="00851D0E" w14:paraId="3769FDFA" w14:textId="77777777" w:rsidTr="00447D71">
        <w:tc>
          <w:tcPr>
            <w:tcW w:w="1418" w:type="dxa"/>
          </w:tcPr>
          <w:p w14:paraId="7B995EA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72852</w:t>
            </w:r>
          </w:p>
        </w:tc>
        <w:tc>
          <w:tcPr>
            <w:tcW w:w="5630" w:type="dxa"/>
          </w:tcPr>
          <w:p w14:paraId="45D217EC"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Electron microscope examination of biopsy material – ≥2 specimens</w:t>
            </w:r>
          </w:p>
        </w:tc>
        <w:tc>
          <w:tcPr>
            <w:tcW w:w="1265" w:type="dxa"/>
          </w:tcPr>
          <w:p w14:paraId="27EC82FD"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$245.80</w:t>
            </w:r>
          </w:p>
        </w:tc>
      </w:tr>
      <w:tr w:rsidR="00B51828" w:rsidRPr="00851D0E" w14:paraId="2ED73EA2" w14:textId="77777777" w:rsidTr="00447D71">
        <w:tc>
          <w:tcPr>
            <w:tcW w:w="1418" w:type="dxa"/>
          </w:tcPr>
          <w:p w14:paraId="78412008"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72855</w:t>
            </w:r>
          </w:p>
        </w:tc>
        <w:tc>
          <w:tcPr>
            <w:tcW w:w="5630" w:type="dxa"/>
          </w:tcPr>
          <w:p w14:paraId="7576C64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Intraoperative consultation and examination of biopsy material – 1 specimen</w:t>
            </w:r>
          </w:p>
        </w:tc>
        <w:tc>
          <w:tcPr>
            <w:tcW w:w="1265" w:type="dxa"/>
          </w:tcPr>
          <w:p w14:paraId="68A220F5"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$184.35</w:t>
            </w:r>
          </w:p>
        </w:tc>
      </w:tr>
      <w:tr w:rsidR="00B51828" w:rsidRPr="00851D0E" w14:paraId="7D44E2EF" w14:textId="77777777" w:rsidTr="00447D71">
        <w:tc>
          <w:tcPr>
            <w:tcW w:w="1418" w:type="dxa"/>
          </w:tcPr>
          <w:p w14:paraId="128A8859"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72856</w:t>
            </w:r>
          </w:p>
        </w:tc>
        <w:tc>
          <w:tcPr>
            <w:tcW w:w="5630" w:type="dxa"/>
          </w:tcPr>
          <w:p w14:paraId="679D7A59"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Intraoperative consultation and examination of biopsy material – 2-4 specimens</w:t>
            </w:r>
          </w:p>
        </w:tc>
        <w:tc>
          <w:tcPr>
            <w:tcW w:w="1265" w:type="dxa"/>
          </w:tcPr>
          <w:p w14:paraId="1F6B9521"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$245.80</w:t>
            </w:r>
          </w:p>
        </w:tc>
      </w:tr>
      <w:tr w:rsidR="00B51828" w:rsidRPr="00851D0E" w14:paraId="7700BAD9" w14:textId="77777777" w:rsidTr="00447D71">
        <w:tc>
          <w:tcPr>
            <w:tcW w:w="1418" w:type="dxa"/>
          </w:tcPr>
          <w:p w14:paraId="56C2E3C2"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72857</w:t>
            </w:r>
          </w:p>
        </w:tc>
        <w:tc>
          <w:tcPr>
            <w:tcW w:w="5630" w:type="dxa"/>
          </w:tcPr>
          <w:p w14:paraId="0DA869EA"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Intraoperative consultation and examination of biopsy material – ≥5 specimens</w:t>
            </w:r>
          </w:p>
        </w:tc>
        <w:tc>
          <w:tcPr>
            <w:tcW w:w="1265" w:type="dxa"/>
          </w:tcPr>
          <w:p w14:paraId="10F3E0B8" w14:textId="77777777" w:rsidR="00B51828" w:rsidRDefault="00B51828" w:rsidP="002101D2">
            <w:pPr>
              <w:keepNext/>
              <w:spacing w:before="20" w:after="20"/>
              <w:ind w:left="0"/>
              <w:jc w:val="right"/>
              <w:rPr>
                <w:rFonts w:ascii="Arial Narrow" w:hAnsi="Arial Narrow"/>
                <w:sz w:val="20"/>
                <w:szCs w:val="20"/>
              </w:rPr>
            </w:pPr>
            <w:r>
              <w:rPr>
                <w:rFonts w:ascii="Arial Narrow" w:hAnsi="Arial Narrow"/>
                <w:sz w:val="20"/>
                <w:szCs w:val="20"/>
              </w:rPr>
              <w:t>$286.75</w:t>
            </w:r>
          </w:p>
        </w:tc>
      </w:tr>
    </w:tbl>
    <w:p w14:paraId="720D0606" w14:textId="77777777" w:rsidR="00B51828" w:rsidRDefault="00B51828" w:rsidP="002101D2">
      <w:pPr>
        <w:spacing w:after="0"/>
        <w:rPr>
          <w:rFonts w:ascii="Arial Narrow" w:hAnsi="Arial Narrow"/>
          <w:sz w:val="16"/>
          <w:szCs w:val="16"/>
        </w:rPr>
      </w:pPr>
      <w:r w:rsidRPr="00834691">
        <w:rPr>
          <w:rFonts w:ascii="Arial Narrow" w:hAnsi="Arial Narrow"/>
          <w:sz w:val="16"/>
          <w:szCs w:val="16"/>
        </w:rPr>
        <w:t xml:space="preserve">Source: </w:t>
      </w:r>
      <w:r>
        <w:rPr>
          <w:rFonts w:ascii="Arial Narrow" w:hAnsi="Arial Narrow"/>
          <w:sz w:val="16"/>
          <w:szCs w:val="16"/>
        </w:rPr>
        <w:t>Final Protocol May 2014, p28-31</w:t>
      </w:r>
    </w:p>
    <w:p w14:paraId="78AD034C" w14:textId="77777777" w:rsidR="00B51828" w:rsidRPr="004A110D" w:rsidRDefault="00B51828" w:rsidP="002101D2">
      <w:pPr>
        <w:spacing w:after="360"/>
        <w:rPr>
          <w:rFonts w:ascii="Arial Narrow" w:hAnsi="Arial Narrow"/>
          <w:sz w:val="16"/>
          <w:szCs w:val="16"/>
        </w:rPr>
      </w:pPr>
      <w:r>
        <w:rPr>
          <w:rFonts w:ascii="Arial Narrow" w:hAnsi="Arial Narrow"/>
          <w:sz w:val="16"/>
          <w:szCs w:val="16"/>
        </w:rPr>
        <w:t>Abbreviations: IHC, immunohistochemistry</w:t>
      </w:r>
    </w:p>
    <w:p w14:paraId="206462D6" w14:textId="77777777" w:rsidR="00B51828" w:rsidRDefault="00B51828" w:rsidP="002101D2">
      <w:pPr>
        <w:sectPr w:rsidR="00B51828" w:rsidSect="002101D2">
          <w:pgSz w:w="11906" w:h="16838" w:code="9"/>
          <w:pgMar w:top="1440" w:right="1440" w:bottom="1440" w:left="1440" w:header="680" w:footer="1021" w:gutter="0"/>
          <w:cols w:space="708"/>
          <w:docGrid w:linePitch="360"/>
        </w:sectPr>
      </w:pPr>
    </w:p>
    <w:p w14:paraId="463078B2" w14:textId="77777777" w:rsidR="00B51828" w:rsidRDefault="00B51828" w:rsidP="002101D2">
      <w:pPr>
        <w:pStyle w:val="Caption"/>
        <w:ind w:left="1418" w:hanging="1418"/>
      </w:pPr>
      <w:bookmarkStart w:id="36" w:name="_Ref385025387"/>
      <w:bookmarkStart w:id="37" w:name="_Toc396211729"/>
      <w:r>
        <w:lastRenderedPageBreak/>
        <w:t xml:space="preserve">Table </w:t>
      </w:r>
      <w:fldSimple w:instr=" STYLEREF 2 \s ">
        <w:r w:rsidR="0044620B">
          <w:rPr>
            <w:noProof/>
          </w:rPr>
          <w:t>A.2</w:t>
        </w:r>
      </w:fldSimple>
      <w:r>
        <w:noBreakHyphen/>
      </w:r>
      <w:fldSimple w:instr=" SEQ Table \* ARABIC \s 2 ">
        <w:r w:rsidR="0044620B">
          <w:rPr>
            <w:noProof/>
          </w:rPr>
          <w:t>3</w:t>
        </w:r>
      </w:fldSimple>
      <w:bookmarkEnd w:id="36"/>
      <w:r>
        <w:tab/>
        <w:t>Complexity levels for histopathology items</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xity levels for histopathology items"/>
        <w:tblDescription w:val="A list of the complexity levels assigned to tissue types from different anatomic sites."/>
      </w:tblPr>
      <w:tblGrid>
        <w:gridCol w:w="2362"/>
        <w:gridCol w:w="2362"/>
        <w:gridCol w:w="2473"/>
        <w:gridCol w:w="2450"/>
        <w:gridCol w:w="2305"/>
        <w:gridCol w:w="2222"/>
      </w:tblGrid>
      <w:tr w:rsidR="00B51828" w:rsidRPr="00A109A9" w14:paraId="3C6538B1" w14:textId="77777777" w:rsidTr="002101D2">
        <w:trPr>
          <w:trHeight w:val="300"/>
          <w:tblHeader/>
        </w:trPr>
        <w:tc>
          <w:tcPr>
            <w:tcW w:w="833" w:type="pct"/>
          </w:tcPr>
          <w:p w14:paraId="4C930D0B" w14:textId="77777777" w:rsidR="00B51828" w:rsidRPr="00A109A9" w:rsidRDefault="00B51828" w:rsidP="002101D2">
            <w:pPr>
              <w:spacing w:before="20" w:after="20"/>
              <w:ind w:left="0"/>
              <w:jc w:val="center"/>
              <w:rPr>
                <w:rFonts w:ascii="Arial Narrow" w:hAnsi="Arial Narrow"/>
                <w:b/>
                <w:bCs/>
                <w:color w:val="000000"/>
                <w:sz w:val="18"/>
                <w:szCs w:val="18"/>
              </w:rPr>
            </w:pPr>
            <w:r w:rsidRPr="00A109A9">
              <w:rPr>
                <w:rFonts w:ascii="Arial Narrow" w:hAnsi="Arial Narrow"/>
                <w:b/>
                <w:bCs/>
                <w:color w:val="000000"/>
                <w:sz w:val="18"/>
                <w:szCs w:val="18"/>
              </w:rPr>
              <w:t>Complexity level 2</w:t>
            </w:r>
          </w:p>
        </w:tc>
        <w:tc>
          <w:tcPr>
            <w:tcW w:w="833" w:type="pct"/>
            <w:shd w:val="clear" w:color="auto" w:fill="auto"/>
            <w:noWrap/>
            <w:hideMark/>
          </w:tcPr>
          <w:p w14:paraId="40684AAB" w14:textId="77777777" w:rsidR="00B51828" w:rsidRPr="00A109A9" w:rsidRDefault="00B51828" w:rsidP="002101D2">
            <w:pPr>
              <w:spacing w:before="20" w:after="20"/>
              <w:ind w:left="0"/>
              <w:jc w:val="center"/>
              <w:rPr>
                <w:rFonts w:ascii="Arial Narrow" w:hAnsi="Arial Narrow"/>
                <w:b/>
                <w:bCs/>
                <w:color w:val="000000"/>
                <w:sz w:val="18"/>
                <w:szCs w:val="18"/>
              </w:rPr>
            </w:pPr>
            <w:r w:rsidRPr="00A109A9">
              <w:rPr>
                <w:rFonts w:ascii="Arial Narrow" w:hAnsi="Arial Narrow"/>
                <w:b/>
                <w:bCs/>
                <w:color w:val="000000"/>
                <w:sz w:val="18"/>
                <w:szCs w:val="18"/>
              </w:rPr>
              <w:t>Complexity level 3</w:t>
            </w:r>
          </w:p>
        </w:tc>
        <w:tc>
          <w:tcPr>
            <w:tcW w:w="872" w:type="pct"/>
            <w:shd w:val="clear" w:color="auto" w:fill="auto"/>
            <w:noWrap/>
            <w:hideMark/>
          </w:tcPr>
          <w:p w14:paraId="7C055CA2" w14:textId="77777777" w:rsidR="00B51828" w:rsidRPr="00A109A9" w:rsidRDefault="00B51828" w:rsidP="002101D2">
            <w:pPr>
              <w:spacing w:before="20" w:after="20"/>
              <w:ind w:left="0"/>
              <w:jc w:val="center"/>
              <w:rPr>
                <w:rFonts w:ascii="Arial Narrow" w:hAnsi="Arial Narrow"/>
                <w:color w:val="000000"/>
                <w:sz w:val="18"/>
                <w:szCs w:val="18"/>
              </w:rPr>
            </w:pPr>
            <w:r w:rsidRPr="00A109A9">
              <w:rPr>
                <w:rFonts w:ascii="Arial Narrow" w:hAnsi="Arial Narrow"/>
                <w:b/>
                <w:bCs/>
                <w:color w:val="000000"/>
                <w:sz w:val="18"/>
                <w:szCs w:val="18"/>
              </w:rPr>
              <w:t>Complexity level 4</w:t>
            </w:r>
          </w:p>
        </w:tc>
        <w:tc>
          <w:tcPr>
            <w:tcW w:w="864" w:type="pct"/>
          </w:tcPr>
          <w:p w14:paraId="74BF9CDF" w14:textId="77777777" w:rsidR="00B51828" w:rsidRPr="00A109A9" w:rsidRDefault="00B51828" w:rsidP="002101D2">
            <w:pPr>
              <w:spacing w:before="20" w:after="20"/>
              <w:ind w:left="0"/>
              <w:jc w:val="center"/>
              <w:rPr>
                <w:rFonts w:ascii="Arial Narrow" w:hAnsi="Arial Narrow"/>
                <w:b/>
                <w:bCs/>
                <w:color w:val="000000"/>
                <w:sz w:val="18"/>
                <w:szCs w:val="18"/>
              </w:rPr>
            </w:pPr>
            <w:r w:rsidRPr="00A109A9">
              <w:rPr>
                <w:rFonts w:ascii="Arial Narrow" w:hAnsi="Arial Narrow"/>
                <w:b/>
                <w:bCs/>
                <w:color w:val="000000"/>
                <w:sz w:val="18"/>
                <w:szCs w:val="18"/>
              </w:rPr>
              <w:t>Complexity level 5</w:t>
            </w:r>
          </w:p>
        </w:tc>
        <w:tc>
          <w:tcPr>
            <w:tcW w:w="813" w:type="pct"/>
          </w:tcPr>
          <w:p w14:paraId="75F2181C" w14:textId="77777777" w:rsidR="00B51828" w:rsidRPr="00A109A9" w:rsidRDefault="00B51828" w:rsidP="002101D2">
            <w:pPr>
              <w:spacing w:before="20" w:after="20"/>
              <w:ind w:left="0"/>
              <w:jc w:val="center"/>
              <w:rPr>
                <w:rFonts w:ascii="Arial Narrow" w:hAnsi="Arial Narrow"/>
                <w:b/>
                <w:bCs/>
                <w:color w:val="000000"/>
                <w:sz w:val="18"/>
                <w:szCs w:val="18"/>
              </w:rPr>
            </w:pPr>
            <w:r w:rsidRPr="00A109A9">
              <w:rPr>
                <w:rFonts w:ascii="Arial Narrow" w:hAnsi="Arial Narrow"/>
                <w:b/>
                <w:bCs/>
                <w:color w:val="000000"/>
                <w:sz w:val="18"/>
                <w:szCs w:val="18"/>
              </w:rPr>
              <w:t>Complexity level 6</w:t>
            </w:r>
          </w:p>
        </w:tc>
        <w:tc>
          <w:tcPr>
            <w:tcW w:w="784" w:type="pct"/>
          </w:tcPr>
          <w:p w14:paraId="6393E92C" w14:textId="77777777" w:rsidR="00B51828" w:rsidRPr="00A109A9" w:rsidRDefault="00B51828" w:rsidP="002101D2">
            <w:pPr>
              <w:spacing w:before="20" w:after="20"/>
              <w:ind w:left="0"/>
              <w:jc w:val="center"/>
              <w:rPr>
                <w:rFonts w:ascii="Arial Narrow" w:hAnsi="Arial Narrow"/>
                <w:b/>
                <w:bCs/>
                <w:color w:val="000000"/>
                <w:sz w:val="18"/>
                <w:szCs w:val="18"/>
              </w:rPr>
            </w:pPr>
            <w:r w:rsidRPr="00A109A9">
              <w:rPr>
                <w:rFonts w:ascii="Arial Narrow" w:hAnsi="Arial Narrow"/>
                <w:b/>
                <w:bCs/>
                <w:color w:val="000000"/>
                <w:sz w:val="18"/>
                <w:szCs w:val="18"/>
              </w:rPr>
              <w:t>Complexity level 7</w:t>
            </w:r>
          </w:p>
        </w:tc>
      </w:tr>
      <w:tr w:rsidR="00B51828" w:rsidRPr="00A109A9" w14:paraId="6DF71A0C" w14:textId="77777777" w:rsidTr="002101D2">
        <w:trPr>
          <w:trHeight w:val="300"/>
        </w:trPr>
        <w:tc>
          <w:tcPr>
            <w:tcW w:w="833" w:type="pct"/>
          </w:tcPr>
          <w:p w14:paraId="123CB3D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Digits, amputation – traumatic</w:t>
            </w:r>
          </w:p>
          <w:p w14:paraId="3DCD361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Fallopian tube, sterilization</w:t>
            </w:r>
          </w:p>
          <w:p w14:paraId="04A2216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Foreskin - new born</w:t>
            </w:r>
          </w:p>
          <w:p w14:paraId="5AE718B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Hernia sac</w:t>
            </w:r>
          </w:p>
          <w:p w14:paraId="6EAD2C0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Hydrocele sac</w:t>
            </w:r>
          </w:p>
          <w:p w14:paraId="047FF8A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Testis and adjacent structures, castration</w:t>
            </w:r>
          </w:p>
          <w:p w14:paraId="3C737B08"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Testis and adjacent structures, vas deferens sterilization</w:t>
            </w:r>
          </w:p>
          <w:p w14:paraId="3543C39D" w14:textId="77777777" w:rsidR="00B51828"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Tonsil or adenoids or both</w:t>
            </w:r>
          </w:p>
          <w:p w14:paraId="3929AD24" w14:textId="250CA43F" w:rsidR="00B51828" w:rsidRPr="00384645" w:rsidRDefault="003771E9" w:rsidP="004D06BC">
            <w:pPr>
              <w:tabs>
                <w:tab w:val="left" w:pos="904"/>
              </w:tabs>
              <w:ind w:left="0"/>
            </w:pPr>
            <w:r>
              <w:tab/>
            </w:r>
          </w:p>
        </w:tc>
        <w:tc>
          <w:tcPr>
            <w:tcW w:w="833" w:type="pct"/>
            <w:shd w:val="clear" w:color="auto" w:fill="auto"/>
          </w:tcPr>
          <w:p w14:paraId="0EE411C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Anus, all specimens not otherwise specified</w:t>
            </w:r>
          </w:p>
          <w:p w14:paraId="5E8AAEA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Appendix</w:t>
            </w:r>
          </w:p>
          <w:p w14:paraId="095AE85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Artery, all specimens not otherwise specified</w:t>
            </w:r>
          </w:p>
          <w:p w14:paraId="7F909A8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Bartholin's gland – cyst</w:t>
            </w:r>
          </w:p>
          <w:p w14:paraId="6986664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Cholesteatoma</w:t>
            </w:r>
          </w:p>
          <w:p w14:paraId="640F3F4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Eye, conjunctiva - biopsy or pterygium</w:t>
            </w:r>
          </w:p>
          <w:p w14:paraId="37FCA16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Foreskin - not new born</w:t>
            </w:r>
          </w:p>
          <w:p w14:paraId="71C8AEE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Gallbladder</w:t>
            </w:r>
          </w:p>
          <w:p w14:paraId="3AE9CC0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Ganglion cyst, all sites</w:t>
            </w:r>
          </w:p>
          <w:p w14:paraId="3643E2F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Joint and periarticular tissue, without bone - all specimens</w:t>
            </w:r>
          </w:p>
          <w:p w14:paraId="6566AB5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Large bowel, colostomy – stoma</w:t>
            </w:r>
          </w:p>
          <w:p w14:paraId="2EC9113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Lip, biopsy - all specimens not otherwise specified</w:t>
            </w:r>
          </w:p>
          <w:p w14:paraId="72A70DB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Nerve - not otherwise specified</w:t>
            </w:r>
          </w:p>
          <w:p w14:paraId="0DC5833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Nose or sinuses, polyps</w:t>
            </w:r>
          </w:p>
          <w:p w14:paraId="6D4894B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Oesophagus, diverticulum</w:t>
            </w:r>
          </w:p>
          <w:p w14:paraId="147D733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Products of conception, termination of pregnancy</w:t>
            </w:r>
          </w:p>
          <w:p w14:paraId="2BB8E276"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Salivary gland, Mucocele</w:t>
            </w:r>
          </w:p>
          <w:p w14:paraId="6ED4A38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Skin - all specimens not otherwise specified including all neoplasms and cysts</w:t>
            </w:r>
          </w:p>
          <w:p w14:paraId="6E926A0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Small bowel, diverticulum</w:t>
            </w:r>
          </w:p>
          <w:p w14:paraId="01F97AD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Soft tissue, lipoma and variants</w:t>
            </w:r>
          </w:p>
          <w:p w14:paraId="5AEB234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Tendon or tendon sheath - not otherwise specified</w:t>
            </w:r>
          </w:p>
          <w:p w14:paraId="09B6824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Testis and adjacent structures - not otherwise specified</w:t>
            </w:r>
          </w:p>
          <w:p w14:paraId="39B133A4"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Tissue or organ not otherwise specified, abscess</w:t>
            </w:r>
          </w:p>
          <w:p w14:paraId="5E16DD7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Tissue or organ not otherwise specified, haematoma</w:t>
            </w:r>
          </w:p>
          <w:p w14:paraId="2E3BE61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lastRenderedPageBreak/>
              <w:t>Tissue or organ not otherwise specified, pilonidal cyst or sinus</w:t>
            </w:r>
          </w:p>
          <w:p w14:paraId="4AF7E158"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Tissue or organ not otherwise specified, thrombus or embolus</w:t>
            </w:r>
          </w:p>
          <w:p w14:paraId="228CBBA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Tissue or organ not otherwise specified, veins varicosity</w:t>
            </w:r>
          </w:p>
          <w:p w14:paraId="0C07782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Tissue or organ - all specimens not otherwise specified</w:t>
            </w:r>
          </w:p>
          <w:p w14:paraId="1598D6B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Uterus, endocervix, polyp</w:t>
            </w:r>
          </w:p>
          <w:p w14:paraId="2371276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Uterus, endometrium, polyp</w:t>
            </w:r>
          </w:p>
          <w:p w14:paraId="47028CB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Vaginal mucosa, incidental</w:t>
            </w:r>
          </w:p>
        </w:tc>
        <w:tc>
          <w:tcPr>
            <w:tcW w:w="872" w:type="pct"/>
            <w:shd w:val="clear" w:color="auto" w:fill="auto"/>
            <w:noWrap/>
            <w:hideMark/>
          </w:tcPr>
          <w:p w14:paraId="47DD159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lastRenderedPageBreak/>
              <w:t>Adrenal resection, not neoplasm</w:t>
            </w:r>
          </w:p>
          <w:p w14:paraId="0791CB7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Anus, neoplasm, biopsy</w:t>
            </w:r>
          </w:p>
          <w:p w14:paraId="7F36B7D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Artery, biopsy</w:t>
            </w:r>
          </w:p>
          <w:p w14:paraId="7137B4B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Bone, femoral head</w:t>
            </w:r>
          </w:p>
          <w:p w14:paraId="011D4D1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Bone marrow, biopsy</w:t>
            </w:r>
          </w:p>
          <w:p w14:paraId="5C2244A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Bone - all specimens not otherwise specified</w:t>
            </w:r>
          </w:p>
          <w:p w14:paraId="29B01BA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Brain neoplasm, resection - cerebello-pontine angle</w:t>
            </w:r>
          </w:p>
          <w:p w14:paraId="64218CF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Brain or meninges, resection - not neoplasm</w:t>
            </w:r>
          </w:p>
          <w:p w14:paraId="7629BB84"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Branchial cleft, cyst</w:t>
            </w:r>
          </w:p>
          <w:p w14:paraId="3A0BA45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Breast, incision biopsy or needle biopsy, malignant neoplasm - all specimen types</w:t>
            </w:r>
          </w:p>
          <w:p w14:paraId="6BACCBA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Breast tissue - all specimens not otherwise specified</w:t>
            </w:r>
          </w:p>
          <w:p w14:paraId="5F0E10B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Bronchus, biopsy</w:t>
            </w:r>
          </w:p>
          <w:p w14:paraId="39A46CA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Digits, amputation - not traumatic</w:t>
            </w:r>
          </w:p>
          <w:p w14:paraId="73E8847A"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Ear, middle and inner - not cholesteatoma</w:t>
            </w:r>
          </w:p>
          <w:p w14:paraId="3A2F1F4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Extremity, amputation - not otherwise specified</w:t>
            </w:r>
          </w:p>
          <w:p w14:paraId="3CD0A4D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Eye, cornea</w:t>
            </w:r>
          </w:p>
          <w:p w14:paraId="2B518E9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Eye - not otherwise specified</w:t>
            </w:r>
          </w:p>
          <w:p w14:paraId="72D8550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Fallopian tube, biopsy</w:t>
            </w:r>
          </w:p>
          <w:p w14:paraId="7042D86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Fallopian tube, ectopic pregnancy</w:t>
            </w:r>
          </w:p>
          <w:p w14:paraId="4F744F1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Gum or oral mucosa, biopsy</w:t>
            </w:r>
          </w:p>
          <w:p w14:paraId="3C0A17D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Heart valve</w:t>
            </w:r>
          </w:p>
          <w:p w14:paraId="6A40823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Joint tissue, including bone - all specimens</w:t>
            </w:r>
          </w:p>
          <w:p w14:paraId="47CF86C4"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Kidney, partial or total nephrectomy - not neoplasm</w:t>
            </w:r>
          </w:p>
          <w:p w14:paraId="7F71D56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Large bowel (including rectum), biopsy - all sites</w:t>
            </w:r>
          </w:p>
          <w:p w14:paraId="4D15E10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 xml:space="preserve">Large bowel (including rectum), </w:t>
            </w:r>
            <w:r w:rsidRPr="00A109A9">
              <w:rPr>
                <w:rFonts w:ascii="Arial Narrow" w:hAnsi="Arial Narrow"/>
                <w:color w:val="000000"/>
                <w:sz w:val="18"/>
                <w:szCs w:val="18"/>
              </w:rPr>
              <w:lastRenderedPageBreak/>
              <w:t>polyp</w:t>
            </w:r>
          </w:p>
          <w:p w14:paraId="5B67DF4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Larynx, biopsy</w:t>
            </w:r>
          </w:p>
          <w:p w14:paraId="3AED970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Lip, wedge resection or local excision with orientation</w:t>
            </w:r>
          </w:p>
          <w:p w14:paraId="47C811D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Liver, hydatid cyst or resection for trauma</w:t>
            </w:r>
          </w:p>
          <w:p w14:paraId="6161D36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Lung, needle or transbronchial biopsy</w:t>
            </w:r>
          </w:p>
          <w:p w14:paraId="00F6FB6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Lymph node, biopsy - all sites</w:t>
            </w:r>
          </w:p>
          <w:p w14:paraId="1E170C4A"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Nasopharynx or oropharynx, biopsy</w:t>
            </w:r>
          </w:p>
          <w:p w14:paraId="753F280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Nerve, neurectomy or removal of neoplasm</w:t>
            </w:r>
          </w:p>
          <w:p w14:paraId="12EEB1C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Nose, mucosal biopsy</w:t>
            </w:r>
          </w:p>
          <w:p w14:paraId="6A25ECE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Odontogenic or dental cyst</w:t>
            </w:r>
          </w:p>
          <w:p w14:paraId="4BFDAE0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Oesophagus, biopsy</w:t>
            </w:r>
          </w:p>
          <w:p w14:paraId="5E0971F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Omentum, biopsy</w:t>
            </w:r>
          </w:p>
          <w:p w14:paraId="2B67135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Ovary with or without tube - not neoplasm</w:t>
            </w:r>
          </w:p>
          <w:p w14:paraId="2C5E9474"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Pancreas, cyst</w:t>
            </w:r>
          </w:p>
          <w:p w14:paraId="4371EC6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Parathyroid gland(s)</w:t>
            </w:r>
          </w:p>
          <w:p w14:paraId="0487D39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Penisectomy – simple</w:t>
            </w:r>
          </w:p>
          <w:p w14:paraId="69CDE27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Peritoneum, biopsy</w:t>
            </w:r>
          </w:p>
          <w:p w14:paraId="1A768E9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Pituitary neoplasm</w:t>
            </w:r>
          </w:p>
          <w:p w14:paraId="5148B44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Placenta - not third trimester</w:t>
            </w:r>
          </w:p>
          <w:p w14:paraId="6D3A0DC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Placenta - third trimester, abnormal pregnancy or delivery</w:t>
            </w:r>
          </w:p>
          <w:p w14:paraId="67300F7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Pleura or pericardium, biopsy or tissue</w:t>
            </w:r>
          </w:p>
          <w:p w14:paraId="39CD551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Products of conception, spontaneous or missed abortion</w:t>
            </w:r>
          </w:p>
          <w:p w14:paraId="1545400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Prostate - all types of specimen not otherwise specified</w:t>
            </w:r>
          </w:p>
          <w:p w14:paraId="1CB6E228"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Salivary gland - all specimens not otherwise specified</w:t>
            </w:r>
          </w:p>
          <w:p w14:paraId="2F0ECB2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Sinus, paranasal, biopsy</w:t>
            </w:r>
          </w:p>
          <w:p w14:paraId="65959BD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Skin, biopsy - blistering skin diseases</w:t>
            </w:r>
          </w:p>
          <w:p w14:paraId="3787A7A6"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 xml:space="preserve">Skin, biopsy - inflammatory </w:t>
            </w:r>
            <w:r w:rsidRPr="00A109A9">
              <w:rPr>
                <w:rFonts w:ascii="Arial Narrow" w:hAnsi="Arial Narrow"/>
                <w:color w:val="000000"/>
                <w:sz w:val="18"/>
                <w:szCs w:val="18"/>
              </w:rPr>
              <w:lastRenderedPageBreak/>
              <w:t>dermatosis</w:t>
            </w:r>
          </w:p>
          <w:p w14:paraId="6A375568"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Skin,eyelid, wedge resection</w:t>
            </w:r>
          </w:p>
          <w:p w14:paraId="67D4694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Skin, local resection – orientation</w:t>
            </w:r>
          </w:p>
          <w:p w14:paraId="5AD76AE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Small bowel - biopsy, all sites</w:t>
            </w:r>
          </w:p>
          <w:p w14:paraId="152C52B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Soft tissue - not otherwise specified</w:t>
            </w:r>
          </w:p>
          <w:p w14:paraId="606F196A"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Stomach, endoscopic biopsy or endoscopic polypectomy</w:t>
            </w:r>
          </w:p>
          <w:p w14:paraId="212EE1E8"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Stomach - all specimens not otherwise specified</w:t>
            </w:r>
          </w:p>
          <w:p w14:paraId="1E9D586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Tendon or tendon sheath, giant cell neoplasm</w:t>
            </w:r>
          </w:p>
          <w:p w14:paraId="15560A98"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Thyroglossal duct - all lesions</w:t>
            </w:r>
          </w:p>
          <w:p w14:paraId="20E1172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Tissue or organ not otherwise specified, neoplasm local</w:t>
            </w:r>
          </w:p>
          <w:p w14:paraId="7641F3E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Tongue, biopsy</w:t>
            </w:r>
          </w:p>
          <w:p w14:paraId="5B36E2B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Tonsil, biopsy - excluding resection of whole organ</w:t>
            </w:r>
          </w:p>
          <w:p w14:paraId="63A4AC2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Trachea, biopsy</w:t>
            </w:r>
          </w:p>
          <w:p w14:paraId="3F6CF89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Ureter, biopsy</w:t>
            </w:r>
          </w:p>
          <w:p w14:paraId="5289509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Urethra, biopsy</w:t>
            </w:r>
          </w:p>
          <w:p w14:paraId="78E63A66"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Urinary bladder - all specimens not otherwise specified</w:t>
            </w:r>
          </w:p>
          <w:p w14:paraId="335B511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Uterus, cervix, curettings or biopsy</w:t>
            </w:r>
          </w:p>
          <w:p w14:paraId="5141D65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Uterus and/or cervix - all specimens not otherwise specified</w:t>
            </w:r>
          </w:p>
          <w:p w14:paraId="65C78C6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Vagina, biopsy</w:t>
            </w:r>
          </w:p>
          <w:p w14:paraId="33636234"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Vulva or labia, biopsy</w:t>
            </w:r>
          </w:p>
        </w:tc>
        <w:tc>
          <w:tcPr>
            <w:tcW w:w="864" w:type="pct"/>
          </w:tcPr>
          <w:p w14:paraId="06BB439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lastRenderedPageBreak/>
              <w:t>Adrenal resection, neoplasm</w:t>
            </w:r>
          </w:p>
          <w:p w14:paraId="591D353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Anus, submucosal resection – neoplasm</w:t>
            </w:r>
          </w:p>
          <w:p w14:paraId="508EBF9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Bone, biopsy, curettings or fragments – lesion</w:t>
            </w:r>
          </w:p>
          <w:p w14:paraId="0F58EA7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Brain or meninges, biopsy - all lesions</w:t>
            </w:r>
          </w:p>
          <w:p w14:paraId="6126715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Brain or meninges, resection - neoplasm (intracranial)</w:t>
            </w:r>
          </w:p>
          <w:p w14:paraId="1AD7590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Carotid body – neoplasm</w:t>
            </w:r>
          </w:p>
          <w:p w14:paraId="527FE28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Endocrine neoplasm - not otherwise specified</w:t>
            </w:r>
          </w:p>
          <w:p w14:paraId="0F22EFC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Heart - not otherwise specified</w:t>
            </w:r>
          </w:p>
          <w:p w14:paraId="4A5458E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Kidney, biopsy including transplant</w:t>
            </w:r>
          </w:p>
          <w:p w14:paraId="20E2E8E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Kidney, nephrectomy transplant</w:t>
            </w:r>
          </w:p>
          <w:p w14:paraId="3C0D1FE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Large bowel (including rectum), biopsy, for confirmation or exclusion of Hirschsprung’s Disease</w:t>
            </w:r>
          </w:p>
          <w:p w14:paraId="5E8EFB0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Large bowel, segmental resection - colon, not neoplasm</w:t>
            </w:r>
          </w:p>
          <w:p w14:paraId="2E400D6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Large bowel (including rectum), submucosal resection – neoplasm</w:t>
            </w:r>
          </w:p>
          <w:p w14:paraId="6A4F49E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Larynx, partial or total resection</w:t>
            </w:r>
          </w:p>
          <w:p w14:paraId="7ED2740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Liver - all specimens not otherwise specified</w:t>
            </w:r>
          </w:p>
          <w:p w14:paraId="6AB97C2A"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Lung, wedge biopsy</w:t>
            </w:r>
          </w:p>
          <w:p w14:paraId="68DD58C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Lymph node, biopsy – for lymphoma or lymphoproliferative disorder</w:t>
            </w:r>
          </w:p>
          <w:p w14:paraId="0EA4D93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Lymph nodes, regional resection - all sites</w:t>
            </w:r>
          </w:p>
          <w:p w14:paraId="652DC88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Mediastinum mass</w:t>
            </w:r>
          </w:p>
          <w:p w14:paraId="2873C48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Nerve, biopsy neuropathy</w:t>
            </w:r>
          </w:p>
          <w:p w14:paraId="7C4854A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Odontogenic neoplasm</w:t>
            </w:r>
          </w:p>
          <w:p w14:paraId="7DE5498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 xml:space="preserve">Oesophagus, submucosal </w:t>
            </w:r>
            <w:r w:rsidRPr="00A109A9">
              <w:rPr>
                <w:rFonts w:ascii="Arial Narrow" w:hAnsi="Arial Narrow"/>
                <w:color w:val="000000"/>
                <w:sz w:val="18"/>
                <w:szCs w:val="18"/>
              </w:rPr>
              <w:lastRenderedPageBreak/>
              <w:t>resection – neoplasm</w:t>
            </w:r>
          </w:p>
          <w:p w14:paraId="6043F58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Ovary with or without tube – neoplasm</w:t>
            </w:r>
          </w:p>
          <w:p w14:paraId="2A2FECC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Pancreas, biopsy</w:t>
            </w:r>
          </w:p>
          <w:p w14:paraId="0B9B5DD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Penisectomy with node dissection</w:t>
            </w:r>
          </w:p>
          <w:p w14:paraId="626CE3B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Retroperitoneum, neoplasm</w:t>
            </w:r>
          </w:p>
          <w:p w14:paraId="0669BE8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Salivary gland, neoplasm - all sites</w:t>
            </w:r>
          </w:p>
          <w:p w14:paraId="21BFE87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Skin biopsy - for investigation of alopecia other than for male pattern baldness, where serial horizontal sections are taken</w:t>
            </w:r>
          </w:p>
          <w:p w14:paraId="5A46BEE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Skin, biopsy - for investigation of lymphoproliferative disorder</w:t>
            </w:r>
          </w:p>
          <w:p w14:paraId="6716864C" w14:textId="4DC99676"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Skin, resection of malignant melanoma or melanoma in</w:t>
            </w:r>
            <w:r w:rsidR="00DB23AB">
              <w:rPr>
                <w:rFonts w:ascii="Arial Narrow" w:hAnsi="Arial Narrow"/>
                <w:color w:val="000000"/>
                <w:sz w:val="18"/>
                <w:szCs w:val="18"/>
              </w:rPr>
              <w:t xml:space="preserve"> </w:t>
            </w:r>
            <w:r w:rsidRPr="00A109A9">
              <w:rPr>
                <w:rFonts w:ascii="Arial Narrow" w:hAnsi="Arial Narrow"/>
                <w:color w:val="000000"/>
                <w:sz w:val="18"/>
                <w:szCs w:val="18"/>
              </w:rPr>
              <w:t>situ</w:t>
            </w:r>
          </w:p>
          <w:p w14:paraId="662AFE6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Small bowel – resection, all specimens</w:t>
            </w:r>
          </w:p>
          <w:p w14:paraId="1A6EABB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Small bowel, submucosal resection – neoplasm</w:t>
            </w:r>
          </w:p>
          <w:p w14:paraId="22BEF78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Soft tissue, neoplasm, not lipoma - all specimens</w:t>
            </w:r>
          </w:p>
          <w:p w14:paraId="1329F026"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Spleen</w:t>
            </w:r>
          </w:p>
          <w:p w14:paraId="4AEEA4F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Stomach, submucosal resection – neoplasm</w:t>
            </w:r>
          </w:p>
          <w:p w14:paraId="403A81C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Testis, biopsy</w:t>
            </w:r>
          </w:p>
          <w:p w14:paraId="1F925D8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Testis and adjacent structures, neoplasm with or without nodes</w:t>
            </w:r>
          </w:p>
          <w:p w14:paraId="4D1BE06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Thymus - not otherwise specified</w:t>
            </w:r>
          </w:p>
          <w:p w14:paraId="417BFA9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Thyroid - all specimens</w:t>
            </w:r>
          </w:p>
          <w:p w14:paraId="4C49A81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Tongue or tonsil, neoplasm local</w:t>
            </w:r>
          </w:p>
          <w:p w14:paraId="40C2FC8F"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Ureter, resection</w:t>
            </w:r>
          </w:p>
          <w:p w14:paraId="135FD13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Urethra, resection</w:t>
            </w:r>
          </w:p>
          <w:p w14:paraId="5DEB0273"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Urinary bladder, transurethral resection of neoplasm</w:t>
            </w:r>
          </w:p>
          <w:p w14:paraId="1BC9E83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 xml:space="preserve">Uterus, cervix cone, biopsy </w:t>
            </w:r>
            <w:r w:rsidRPr="00A109A9">
              <w:rPr>
                <w:rFonts w:ascii="Arial Narrow" w:hAnsi="Arial Narrow"/>
                <w:color w:val="000000"/>
                <w:sz w:val="18"/>
                <w:szCs w:val="18"/>
              </w:rPr>
              <w:lastRenderedPageBreak/>
              <w:t>(including LLETZ or LEEP biopsy)</w:t>
            </w:r>
          </w:p>
        </w:tc>
        <w:tc>
          <w:tcPr>
            <w:tcW w:w="813" w:type="pct"/>
          </w:tcPr>
          <w:p w14:paraId="2BDD87A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lastRenderedPageBreak/>
              <w:t>Anus, neoplasm, radical resection</w:t>
            </w:r>
          </w:p>
          <w:p w14:paraId="6CA9E21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Bile duct, resection - all specimens</w:t>
            </w:r>
          </w:p>
          <w:p w14:paraId="4C527C3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Bone, biopsy or curettings quantitation - metabolic disease</w:t>
            </w:r>
          </w:p>
          <w:p w14:paraId="137351B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Bone, resection, neoplasm - all sites and types</w:t>
            </w:r>
          </w:p>
          <w:p w14:paraId="4A12EB9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Brain or meninges, not neoplasm - temporal lobe</w:t>
            </w:r>
          </w:p>
          <w:p w14:paraId="52E4E156"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Breast, excision biopsy, guidewire localisation - non-palpable lesion</w:t>
            </w:r>
          </w:p>
          <w:p w14:paraId="31A5862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Breast, excision biopsy, or radical resection, malignant neoplasm or atypical proliferative disease - all specimen types</w:t>
            </w:r>
          </w:p>
          <w:p w14:paraId="3618147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Breast – microdochectomy</w:t>
            </w:r>
          </w:p>
          <w:p w14:paraId="54D680C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Extremity, amputation or disarticulation – neoplasm</w:t>
            </w:r>
          </w:p>
          <w:p w14:paraId="441676A8"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Eye, enucleation or exenteration - all lesions</w:t>
            </w:r>
          </w:p>
          <w:p w14:paraId="2CD2DF41"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Fetus with dissection</w:t>
            </w:r>
          </w:p>
          <w:p w14:paraId="30CB7A6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Gallbladder and porta hepatis-radical resection</w:t>
            </w:r>
          </w:p>
          <w:p w14:paraId="0922DD2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Jaw, upper or lower, including bone, radical resection for neoplasm</w:t>
            </w:r>
          </w:p>
          <w:p w14:paraId="198B6CC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Kidney, partial or total nephrectomy or nephroureterectomy – neoplasm</w:t>
            </w:r>
          </w:p>
          <w:p w14:paraId="14D7C916"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Large bowel (including rectum), segmental resection, neoplasm</w:t>
            </w:r>
          </w:p>
          <w:p w14:paraId="354A0179"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Larynx, resection with nodes or pharynx or both</w:t>
            </w:r>
          </w:p>
          <w:p w14:paraId="73274670" w14:textId="5BD87C32"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lastRenderedPageBreak/>
              <w:t>Liver, total or sub</w:t>
            </w:r>
            <w:r w:rsidR="005414B7">
              <w:rPr>
                <w:rFonts w:ascii="Arial Narrow" w:hAnsi="Arial Narrow"/>
                <w:color w:val="000000"/>
                <w:sz w:val="18"/>
                <w:szCs w:val="18"/>
              </w:rPr>
              <w:t>-total</w:t>
            </w:r>
            <w:r w:rsidRPr="00A109A9">
              <w:rPr>
                <w:rFonts w:ascii="Arial Narrow" w:hAnsi="Arial Narrow"/>
                <w:color w:val="000000"/>
                <w:sz w:val="18"/>
                <w:szCs w:val="18"/>
              </w:rPr>
              <w:t xml:space="preserve"> hepatectomy – neoplasm</w:t>
            </w:r>
          </w:p>
          <w:p w14:paraId="44C61B77"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Lung, resection – neoplasm</w:t>
            </w:r>
          </w:p>
          <w:p w14:paraId="7F1889E8"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Lung segment, lobar or total resection</w:t>
            </w:r>
          </w:p>
          <w:p w14:paraId="6B6F75C6"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Muscle, biopsy</w:t>
            </w:r>
          </w:p>
          <w:p w14:paraId="2E062DB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Oesophagus, partial or total resection</w:t>
            </w:r>
          </w:p>
          <w:p w14:paraId="3E154210" w14:textId="05141222"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Pancreas, sub</w:t>
            </w:r>
            <w:r w:rsidR="005414B7">
              <w:rPr>
                <w:rFonts w:ascii="Arial Narrow" w:hAnsi="Arial Narrow"/>
                <w:color w:val="000000"/>
                <w:sz w:val="18"/>
                <w:szCs w:val="18"/>
              </w:rPr>
              <w:t>-total</w:t>
            </w:r>
            <w:r w:rsidRPr="00A109A9">
              <w:rPr>
                <w:rFonts w:ascii="Arial Narrow" w:hAnsi="Arial Narrow"/>
                <w:color w:val="000000"/>
                <w:sz w:val="18"/>
                <w:szCs w:val="18"/>
              </w:rPr>
              <w:t xml:space="preserve"> or total with or without splenectomy</w:t>
            </w:r>
          </w:p>
          <w:p w14:paraId="5094459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Prostate, radical resection</w:t>
            </w:r>
          </w:p>
          <w:p w14:paraId="633D98C6"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Sinus, paranasal, resection – neoplasm</w:t>
            </w:r>
          </w:p>
          <w:p w14:paraId="4D1AE09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Small bowel, resection – neoplasm</w:t>
            </w:r>
          </w:p>
          <w:p w14:paraId="1B27A41B"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Soft tissue, infiltrative lesion, extensive resections at least 5cm in maximal dimension</w:t>
            </w:r>
          </w:p>
          <w:p w14:paraId="5ACF54B5"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Stomach, resection, neoplasm - all specimens</w:t>
            </w:r>
          </w:p>
          <w:p w14:paraId="5EF186B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Tissue or organ not otherwise specified, malignant neoplasm with regional nodes</w:t>
            </w:r>
          </w:p>
          <w:p w14:paraId="72CAB21C"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Tongue or tonsil, neoplasm with nodes</w:t>
            </w:r>
          </w:p>
          <w:p w14:paraId="651FD7E0"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Urinary bladder, partial or total with or without prostatectomy</w:t>
            </w:r>
          </w:p>
          <w:p w14:paraId="11A9A86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Uterus with or without adnexa, malignant neoplasm - all specimen types not otherwise specified</w:t>
            </w:r>
          </w:p>
          <w:p w14:paraId="34AD82AE"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Uterus with or without adnexa, neoplasm, Wertheim's or pelvic clearance</w:t>
            </w:r>
          </w:p>
          <w:p w14:paraId="7F7B273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Vagina, radical resection</w:t>
            </w:r>
          </w:p>
          <w:p w14:paraId="329BAF23" w14:textId="37D312AD"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Vulval, sub</w:t>
            </w:r>
            <w:r w:rsidR="005414B7">
              <w:rPr>
                <w:rFonts w:ascii="Arial Narrow" w:hAnsi="Arial Narrow"/>
                <w:color w:val="000000"/>
                <w:sz w:val="18"/>
                <w:szCs w:val="18"/>
              </w:rPr>
              <w:t>-total</w:t>
            </w:r>
            <w:r w:rsidRPr="00A109A9">
              <w:rPr>
                <w:rFonts w:ascii="Arial Narrow" w:hAnsi="Arial Narrow"/>
                <w:color w:val="000000"/>
                <w:sz w:val="18"/>
                <w:szCs w:val="18"/>
              </w:rPr>
              <w:t xml:space="preserve"> or total with or without nodes</w:t>
            </w:r>
          </w:p>
        </w:tc>
        <w:tc>
          <w:tcPr>
            <w:tcW w:w="784" w:type="pct"/>
          </w:tcPr>
          <w:p w14:paraId="199AA2DD"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lastRenderedPageBreak/>
              <w:t>Breast, orientated wide local excision for carcinoma, with margin assessment</w:t>
            </w:r>
          </w:p>
          <w:p w14:paraId="5C66C742" w14:textId="77777777" w:rsidR="00B51828" w:rsidRPr="00A109A9" w:rsidRDefault="00B51828" w:rsidP="00B51828">
            <w:pPr>
              <w:pStyle w:val="ListParagraph"/>
              <w:numPr>
                <w:ilvl w:val="0"/>
                <w:numId w:val="13"/>
              </w:numPr>
              <w:spacing w:before="20" w:after="20"/>
              <w:ind w:left="171" w:hanging="171"/>
              <w:rPr>
                <w:rFonts w:ascii="Arial Narrow" w:hAnsi="Arial Narrow"/>
                <w:color w:val="000000"/>
                <w:sz w:val="18"/>
                <w:szCs w:val="18"/>
              </w:rPr>
            </w:pPr>
            <w:r w:rsidRPr="00A109A9">
              <w:rPr>
                <w:rFonts w:ascii="Arial Narrow" w:hAnsi="Arial Narrow"/>
                <w:color w:val="000000"/>
                <w:sz w:val="18"/>
                <w:szCs w:val="18"/>
              </w:rPr>
              <w:t>Prostate, radical prostatectomy or cystoprostatectomy for carcinoma</w:t>
            </w:r>
          </w:p>
        </w:tc>
      </w:tr>
    </w:tbl>
    <w:p w14:paraId="3BAF2DDA" w14:textId="77777777" w:rsidR="00B51828" w:rsidRPr="00063831" w:rsidRDefault="00B51828" w:rsidP="002101D2">
      <w:pPr>
        <w:rPr>
          <w:rFonts w:ascii="Arial Narrow" w:hAnsi="Arial Narrow"/>
          <w:sz w:val="16"/>
          <w:szCs w:val="16"/>
        </w:rPr>
      </w:pPr>
      <w:r w:rsidRPr="00063831">
        <w:rPr>
          <w:rFonts w:ascii="Arial Narrow" w:hAnsi="Arial Narrow"/>
          <w:sz w:val="16"/>
          <w:szCs w:val="16"/>
        </w:rPr>
        <w:lastRenderedPageBreak/>
        <w:t xml:space="preserve">Source: </w:t>
      </w:r>
      <w:r>
        <w:rPr>
          <w:rFonts w:ascii="Arial Narrow" w:hAnsi="Arial Narrow"/>
          <w:sz w:val="16"/>
          <w:szCs w:val="16"/>
        </w:rPr>
        <w:t>Australian Government Department of Health. Medicare Benefits Schedule Book, Category 6. Operating from 01 April 2014</w:t>
      </w:r>
    </w:p>
    <w:p w14:paraId="4A7EE8D3" w14:textId="77777777" w:rsidR="00B51828" w:rsidRPr="00D00ADF" w:rsidRDefault="00B51828" w:rsidP="003771E9">
      <w:pPr>
        <w:ind w:firstLine="720"/>
        <w:rPr>
          <w:rFonts w:ascii="Arial Narrow" w:hAnsi="Arial Narrow"/>
          <w:sz w:val="16"/>
          <w:szCs w:val="16"/>
        </w:rPr>
      </w:pPr>
    </w:p>
    <w:p w14:paraId="01B6BE53" w14:textId="72152A00" w:rsidR="00B51828" w:rsidRPr="00D00ADF" w:rsidRDefault="003771E9" w:rsidP="003771E9">
      <w:pPr>
        <w:tabs>
          <w:tab w:val="left" w:pos="1373"/>
        </w:tabs>
        <w:rPr>
          <w:rFonts w:ascii="Arial Narrow" w:hAnsi="Arial Narrow"/>
          <w:sz w:val="16"/>
          <w:szCs w:val="16"/>
        </w:rPr>
        <w:sectPr w:rsidR="00B51828" w:rsidRPr="00D00ADF" w:rsidSect="002101D2">
          <w:footerReference w:type="default" r:id="rId12"/>
          <w:pgSz w:w="16838" w:h="11906" w:orient="landscape" w:code="9"/>
          <w:pgMar w:top="1440" w:right="1440" w:bottom="1440" w:left="1440" w:header="680" w:footer="1021" w:gutter="0"/>
          <w:cols w:space="708"/>
          <w:docGrid w:linePitch="360"/>
        </w:sectPr>
      </w:pPr>
      <w:r>
        <w:rPr>
          <w:rFonts w:ascii="Arial Narrow" w:hAnsi="Arial Narrow"/>
          <w:sz w:val="16"/>
          <w:szCs w:val="16"/>
        </w:rPr>
        <w:tab/>
      </w:r>
    </w:p>
    <w:p w14:paraId="5AB01732" w14:textId="77777777" w:rsidR="00B51828" w:rsidRDefault="00B51828" w:rsidP="002101D2">
      <w:pPr>
        <w:pStyle w:val="Heading4"/>
      </w:pPr>
      <w:r>
        <w:lastRenderedPageBreak/>
        <w:t>Cytology items</w:t>
      </w:r>
    </w:p>
    <w:p w14:paraId="3076B6FA" w14:textId="77777777" w:rsidR="00B51828" w:rsidRDefault="00B51828" w:rsidP="002101D2">
      <w:r>
        <w:t xml:space="preserve">Cytopathology (Group P6, items 73043-73057, 73062-73063 and 73066-73067) refers to the microscopic examination of stained preparations of free cells (i.e. not whole tissues) separated naturally or artificially. It includes the examination of smears from the skin, lip, mouth, nose, vagina or anus, or liquid discharges such as sputum, urine or discharge from the nipple (see </w:t>
      </w:r>
      <w:r>
        <w:fldChar w:fldCharType="begin"/>
      </w:r>
      <w:r>
        <w:instrText xml:space="preserve"> REF _Ref382313577 \n \h </w:instrText>
      </w:r>
      <w:r>
        <w:fldChar w:fldCharType="separate"/>
      </w:r>
      <w:r w:rsidR="0044620B">
        <w:t>Appendix 2</w:t>
      </w:r>
      <w:r>
        <w:fldChar w:fldCharType="end"/>
      </w:r>
      <w:r>
        <w:t xml:space="preserve">). A very common cytopathology service is the examination of cervical smears (or Pap smears). Other items in Group P6 (items 73059-73061 and 73064-73065) relate to ICC examination of material obtained by procedures described in the ‘core’ items outlined at the top of </w:t>
      </w:r>
      <w:r>
        <w:fldChar w:fldCharType="begin"/>
      </w:r>
      <w:r>
        <w:instrText xml:space="preserve"> REF _Ref392064516 \h </w:instrText>
      </w:r>
      <w:r>
        <w:fldChar w:fldCharType="separate"/>
      </w:r>
      <w:r w:rsidR="0044620B">
        <w:t xml:space="preserve">Table </w:t>
      </w:r>
      <w:r w:rsidR="0044620B">
        <w:rPr>
          <w:noProof/>
        </w:rPr>
        <w:t>A.2</w:t>
      </w:r>
      <w:r w:rsidR="0044620B">
        <w:noBreakHyphen/>
      </w:r>
      <w:r w:rsidR="0044620B">
        <w:rPr>
          <w:noProof/>
        </w:rPr>
        <w:t>4</w:t>
      </w:r>
      <w:r>
        <w:fldChar w:fldCharType="end"/>
      </w:r>
      <w:r>
        <w:t xml:space="preserve">. </w:t>
      </w:r>
    </w:p>
    <w:p w14:paraId="55566F2F" w14:textId="77777777" w:rsidR="00B51828" w:rsidRPr="00D00ADF" w:rsidRDefault="00B51828" w:rsidP="002101D2">
      <w:pPr>
        <w:pStyle w:val="Caption"/>
      </w:pPr>
      <w:bookmarkStart w:id="38" w:name="_Ref392064516"/>
      <w:bookmarkStart w:id="39" w:name="_Toc396211730"/>
      <w:r>
        <w:t xml:space="preserve">Table </w:t>
      </w:r>
      <w:fldSimple w:instr=" STYLEREF 2 \s ">
        <w:r w:rsidR="0044620B">
          <w:rPr>
            <w:noProof/>
          </w:rPr>
          <w:t>A.2</w:t>
        </w:r>
      </w:fldSimple>
      <w:r>
        <w:noBreakHyphen/>
      </w:r>
      <w:fldSimple w:instr=" SEQ Table \* ARABIC \s 2 ">
        <w:r w:rsidR="0044620B">
          <w:rPr>
            <w:noProof/>
          </w:rPr>
          <w:t>4</w:t>
        </w:r>
      </w:fldSimple>
      <w:bookmarkEnd w:id="38"/>
      <w:r>
        <w:tab/>
        <w:t>Medicare items in Group P6 (Cytology)</w:t>
      </w:r>
      <w:bookmarkEnd w:id="39"/>
    </w:p>
    <w:tbl>
      <w:tblPr>
        <w:tblStyle w:val="TableGrid"/>
        <w:tblW w:w="4610" w:type="pct"/>
        <w:tblInd w:w="704" w:type="dxa"/>
        <w:tblLook w:val="04A0" w:firstRow="1" w:lastRow="0" w:firstColumn="1" w:lastColumn="0" w:noHBand="0" w:noVBand="1"/>
        <w:tblCaption w:val="Medicare items in Group P6 (Cytology)"/>
        <w:tblDescription w:val="MBS items, brief descriptors and Schedules fees for Group P6 cytology items"/>
      </w:tblPr>
      <w:tblGrid>
        <w:gridCol w:w="1453"/>
        <w:gridCol w:w="5771"/>
        <w:gridCol w:w="1297"/>
      </w:tblGrid>
      <w:tr w:rsidR="00B51828" w:rsidRPr="00851D0E" w14:paraId="42708941" w14:textId="77777777" w:rsidTr="00447D71">
        <w:trPr>
          <w:tblHeader/>
        </w:trPr>
        <w:tc>
          <w:tcPr>
            <w:tcW w:w="1418" w:type="dxa"/>
          </w:tcPr>
          <w:p w14:paraId="6FF43A29" w14:textId="77777777" w:rsidR="00B51828" w:rsidRPr="001D29BD" w:rsidRDefault="00B51828" w:rsidP="002101D2">
            <w:pPr>
              <w:spacing w:before="20" w:after="20"/>
              <w:ind w:left="0"/>
              <w:rPr>
                <w:rFonts w:ascii="Arial Narrow" w:hAnsi="Arial Narrow"/>
                <w:b/>
                <w:sz w:val="20"/>
                <w:szCs w:val="20"/>
              </w:rPr>
            </w:pPr>
            <w:r w:rsidRPr="001D29BD">
              <w:rPr>
                <w:rFonts w:ascii="Arial Narrow" w:hAnsi="Arial Narrow"/>
                <w:b/>
                <w:sz w:val="20"/>
                <w:szCs w:val="20"/>
              </w:rPr>
              <w:t>MBS item</w:t>
            </w:r>
          </w:p>
        </w:tc>
        <w:tc>
          <w:tcPr>
            <w:tcW w:w="5630" w:type="dxa"/>
          </w:tcPr>
          <w:p w14:paraId="076819CE" w14:textId="77777777" w:rsidR="00B51828" w:rsidRPr="001D29BD" w:rsidRDefault="00B51828" w:rsidP="002101D2">
            <w:pPr>
              <w:spacing w:before="20" w:after="20"/>
              <w:ind w:left="0"/>
              <w:rPr>
                <w:rFonts w:ascii="Arial Narrow" w:hAnsi="Arial Narrow"/>
                <w:b/>
                <w:sz w:val="20"/>
                <w:szCs w:val="20"/>
              </w:rPr>
            </w:pPr>
            <w:r w:rsidRPr="001D29BD">
              <w:rPr>
                <w:rFonts w:ascii="Arial Narrow" w:hAnsi="Arial Narrow"/>
                <w:b/>
                <w:sz w:val="20"/>
                <w:szCs w:val="20"/>
              </w:rPr>
              <w:t>Brief descriptor</w:t>
            </w:r>
          </w:p>
        </w:tc>
        <w:tc>
          <w:tcPr>
            <w:tcW w:w="1265" w:type="dxa"/>
          </w:tcPr>
          <w:p w14:paraId="3FB29E52" w14:textId="77777777" w:rsidR="00B51828" w:rsidRPr="001D29BD" w:rsidRDefault="00B51828" w:rsidP="002101D2">
            <w:pPr>
              <w:spacing w:before="20" w:after="20"/>
              <w:ind w:left="0"/>
              <w:jc w:val="right"/>
              <w:rPr>
                <w:rFonts w:ascii="Arial Narrow" w:hAnsi="Arial Narrow"/>
                <w:b/>
                <w:sz w:val="20"/>
                <w:szCs w:val="20"/>
              </w:rPr>
            </w:pPr>
            <w:r>
              <w:rPr>
                <w:rFonts w:ascii="Arial Narrow" w:hAnsi="Arial Narrow"/>
                <w:b/>
                <w:sz w:val="20"/>
                <w:szCs w:val="20"/>
              </w:rPr>
              <w:t>Schedule f</w:t>
            </w:r>
            <w:r w:rsidRPr="001D29BD">
              <w:rPr>
                <w:rFonts w:ascii="Arial Narrow" w:hAnsi="Arial Narrow"/>
                <w:b/>
                <w:sz w:val="20"/>
                <w:szCs w:val="20"/>
              </w:rPr>
              <w:t>ee</w:t>
            </w:r>
          </w:p>
        </w:tc>
      </w:tr>
      <w:tr w:rsidR="00447D71" w:rsidRPr="00851D0E" w14:paraId="428B67D5" w14:textId="77777777" w:rsidTr="00447D71">
        <w:tc>
          <w:tcPr>
            <w:tcW w:w="1418" w:type="dxa"/>
            <w:shd w:val="clear" w:color="auto" w:fill="BFBFBF" w:themeFill="background1" w:themeFillShade="BF"/>
          </w:tcPr>
          <w:p w14:paraId="78273FAC" w14:textId="77777777" w:rsidR="00447D71" w:rsidRPr="00D5518F" w:rsidRDefault="00447D71" w:rsidP="002101D2">
            <w:pPr>
              <w:spacing w:before="20" w:after="20"/>
              <w:ind w:left="0"/>
              <w:rPr>
                <w:rFonts w:ascii="Arial Narrow" w:hAnsi="Arial Narrow"/>
                <w:b/>
                <w:sz w:val="20"/>
                <w:szCs w:val="20"/>
              </w:rPr>
            </w:pPr>
            <w:r>
              <w:rPr>
                <w:rFonts w:ascii="Arial Narrow" w:hAnsi="Arial Narrow"/>
                <w:b/>
                <w:sz w:val="20"/>
                <w:szCs w:val="20"/>
              </w:rPr>
              <w:t>‘</w:t>
            </w:r>
            <w:r w:rsidRPr="00D5518F">
              <w:rPr>
                <w:rFonts w:ascii="Arial Narrow" w:hAnsi="Arial Narrow"/>
                <w:b/>
                <w:sz w:val="20"/>
                <w:szCs w:val="20"/>
              </w:rPr>
              <w:t>Core</w:t>
            </w:r>
            <w:r>
              <w:rPr>
                <w:rFonts w:ascii="Arial Narrow" w:hAnsi="Arial Narrow"/>
                <w:b/>
                <w:sz w:val="20"/>
                <w:szCs w:val="20"/>
              </w:rPr>
              <w:t>’</w:t>
            </w:r>
            <w:r w:rsidRPr="00D5518F">
              <w:rPr>
                <w:rFonts w:ascii="Arial Narrow" w:hAnsi="Arial Narrow"/>
                <w:b/>
                <w:sz w:val="20"/>
                <w:szCs w:val="20"/>
              </w:rPr>
              <w:t xml:space="preserve"> items</w:t>
            </w:r>
          </w:p>
        </w:tc>
        <w:tc>
          <w:tcPr>
            <w:tcW w:w="5630" w:type="dxa"/>
            <w:shd w:val="clear" w:color="auto" w:fill="BFBFBF" w:themeFill="background1" w:themeFillShade="BF"/>
          </w:tcPr>
          <w:p w14:paraId="14C29097" w14:textId="7B9528AD" w:rsidR="00447D71" w:rsidRPr="00D5518F" w:rsidRDefault="00447D71" w:rsidP="002101D2">
            <w:pPr>
              <w:spacing w:before="20" w:after="20"/>
              <w:ind w:left="0"/>
              <w:rPr>
                <w:rFonts w:ascii="Arial Narrow" w:hAnsi="Arial Narrow"/>
                <w:b/>
                <w:sz w:val="20"/>
                <w:szCs w:val="20"/>
              </w:rPr>
            </w:pPr>
            <w:r>
              <w:rPr>
                <w:rFonts w:ascii="Arial Narrow" w:hAnsi="Arial Narrow"/>
                <w:b/>
                <w:sz w:val="20"/>
                <w:szCs w:val="20"/>
              </w:rPr>
              <w:t>-</w:t>
            </w:r>
          </w:p>
        </w:tc>
        <w:tc>
          <w:tcPr>
            <w:tcW w:w="1265" w:type="dxa"/>
            <w:shd w:val="clear" w:color="auto" w:fill="BFBFBF" w:themeFill="background1" w:themeFillShade="BF"/>
          </w:tcPr>
          <w:p w14:paraId="724E57CE" w14:textId="3EE3647A" w:rsidR="00447D71" w:rsidRPr="00D5518F" w:rsidRDefault="00447D71" w:rsidP="00447D71">
            <w:pPr>
              <w:spacing w:before="20" w:after="20"/>
              <w:ind w:left="0"/>
              <w:jc w:val="right"/>
              <w:rPr>
                <w:rFonts w:ascii="Arial Narrow" w:hAnsi="Arial Narrow"/>
                <w:b/>
                <w:sz w:val="20"/>
                <w:szCs w:val="20"/>
              </w:rPr>
            </w:pPr>
            <w:r>
              <w:rPr>
                <w:rFonts w:ascii="Arial Narrow" w:hAnsi="Arial Narrow"/>
                <w:b/>
                <w:sz w:val="20"/>
                <w:szCs w:val="20"/>
              </w:rPr>
              <w:t>-</w:t>
            </w:r>
          </w:p>
        </w:tc>
      </w:tr>
      <w:tr w:rsidR="00B51828" w:rsidRPr="00851D0E" w14:paraId="7DE647EF" w14:textId="77777777" w:rsidTr="00447D71">
        <w:tc>
          <w:tcPr>
            <w:tcW w:w="1418" w:type="dxa"/>
          </w:tcPr>
          <w:p w14:paraId="791B22BA"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73043</w:t>
            </w:r>
          </w:p>
        </w:tc>
        <w:tc>
          <w:tcPr>
            <w:tcW w:w="5630" w:type="dxa"/>
          </w:tcPr>
          <w:p w14:paraId="21103D4C"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Cytology of nipple discharge or smears from skin, lip, mouth, nose or anus for detection of precancerous or cancerous changes - ≥1 tests</w:t>
            </w:r>
          </w:p>
        </w:tc>
        <w:tc>
          <w:tcPr>
            <w:tcW w:w="1265" w:type="dxa"/>
          </w:tcPr>
          <w:p w14:paraId="070C4CAD"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$22.85</w:t>
            </w:r>
          </w:p>
        </w:tc>
      </w:tr>
      <w:tr w:rsidR="00B51828" w:rsidRPr="00851D0E" w14:paraId="7919C38B" w14:textId="77777777" w:rsidTr="00447D71">
        <w:tc>
          <w:tcPr>
            <w:tcW w:w="1418" w:type="dxa"/>
          </w:tcPr>
          <w:p w14:paraId="066299C8"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73045</w:t>
            </w:r>
          </w:p>
        </w:tc>
        <w:tc>
          <w:tcPr>
            <w:tcW w:w="5630" w:type="dxa"/>
          </w:tcPr>
          <w:p w14:paraId="0FB24E2C"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Cytology for malignancy performed on washings or brushings from sites not specified in 73043, a single specimen of sputum or urine, or one or more specimens of other body fluids</w:t>
            </w:r>
          </w:p>
        </w:tc>
        <w:tc>
          <w:tcPr>
            <w:tcW w:w="1265" w:type="dxa"/>
          </w:tcPr>
          <w:p w14:paraId="466DB085"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$48.60</w:t>
            </w:r>
          </w:p>
        </w:tc>
      </w:tr>
      <w:tr w:rsidR="00B51828" w:rsidRPr="00851D0E" w14:paraId="7C7B5317" w14:textId="77777777" w:rsidTr="00447D71">
        <w:tc>
          <w:tcPr>
            <w:tcW w:w="1418" w:type="dxa"/>
          </w:tcPr>
          <w:p w14:paraId="6C6F948B"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73047</w:t>
            </w:r>
          </w:p>
        </w:tc>
        <w:tc>
          <w:tcPr>
            <w:tcW w:w="5630" w:type="dxa"/>
          </w:tcPr>
          <w:p w14:paraId="0FA28BD0"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Cytology of 3 sputum or urine specimens for malignant cells</w:t>
            </w:r>
          </w:p>
        </w:tc>
        <w:tc>
          <w:tcPr>
            <w:tcW w:w="1265" w:type="dxa"/>
          </w:tcPr>
          <w:p w14:paraId="69DA7304"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$94.70</w:t>
            </w:r>
          </w:p>
        </w:tc>
      </w:tr>
      <w:tr w:rsidR="00B51828" w:rsidRPr="00851D0E" w14:paraId="4C7FF3F5" w14:textId="77777777" w:rsidTr="00447D71">
        <w:tc>
          <w:tcPr>
            <w:tcW w:w="1418" w:type="dxa"/>
          </w:tcPr>
          <w:p w14:paraId="222F961D"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73049</w:t>
            </w:r>
          </w:p>
        </w:tc>
        <w:tc>
          <w:tcPr>
            <w:tcW w:w="5630" w:type="dxa"/>
          </w:tcPr>
          <w:p w14:paraId="169E9AA6"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 xml:space="preserve">Cytology of material obtained at 1 site by fine needle aspiration of solid tissue </w:t>
            </w:r>
          </w:p>
        </w:tc>
        <w:tc>
          <w:tcPr>
            <w:tcW w:w="1265" w:type="dxa"/>
          </w:tcPr>
          <w:p w14:paraId="5D9F8A0D"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$68.15</w:t>
            </w:r>
          </w:p>
        </w:tc>
      </w:tr>
      <w:tr w:rsidR="00B51828" w:rsidRPr="00851D0E" w14:paraId="04FE94D5" w14:textId="77777777" w:rsidTr="00447D71">
        <w:tc>
          <w:tcPr>
            <w:tcW w:w="1418" w:type="dxa"/>
          </w:tcPr>
          <w:p w14:paraId="63BED2A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73062</w:t>
            </w:r>
          </w:p>
        </w:tc>
        <w:tc>
          <w:tcPr>
            <w:tcW w:w="5630" w:type="dxa"/>
          </w:tcPr>
          <w:p w14:paraId="2AA4F41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Cytology of material obtained at 2 or more sites by fine needle aspiration of solid tissue</w:t>
            </w:r>
          </w:p>
        </w:tc>
        <w:tc>
          <w:tcPr>
            <w:tcW w:w="1265" w:type="dxa"/>
          </w:tcPr>
          <w:p w14:paraId="1533F304"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$89.00</w:t>
            </w:r>
          </w:p>
        </w:tc>
      </w:tr>
      <w:tr w:rsidR="00B51828" w:rsidRPr="00851D0E" w14:paraId="35F9EE6E" w14:textId="77777777" w:rsidTr="00447D71">
        <w:tc>
          <w:tcPr>
            <w:tcW w:w="1418" w:type="dxa"/>
          </w:tcPr>
          <w:p w14:paraId="35A0619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73063</w:t>
            </w:r>
          </w:p>
        </w:tc>
        <w:tc>
          <w:tcPr>
            <w:tcW w:w="5630" w:type="dxa"/>
          </w:tcPr>
          <w:p w14:paraId="64CC5F6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Cytology of material obtained at 1 site by fine needle aspiration of solid tissue, if an APA employee attends the aspiration</w:t>
            </w:r>
          </w:p>
        </w:tc>
        <w:tc>
          <w:tcPr>
            <w:tcW w:w="1265" w:type="dxa"/>
          </w:tcPr>
          <w:p w14:paraId="0F75D1AF"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$99.35</w:t>
            </w:r>
          </w:p>
        </w:tc>
      </w:tr>
      <w:tr w:rsidR="00B51828" w:rsidRPr="00851D0E" w14:paraId="430F62AE" w14:textId="77777777" w:rsidTr="00447D71">
        <w:tc>
          <w:tcPr>
            <w:tcW w:w="1418" w:type="dxa"/>
          </w:tcPr>
          <w:p w14:paraId="503CD33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73067</w:t>
            </w:r>
          </w:p>
        </w:tc>
        <w:tc>
          <w:tcPr>
            <w:tcW w:w="5630" w:type="dxa"/>
          </w:tcPr>
          <w:p w14:paraId="487FDC5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Cytology of material obtained at 2 or more sites by fine needle aspiration of solid tissue, if an APA employee attends the aspiration</w:t>
            </w:r>
          </w:p>
        </w:tc>
        <w:tc>
          <w:tcPr>
            <w:tcW w:w="1265" w:type="dxa"/>
          </w:tcPr>
          <w:p w14:paraId="6C34DD01"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$129.15</w:t>
            </w:r>
          </w:p>
        </w:tc>
      </w:tr>
      <w:tr w:rsidR="00B51828" w:rsidRPr="00851D0E" w14:paraId="77AD57CF" w14:textId="77777777" w:rsidTr="00447D71">
        <w:tc>
          <w:tcPr>
            <w:tcW w:w="1418" w:type="dxa"/>
          </w:tcPr>
          <w:p w14:paraId="404975AB"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73051</w:t>
            </w:r>
          </w:p>
        </w:tc>
        <w:tc>
          <w:tcPr>
            <w:tcW w:w="5630" w:type="dxa"/>
          </w:tcPr>
          <w:p w14:paraId="5D33ED66"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Cytology of material obtained at 1 site by fine needle aspiration of solid tissue, if a recognised pathologist performs or attends the aspiration</w:t>
            </w:r>
          </w:p>
        </w:tc>
        <w:tc>
          <w:tcPr>
            <w:tcW w:w="1265" w:type="dxa"/>
          </w:tcPr>
          <w:p w14:paraId="2C273873"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$170.35</w:t>
            </w:r>
          </w:p>
        </w:tc>
      </w:tr>
      <w:tr w:rsidR="00B51828" w:rsidRPr="00851D0E" w14:paraId="5436F834" w14:textId="77777777" w:rsidTr="00447D71">
        <w:tc>
          <w:tcPr>
            <w:tcW w:w="1418" w:type="dxa"/>
          </w:tcPr>
          <w:p w14:paraId="500E9DB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73066</w:t>
            </w:r>
          </w:p>
        </w:tc>
        <w:tc>
          <w:tcPr>
            <w:tcW w:w="5630" w:type="dxa"/>
          </w:tcPr>
          <w:p w14:paraId="5BC4E5D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Cytology of material obtained at 2 or more sites by fine needle aspiration of solid tissue, if a recognised pathologist performs or attends the aspiration</w:t>
            </w:r>
          </w:p>
        </w:tc>
        <w:tc>
          <w:tcPr>
            <w:tcW w:w="1265" w:type="dxa"/>
          </w:tcPr>
          <w:p w14:paraId="2BB1848E"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$221.45</w:t>
            </w:r>
          </w:p>
        </w:tc>
      </w:tr>
      <w:tr w:rsidR="00B51828" w:rsidRPr="00851D0E" w14:paraId="0E038DC8" w14:textId="77777777" w:rsidTr="00447D71">
        <w:tc>
          <w:tcPr>
            <w:tcW w:w="1418" w:type="dxa"/>
          </w:tcPr>
          <w:p w14:paraId="5BDCBAB5"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73053</w:t>
            </w:r>
          </w:p>
        </w:tc>
        <w:tc>
          <w:tcPr>
            <w:tcW w:w="5630" w:type="dxa"/>
          </w:tcPr>
          <w:p w14:paraId="3DF38719"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Cytology of a smear from the cervix for the detection of precancerous or cancerous changes in women with no symptoms or signs of cervical neoplasia</w:t>
            </w:r>
          </w:p>
        </w:tc>
        <w:tc>
          <w:tcPr>
            <w:tcW w:w="1265" w:type="dxa"/>
          </w:tcPr>
          <w:p w14:paraId="42929FA6"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$19.45</w:t>
            </w:r>
          </w:p>
        </w:tc>
      </w:tr>
      <w:tr w:rsidR="00B51828" w:rsidRPr="00851D0E" w14:paraId="672220D2" w14:textId="77777777" w:rsidTr="00447D71">
        <w:tc>
          <w:tcPr>
            <w:tcW w:w="1418" w:type="dxa"/>
          </w:tcPr>
          <w:p w14:paraId="3962E967"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73055</w:t>
            </w:r>
          </w:p>
        </w:tc>
        <w:tc>
          <w:tcPr>
            <w:tcW w:w="5630" w:type="dxa"/>
          </w:tcPr>
          <w:p w14:paraId="22A0F3A7"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Cytology of a smear from the cervix for the management of previously detected abnormalities or symptoms or signs of cervical neoplasia</w:t>
            </w:r>
          </w:p>
        </w:tc>
        <w:tc>
          <w:tcPr>
            <w:tcW w:w="1265" w:type="dxa"/>
          </w:tcPr>
          <w:p w14:paraId="13B02257"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$19.45</w:t>
            </w:r>
          </w:p>
        </w:tc>
      </w:tr>
      <w:tr w:rsidR="00B51828" w:rsidRPr="00851D0E" w14:paraId="4D3FF7D0" w14:textId="77777777" w:rsidTr="00447D71">
        <w:tc>
          <w:tcPr>
            <w:tcW w:w="1418" w:type="dxa"/>
          </w:tcPr>
          <w:p w14:paraId="2352017E"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73057</w:t>
            </w:r>
          </w:p>
        </w:tc>
        <w:tc>
          <w:tcPr>
            <w:tcW w:w="5630" w:type="dxa"/>
          </w:tcPr>
          <w:p w14:paraId="1C0FF327" w14:textId="77777777" w:rsidR="00B51828" w:rsidRPr="00851D0E" w:rsidRDefault="00B51828" w:rsidP="002101D2">
            <w:pPr>
              <w:spacing w:before="20" w:after="20"/>
              <w:ind w:left="0"/>
              <w:rPr>
                <w:rFonts w:ascii="Arial Narrow" w:hAnsi="Arial Narrow"/>
                <w:sz w:val="20"/>
                <w:szCs w:val="20"/>
              </w:rPr>
            </w:pPr>
            <w:r>
              <w:rPr>
                <w:rFonts w:ascii="Arial Narrow" w:hAnsi="Arial Narrow"/>
                <w:sz w:val="20"/>
                <w:szCs w:val="20"/>
              </w:rPr>
              <w:t>Cytology of a smear from the vagina</w:t>
            </w:r>
          </w:p>
        </w:tc>
        <w:tc>
          <w:tcPr>
            <w:tcW w:w="1265" w:type="dxa"/>
          </w:tcPr>
          <w:p w14:paraId="2AEFD15F" w14:textId="77777777" w:rsidR="00B51828" w:rsidRPr="00851D0E" w:rsidRDefault="00B51828" w:rsidP="002101D2">
            <w:pPr>
              <w:spacing w:before="20" w:after="20"/>
              <w:ind w:left="0"/>
              <w:jc w:val="right"/>
              <w:rPr>
                <w:rFonts w:ascii="Arial Narrow" w:hAnsi="Arial Narrow"/>
                <w:sz w:val="20"/>
                <w:szCs w:val="20"/>
              </w:rPr>
            </w:pPr>
            <w:r>
              <w:rPr>
                <w:rFonts w:ascii="Arial Narrow" w:hAnsi="Arial Narrow"/>
                <w:sz w:val="20"/>
                <w:szCs w:val="20"/>
              </w:rPr>
              <w:t>$19.45</w:t>
            </w:r>
          </w:p>
        </w:tc>
      </w:tr>
      <w:tr w:rsidR="00447D71" w:rsidRPr="00851D0E" w14:paraId="2B5AED61" w14:textId="77777777" w:rsidTr="00447D71">
        <w:tc>
          <w:tcPr>
            <w:tcW w:w="1418" w:type="dxa"/>
            <w:shd w:val="clear" w:color="auto" w:fill="BFBFBF" w:themeFill="background1" w:themeFillShade="BF"/>
          </w:tcPr>
          <w:p w14:paraId="51CAE03A" w14:textId="27A83FC0" w:rsidR="00447D71" w:rsidRDefault="00447D71" w:rsidP="002101D2">
            <w:pPr>
              <w:spacing w:before="20" w:after="20"/>
              <w:ind w:left="0"/>
              <w:rPr>
                <w:rFonts w:ascii="Arial Narrow" w:hAnsi="Arial Narrow"/>
                <w:b/>
                <w:sz w:val="20"/>
                <w:szCs w:val="20"/>
              </w:rPr>
            </w:pPr>
            <w:r>
              <w:rPr>
                <w:rFonts w:ascii="Arial Narrow" w:hAnsi="Arial Narrow"/>
                <w:b/>
                <w:sz w:val="20"/>
                <w:szCs w:val="20"/>
              </w:rPr>
              <w:t>‘</w:t>
            </w:r>
            <w:r w:rsidRPr="00F0286B">
              <w:rPr>
                <w:rFonts w:ascii="Arial Narrow" w:hAnsi="Arial Narrow"/>
                <w:b/>
                <w:sz w:val="20"/>
                <w:szCs w:val="20"/>
              </w:rPr>
              <w:t>Non-core</w:t>
            </w:r>
            <w:r>
              <w:rPr>
                <w:rFonts w:ascii="Arial Narrow" w:hAnsi="Arial Narrow"/>
                <w:b/>
                <w:sz w:val="20"/>
                <w:szCs w:val="20"/>
              </w:rPr>
              <w:t>’</w:t>
            </w:r>
            <w:r w:rsidRPr="00F0286B">
              <w:rPr>
                <w:rFonts w:ascii="Arial Narrow" w:hAnsi="Arial Narrow"/>
                <w:b/>
                <w:sz w:val="20"/>
                <w:szCs w:val="20"/>
              </w:rPr>
              <w:t xml:space="preserve"> ancillary items</w:t>
            </w:r>
          </w:p>
        </w:tc>
        <w:tc>
          <w:tcPr>
            <w:tcW w:w="5630" w:type="dxa"/>
            <w:shd w:val="clear" w:color="auto" w:fill="BFBFBF" w:themeFill="background1" w:themeFillShade="BF"/>
          </w:tcPr>
          <w:p w14:paraId="2D1283E7" w14:textId="006B18EF" w:rsidR="00447D71" w:rsidRPr="00F0286B" w:rsidRDefault="00447D71" w:rsidP="002101D2">
            <w:pPr>
              <w:spacing w:before="20" w:after="20"/>
              <w:ind w:left="0"/>
              <w:rPr>
                <w:rFonts w:ascii="Arial Narrow" w:hAnsi="Arial Narrow"/>
                <w:b/>
                <w:sz w:val="20"/>
                <w:szCs w:val="20"/>
              </w:rPr>
            </w:pPr>
            <w:r>
              <w:rPr>
                <w:rFonts w:ascii="Arial Narrow" w:hAnsi="Arial Narrow"/>
                <w:b/>
                <w:sz w:val="20"/>
                <w:szCs w:val="20"/>
              </w:rPr>
              <w:t>-</w:t>
            </w:r>
          </w:p>
        </w:tc>
        <w:tc>
          <w:tcPr>
            <w:tcW w:w="1265" w:type="dxa"/>
            <w:shd w:val="clear" w:color="auto" w:fill="BFBFBF" w:themeFill="background1" w:themeFillShade="BF"/>
          </w:tcPr>
          <w:p w14:paraId="2A12B949" w14:textId="2AA19EF8" w:rsidR="00447D71" w:rsidRPr="00F0286B" w:rsidRDefault="00447D71" w:rsidP="00447D71">
            <w:pPr>
              <w:spacing w:before="20" w:after="20"/>
              <w:ind w:left="0"/>
              <w:jc w:val="right"/>
              <w:rPr>
                <w:rFonts w:ascii="Arial Narrow" w:hAnsi="Arial Narrow"/>
                <w:b/>
                <w:sz w:val="20"/>
                <w:szCs w:val="20"/>
              </w:rPr>
            </w:pPr>
            <w:r>
              <w:rPr>
                <w:rFonts w:ascii="Arial Narrow" w:hAnsi="Arial Narrow"/>
                <w:b/>
                <w:sz w:val="20"/>
                <w:szCs w:val="20"/>
              </w:rPr>
              <w:t>-</w:t>
            </w:r>
          </w:p>
        </w:tc>
      </w:tr>
      <w:tr w:rsidR="00B51828" w:rsidRPr="00851D0E" w14:paraId="2512E440" w14:textId="77777777" w:rsidTr="00447D71">
        <w:tc>
          <w:tcPr>
            <w:tcW w:w="1418" w:type="dxa"/>
          </w:tcPr>
          <w:p w14:paraId="5A515D2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73059</w:t>
            </w:r>
          </w:p>
        </w:tc>
        <w:tc>
          <w:tcPr>
            <w:tcW w:w="5630" w:type="dxa"/>
          </w:tcPr>
          <w:p w14:paraId="7E6EB25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ICC examination of material obtained in 73045-73063 – 1-3 antibodies</w:t>
            </w:r>
          </w:p>
        </w:tc>
        <w:tc>
          <w:tcPr>
            <w:tcW w:w="1265" w:type="dxa"/>
          </w:tcPr>
          <w:p w14:paraId="77BCE7BB"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$43.00</w:t>
            </w:r>
          </w:p>
        </w:tc>
      </w:tr>
      <w:tr w:rsidR="00B51828" w:rsidRPr="00851D0E" w14:paraId="10EBDE16" w14:textId="77777777" w:rsidTr="00447D71">
        <w:tc>
          <w:tcPr>
            <w:tcW w:w="1418" w:type="dxa"/>
          </w:tcPr>
          <w:p w14:paraId="60CB33B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73061</w:t>
            </w:r>
          </w:p>
        </w:tc>
        <w:tc>
          <w:tcPr>
            <w:tcW w:w="5630" w:type="dxa"/>
          </w:tcPr>
          <w:p w14:paraId="6E8B730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ICC examination of material obtained in 73045-73063 – 1-3 of the following antibodies: oestrogen, progesterone, c-erb-B2</w:t>
            </w:r>
          </w:p>
        </w:tc>
        <w:tc>
          <w:tcPr>
            <w:tcW w:w="1265" w:type="dxa"/>
          </w:tcPr>
          <w:p w14:paraId="76C8D04C"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$51.20</w:t>
            </w:r>
          </w:p>
        </w:tc>
      </w:tr>
      <w:tr w:rsidR="00B51828" w:rsidRPr="00851D0E" w14:paraId="432762B4" w14:textId="77777777" w:rsidTr="00447D71">
        <w:tc>
          <w:tcPr>
            <w:tcW w:w="1418" w:type="dxa"/>
          </w:tcPr>
          <w:p w14:paraId="43B3A9D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73060</w:t>
            </w:r>
          </w:p>
        </w:tc>
        <w:tc>
          <w:tcPr>
            <w:tcW w:w="5630" w:type="dxa"/>
          </w:tcPr>
          <w:p w14:paraId="5E8676C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ICC examination of material obtained in 73045-73063 – 4-6 antibodies</w:t>
            </w:r>
          </w:p>
        </w:tc>
        <w:tc>
          <w:tcPr>
            <w:tcW w:w="1265" w:type="dxa"/>
          </w:tcPr>
          <w:p w14:paraId="67870DC0"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$57.35</w:t>
            </w:r>
          </w:p>
        </w:tc>
      </w:tr>
      <w:tr w:rsidR="00B51828" w:rsidRPr="00851D0E" w14:paraId="4D49F5CA" w14:textId="77777777" w:rsidTr="00447D71">
        <w:tc>
          <w:tcPr>
            <w:tcW w:w="1418" w:type="dxa"/>
          </w:tcPr>
          <w:p w14:paraId="5902791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73064</w:t>
            </w:r>
          </w:p>
        </w:tc>
        <w:tc>
          <w:tcPr>
            <w:tcW w:w="5630" w:type="dxa"/>
          </w:tcPr>
          <w:p w14:paraId="4EEB6DA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ICC examination of material obtained in 73045-73063 – 7-10 antibodies</w:t>
            </w:r>
          </w:p>
        </w:tc>
        <w:tc>
          <w:tcPr>
            <w:tcW w:w="1265" w:type="dxa"/>
          </w:tcPr>
          <w:p w14:paraId="38DB39EC"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$71.70</w:t>
            </w:r>
          </w:p>
        </w:tc>
      </w:tr>
      <w:tr w:rsidR="00B51828" w:rsidRPr="00851D0E" w14:paraId="4B05122C" w14:textId="77777777" w:rsidTr="00447D71">
        <w:tc>
          <w:tcPr>
            <w:tcW w:w="1418" w:type="dxa"/>
          </w:tcPr>
          <w:p w14:paraId="2967252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73065</w:t>
            </w:r>
          </w:p>
        </w:tc>
        <w:tc>
          <w:tcPr>
            <w:tcW w:w="5630" w:type="dxa"/>
          </w:tcPr>
          <w:p w14:paraId="7509B3D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ICC examination of material obtained in 73045-73063 – ≥11 antibodies</w:t>
            </w:r>
          </w:p>
        </w:tc>
        <w:tc>
          <w:tcPr>
            <w:tcW w:w="1265" w:type="dxa"/>
          </w:tcPr>
          <w:p w14:paraId="10453B6A" w14:textId="77777777" w:rsidR="00B51828" w:rsidRDefault="00B51828" w:rsidP="002101D2">
            <w:pPr>
              <w:spacing w:before="20" w:after="20"/>
              <w:ind w:left="0"/>
              <w:jc w:val="right"/>
              <w:rPr>
                <w:rFonts w:ascii="Arial Narrow" w:hAnsi="Arial Narrow"/>
                <w:sz w:val="20"/>
                <w:szCs w:val="20"/>
              </w:rPr>
            </w:pPr>
            <w:r>
              <w:rPr>
                <w:rFonts w:ascii="Arial Narrow" w:hAnsi="Arial Narrow"/>
                <w:sz w:val="20"/>
                <w:szCs w:val="20"/>
              </w:rPr>
              <w:t>$86.00</w:t>
            </w:r>
          </w:p>
        </w:tc>
      </w:tr>
    </w:tbl>
    <w:p w14:paraId="1C96F276" w14:textId="77777777" w:rsidR="00B51828" w:rsidRDefault="00B51828" w:rsidP="002101D2">
      <w:pPr>
        <w:spacing w:after="0"/>
        <w:rPr>
          <w:rFonts w:ascii="Arial Narrow" w:hAnsi="Arial Narrow"/>
          <w:sz w:val="16"/>
          <w:szCs w:val="16"/>
        </w:rPr>
      </w:pPr>
      <w:r w:rsidRPr="00834691">
        <w:rPr>
          <w:rFonts w:ascii="Arial Narrow" w:hAnsi="Arial Narrow"/>
          <w:sz w:val="16"/>
          <w:szCs w:val="16"/>
        </w:rPr>
        <w:t xml:space="preserve">Source: </w:t>
      </w:r>
      <w:r>
        <w:rPr>
          <w:rFonts w:ascii="Arial Narrow" w:hAnsi="Arial Narrow"/>
          <w:sz w:val="16"/>
          <w:szCs w:val="16"/>
        </w:rPr>
        <w:t>Final Protocol May 2014, p31-33</w:t>
      </w:r>
    </w:p>
    <w:p w14:paraId="65E04F7D" w14:textId="77777777" w:rsidR="00B51828" w:rsidRDefault="00B51828" w:rsidP="002101D2">
      <w:pPr>
        <w:rPr>
          <w:rFonts w:ascii="Arial Narrow" w:hAnsi="Arial Narrow"/>
          <w:sz w:val="16"/>
          <w:szCs w:val="16"/>
        </w:rPr>
      </w:pPr>
      <w:r>
        <w:rPr>
          <w:rFonts w:ascii="Arial Narrow" w:hAnsi="Arial Narrow"/>
          <w:sz w:val="16"/>
          <w:szCs w:val="16"/>
        </w:rPr>
        <w:t>Abbreviations: APA, Approved Pathology Authority; ICC, immunocytochemistry</w:t>
      </w:r>
    </w:p>
    <w:p w14:paraId="69565835" w14:textId="77777777" w:rsidR="00B51828" w:rsidRDefault="00B51828" w:rsidP="002101D2">
      <w:r>
        <w:t>I</w:t>
      </w:r>
      <w:r w:rsidRPr="00FD70D8">
        <w:t>n many instances</w:t>
      </w:r>
      <w:r>
        <w:t>,</w:t>
      </w:r>
      <w:r w:rsidRPr="00FD70D8">
        <w:t xml:space="preserve"> cytology is undertaken as a screening or preliminary test. It would be rare that a second, expert opinion would be required, except where it is difficult to re-biopsy</w:t>
      </w:r>
      <w:r>
        <w:t xml:space="preserve"> sites (such as the pancreas). </w:t>
      </w:r>
      <w:r w:rsidRPr="00FD70D8">
        <w:t xml:space="preserve">Difficult cases </w:t>
      </w:r>
      <w:r>
        <w:t>are</w:t>
      </w:r>
      <w:r w:rsidRPr="00FD70D8">
        <w:t xml:space="preserve"> usually reported as suspicious or indeterminate and a formal histological biopsy suggested.</w:t>
      </w:r>
    </w:p>
    <w:p w14:paraId="3082D560" w14:textId="0CE27C0E" w:rsidR="00B51828" w:rsidRDefault="00B51828" w:rsidP="002101D2">
      <w:r>
        <w:lastRenderedPageBreak/>
        <w:t>In the public consultation process, the possibility of excluding gynaecological cytology cases (items 73053-73057) from the proposed second, expert opinion item(s) was discussed. The rationale behind excluding those services was that the majority of current services relate to screening rather than diagnosis and that it is relatively cheap ($19.45) to repeat the initial smear. It was subsequently argued that excluding gynaecological cytology items, particularly MBS item 73053, could be problematic given that the inconvenience and discomfort of obtaining a smear could be a deterrent against repeating the test and that a lack of funding for a second, expert opinion would disproportionately affect women, clinicians and laboratory staff in rural and remote areas.</w:t>
      </w:r>
    </w:p>
    <w:p w14:paraId="2640A1D6" w14:textId="6841BD7E" w:rsidR="00B51828" w:rsidRDefault="00B51828" w:rsidP="002101D2">
      <w:r>
        <w:t>MSAC therefore need to consider whether the inclusion of gynaecological cytology cases in the second, expert opinion service is appropriate. As explained in the Final Protocol, approximately 75% of all initial cytopathology claims currently relate to MBS item 73053 for routine Pap smear screening (i.e. cytology of a smear from the cervix in women with no symptoms, signs or recent history suggestive of cervical neoplasia), which is promoted through the N</w:t>
      </w:r>
      <w:r w:rsidR="00A41772">
        <w:t xml:space="preserve">ational </w:t>
      </w:r>
      <w:r>
        <w:t>C</w:t>
      </w:r>
      <w:r w:rsidR="00A41772">
        <w:t xml:space="preserve">ervical </w:t>
      </w:r>
      <w:r>
        <w:t>S</w:t>
      </w:r>
      <w:r w:rsidR="00A41772">
        <w:t>creening</w:t>
      </w:r>
      <w:r>
        <w:t xml:space="preserve"> Program</w:t>
      </w:r>
      <w:r w:rsidR="00A41772">
        <w:t xml:space="preserve"> (NCSP)</w:t>
      </w:r>
      <w:r>
        <w:t xml:space="preserve">. Despite the high usage of MBS item 73053, it may be that a second opinion for this and other gynaecological cytology items would rarely be required. </w:t>
      </w:r>
    </w:p>
    <w:p w14:paraId="188D600B" w14:textId="137C73DE" w:rsidR="00B51828" w:rsidRPr="00514FC7" w:rsidRDefault="00B51828" w:rsidP="002101D2">
      <w:pPr>
        <w:spacing w:after="360"/>
      </w:pPr>
      <w:r>
        <w:t>Furthermore, the current widespread use of MBS item 73053 is likely to change substantially from 2016, when changes to the NCSP, recently recommended by MSAC, are anticipated to come into effect. The renewed screening pathway is based on five-yearly screening with human papillomavirus (HPV) testing in place of cytology as the primary screening tool. According to the Public Summary Document from the April 2014 MSAC meeting</w:t>
      </w:r>
      <w:r>
        <w:rPr>
          <w:rStyle w:val="FootnoteReference"/>
        </w:rPr>
        <w:footnoteReference w:id="6"/>
      </w:r>
      <w:r>
        <w:t>, the estimated use of cytology is expected to decrease from 2.4 million per year in 2016 to 0.34 million per year, and conventional cytology will be replaced with liquid</w:t>
      </w:r>
      <w:r w:rsidR="00DB23AB">
        <w:t xml:space="preserve"> </w:t>
      </w:r>
      <w:r>
        <w:t xml:space="preserve">based cytology.  </w:t>
      </w:r>
    </w:p>
    <w:p w14:paraId="02AA3C8C" w14:textId="77777777" w:rsidR="00B51828" w:rsidRDefault="00B51828" w:rsidP="00B51828">
      <w:pPr>
        <w:pStyle w:val="Heading2"/>
        <w:numPr>
          <w:ilvl w:val="1"/>
          <w:numId w:val="1"/>
        </w:numPr>
      </w:pPr>
      <w:bookmarkStart w:id="40" w:name="_Toc382219923"/>
      <w:bookmarkStart w:id="41" w:name="_Ref384031824"/>
      <w:bookmarkStart w:id="42" w:name="_Ref393277832"/>
      <w:bookmarkStart w:id="43" w:name="_Ref394575050"/>
      <w:bookmarkStart w:id="44" w:name="_Ref394669259"/>
      <w:bookmarkStart w:id="45" w:name="_Ref394918627"/>
      <w:bookmarkStart w:id="46" w:name="_Toc396211684"/>
      <w:bookmarkEnd w:id="23"/>
      <w:bookmarkEnd w:id="24"/>
      <w:r>
        <w:t>Proposed MBS listing sought</w:t>
      </w:r>
      <w:bookmarkEnd w:id="40"/>
      <w:bookmarkEnd w:id="41"/>
      <w:bookmarkEnd w:id="42"/>
      <w:bookmarkEnd w:id="43"/>
      <w:bookmarkEnd w:id="44"/>
      <w:bookmarkEnd w:id="45"/>
      <w:bookmarkEnd w:id="46"/>
    </w:p>
    <w:p w14:paraId="57E18353" w14:textId="77777777" w:rsidR="00B51828" w:rsidRPr="002008EF" w:rsidRDefault="00B51828" w:rsidP="002101D2">
      <w:bookmarkStart w:id="47" w:name="_Toc382222828"/>
      <w:r w:rsidRPr="002008EF">
        <w:t>As discussed in Section</w:t>
      </w:r>
      <w:r>
        <w:t xml:space="preserve"> A.2</w:t>
      </w:r>
      <w:r w:rsidRPr="002008EF">
        <w:t>, the intended purpose of a benefit payable for second</w:t>
      </w:r>
      <w:r>
        <w:t xml:space="preserve"> </w:t>
      </w:r>
      <w:r w:rsidRPr="002008EF">
        <w:t>o</w:t>
      </w:r>
      <w:r>
        <w:t>pinion is to assist the initial</w:t>
      </w:r>
      <w:r w:rsidRPr="002008EF">
        <w:t xml:space="preserve"> pathologist and the clinician in charge of patient management to arrive at a definitive diagnosis in difficult cases with the help of an </w:t>
      </w:r>
      <w:r>
        <w:t xml:space="preserve">external </w:t>
      </w:r>
      <w:r w:rsidRPr="002008EF">
        <w:t>expert pathologist. Once a definitive diagnosis has been made, appropriate management of the disease process can proceed.</w:t>
      </w:r>
    </w:p>
    <w:p w14:paraId="0177F767" w14:textId="77777777" w:rsidR="00B51828" w:rsidRPr="002008EF" w:rsidRDefault="00B51828" w:rsidP="002101D2">
      <w:r w:rsidRPr="002008EF">
        <w:t xml:space="preserve">Expert opinions are becoming a large component of specialist pathologists’ workload and the introduction of an MBS item(s) will provide an avenue for reimbursement for complicated work that is both time- and resource-consuming. </w:t>
      </w:r>
    </w:p>
    <w:p w14:paraId="725AD247" w14:textId="53342122" w:rsidR="00B51828" w:rsidRDefault="00B51828" w:rsidP="002101D2">
      <w:pPr>
        <w:rPr>
          <w:szCs w:val="24"/>
        </w:rPr>
      </w:pPr>
      <w:r>
        <w:t>It is anticipated that second,</w:t>
      </w:r>
      <w:r w:rsidRPr="002008EF">
        <w:t xml:space="preserve"> expert opinion requests will cover a range of conditions, including cancer-related diagnoses, dermatopathology (such as inflammatory skin), difficult liver biopsies, and difficult transplant biopsies, such as surveillance biopsies on heart or liver transplants. </w:t>
      </w:r>
      <w:r w:rsidRPr="002008EF">
        <w:rPr>
          <w:szCs w:val="24"/>
        </w:rPr>
        <w:t>T</w:t>
      </w:r>
      <w:r>
        <w:rPr>
          <w:szCs w:val="24"/>
        </w:rPr>
        <w:t>he rate of referral for</w:t>
      </w:r>
      <w:r w:rsidRPr="002008EF">
        <w:rPr>
          <w:szCs w:val="24"/>
        </w:rPr>
        <w:t xml:space="preserve"> expert o</w:t>
      </w:r>
      <w:r w:rsidR="00BB0CAB">
        <w:rPr>
          <w:szCs w:val="24"/>
        </w:rPr>
        <w:t>pi</w:t>
      </w:r>
      <w:r w:rsidRPr="002008EF">
        <w:rPr>
          <w:szCs w:val="24"/>
        </w:rPr>
        <w:t xml:space="preserve">nion will depend on the expertise of the original pathology staff and the case mix of the institution. </w:t>
      </w:r>
    </w:p>
    <w:p w14:paraId="2141DFEA" w14:textId="77777777" w:rsidR="00B51828" w:rsidRPr="005C2C20" w:rsidRDefault="00B51828" w:rsidP="002101D2">
      <w:r>
        <w:rPr>
          <w:szCs w:val="24"/>
        </w:rPr>
        <w:t xml:space="preserve">As discussed in Section </w:t>
      </w:r>
      <w:r>
        <w:rPr>
          <w:szCs w:val="24"/>
        </w:rPr>
        <w:fldChar w:fldCharType="begin"/>
      </w:r>
      <w:r>
        <w:rPr>
          <w:szCs w:val="24"/>
        </w:rPr>
        <w:instrText xml:space="preserve"> REF _Ref385183592 \w \h </w:instrText>
      </w:r>
      <w:r>
        <w:rPr>
          <w:szCs w:val="24"/>
        </w:rPr>
      </w:r>
      <w:r>
        <w:rPr>
          <w:szCs w:val="24"/>
        </w:rPr>
        <w:fldChar w:fldCharType="separate"/>
      </w:r>
      <w:r w:rsidR="0044620B">
        <w:rPr>
          <w:szCs w:val="24"/>
        </w:rPr>
        <w:t>A.2.2</w:t>
      </w:r>
      <w:r>
        <w:rPr>
          <w:szCs w:val="24"/>
        </w:rPr>
        <w:fldChar w:fldCharType="end"/>
      </w:r>
      <w:r>
        <w:rPr>
          <w:szCs w:val="24"/>
        </w:rPr>
        <w:t xml:space="preserve">, the fee is only payable if the expert opinion is sought from a different APL to that of the initial pathology opinion. It is not intended that expert </w:t>
      </w:r>
      <w:r>
        <w:rPr>
          <w:szCs w:val="24"/>
        </w:rPr>
        <w:lastRenderedPageBreak/>
        <w:t>opinion provided within the original pathologist’s laboratory (i.e. intra-departmental or intra-institutional) is funded under the proposed items.</w:t>
      </w:r>
    </w:p>
    <w:bookmarkEnd w:id="47"/>
    <w:p w14:paraId="7737C53C" w14:textId="77777777" w:rsidR="00B51828" w:rsidRDefault="00B51828" w:rsidP="002101D2">
      <w:r>
        <w:t xml:space="preserve">In the Consultation Protocol and the original Final Protocol, PASC stated that it would be administratively easier if there were only a small number (three or four) expert opinion items, rather than having a second, expert opinion item mirror every bone marrow, tissue pathology and cytology item currently on the MBS. The Applicant was asked to draft the wording of the relevant items and to suggest appropriate fees. PASC also asked the Applicant to specify which current pathology services would fall under each of the proposed second, expert opinion items. </w:t>
      </w:r>
    </w:p>
    <w:p w14:paraId="3196759A" w14:textId="77777777" w:rsidR="00B51828" w:rsidRDefault="00B51828" w:rsidP="002101D2">
      <w:r>
        <w:t>In their response to the Consultation Protocol, the Applicant suggested a simplified, tiered approach with two different rebates reflecting the time and work involved. In subsequent communications, the Applicant has added that the complexity level of the initial MBS item cannot always predict the difficulty of the expert review. For example, a blistering inflammatory skin biopsy (complexity level 4) may take a considerable time to review, whereas a breast biopsy (complexity level 6 or 7) may be relatively simple for an expert to review if the issue requiring clarification relates to classification and the opinion does not involve a full review of margins</w:t>
      </w:r>
      <w:r>
        <w:rPr>
          <w:rStyle w:val="FootnoteReference"/>
        </w:rPr>
        <w:footnoteReference w:id="7"/>
      </w:r>
      <w:r>
        <w:t xml:space="preserve">. </w:t>
      </w:r>
    </w:p>
    <w:p w14:paraId="742A5083" w14:textId="77777777" w:rsidR="00B51828" w:rsidRDefault="00B51828" w:rsidP="002101D2">
      <w:r>
        <w:t>Health Expert Standing Panel (HESP) members have supported a simplified approach, also arguing that there is not necessarily a correlation between the complexity level of the initial MBS item and the appropriate level of reimbursement for a second morphological opinion</w:t>
      </w:r>
      <w:r>
        <w:rPr>
          <w:rStyle w:val="FootnoteReference"/>
        </w:rPr>
        <w:footnoteReference w:id="8"/>
      </w:r>
      <w:r>
        <w:t xml:space="preserve">. It would be up to </w:t>
      </w:r>
      <w:r w:rsidRPr="00E42A35">
        <w:t xml:space="preserve">the </w:t>
      </w:r>
      <w:r>
        <w:t>expert pathologist to determine the workload involved in providing the</w:t>
      </w:r>
      <w:r w:rsidRPr="00E42A35">
        <w:t xml:space="preserve"> </w:t>
      </w:r>
      <w:r>
        <w:t>second</w:t>
      </w:r>
      <w:r w:rsidRPr="00E42A35">
        <w:t xml:space="preserve"> opinion and </w:t>
      </w:r>
      <w:r>
        <w:t>bill the</w:t>
      </w:r>
      <w:r w:rsidRPr="00E42A35">
        <w:t xml:space="preserve"> item accordi</w:t>
      </w:r>
      <w:r>
        <w:t>ngly as ‘non-complex’ or ‘complex’ (similar to the situation where a</w:t>
      </w:r>
      <w:r w:rsidRPr="00E42A35">
        <w:t xml:space="preserve"> clinician is allowed to determine </w:t>
      </w:r>
      <w:r>
        <w:t>whether they bill for a short or long</w:t>
      </w:r>
      <w:r w:rsidRPr="00E42A35">
        <w:t xml:space="preserve"> consultation)</w:t>
      </w:r>
      <w:r>
        <w:t xml:space="preserve">. When the Final Protocol for MSAC Application 1332 was reconsidered by PASC in April 2014, PASC agreed that this approach was appropriate. </w:t>
      </w:r>
    </w:p>
    <w:p w14:paraId="165F9AF1" w14:textId="2FEE8938" w:rsidR="00B51828" w:rsidRDefault="00B51828" w:rsidP="002101D2">
      <w:r>
        <w:fldChar w:fldCharType="begin"/>
      </w:r>
      <w:r>
        <w:instrText xml:space="preserve"> REF _Ref382304314 \h </w:instrText>
      </w:r>
      <w:r>
        <w:fldChar w:fldCharType="separate"/>
      </w:r>
      <w:r w:rsidR="0044620B" w:rsidRPr="00BC2FB3">
        <w:t xml:space="preserve">Table </w:t>
      </w:r>
      <w:r w:rsidR="0044620B">
        <w:rPr>
          <w:noProof/>
        </w:rPr>
        <w:t>A.3</w:t>
      </w:r>
      <w:r w:rsidR="0044620B">
        <w:noBreakHyphen/>
      </w:r>
      <w:r w:rsidR="0044620B">
        <w:rPr>
          <w:noProof/>
        </w:rPr>
        <w:t>1</w:t>
      </w:r>
      <w:r>
        <w:fldChar w:fldCharType="end"/>
      </w:r>
      <w:r>
        <w:t xml:space="preserve"> and </w:t>
      </w:r>
      <w:r>
        <w:fldChar w:fldCharType="begin"/>
      </w:r>
      <w:r>
        <w:instrText xml:space="preserve"> REF _Ref382948547 \h </w:instrText>
      </w:r>
      <w:r>
        <w:fldChar w:fldCharType="separate"/>
      </w:r>
      <w:r w:rsidR="0044620B" w:rsidRPr="00BC2FB3">
        <w:t xml:space="preserve">Table </w:t>
      </w:r>
      <w:r w:rsidR="0044620B">
        <w:rPr>
          <w:noProof/>
        </w:rPr>
        <w:t>A.3</w:t>
      </w:r>
      <w:r w:rsidR="0044620B">
        <w:noBreakHyphen/>
      </w:r>
      <w:r w:rsidR="0044620B">
        <w:rPr>
          <w:noProof/>
        </w:rPr>
        <w:t>2</w:t>
      </w:r>
      <w:r>
        <w:fldChar w:fldCharType="end"/>
      </w:r>
      <w:r>
        <w:t xml:space="preserve"> reflect the proposed two-tier fee structure for ‘non-complex’ and ‘complex’ expert opinions, respectively, as per the revised Final Protocol. The proposed Schedule fee for the ‘non-complex’ expert opinion item is approximately equal to the fee for initial examination of a complexity level 4 biopsy with at least 12 separately identified specimens; the proposed fee for ‘complex’ expert opinion is approximately equal to the average of the initial fees for examination of complexity level 5 and 7 biopsy materials. Rather than differentiate the two proposed items on the basis of complexity, the Department has worded the item descriptors to reflect the amount of time taken to process and examine the specimen and prepare a full written report (either </w:t>
      </w:r>
      <w:r w:rsidRPr="005E42A9">
        <w:rPr>
          <w:rFonts w:eastAsia="SimSun" w:cs="Tahoma"/>
          <w:lang w:val="en-US" w:eastAsia="ja-JP"/>
        </w:rPr>
        <w:t>≤30 minutes</w:t>
      </w:r>
      <w:r w:rsidRPr="005E42A9">
        <w:t xml:space="preserve"> </w:t>
      </w:r>
      <w:r>
        <w:t xml:space="preserve">or &gt;30 minutes). </w:t>
      </w:r>
    </w:p>
    <w:p w14:paraId="6CC7D203" w14:textId="77777777" w:rsidR="00B51828" w:rsidRDefault="00B51828" w:rsidP="002101D2">
      <w:r>
        <w:t>Explanatory notes will need to be included to explicitly limit second, expert opinion to tissue pathology, cytology and bone marrow items.</w:t>
      </w:r>
    </w:p>
    <w:p w14:paraId="48D09B59" w14:textId="77777777" w:rsidR="00B51828" w:rsidRPr="00135D94" w:rsidRDefault="00B51828" w:rsidP="002101D2">
      <w:pPr>
        <w:rPr>
          <w:szCs w:val="24"/>
        </w:rPr>
      </w:pPr>
      <w:r>
        <w:rPr>
          <w:szCs w:val="24"/>
        </w:rPr>
        <w:t>According to the Final Protocol, t</w:t>
      </w:r>
      <w:r w:rsidRPr="00770688">
        <w:rPr>
          <w:szCs w:val="24"/>
        </w:rPr>
        <w:t>he application of a Patient Episode Initiation fee is considered inappropriate in the provision of an exte</w:t>
      </w:r>
      <w:r>
        <w:rPr>
          <w:szCs w:val="24"/>
        </w:rPr>
        <w:t xml:space="preserve">rnal expert pathology opinion. </w:t>
      </w:r>
    </w:p>
    <w:p w14:paraId="05E492A8" w14:textId="77777777" w:rsidR="00B51828" w:rsidRDefault="00B51828" w:rsidP="002101D2"/>
    <w:p w14:paraId="2CDAEB08" w14:textId="77777777" w:rsidR="00B51828" w:rsidRPr="00BC2FB3" w:rsidRDefault="00B51828" w:rsidP="002101D2">
      <w:pPr>
        <w:pStyle w:val="Caption"/>
        <w:ind w:left="2126" w:hanging="1406"/>
      </w:pPr>
      <w:bookmarkStart w:id="48" w:name="_Ref382304314"/>
      <w:bookmarkStart w:id="49" w:name="_Toc396211731"/>
      <w:r w:rsidRPr="00BC2FB3">
        <w:lastRenderedPageBreak/>
        <w:t xml:space="preserve">Table </w:t>
      </w:r>
      <w:fldSimple w:instr=" STYLEREF 2 \s ">
        <w:r w:rsidR="0044620B">
          <w:rPr>
            <w:noProof/>
          </w:rPr>
          <w:t>A.3</w:t>
        </w:r>
      </w:fldSimple>
      <w:r>
        <w:noBreakHyphen/>
      </w:r>
      <w:fldSimple w:instr=" SEQ Table \* ARABIC \s 2 ">
        <w:r w:rsidR="0044620B">
          <w:rPr>
            <w:noProof/>
          </w:rPr>
          <w:t>1</w:t>
        </w:r>
      </w:fldSimple>
      <w:bookmarkEnd w:id="48"/>
      <w:r w:rsidRPr="00BC2FB3">
        <w:tab/>
      </w:r>
      <w:r>
        <w:t xml:space="preserve">Proposed </w:t>
      </w:r>
      <w:r w:rsidRPr="00A34E9C">
        <w:t>MBS item descriptor for</w:t>
      </w:r>
      <w:r>
        <w:t xml:space="preserve"> a non-complex, second, expert opinion on a patient </w:t>
      </w:r>
      <w:r w:rsidRPr="00636A53">
        <w:t>sample</w:t>
      </w:r>
      <w:bookmarkEnd w:id="49"/>
    </w:p>
    <w:tbl>
      <w:tblPr>
        <w:tblStyle w:val="TableGrid"/>
        <w:tblW w:w="0" w:type="auto"/>
        <w:tblInd w:w="720" w:type="dxa"/>
        <w:tblLook w:val="04A0" w:firstRow="1" w:lastRow="0" w:firstColumn="1" w:lastColumn="0" w:noHBand="0" w:noVBand="1"/>
        <w:tblCaption w:val="Proposed MBS item descriptor for a non-complex, second, expert opinion on a patient sample"/>
        <w:tblDescription w:val="The propsed fee, item descriptor and some explanatory notes for the proposed MBS item for 'non-complex' second, expert opinions."/>
      </w:tblPr>
      <w:tblGrid>
        <w:gridCol w:w="8296"/>
      </w:tblGrid>
      <w:tr w:rsidR="00B51828" w14:paraId="31C38C2E" w14:textId="77777777" w:rsidTr="002101D2">
        <w:trPr>
          <w:tblHeader/>
        </w:trPr>
        <w:tc>
          <w:tcPr>
            <w:tcW w:w="8296" w:type="dxa"/>
          </w:tcPr>
          <w:p w14:paraId="65776DFE" w14:textId="77777777" w:rsidR="00B51828" w:rsidRPr="007476FE" w:rsidRDefault="00B51828" w:rsidP="002101D2">
            <w:pPr>
              <w:pStyle w:val="Tabletextboldleft"/>
              <w:jc w:val="right"/>
            </w:pPr>
            <w:r w:rsidRPr="007476FE">
              <w:t>Category 6 - Pathology</w:t>
            </w:r>
          </w:p>
        </w:tc>
      </w:tr>
      <w:tr w:rsidR="00B51828" w14:paraId="36B14288" w14:textId="77777777" w:rsidTr="002101D2">
        <w:tc>
          <w:tcPr>
            <w:tcW w:w="8296" w:type="dxa"/>
          </w:tcPr>
          <w:p w14:paraId="35E5918F" w14:textId="77777777" w:rsidR="00B51828" w:rsidRPr="00504673" w:rsidRDefault="00B51828" w:rsidP="002101D2">
            <w:pPr>
              <w:keepNext/>
              <w:spacing w:after="120"/>
              <w:ind w:left="0"/>
              <w:jc w:val="both"/>
              <w:rPr>
                <w:rFonts w:ascii="Arial Narrow" w:eastAsia="SimSun" w:hAnsi="Arial Narrow" w:cs="Tahoma"/>
                <w:b/>
                <w:sz w:val="20"/>
                <w:szCs w:val="20"/>
                <w:lang w:val="en-US" w:eastAsia="ja-JP"/>
              </w:rPr>
            </w:pPr>
            <w:r w:rsidRPr="00504673">
              <w:rPr>
                <w:rFonts w:ascii="Arial Narrow" w:eastAsia="SimSun" w:hAnsi="Arial Narrow" w:cs="Tahoma"/>
                <w:b/>
                <w:sz w:val="20"/>
                <w:szCs w:val="20"/>
                <w:lang w:val="en-US" w:eastAsia="ja-JP"/>
              </w:rPr>
              <w:t>MBS item number (</w:t>
            </w:r>
            <w:r w:rsidRPr="00504673">
              <w:rPr>
                <w:rFonts w:ascii="Arial Narrow" w:eastAsia="SimSun" w:hAnsi="Arial Narrow" w:cs="Tahoma"/>
                <w:b/>
                <w:i/>
                <w:sz w:val="20"/>
                <w:szCs w:val="20"/>
                <w:lang w:val="en-US" w:eastAsia="ja-JP"/>
              </w:rPr>
              <w:t>assigned by the Department if listed</w:t>
            </w:r>
            <w:r w:rsidRPr="00504673">
              <w:rPr>
                <w:rFonts w:ascii="Arial Narrow" w:eastAsia="SimSun" w:hAnsi="Arial Narrow" w:cs="Tahoma"/>
                <w:b/>
                <w:sz w:val="20"/>
                <w:szCs w:val="20"/>
                <w:lang w:val="en-US" w:eastAsia="ja-JP"/>
              </w:rPr>
              <w:t>)</w:t>
            </w:r>
          </w:p>
          <w:p w14:paraId="430DF46A" w14:textId="77777777" w:rsidR="00B51828" w:rsidRPr="00504673" w:rsidRDefault="00B51828" w:rsidP="002101D2">
            <w:pPr>
              <w:keepNext/>
              <w:spacing w:after="120"/>
              <w:ind w:left="0"/>
              <w:jc w:val="both"/>
              <w:rPr>
                <w:rFonts w:ascii="Arial Narrow" w:eastAsia="SimSun" w:hAnsi="Arial Narrow" w:cs="Tahoma"/>
                <w:sz w:val="20"/>
                <w:szCs w:val="20"/>
                <w:lang w:val="en-US" w:eastAsia="ja-JP"/>
              </w:rPr>
            </w:pPr>
            <w:r w:rsidRPr="00504673">
              <w:rPr>
                <w:rFonts w:ascii="Arial Narrow" w:eastAsia="SimSun" w:hAnsi="Arial Narrow" w:cs="Tahoma"/>
                <w:sz w:val="20"/>
                <w:szCs w:val="20"/>
                <w:lang w:val="en-US" w:eastAsia="ja-JP"/>
              </w:rPr>
              <w:t xml:space="preserve">A no more than </w:t>
            </w:r>
            <w:r w:rsidRPr="00504673">
              <w:rPr>
                <w:rFonts w:ascii="Arial Narrow" w:eastAsia="SimSun" w:hAnsi="Arial Narrow" w:cs="Tahoma"/>
                <w:sz w:val="20"/>
                <w:szCs w:val="20"/>
                <w:lang w:eastAsia="zh-CN"/>
              </w:rPr>
              <w:t>30 min</w:t>
            </w:r>
            <w:r>
              <w:rPr>
                <w:rFonts w:ascii="Arial Narrow" w:eastAsia="SimSun" w:hAnsi="Arial Narrow" w:cs="Tahoma"/>
                <w:sz w:val="20"/>
                <w:szCs w:val="20"/>
                <w:lang w:eastAsia="zh-CN"/>
              </w:rPr>
              <w:t>ute</w:t>
            </w:r>
            <w:r w:rsidRPr="00504673">
              <w:rPr>
                <w:rFonts w:ascii="Arial Narrow" w:eastAsia="SimSun" w:hAnsi="Arial Narrow" w:cs="Tahoma"/>
                <w:sz w:val="20"/>
                <w:szCs w:val="20"/>
                <w:lang w:eastAsia="zh-CN"/>
              </w:rPr>
              <w:t xml:space="preserve"> limit</w:t>
            </w:r>
            <w:r w:rsidRPr="00504673">
              <w:rPr>
                <w:rFonts w:ascii="Arial Narrow" w:eastAsia="SimSun" w:hAnsi="Arial Narrow" w:cs="Tahoma"/>
                <w:sz w:val="20"/>
                <w:szCs w:val="20"/>
                <w:lang w:val="en-US" w:eastAsia="ja-JP"/>
              </w:rPr>
              <w:t xml:space="preserve">, expert opinion and detailed written report on a patient sample, requested by a treating clinician, where further information is needed for accurate diagnosis and appropriate patient management. </w:t>
            </w:r>
          </w:p>
          <w:p w14:paraId="09665BB4" w14:textId="77777777" w:rsidR="00B51828" w:rsidRPr="00504673" w:rsidRDefault="00B51828" w:rsidP="002101D2">
            <w:pPr>
              <w:keepNext/>
              <w:spacing w:after="120"/>
              <w:ind w:left="0"/>
              <w:jc w:val="both"/>
              <w:rPr>
                <w:rFonts w:ascii="Arial Narrow" w:eastAsia="SimSun" w:hAnsi="Arial Narrow" w:cs="Tahoma"/>
                <w:sz w:val="20"/>
                <w:szCs w:val="20"/>
                <w:lang w:val="en-US" w:eastAsia="ja-JP"/>
              </w:rPr>
            </w:pPr>
            <w:r w:rsidRPr="00504673">
              <w:rPr>
                <w:rFonts w:ascii="Arial Narrow" w:eastAsia="SimSun" w:hAnsi="Arial Narrow" w:cs="Tahoma"/>
                <w:sz w:val="20"/>
                <w:szCs w:val="20"/>
                <w:lang w:val="en-US" w:eastAsia="ja-JP"/>
              </w:rPr>
              <w:t>Fee: $180.00</w:t>
            </w:r>
          </w:p>
          <w:p w14:paraId="36D8D006" w14:textId="77777777" w:rsidR="00B51828" w:rsidRPr="00387119" w:rsidRDefault="00B51828" w:rsidP="002101D2">
            <w:pPr>
              <w:pStyle w:val="Tabletextboldleft"/>
            </w:pPr>
            <w:r w:rsidRPr="00504673">
              <w:rPr>
                <w:rFonts w:eastAsia="SimSun" w:cs="Tahoma"/>
                <w:b w:val="0"/>
                <w:lang w:val="en-US" w:eastAsia="ja-JP"/>
              </w:rPr>
              <w:t>The service will be initiated upon the request of the referring clinician where there is uncertainty in the initial morphological diagnosis, or when the clinician involved in the care of the patient requests a second opinion. The item is applicable to cases where the expert pathologist is able to examine and/or re-process case material and produce a full written report in ≤30 minutes. The fee will not be payable if the service is provided within the same Approved Pathology Laboratory.</w:t>
            </w:r>
          </w:p>
        </w:tc>
      </w:tr>
    </w:tbl>
    <w:p w14:paraId="495238C4" w14:textId="77777777" w:rsidR="00B51828" w:rsidRDefault="00B51828" w:rsidP="002101D2">
      <w:pPr>
        <w:pStyle w:val="Tablefootnotes"/>
      </w:pPr>
      <w:r w:rsidRPr="00F94D4D">
        <w:t>Abbreviations</w:t>
      </w:r>
      <w:r>
        <w:t>: MBS, Medicare Benefits Schedule</w:t>
      </w:r>
    </w:p>
    <w:p w14:paraId="72589D7A" w14:textId="77777777" w:rsidR="00B51828" w:rsidRDefault="00B51828" w:rsidP="002101D2">
      <w:pPr>
        <w:pStyle w:val="Tablefootnotes"/>
      </w:pPr>
      <w:r>
        <w:t>Source: Final Protocol May 2014</w:t>
      </w:r>
    </w:p>
    <w:p w14:paraId="4C9E4F33" w14:textId="77777777" w:rsidR="00B51828" w:rsidRPr="00BC2FB3" w:rsidRDefault="00B51828" w:rsidP="002101D2">
      <w:pPr>
        <w:pStyle w:val="Caption"/>
      </w:pPr>
      <w:bookmarkStart w:id="50" w:name="_Ref382948547"/>
      <w:bookmarkStart w:id="51" w:name="_Toc396211732"/>
      <w:r w:rsidRPr="00BC2FB3">
        <w:t xml:space="preserve">Table </w:t>
      </w:r>
      <w:fldSimple w:instr=" STYLEREF 2 \s ">
        <w:r w:rsidR="0044620B">
          <w:rPr>
            <w:noProof/>
          </w:rPr>
          <w:t>A.3</w:t>
        </w:r>
      </w:fldSimple>
      <w:r>
        <w:noBreakHyphen/>
      </w:r>
      <w:fldSimple w:instr=" SEQ Table \* ARABIC \s 2 ">
        <w:r w:rsidR="0044620B">
          <w:rPr>
            <w:noProof/>
          </w:rPr>
          <w:t>2</w:t>
        </w:r>
      </w:fldSimple>
      <w:bookmarkEnd w:id="50"/>
      <w:r w:rsidRPr="00BC2FB3">
        <w:tab/>
      </w:r>
      <w:r>
        <w:t xml:space="preserve">Proposed </w:t>
      </w:r>
      <w:r w:rsidRPr="00A34E9C">
        <w:t>MBS item descriptor for</w:t>
      </w:r>
      <w:r>
        <w:t xml:space="preserve"> a complex, second, expert opinion on a patient sample</w:t>
      </w:r>
      <w:bookmarkEnd w:id="51"/>
    </w:p>
    <w:tbl>
      <w:tblPr>
        <w:tblStyle w:val="TableGrid"/>
        <w:tblW w:w="0" w:type="auto"/>
        <w:tblInd w:w="720" w:type="dxa"/>
        <w:tblLook w:val="04A0" w:firstRow="1" w:lastRow="0" w:firstColumn="1" w:lastColumn="0" w:noHBand="0" w:noVBand="1"/>
        <w:tblCaption w:val="Proposed MBS item descriptor for a complex, second, expert opinion on a patient sample"/>
        <w:tblDescription w:val="The propsed fee, item descriptor and some explanatory notes for the proposed MBS item for 'complex' second, expert opinions."/>
      </w:tblPr>
      <w:tblGrid>
        <w:gridCol w:w="8296"/>
      </w:tblGrid>
      <w:tr w:rsidR="00B51828" w14:paraId="76C5AA79" w14:textId="77777777" w:rsidTr="002101D2">
        <w:trPr>
          <w:tblHeader/>
        </w:trPr>
        <w:tc>
          <w:tcPr>
            <w:tcW w:w="8296" w:type="dxa"/>
          </w:tcPr>
          <w:p w14:paraId="7051375C" w14:textId="77777777" w:rsidR="00B51828" w:rsidRPr="007476FE" w:rsidRDefault="00B51828" w:rsidP="002101D2">
            <w:pPr>
              <w:pStyle w:val="Tabletextboldleft"/>
              <w:jc w:val="right"/>
            </w:pPr>
            <w:r w:rsidRPr="007476FE">
              <w:t>Category 6 - Pathology</w:t>
            </w:r>
          </w:p>
        </w:tc>
      </w:tr>
      <w:tr w:rsidR="00B51828" w14:paraId="30BD45B9" w14:textId="77777777" w:rsidTr="002101D2">
        <w:tc>
          <w:tcPr>
            <w:tcW w:w="8296" w:type="dxa"/>
          </w:tcPr>
          <w:p w14:paraId="1829CD16" w14:textId="77777777" w:rsidR="00B51828" w:rsidRPr="00504673" w:rsidRDefault="00B51828" w:rsidP="002101D2">
            <w:pPr>
              <w:spacing w:after="120"/>
              <w:ind w:left="0"/>
              <w:jc w:val="both"/>
              <w:rPr>
                <w:rFonts w:ascii="Arial Narrow" w:eastAsia="SimSun" w:hAnsi="Arial Narrow" w:cs="Tahoma"/>
                <w:b/>
                <w:sz w:val="20"/>
                <w:szCs w:val="20"/>
                <w:lang w:val="en-US" w:eastAsia="ja-JP"/>
              </w:rPr>
            </w:pPr>
            <w:r w:rsidRPr="00504673">
              <w:rPr>
                <w:rFonts w:ascii="Arial Narrow" w:eastAsia="SimSun" w:hAnsi="Arial Narrow" w:cs="Tahoma"/>
                <w:b/>
                <w:sz w:val="20"/>
                <w:szCs w:val="20"/>
                <w:lang w:val="en-US" w:eastAsia="ja-JP"/>
              </w:rPr>
              <w:t>MBS item number (</w:t>
            </w:r>
            <w:r w:rsidRPr="00504673">
              <w:rPr>
                <w:rFonts w:ascii="Arial Narrow" w:eastAsia="SimSun" w:hAnsi="Arial Narrow" w:cs="Tahoma"/>
                <w:b/>
                <w:i/>
                <w:sz w:val="20"/>
                <w:szCs w:val="20"/>
                <w:lang w:val="en-US" w:eastAsia="ja-JP"/>
              </w:rPr>
              <w:t>assigned by the Department if listed</w:t>
            </w:r>
            <w:r w:rsidRPr="00504673">
              <w:rPr>
                <w:rFonts w:ascii="Arial Narrow" w:eastAsia="SimSun" w:hAnsi="Arial Narrow" w:cs="Tahoma"/>
                <w:b/>
                <w:sz w:val="20"/>
                <w:szCs w:val="20"/>
                <w:lang w:val="en-US" w:eastAsia="ja-JP"/>
              </w:rPr>
              <w:t>)</w:t>
            </w:r>
          </w:p>
          <w:p w14:paraId="16AD727A" w14:textId="77777777" w:rsidR="00B51828" w:rsidRPr="00504673" w:rsidRDefault="00B51828" w:rsidP="002101D2">
            <w:pPr>
              <w:spacing w:after="120"/>
              <w:ind w:left="0"/>
              <w:jc w:val="both"/>
              <w:rPr>
                <w:rFonts w:ascii="Arial Narrow" w:eastAsia="SimSun" w:hAnsi="Arial Narrow" w:cs="Tahoma"/>
                <w:sz w:val="20"/>
                <w:szCs w:val="20"/>
                <w:lang w:val="en-US" w:eastAsia="ja-JP"/>
              </w:rPr>
            </w:pPr>
            <w:r w:rsidRPr="00504673">
              <w:rPr>
                <w:rFonts w:ascii="Arial Narrow" w:eastAsia="SimSun" w:hAnsi="Arial Narrow" w:cs="Tahoma"/>
                <w:sz w:val="20"/>
                <w:szCs w:val="20"/>
                <w:lang w:val="en-US" w:eastAsia="ja-JP"/>
              </w:rPr>
              <w:t>A greater than 30 minute, second, expert opinion and detailed written report on a patient sample, requested by a treating clinician, where further information is needed for accurate diagnosis and appropriate patient management.</w:t>
            </w:r>
          </w:p>
          <w:p w14:paraId="170D6F9D" w14:textId="77777777" w:rsidR="00B51828" w:rsidRPr="00504673" w:rsidRDefault="00B51828" w:rsidP="002101D2">
            <w:pPr>
              <w:spacing w:after="120"/>
              <w:ind w:left="0"/>
              <w:jc w:val="both"/>
              <w:rPr>
                <w:rFonts w:ascii="Arial Narrow" w:eastAsia="SimSun" w:hAnsi="Arial Narrow" w:cs="Tahoma"/>
                <w:sz w:val="20"/>
                <w:szCs w:val="20"/>
                <w:lang w:val="en-US" w:eastAsia="ja-JP"/>
              </w:rPr>
            </w:pPr>
            <w:r w:rsidRPr="00504673">
              <w:rPr>
                <w:rFonts w:ascii="Arial Narrow" w:eastAsia="SimSun" w:hAnsi="Arial Narrow" w:cs="Tahoma"/>
                <w:sz w:val="20"/>
                <w:szCs w:val="20"/>
                <w:lang w:val="en-US" w:eastAsia="ja-JP"/>
              </w:rPr>
              <w:t>Fee: $370.00</w:t>
            </w:r>
          </w:p>
          <w:p w14:paraId="797FA3D6" w14:textId="77777777" w:rsidR="00B51828" w:rsidRPr="00387119" w:rsidRDefault="00B51828" w:rsidP="002101D2">
            <w:pPr>
              <w:pStyle w:val="Tabletextboldleft"/>
            </w:pPr>
            <w:r w:rsidRPr="00504673">
              <w:rPr>
                <w:rFonts w:eastAsia="SimSun" w:cs="Tahoma"/>
                <w:b w:val="0"/>
                <w:lang w:val="en-US" w:eastAsia="ja-JP"/>
              </w:rPr>
              <w:t>The service will be initiated upon the request of the referring clinician where there is uncertainty in the initial morphological diagnosis, or when the clinician involved in the care of the patient requests a second opinion. The item is applicable to cases that are not obvious or straightforward, where the examination and/or re-processing of case material and the production of a full written report takes more than 30 minutes. The fee will not be payable if the service is provided within the same Approved Pathology Laboratory.</w:t>
            </w:r>
          </w:p>
        </w:tc>
      </w:tr>
    </w:tbl>
    <w:p w14:paraId="6828A325" w14:textId="77777777" w:rsidR="00B51828" w:rsidRDefault="00B51828" w:rsidP="002101D2">
      <w:pPr>
        <w:pStyle w:val="Tablefootnotes"/>
      </w:pPr>
      <w:r w:rsidRPr="00F94D4D">
        <w:t>Abbreviations</w:t>
      </w:r>
      <w:r>
        <w:t>: MBS, Medicare Benefits Schedule</w:t>
      </w:r>
    </w:p>
    <w:p w14:paraId="7A07B394" w14:textId="77777777" w:rsidR="00B51828" w:rsidRDefault="00B51828" w:rsidP="002101D2">
      <w:pPr>
        <w:pStyle w:val="Tablefootnotes"/>
      </w:pPr>
      <w:r>
        <w:t>Source: Final Protocol May 2014</w:t>
      </w:r>
    </w:p>
    <w:p w14:paraId="14813F9C" w14:textId="0C690A9A" w:rsidR="00B51828" w:rsidRDefault="00B51828" w:rsidP="002101D2">
      <w:r>
        <w:t>It would be expected that a second, expert opinion on any specific pathology service episode would only be requested once. The pathologist reporting the case initially may suggest an appropriate expert to whom the case would be referred for the second opinion. Alternatively, the referring clinician may seek</w:t>
      </w:r>
      <w:r w:rsidR="00713649">
        <w:t xml:space="preserve"> expert opinion from their preferred</w:t>
      </w:r>
      <w:r>
        <w:t xml:space="preserve"> pathologist or a pathologist who </w:t>
      </w:r>
      <w:r>
        <w:rPr>
          <w:szCs w:val="24"/>
        </w:rPr>
        <w:t xml:space="preserve">normally provides the service to their institution. </w:t>
      </w:r>
      <w:r>
        <w:t>It is considered highly unlikely that a third opinion would be requested.</w:t>
      </w:r>
      <w:r>
        <w:rPr>
          <w:rStyle w:val="FootnoteReference"/>
        </w:rPr>
        <w:footnoteReference w:id="9"/>
      </w:r>
    </w:p>
    <w:p w14:paraId="3D720D7A" w14:textId="77777777" w:rsidR="00B51828" w:rsidRPr="00B2600B" w:rsidRDefault="00B51828" w:rsidP="002101D2">
      <w:r>
        <w:t>Although the need for a second, expert opinion for morphological diagnosis on a patient sample is not anticipated to occur often, it is not possible to define or limit how many times a second opinion on different pathology services might be required for an individual patient. As noted in the Final Protocol, this would depend entirely on how many initial pathology services are requested for them, and the complexity of their illness(es) and future illness(es). It would be rare that someone would need to utilise an expert pathology opinion more than once for a particular disease episode; however it is possible.</w:t>
      </w:r>
    </w:p>
    <w:p w14:paraId="5B7BD7F0" w14:textId="77777777" w:rsidR="00B51828" w:rsidRDefault="00B51828" w:rsidP="00B51828">
      <w:pPr>
        <w:pStyle w:val="Heading2"/>
        <w:numPr>
          <w:ilvl w:val="1"/>
          <w:numId w:val="1"/>
        </w:numPr>
      </w:pPr>
      <w:bookmarkStart w:id="52" w:name="_Toc382219924"/>
      <w:bookmarkStart w:id="53" w:name="_Ref384033358"/>
      <w:bookmarkStart w:id="54" w:name="_Ref384033360"/>
      <w:bookmarkStart w:id="55" w:name="_Toc396211685"/>
      <w:r>
        <w:lastRenderedPageBreak/>
        <w:t>Comparator details</w:t>
      </w:r>
      <w:bookmarkEnd w:id="52"/>
      <w:bookmarkEnd w:id="53"/>
      <w:bookmarkEnd w:id="54"/>
      <w:bookmarkEnd w:id="55"/>
    </w:p>
    <w:p w14:paraId="3917EB21" w14:textId="77777777" w:rsidR="00B51828" w:rsidRDefault="00B51828" w:rsidP="002101D2">
      <w:pPr>
        <w:spacing w:after="120"/>
      </w:pPr>
      <w:r>
        <w:t>As discussed in Section A.2.4, under current arrangements, the MBS does not provide reimbursement for second, expert opinions for pathology. However, there are circumstances where the primary pathologist or the treating clinician may require an expert opinion to optimise patient management. In those instances, a number of alternative pathways may be followed:</w:t>
      </w:r>
    </w:p>
    <w:p w14:paraId="65A41BC4" w14:textId="77777777" w:rsidR="00B51828" w:rsidRDefault="00B51828" w:rsidP="007D428B">
      <w:pPr>
        <w:pStyle w:val="Numberedtext"/>
        <w:numPr>
          <w:ilvl w:val="0"/>
          <w:numId w:val="62"/>
        </w:numPr>
        <w:jc w:val="left"/>
      </w:pPr>
      <w:r w:rsidRPr="00A958A1">
        <w:t>The original pathologist may request an expert opinion from an external pathologist who provides the opinion at no cost (but may be obliged to place low priority on the request), or the second pathology laboratory charges the initial laboratory privately. It is very difficult in these circumstances to charge the patient, as they would not have consen</w:t>
      </w:r>
      <w:r>
        <w:t>ted to pay for a second opinion; or</w:t>
      </w:r>
    </w:p>
    <w:p w14:paraId="63CA12AE" w14:textId="77777777" w:rsidR="00B51828" w:rsidRDefault="00B51828" w:rsidP="007D428B">
      <w:pPr>
        <w:pStyle w:val="Numberedtext"/>
        <w:numPr>
          <w:ilvl w:val="0"/>
          <w:numId w:val="62"/>
        </w:numPr>
        <w:spacing w:after="240"/>
        <w:ind w:left="1066" w:hanging="357"/>
        <w:jc w:val="left"/>
      </w:pPr>
      <w:r w:rsidRPr="00A958A1">
        <w:t>The treating clinician requests an</w:t>
      </w:r>
      <w:r>
        <w:t xml:space="preserve"> expert opinion from a</w:t>
      </w:r>
      <w:r w:rsidRPr="00A958A1">
        <w:t xml:space="preserve"> pathology provider, and this is provided either at no cost (gratis) or at cost to the patient (pr</w:t>
      </w:r>
      <w:r>
        <w:t>ivately) or the clinical unit.</w:t>
      </w:r>
    </w:p>
    <w:p w14:paraId="5A3B8D4D" w14:textId="77777777" w:rsidR="00B51828" w:rsidRPr="009E05CD" w:rsidRDefault="00B51828" w:rsidP="002101D2">
      <w:r>
        <w:t>The Applicant</w:t>
      </w:r>
      <w:r w:rsidRPr="009E05CD">
        <w:t xml:space="preserve"> suggests </w:t>
      </w:r>
      <w:r>
        <w:t>that, in some cases, an</w:t>
      </w:r>
      <w:r w:rsidRPr="009E05CD">
        <w:t xml:space="preserve"> expert opinion would be desirable (e</w:t>
      </w:r>
      <w:r>
        <w:t>.</w:t>
      </w:r>
      <w:r w:rsidRPr="009E05CD">
        <w:t>g</w:t>
      </w:r>
      <w:r>
        <w:t>.</w:t>
      </w:r>
      <w:r w:rsidRPr="009E05CD">
        <w:t xml:space="preserve"> by the original pathologist who considers it a difficult case) but the costs associated with providing a second opinion and the lack of fundi</w:t>
      </w:r>
      <w:r>
        <w:t xml:space="preserve">ng often means that an </w:t>
      </w:r>
      <w:r w:rsidRPr="009E05CD">
        <w:t>expert opinion is not sought. This can result in a sub-optimal diagnosis or report being provided to the treating clinician. This is identified as a potential problem</w:t>
      </w:r>
      <w:r>
        <w:t>,</w:t>
      </w:r>
      <w:r w:rsidRPr="009E05CD">
        <w:t xml:space="preserve"> particularly with</w:t>
      </w:r>
      <w:r>
        <w:t xml:space="preserve"> remote isolated pathologists. T</w:t>
      </w:r>
      <w:r w:rsidRPr="009E05CD">
        <w:t xml:space="preserve">hus, this issue is potentially contributing to inequities in the care of patients </w:t>
      </w:r>
      <w:r>
        <w:t>in remote areas (see Section F). The Applicant</w:t>
      </w:r>
      <w:r w:rsidRPr="009E05CD">
        <w:t xml:space="preserve"> further describes, in general terms, the associated risks of incomplete or incorrect diagnoses and subsequent inappropriate patient management, i.e. negative health outcomes, increased healthcare costs, and the potential for litigation</w:t>
      </w:r>
      <w:r>
        <w:t xml:space="preserve"> (see Section </w:t>
      </w:r>
      <w:r>
        <w:fldChar w:fldCharType="begin"/>
      </w:r>
      <w:r>
        <w:instrText xml:space="preserve"> REF _Ref385173218 \r \h </w:instrText>
      </w:r>
      <w:r>
        <w:fldChar w:fldCharType="separate"/>
      </w:r>
      <w:r w:rsidR="0044620B">
        <w:t>A.7</w:t>
      </w:r>
      <w:r>
        <w:fldChar w:fldCharType="end"/>
      </w:r>
      <w:r>
        <w:t>)</w:t>
      </w:r>
      <w:r w:rsidRPr="009E05CD">
        <w:t xml:space="preserve">. </w:t>
      </w:r>
    </w:p>
    <w:p w14:paraId="39A8B8FC" w14:textId="77777777" w:rsidR="00B51828" w:rsidRPr="00426C01" w:rsidRDefault="00B51828" w:rsidP="002101D2">
      <w:r w:rsidRPr="009E05CD">
        <w:t>The</w:t>
      </w:r>
      <w:r>
        <w:t xml:space="preserve"> comparator, as defined by the A</w:t>
      </w:r>
      <w:r w:rsidRPr="009E05CD">
        <w:t xml:space="preserve">pplicant, is the standard management which currently applies, which is described as a scenario where there is “an absence of funding for morphological second opinions. Such opinions are therefore not sought as often as they should </w:t>
      </w:r>
      <w:r>
        <w:t>be for optimal patient care”.</w:t>
      </w:r>
    </w:p>
    <w:p w14:paraId="18CD789C" w14:textId="77777777" w:rsidR="00B51828" w:rsidRDefault="00B51828" w:rsidP="00B51828">
      <w:pPr>
        <w:pStyle w:val="Heading2"/>
        <w:numPr>
          <w:ilvl w:val="1"/>
          <w:numId w:val="1"/>
        </w:numPr>
      </w:pPr>
      <w:bookmarkStart w:id="56" w:name="_Toc382219925"/>
      <w:bookmarkStart w:id="57" w:name="_Ref382989117"/>
      <w:bookmarkStart w:id="58" w:name="_Ref384033381"/>
      <w:bookmarkStart w:id="59" w:name="_Toc396211686"/>
      <w:r>
        <w:t>Clinical management algorithms</w:t>
      </w:r>
      <w:bookmarkEnd w:id="56"/>
      <w:bookmarkEnd w:id="57"/>
      <w:bookmarkEnd w:id="58"/>
      <w:bookmarkEnd w:id="59"/>
    </w:p>
    <w:p w14:paraId="1D98C314" w14:textId="77777777" w:rsidR="00B51828" w:rsidRDefault="00B51828" w:rsidP="002101D2">
      <w:r>
        <w:t xml:space="preserve">The current clinical management algorithm for patients having a morphology-based pathology test is shown in </w:t>
      </w:r>
      <w:r>
        <w:rPr>
          <w:highlight w:val="yellow"/>
        </w:rPr>
        <w:fldChar w:fldCharType="begin"/>
      </w:r>
      <w:r>
        <w:instrText xml:space="preserve"> REF _Ref382979428 \h </w:instrText>
      </w:r>
      <w:r>
        <w:rPr>
          <w:highlight w:val="yellow"/>
        </w:rPr>
      </w:r>
      <w:r>
        <w:rPr>
          <w:highlight w:val="yellow"/>
        </w:rPr>
        <w:fldChar w:fldCharType="separate"/>
      </w:r>
      <w:r w:rsidR="0044620B">
        <w:t xml:space="preserve">Figure </w:t>
      </w:r>
      <w:r w:rsidR="0044620B">
        <w:rPr>
          <w:noProof/>
        </w:rPr>
        <w:t>A</w:t>
      </w:r>
      <w:r w:rsidR="0044620B">
        <w:noBreakHyphen/>
      </w:r>
      <w:r w:rsidR="0044620B">
        <w:rPr>
          <w:noProof/>
        </w:rPr>
        <w:t>1</w:t>
      </w:r>
      <w:r>
        <w:rPr>
          <w:highlight w:val="yellow"/>
        </w:rPr>
        <w:fldChar w:fldCharType="end"/>
      </w:r>
      <w:r>
        <w:t xml:space="preserve">. The proposed clinical management algorithms, with the addition of MBS funding for pathologist- and clinician-initiated second, expert opinion are shown in </w:t>
      </w:r>
      <w:r>
        <w:rPr>
          <w:highlight w:val="yellow"/>
        </w:rPr>
        <w:fldChar w:fldCharType="begin"/>
      </w:r>
      <w:r>
        <w:instrText xml:space="preserve"> REF _Ref382979477 \h </w:instrText>
      </w:r>
      <w:r>
        <w:rPr>
          <w:highlight w:val="yellow"/>
        </w:rPr>
      </w:r>
      <w:r>
        <w:rPr>
          <w:highlight w:val="yellow"/>
        </w:rPr>
        <w:fldChar w:fldCharType="separate"/>
      </w:r>
      <w:r w:rsidR="0044620B">
        <w:t xml:space="preserve">Figure </w:t>
      </w:r>
      <w:r w:rsidR="0044620B">
        <w:rPr>
          <w:noProof/>
        </w:rPr>
        <w:t>A</w:t>
      </w:r>
      <w:r w:rsidR="0044620B">
        <w:noBreakHyphen/>
      </w:r>
      <w:r w:rsidR="0044620B">
        <w:rPr>
          <w:noProof/>
        </w:rPr>
        <w:t>2</w:t>
      </w:r>
      <w:r>
        <w:rPr>
          <w:highlight w:val="yellow"/>
        </w:rPr>
        <w:fldChar w:fldCharType="end"/>
      </w:r>
      <w:r>
        <w:t xml:space="preserve"> (</w:t>
      </w:r>
      <w:r w:rsidRPr="00DF39DE">
        <w:rPr>
          <w:i/>
        </w:rPr>
        <w:t>Scenario 1</w:t>
      </w:r>
      <w:r>
        <w:t xml:space="preserve">) and </w:t>
      </w:r>
      <w:r>
        <w:fldChar w:fldCharType="begin"/>
      </w:r>
      <w:r>
        <w:instrText xml:space="preserve"> REF _Ref392074067 \h </w:instrText>
      </w:r>
      <w:r>
        <w:fldChar w:fldCharType="separate"/>
      </w:r>
      <w:r w:rsidR="0044620B">
        <w:t xml:space="preserve">Figure </w:t>
      </w:r>
      <w:r w:rsidR="0044620B">
        <w:rPr>
          <w:noProof/>
        </w:rPr>
        <w:t>A</w:t>
      </w:r>
      <w:r w:rsidR="0044620B">
        <w:noBreakHyphen/>
      </w:r>
      <w:r w:rsidR="0044620B">
        <w:rPr>
          <w:noProof/>
        </w:rPr>
        <w:t>3</w:t>
      </w:r>
      <w:r>
        <w:fldChar w:fldCharType="end"/>
      </w:r>
      <w:r>
        <w:t xml:space="preserve"> (</w:t>
      </w:r>
      <w:r w:rsidRPr="00DF39DE">
        <w:rPr>
          <w:i/>
        </w:rPr>
        <w:t>Scenario 2</w:t>
      </w:r>
      <w:r>
        <w:t>), respectively. All of the algorithms refer to cases in which the primary pathologist cannot provide a definitive diagnosis and an expert opinion is considered desirable.</w:t>
      </w:r>
    </w:p>
    <w:p w14:paraId="088097E8" w14:textId="60F2178A" w:rsidR="00B51828" w:rsidRDefault="00B51828" w:rsidP="002101D2">
      <w:r>
        <w:t>Under the current treatment algorithm, second, expert opinion is either provided: (</w:t>
      </w:r>
      <w:r w:rsidRPr="009030C3">
        <w:t>i) without payment</w:t>
      </w:r>
      <w:r>
        <w:t xml:space="preserve"> (ex</w:t>
      </w:r>
      <w:r w:rsidR="0053670C">
        <w:t xml:space="preserve"> </w:t>
      </w:r>
      <w:r>
        <w:t>gratis)</w:t>
      </w:r>
      <w:r w:rsidRPr="009030C3">
        <w:t>; (ii) at the expense of the patient; (iii) at the expense of the requesting hospital/unit (which may be publicly funded thro</w:t>
      </w:r>
      <w:r>
        <w:t>ugh other health budgets); or (</w:t>
      </w:r>
      <w:r w:rsidRPr="009030C3">
        <w:t>i</w:t>
      </w:r>
      <w:r>
        <w:t>v</w:t>
      </w:r>
      <w:r w:rsidRPr="009030C3">
        <w:t>) at the expense of the initial pathology laboratory, if this was the source of the referral.</w:t>
      </w:r>
      <w:r>
        <w:t xml:space="preserve"> Alternatively, the expert opinion, although desirable, may not be requested due to lack of funding. </w:t>
      </w:r>
    </w:p>
    <w:p w14:paraId="48505741" w14:textId="77777777" w:rsidR="00B51828" w:rsidRPr="009C2084" w:rsidRDefault="00B51828" w:rsidP="002101D2">
      <w:r>
        <w:t>In the proposed treatment algorithms (</w:t>
      </w:r>
      <w:r>
        <w:fldChar w:fldCharType="begin"/>
      </w:r>
      <w:r>
        <w:instrText xml:space="preserve"> REF _Ref382979477 \h </w:instrText>
      </w:r>
      <w:r>
        <w:fldChar w:fldCharType="separate"/>
      </w:r>
      <w:r w:rsidR="0044620B">
        <w:t xml:space="preserve">Figure </w:t>
      </w:r>
      <w:r w:rsidR="0044620B">
        <w:rPr>
          <w:noProof/>
        </w:rPr>
        <w:t>A</w:t>
      </w:r>
      <w:r w:rsidR="0044620B">
        <w:noBreakHyphen/>
      </w:r>
      <w:r w:rsidR="0044620B">
        <w:rPr>
          <w:noProof/>
        </w:rPr>
        <w:t>2</w:t>
      </w:r>
      <w:r>
        <w:fldChar w:fldCharType="end"/>
      </w:r>
      <w:r>
        <w:t xml:space="preserve"> and </w:t>
      </w:r>
      <w:r>
        <w:fldChar w:fldCharType="begin"/>
      </w:r>
      <w:r>
        <w:instrText xml:space="preserve"> REF _Ref392074067 \h </w:instrText>
      </w:r>
      <w:r>
        <w:fldChar w:fldCharType="separate"/>
      </w:r>
      <w:r w:rsidR="0044620B">
        <w:t xml:space="preserve">Figure </w:t>
      </w:r>
      <w:r w:rsidR="0044620B">
        <w:rPr>
          <w:noProof/>
        </w:rPr>
        <w:t>A</w:t>
      </w:r>
      <w:r w:rsidR="0044620B">
        <w:noBreakHyphen/>
      </w:r>
      <w:r w:rsidR="0044620B">
        <w:rPr>
          <w:noProof/>
        </w:rPr>
        <w:t>3</w:t>
      </w:r>
      <w:r>
        <w:fldChar w:fldCharType="end"/>
      </w:r>
      <w:r>
        <w:t xml:space="preserve">) the patient pathway is similar to the current situation. However, expert pathologists are able to claim a fee for their opinion using one of the new MBS items. Theoretically, in the proposed scenario all </w:t>
      </w:r>
      <w:r>
        <w:lastRenderedPageBreak/>
        <w:t>cases in which the initial pathologist was unable to confidently provide a definitive diagnosis would have the opportunity to be reviewed by an expert pathologist, provided that: (i) the initial pathologist and treating clinician agree that uncertainty remains in the diagnosis (</w:t>
      </w:r>
      <w:r w:rsidRPr="004A60EE">
        <w:rPr>
          <w:i/>
        </w:rPr>
        <w:t>Scenario 1</w:t>
      </w:r>
      <w:r>
        <w:t>); or (ii) the treating clinician requires verification or further information to effectively manage the patient (</w:t>
      </w:r>
      <w:r w:rsidRPr="004A60EE">
        <w:rPr>
          <w:i/>
        </w:rPr>
        <w:t>Scenario 2</w:t>
      </w:r>
      <w:r>
        <w:t>).</w:t>
      </w:r>
    </w:p>
    <w:p w14:paraId="4D302663" w14:textId="77777777" w:rsidR="00B51828" w:rsidRDefault="00B51828" w:rsidP="002101D2">
      <w:pPr>
        <w:pStyle w:val="Caption"/>
        <w:spacing w:after="240"/>
        <w:ind w:left="2126" w:hanging="1406"/>
      </w:pPr>
      <w:bookmarkStart w:id="60" w:name="_Ref382979428"/>
      <w:bookmarkStart w:id="61" w:name="_Toc396211789"/>
      <w:r>
        <w:t xml:space="preserve">Figure </w:t>
      </w:r>
      <w:fldSimple w:instr=" STYLEREF 1 \s ">
        <w:r w:rsidR="0044620B">
          <w:rPr>
            <w:noProof/>
          </w:rPr>
          <w:t>A</w:t>
        </w:r>
      </w:fldSimple>
      <w:r>
        <w:noBreakHyphen/>
      </w:r>
      <w:fldSimple w:instr=" SEQ Figure \* ARABIC \s 1 ">
        <w:r w:rsidR="0044620B">
          <w:rPr>
            <w:noProof/>
          </w:rPr>
          <w:t>1</w:t>
        </w:r>
      </w:fldSimple>
      <w:bookmarkEnd w:id="60"/>
      <w:r>
        <w:tab/>
        <w:t>Clinical management algorithm depicting current scenario (no second opinion funded)</w:t>
      </w:r>
      <w:bookmarkEnd w:id="61"/>
    </w:p>
    <w:p w14:paraId="4B3D92A2" w14:textId="77777777" w:rsidR="00B51828" w:rsidRPr="00023508" w:rsidRDefault="00B51828" w:rsidP="002101D2">
      <w:pPr>
        <w:jc w:val="center"/>
      </w:pPr>
      <w:r>
        <w:rPr>
          <w:noProof/>
          <w:lang w:eastAsia="en-AU"/>
        </w:rPr>
        <w:drawing>
          <wp:inline distT="0" distB="0" distL="0" distR="0" wp14:anchorId="6203D70F" wp14:editId="28D147EB">
            <wp:extent cx="5731510" cy="5958205"/>
            <wp:effectExtent l="0" t="0" r="2540" b="4445"/>
            <wp:docPr id="3" name="Picture 3" descr="The current clinical management algorithm for patients having a morphology-based pathology test." title="Clinical management algorithm depicting current scenario (no second opinion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rent Scenario_14May14_KA.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5958205"/>
                    </a:xfrm>
                    <a:prstGeom prst="rect">
                      <a:avLst/>
                    </a:prstGeom>
                  </pic:spPr>
                </pic:pic>
              </a:graphicData>
            </a:graphic>
          </wp:inline>
        </w:drawing>
      </w:r>
    </w:p>
    <w:p w14:paraId="142F358F" w14:textId="77777777" w:rsidR="00B51828" w:rsidRDefault="00B51828" w:rsidP="002101D2">
      <w:pPr>
        <w:pStyle w:val="Caption"/>
        <w:spacing w:after="240"/>
        <w:ind w:left="2126" w:hanging="1406"/>
      </w:pPr>
      <w:bookmarkStart w:id="62" w:name="_Ref382979477"/>
      <w:bookmarkStart w:id="63" w:name="_Toc396211790"/>
      <w:r>
        <w:lastRenderedPageBreak/>
        <w:t xml:space="preserve">Figure </w:t>
      </w:r>
      <w:fldSimple w:instr=" STYLEREF 1 \s ">
        <w:r w:rsidR="0044620B">
          <w:rPr>
            <w:noProof/>
          </w:rPr>
          <w:t>A</w:t>
        </w:r>
      </w:fldSimple>
      <w:r>
        <w:noBreakHyphen/>
      </w:r>
      <w:fldSimple w:instr=" SEQ Figure \* ARABIC \s 1 ">
        <w:r w:rsidR="0044620B">
          <w:rPr>
            <w:noProof/>
          </w:rPr>
          <w:t>2</w:t>
        </w:r>
      </w:fldSimple>
      <w:bookmarkEnd w:id="62"/>
      <w:r>
        <w:tab/>
        <w:t>Clinical management algorithm including proposed MBS item for second pathology opinion (</w:t>
      </w:r>
      <w:r w:rsidRPr="004A60EE">
        <w:rPr>
          <w:i/>
        </w:rPr>
        <w:t>Scenario 1</w:t>
      </w:r>
      <w:r>
        <w:t>)</w:t>
      </w:r>
      <w:bookmarkEnd w:id="63"/>
    </w:p>
    <w:p w14:paraId="72266738" w14:textId="77777777" w:rsidR="00B51828" w:rsidRDefault="00B51828" w:rsidP="002101D2">
      <w:pPr>
        <w:ind w:left="0"/>
        <w:jc w:val="center"/>
      </w:pPr>
      <w:r>
        <w:rPr>
          <w:noProof/>
          <w:lang w:eastAsia="en-AU"/>
        </w:rPr>
        <w:drawing>
          <wp:inline distT="0" distB="0" distL="0" distR="0" wp14:anchorId="656CB9FC" wp14:editId="7FC0D8C3">
            <wp:extent cx="5731510" cy="4810760"/>
            <wp:effectExtent l="0" t="0" r="2540" b="8890"/>
            <wp:docPr id="4" name="Picture 4" descr="The proposed clinical management algorithm, with the addition of MBS funding for pathologist-initiated second, expert opinions (Scenario 1)." title="Clinical management algorithm including proposed MBS item for second pathology opinion (Scena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ed Scenario 1_14May14_KA.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4810760"/>
                    </a:xfrm>
                    <a:prstGeom prst="rect">
                      <a:avLst/>
                    </a:prstGeom>
                  </pic:spPr>
                </pic:pic>
              </a:graphicData>
            </a:graphic>
          </wp:inline>
        </w:drawing>
      </w:r>
    </w:p>
    <w:p w14:paraId="4652B8FE" w14:textId="77777777" w:rsidR="00B51828" w:rsidRDefault="00B51828" w:rsidP="002101D2">
      <w:pPr>
        <w:ind w:left="0"/>
        <w:jc w:val="center"/>
      </w:pPr>
    </w:p>
    <w:p w14:paraId="6E8FC69B" w14:textId="77777777" w:rsidR="00B51828" w:rsidRDefault="00B51828" w:rsidP="002101D2">
      <w:pPr>
        <w:pStyle w:val="Caption"/>
        <w:spacing w:after="240"/>
        <w:ind w:left="2126" w:hanging="1406"/>
      </w:pPr>
      <w:bookmarkStart w:id="64" w:name="_Ref392074067"/>
      <w:bookmarkStart w:id="65" w:name="_Toc396211791"/>
      <w:r>
        <w:lastRenderedPageBreak/>
        <w:t xml:space="preserve">Figure </w:t>
      </w:r>
      <w:fldSimple w:instr=" STYLEREF 1 \s ">
        <w:r w:rsidR="0044620B">
          <w:rPr>
            <w:noProof/>
          </w:rPr>
          <w:t>A</w:t>
        </w:r>
      </w:fldSimple>
      <w:r>
        <w:noBreakHyphen/>
      </w:r>
      <w:fldSimple w:instr=" SEQ Figure \* ARABIC \s 1 ">
        <w:r w:rsidR="0044620B">
          <w:rPr>
            <w:noProof/>
          </w:rPr>
          <w:t>3</w:t>
        </w:r>
      </w:fldSimple>
      <w:bookmarkEnd w:id="64"/>
      <w:r>
        <w:tab/>
        <w:t>Clinical management algorithm including proposed MBS item for second pathology opinion (</w:t>
      </w:r>
      <w:r w:rsidRPr="004A60EE">
        <w:rPr>
          <w:i/>
        </w:rPr>
        <w:t>Scenario 2</w:t>
      </w:r>
      <w:r>
        <w:t>)</w:t>
      </w:r>
      <w:bookmarkEnd w:id="65"/>
    </w:p>
    <w:p w14:paraId="1CC31C73" w14:textId="77777777" w:rsidR="00B51828" w:rsidRPr="00023508" w:rsidRDefault="00B51828" w:rsidP="002101D2">
      <w:pPr>
        <w:ind w:left="0"/>
        <w:jc w:val="center"/>
      </w:pPr>
      <w:r>
        <w:rPr>
          <w:noProof/>
          <w:lang w:eastAsia="en-AU"/>
        </w:rPr>
        <w:drawing>
          <wp:inline distT="0" distB="0" distL="0" distR="0" wp14:anchorId="736A9053" wp14:editId="24489B3D">
            <wp:extent cx="5370576" cy="5346192"/>
            <wp:effectExtent l="0" t="0" r="1905" b="6985"/>
            <wp:docPr id="5" name="Picture 5" descr="The proposed clinical management algorithm, with the addition of MBS funding for clinician-initiated second, expert opinions (Scenario 2)." title="Clinical management algorithm including proposed MBS item for second pathology opinion (Scen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ed Scenario 2_14May14_KA.tif"/>
                    <pic:cNvPicPr/>
                  </pic:nvPicPr>
                  <pic:blipFill>
                    <a:blip r:embed="rId15">
                      <a:extLst>
                        <a:ext uri="{28A0092B-C50C-407E-A947-70E740481C1C}">
                          <a14:useLocalDpi xmlns:a14="http://schemas.microsoft.com/office/drawing/2010/main" val="0"/>
                        </a:ext>
                      </a:extLst>
                    </a:blip>
                    <a:stretch>
                      <a:fillRect/>
                    </a:stretch>
                  </pic:blipFill>
                  <pic:spPr>
                    <a:xfrm>
                      <a:off x="0" y="0"/>
                      <a:ext cx="5370576" cy="5346192"/>
                    </a:xfrm>
                    <a:prstGeom prst="rect">
                      <a:avLst/>
                    </a:prstGeom>
                  </pic:spPr>
                </pic:pic>
              </a:graphicData>
            </a:graphic>
          </wp:inline>
        </w:drawing>
      </w:r>
    </w:p>
    <w:p w14:paraId="0427303D" w14:textId="77777777" w:rsidR="00B51828" w:rsidRDefault="00B51828" w:rsidP="00B51828">
      <w:pPr>
        <w:pStyle w:val="Heading2"/>
        <w:numPr>
          <w:ilvl w:val="1"/>
          <w:numId w:val="1"/>
        </w:numPr>
      </w:pPr>
      <w:bookmarkStart w:id="66" w:name="_Toc382219926"/>
      <w:bookmarkStart w:id="67" w:name="_Ref384066798"/>
      <w:bookmarkStart w:id="68" w:name="_Toc396211687"/>
      <w:r>
        <w:t>Differences between the proposed medical service and the main comparator</w:t>
      </w:r>
      <w:bookmarkEnd w:id="66"/>
      <w:bookmarkEnd w:id="67"/>
      <w:bookmarkEnd w:id="68"/>
    </w:p>
    <w:p w14:paraId="6E723A12" w14:textId="77777777" w:rsidR="00B51828" w:rsidRPr="007B0FEA" w:rsidRDefault="00B51828" w:rsidP="002101D2">
      <w:r>
        <w:t xml:space="preserve">As described in Section </w:t>
      </w:r>
      <w:r>
        <w:fldChar w:fldCharType="begin"/>
      </w:r>
      <w:r>
        <w:instrText xml:space="preserve"> REF _Ref382989117 \w \h </w:instrText>
      </w:r>
      <w:r>
        <w:fldChar w:fldCharType="separate"/>
      </w:r>
      <w:r w:rsidR="0044620B">
        <w:t>A.5</w:t>
      </w:r>
      <w:r>
        <w:fldChar w:fldCharType="end"/>
      </w:r>
      <w:r>
        <w:t xml:space="preserve">, the difference between the proposed medical service and the main comparator is the provision of public funding for a service that is often already undertaken. Alternatively, in the proposed scenario, a second, expert opinion is provided in instances where it might not otherwise have been due to a lack of public funding. Thus, with MBS funding, a higher rate of requests for expert opinions would be expected than is currently the case. </w:t>
      </w:r>
    </w:p>
    <w:p w14:paraId="2F2AC14C" w14:textId="77777777" w:rsidR="00B51828" w:rsidRDefault="00B51828" w:rsidP="00B51828">
      <w:pPr>
        <w:pStyle w:val="Heading2"/>
        <w:numPr>
          <w:ilvl w:val="1"/>
          <w:numId w:val="1"/>
        </w:numPr>
      </w:pPr>
      <w:bookmarkStart w:id="69" w:name="_Toc382219927"/>
      <w:bookmarkStart w:id="70" w:name="_Ref385173218"/>
      <w:bookmarkStart w:id="71" w:name="_Ref385187052"/>
      <w:bookmarkStart w:id="72" w:name="_Toc396211688"/>
      <w:r>
        <w:t>Clinical claim</w:t>
      </w:r>
      <w:bookmarkEnd w:id="69"/>
      <w:bookmarkEnd w:id="70"/>
      <w:bookmarkEnd w:id="71"/>
      <w:bookmarkEnd w:id="72"/>
    </w:p>
    <w:p w14:paraId="164644B9" w14:textId="77777777" w:rsidR="00B51828" w:rsidRDefault="00B51828" w:rsidP="002101D2">
      <w:pPr>
        <w:spacing w:after="120"/>
        <w:rPr>
          <w:szCs w:val="24"/>
        </w:rPr>
      </w:pPr>
      <w:r>
        <w:rPr>
          <w:szCs w:val="24"/>
        </w:rPr>
        <w:t xml:space="preserve">There is anecdotal evidence that second, expert opinions are not sought as frequently as they should be (particularly from isolated regional or remote pathologists) due to the cost, lack of funding, and perceived impost on colleagues. This can lead to a sub-optimal diagnosis or report being provided to the treating clinician, or in some cases, referral without a diagnosis. Without appropriate reimbursement, second opinion requests may </w:t>
      </w:r>
      <w:r>
        <w:rPr>
          <w:szCs w:val="24"/>
        </w:rPr>
        <w:lastRenderedPageBreak/>
        <w:t xml:space="preserve">not be prioritised, leading to delays in diagnosis and therefore treatment. Thus, the </w:t>
      </w:r>
      <w:r w:rsidRPr="00F067D9">
        <w:rPr>
          <w:szCs w:val="24"/>
        </w:rPr>
        <w:t>ability for clinici</w:t>
      </w:r>
      <w:r>
        <w:rPr>
          <w:szCs w:val="24"/>
        </w:rPr>
        <w:t xml:space="preserve">ans to obtain a funded second, </w:t>
      </w:r>
      <w:r w:rsidRPr="00F067D9">
        <w:rPr>
          <w:szCs w:val="24"/>
        </w:rPr>
        <w:t>expert opinion</w:t>
      </w:r>
      <w:r>
        <w:rPr>
          <w:szCs w:val="24"/>
        </w:rPr>
        <w:t xml:space="preserve"> (in circumstances where the initial </w:t>
      </w:r>
      <w:r w:rsidRPr="00F22C42">
        <w:rPr>
          <w:szCs w:val="24"/>
        </w:rPr>
        <w:t xml:space="preserve">pathologist is unable to provide a final or definitive diagnosis or where the </w:t>
      </w:r>
      <w:r>
        <w:rPr>
          <w:szCs w:val="24"/>
        </w:rPr>
        <w:t xml:space="preserve">clinician lacks confidence in the </w:t>
      </w:r>
      <w:r w:rsidRPr="00F22C42">
        <w:rPr>
          <w:szCs w:val="24"/>
        </w:rPr>
        <w:t>initial pathologist</w:t>
      </w:r>
      <w:r>
        <w:rPr>
          <w:szCs w:val="24"/>
        </w:rPr>
        <w:t>’s</w:t>
      </w:r>
      <w:r w:rsidRPr="00F22C42">
        <w:rPr>
          <w:szCs w:val="24"/>
        </w:rPr>
        <w:t xml:space="preserve"> diagnosis</w:t>
      </w:r>
      <w:r>
        <w:rPr>
          <w:szCs w:val="24"/>
        </w:rPr>
        <w:t>)</w:t>
      </w:r>
      <w:r w:rsidRPr="00F22C42">
        <w:rPr>
          <w:szCs w:val="24"/>
        </w:rPr>
        <w:t xml:space="preserve"> has the potential to positively impact on patient care via:</w:t>
      </w:r>
    </w:p>
    <w:p w14:paraId="20C724F5" w14:textId="77777777" w:rsidR="00B51828" w:rsidRDefault="00B51828" w:rsidP="00B51828">
      <w:pPr>
        <w:pStyle w:val="ListParagraph"/>
        <w:numPr>
          <w:ilvl w:val="0"/>
          <w:numId w:val="14"/>
        </w:numPr>
        <w:rPr>
          <w:szCs w:val="24"/>
        </w:rPr>
      </w:pPr>
      <w:r w:rsidRPr="004845C3">
        <w:rPr>
          <w:szCs w:val="24"/>
        </w:rPr>
        <w:t>the more accurate classification of disease and thus more accurate planning and selection of therapy</w:t>
      </w:r>
      <w:r>
        <w:rPr>
          <w:szCs w:val="24"/>
        </w:rPr>
        <w:t>; and</w:t>
      </w:r>
    </w:p>
    <w:p w14:paraId="12E183E1" w14:textId="77777777" w:rsidR="00B51828" w:rsidRPr="004845C3" w:rsidRDefault="00B51828" w:rsidP="00B51828">
      <w:pPr>
        <w:pStyle w:val="ListParagraph"/>
        <w:numPr>
          <w:ilvl w:val="0"/>
          <w:numId w:val="14"/>
        </w:numPr>
        <w:rPr>
          <w:szCs w:val="24"/>
        </w:rPr>
      </w:pPr>
      <w:r w:rsidRPr="004845C3">
        <w:rPr>
          <w:szCs w:val="24"/>
        </w:rPr>
        <w:t>more rapid diagnosis of rare and diagnostically challenging cases.</w:t>
      </w:r>
    </w:p>
    <w:p w14:paraId="708CFD0B" w14:textId="77777777" w:rsidR="00B51828" w:rsidRDefault="00B51828" w:rsidP="002101D2">
      <w:pPr>
        <w:rPr>
          <w:szCs w:val="24"/>
        </w:rPr>
      </w:pPr>
      <w:r>
        <w:rPr>
          <w:szCs w:val="24"/>
        </w:rPr>
        <w:t xml:space="preserve">In cases where the initial pathologist is unable to provide a diagnosis, expert opinion may be necessary before therapy can be initiated. Where the expert pathologist is able to confirm a diagnosis that was in doubt by the initial pathologist or clinician, the expert may also add significant information that could support either the initiation or withholding of specific therapy. In cases where the expert pathologist makes a major change to the submitted diagnosis (such as a change from neoplastic to non-neoplastic, from non-neoplastic to neoplastic, from malignant to benign, or from benign to malignant), there may be an immediate alteration in the choice and timing of therapy, leading to reduced costs in terms of quality of life and effective utilisation of resources. </w:t>
      </w:r>
    </w:p>
    <w:p w14:paraId="6BD47293" w14:textId="77777777" w:rsidR="00B51828" w:rsidRDefault="00B51828" w:rsidP="002101D2">
      <w:pPr>
        <w:rPr>
          <w:szCs w:val="24"/>
        </w:rPr>
      </w:pPr>
      <w:r>
        <w:rPr>
          <w:szCs w:val="24"/>
        </w:rPr>
        <w:t xml:space="preserve">Additional information or changes relating to the type or grade of a tumour, as a result of expert opinion, may affect the choice of treatment, prognosis and therefore quality of life of the patient. </w:t>
      </w:r>
    </w:p>
    <w:p w14:paraId="503C5AAD" w14:textId="77777777" w:rsidR="00B51828" w:rsidRDefault="00B51828" w:rsidP="002101D2">
      <w:pPr>
        <w:rPr>
          <w:szCs w:val="24"/>
        </w:rPr>
      </w:pPr>
      <w:r>
        <w:rPr>
          <w:szCs w:val="24"/>
        </w:rPr>
        <w:t>Importantly, changes in pathological diagnoses for gynaecological oncology cases are unlikely to affect treatment decisions, as most malignancies are surgically staged and graded (Chan et al, 1999). As such, second, expert opinions on cervical and vaginal smears and cervical biopsy specimens in patients with gross tumours are unlikely to impact on treatment decisions or prognosis. However, it may still be important to review cervical biopsy specimens in those patients without gross tumours.</w:t>
      </w:r>
    </w:p>
    <w:p w14:paraId="366F80A1" w14:textId="77777777" w:rsidR="00B51828" w:rsidRDefault="00B51828" w:rsidP="00B51828">
      <w:pPr>
        <w:pStyle w:val="Heading2"/>
        <w:numPr>
          <w:ilvl w:val="1"/>
          <w:numId w:val="1"/>
        </w:numPr>
      </w:pPr>
      <w:bookmarkStart w:id="73" w:name="_Toc382219928"/>
      <w:bookmarkStart w:id="74" w:name="_Ref384066703"/>
      <w:bookmarkStart w:id="75" w:name="_Ref392751526"/>
      <w:bookmarkStart w:id="76" w:name="_Ref393984540"/>
      <w:bookmarkStart w:id="77" w:name="_Ref395173769"/>
      <w:bookmarkStart w:id="78" w:name="_Ref395173773"/>
      <w:bookmarkStart w:id="79" w:name="_Ref395174342"/>
      <w:bookmarkStart w:id="80" w:name="_Ref395301895"/>
      <w:bookmarkStart w:id="81" w:name="_Ref395304000"/>
      <w:bookmarkStart w:id="82" w:name="_Toc396211689"/>
      <w:r>
        <w:t>Primary elements of the decision analysis</w:t>
      </w:r>
      <w:bookmarkEnd w:id="73"/>
      <w:bookmarkEnd w:id="74"/>
      <w:bookmarkEnd w:id="75"/>
      <w:bookmarkEnd w:id="76"/>
      <w:bookmarkEnd w:id="77"/>
      <w:bookmarkEnd w:id="78"/>
      <w:bookmarkEnd w:id="79"/>
      <w:bookmarkEnd w:id="80"/>
      <w:bookmarkEnd w:id="81"/>
      <w:bookmarkEnd w:id="82"/>
    </w:p>
    <w:p w14:paraId="6EA67BE6" w14:textId="77777777" w:rsidR="00B51828" w:rsidRDefault="00B51828" w:rsidP="002101D2">
      <w:pPr>
        <w:pStyle w:val="Numberedtext"/>
        <w:ind w:left="709" w:firstLine="0"/>
        <w:jc w:val="left"/>
      </w:pPr>
      <w:r>
        <w:t>Evidence-based assessments of health technologies and procedures are underpinned by a research question or several research questions, which are formulated to ensure the appropriate identification and application of the evidence. Research questions are usually based around the PICO criteria, in which the key components are the target population (P), the intervention (I), comparator (C) and target outcomes (O). In the case of diagnostic tests, it is also important to consider what prior tests are performed to further define the tested population and spectrum of disease. As such, research questions for diagnostics tests are generally underpinned by the PPICO criteria, where the additional ‘P’ refers to prior tests.</w:t>
      </w:r>
    </w:p>
    <w:p w14:paraId="03EC177A" w14:textId="76CB19A3" w:rsidR="00B51828" w:rsidRDefault="00B51828" w:rsidP="002101D2">
      <w:pPr>
        <w:rPr>
          <w:i/>
        </w:rPr>
      </w:pPr>
      <w:r>
        <w:t xml:space="preserve">The research questions that underpin this </w:t>
      </w:r>
      <w:r w:rsidR="007C5E96">
        <w:t>a</w:t>
      </w:r>
      <w:r>
        <w:t>ssessment were formulated in order to:</w:t>
      </w:r>
    </w:p>
    <w:p w14:paraId="134D4C9C" w14:textId="77777777" w:rsidR="00B51828" w:rsidRDefault="00B51828" w:rsidP="00B51828">
      <w:pPr>
        <w:pStyle w:val="Numberedtext"/>
        <w:numPr>
          <w:ilvl w:val="0"/>
          <w:numId w:val="12"/>
        </w:numPr>
        <w:tabs>
          <w:tab w:val="num" w:pos="360"/>
        </w:tabs>
        <w:ind w:left="1069" w:hanging="360"/>
      </w:pPr>
      <w:r>
        <w:t>define the question for public funding;</w:t>
      </w:r>
    </w:p>
    <w:p w14:paraId="1780B35F" w14:textId="77777777" w:rsidR="00B51828" w:rsidRDefault="00B51828" w:rsidP="00B51828">
      <w:pPr>
        <w:pStyle w:val="Numberedtext"/>
        <w:numPr>
          <w:ilvl w:val="0"/>
          <w:numId w:val="12"/>
        </w:numPr>
        <w:tabs>
          <w:tab w:val="num" w:pos="360"/>
        </w:tabs>
        <w:ind w:left="1069" w:hanging="360"/>
      </w:pPr>
      <w:r>
        <w:t>select the evidence to assess the safety and effectiveness of second, expert pathology opinions in circumstances where:</w:t>
      </w:r>
    </w:p>
    <w:p w14:paraId="3F6E0DEA" w14:textId="77777777" w:rsidR="00B51828" w:rsidRPr="00007FCD" w:rsidRDefault="00B51828" w:rsidP="00B51828">
      <w:pPr>
        <w:pStyle w:val="Numberedtext"/>
        <w:numPr>
          <w:ilvl w:val="1"/>
          <w:numId w:val="12"/>
        </w:numPr>
        <w:tabs>
          <w:tab w:val="clear" w:pos="1440"/>
          <w:tab w:val="num" w:pos="1843"/>
        </w:tabs>
        <w:ind w:left="1843" w:hanging="425"/>
      </w:pPr>
      <w:r>
        <w:t xml:space="preserve">the initial pathologist could not confidently provide a final or definitive diagnosis and recommends that external expert opinion is sought </w:t>
      </w:r>
      <w:r>
        <w:rPr>
          <w:i/>
        </w:rPr>
        <w:t>(</w:t>
      </w:r>
      <w:r w:rsidRPr="004A60EE">
        <w:rPr>
          <w:i/>
        </w:rPr>
        <w:t>Scenario 1</w:t>
      </w:r>
      <w:r>
        <w:rPr>
          <w:i/>
        </w:rPr>
        <w:t>),</w:t>
      </w:r>
    </w:p>
    <w:p w14:paraId="7C18B201" w14:textId="77777777" w:rsidR="00B51828" w:rsidRDefault="00B51828" w:rsidP="00B51828">
      <w:pPr>
        <w:pStyle w:val="Numberedtext"/>
        <w:numPr>
          <w:ilvl w:val="1"/>
          <w:numId w:val="12"/>
        </w:numPr>
        <w:tabs>
          <w:tab w:val="clear" w:pos="1440"/>
          <w:tab w:val="num" w:pos="1843"/>
        </w:tabs>
        <w:ind w:left="1843" w:hanging="425"/>
      </w:pPr>
      <w:r>
        <w:lastRenderedPageBreak/>
        <w:t xml:space="preserve">an initial pathology opinion may have been provided, but where uncertainty or insufficient detail regarding the diagnosis remains </w:t>
      </w:r>
      <w:r>
        <w:rPr>
          <w:i/>
        </w:rPr>
        <w:t>(</w:t>
      </w:r>
      <w:r w:rsidRPr="004A60EE">
        <w:rPr>
          <w:i/>
        </w:rPr>
        <w:t>Scenario 2</w:t>
      </w:r>
      <w:r>
        <w:rPr>
          <w:i/>
        </w:rPr>
        <w:t>)</w:t>
      </w:r>
      <w:r>
        <w:t>; and</w:t>
      </w:r>
      <w:r>
        <w:rPr>
          <w:i/>
        </w:rPr>
        <w:t xml:space="preserve"> </w:t>
      </w:r>
    </w:p>
    <w:p w14:paraId="5A71D50F" w14:textId="77777777" w:rsidR="00B51828" w:rsidRDefault="00B51828" w:rsidP="00B51828">
      <w:pPr>
        <w:pStyle w:val="Numberedtext"/>
        <w:numPr>
          <w:ilvl w:val="0"/>
          <w:numId w:val="12"/>
        </w:numPr>
        <w:tabs>
          <w:tab w:val="num" w:pos="360"/>
        </w:tabs>
        <w:ind w:left="1069" w:hanging="360"/>
      </w:pPr>
      <w:r>
        <w:t xml:space="preserve">provide the evidence-based inputs for determining the cost-impact of the proposed service. </w:t>
      </w:r>
    </w:p>
    <w:p w14:paraId="5C0794A9" w14:textId="77777777" w:rsidR="00B51828" w:rsidRDefault="00B51828" w:rsidP="002101D2">
      <w:pPr>
        <w:pStyle w:val="Numberedtext"/>
        <w:ind w:left="709" w:firstLine="0"/>
      </w:pPr>
      <w:r>
        <w:t xml:space="preserve">The specific components of the PPICO criteria (shown in </w:t>
      </w:r>
      <w:r>
        <w:fldChar w:fldCharType="begin"/>
      </w:r>
      <w:r>
        <w:instrText xml:space="preserve"> REF _Ref392082672 \h </w:instrText>
      </w:r>
      <w:r>
        <w:fldChar w:fldCharType="separate"/>
      </w:r>
      <w:r w:rsidR="0044620B">
        <w:t xml:space="preserve">Table </w:t>
      </w:r>
      <w:r w:rsidR="0044620B">
        <w:rPr>
          <w:noProof/>
        </w:rPr>
        <w:t>A.8</w:t>
      </w:r>
      <w:r w:rsidR="0044620B">
        <w:noBreakHyphen/>
      </w:r>
      <w:r w:rsidR="0044620B">
        <w:rPr>
          <w:noProof/>
        </w:rPr>
        <w:t>1</w:t>
      </w:r>
      <w:r>
        <w:fldChar w:fldCharType="end"/>
      </w:r>
      <w:r>
        <w:t>) are used to inform the literature search strategy and the economic evaluation. According to the revised Final Protocol, the research questions that are addressed in this review are:</w:t>
      </w:r>
    </w:p>
    <w:p w14:paraId="29DF0D09" w14:textId="77777777" w:rsidR="00B51828" w:rsidRDefault="00B51828" w:rsidP="002101D2">
      <w:pPr>
        <w:pStyle w:val="Numberedtext"/>
        <w:ind w:left="709" w:firstLine="0"/>
        <w:rPr>
          <w:i/>
        </w:rPr>
      </w:pPr>
      <w:r w:rsidRPr="004A60EE">
        <w:rPr>
          <w:i/>
        </w:rPr>
        <w:t>Scenario 1</w:t>
      </w:r>
      <w:r>
        <w:rPr>
          <w:i/>
        </w:rPr>
        <w:t>:</w:t>
      </w:r>
    </w:p>
    <w:p w14:paraId="6D03CC7D" w14:textId="77777777" w:rsidR="00B51828" w:rsidRDefault="00B51828" w:rsidP="002101D2">
      <w:pPr>
        <w:keepNext/>
        <w:spacing w:before="40" w:after="120"/>
        <w:rPr>
          <w:rFonts w:eastAsia="Times New Roman" w:cs="Times New Roman"/>
          <w:szCs w:val="24"/>
        </w:rPr>
      </w:pPr>
      <w:r w:rsidRPr="00E41CEB">
        <w:rPr>
          <w:rFonts w:eastAsia="Times New Roman" w:cs="Times New Roman"/>
          <w:szCs w:val="24"/>
        </w:rPr>
        <w:t>What is the safety, effectiveness, and cost-effectiveness of clinicians sourcing an external expert, tissue pathology (including bone marrow) or cytology second opinion on a patient sample, upon the recommendation of the initial reporting pathologist, compared with no publicly funded external expert opinion?</w:t>
      </w:r>
    </w:p>
    <w:p w14:paraId="45C8B66B" w14:textId="77777777" w:rsidR="00B51828" w:rsidRDefault="00B51828" w:rsidP="002101D2">
      <w:pPr>
        <w:keepNext/>
        <w:spacing w:before="40" w:after="120"/>
        <w:rPr>
          <w:rFonts w:eastAsia="Times New Roman" w:cs="Times New Roman"/>
          <w:i/>
          <w:szCs w:val="24"/>
        </w:rPr>
      </w:pPr>
      <w:r w:rsidRPr="004A60EE">
        <w:rPr>
          <w:rFonts w:eastAsia="Times New Roman" w:cs="Times New Roman"/>
          <w:i/>
          <w:szCs w:val="24"/>
        </w:rPr>
        <w:t>Scenario 2</w:t>
      </w:r>
      <w:r>
        <w:rPr>
          <w:rFonts w:eastAsia="Times New Roman" w:cs="Times New Roman"/>
          <w:i/>
          <w:szCs w:val="24"/>
        </w:rPr>
        <w:t>:</w:t>
      </w:r>
    </w:p>
    <w:p w14:paraId="400B0D00" w14:textId="77777777" w:rsidR="00B51828" w:rsidRDefault="00B51828" w:rsidP="002101D2">
      <w:pPr>
        <w:keepNext/>
        <w:rPr>
          <w:rFonts w:eastAsia="Times New Roman" w:cs="Times New Roman"/>
          <w:szCs w:val="24"/>
        </w:rPr>
      </w:pPr>
      <w:r w:rsidRPr="00E41CEB">
        <w:rPr>
          <w:rFonts w:eastAsia="Times New Roman" w:cs="Times New Roman"/>
          <w:szCs w:val="24"/>
        </w:rPr>
        <w:t>What is the safety, effectiveness, and cost-effectiveness of clinicians sourcing a second, expert, tissue pathology (including bone marrow) or cytology opinion on a patient sample, where there is a need to obtain, verify or refine a diagnosis, compared with no publicly funded second opinion?</w:t>
      </w:r>
    </w:p>
    <w:p w14:paraId="02FE8295" w14:textId="54EC47C4" w:rsidR="00B51828" w:rsidRPr="00D44E95" w:rsidRDefault="00B51828" w:rsidP="002101D2">
      <w:pPr>
        <w:rPr>
          <w:szCs w:val="24"/>
        </w:rPr>
      </w:pPr>
      <w:r w:rsidRPr="005E3057">
        <w:rPr>
          <w:szCs w:val="24"/>
        </w:rPr>
        <w:t xml:space="preserve">For the purposes of this </w:t>
      </w:r>
      <w:r w:rsidR="007C5E96">
        <w:rPr>
          <w:szCs w:val="24"/>
        </w:rPr>
        <w:t>a</w:t>
      </w:r>
      <w:r w:rsidRPr="005E3057">
        <w:rPr>
          <w:szCs w:val="24"/>
        </w:rPr>
        <w:t xml:space="preserve">ssessment, the main </w:t>
      </w:r>
      <w:r>
        <w:rPr>
          <w:szCs w:val="24"/>
        </w:rPr>
        <w:t xml:space="preserve">economic </w:t>
      </w:r>
      <w:r w:rsidRPr="005E3057">
        <w:rPr>
          <w:szCs w:val="24"/>
        </w:rPr>
        <w:t>outcome of interest is cost per clinically</w:t>
      </w:r>
      <w:r w:rsidR="0053670C">
        <w:rPr>
          <w:szCs w:val="24"/>
        </w:rPr>
        <w:t xml:space="preserve"> </w:t>
      </w:r>
      <w:r w:rsidRPr="005E3057">
        <w:rPr>
          <w:szCs w:val="24"/>
        </w:rPr>
        <w:t>relevant change in diagnosis or interpretation.</w:t>
      </w:r>
      <w:r>
        <w:rPr>
          <w:szCs w:val="24"/>
        </w:rPr>
        <w:t xml:space="preserve"> The Final Protocol explains that </w:t>
      </w:r>
      <w:r w:rsidRPr="007D7712">
        <w:rPr>
          <w:szCs w:val="24"/>
        </w:rPr>
        <w:t xml:space="preserve">while </w:t>
      </w:r>
      <w:r>
        <w:rPr>
          <w:szCs w:val="24"/>
        </w:rPr>
        <w:t xml:space="preserve">transformation of </w:t>
      </w:r>
      <w:r w:rsidRPr="007D7712">
        <w:rPr>
          <w:szCs w:val="24"/>
        </w:rPr>
        <w:t xml:space="preserve">economic outcomes into </w:t>
      </w:r>
      <w:r>
        <w:rPr>
          <w:szCs w:val="24"/>
        </w:rPr>
        <w:t>quality-adjusted life-years (</w:t>
      </w:r>
      <w:r w:rsidRPr="007D7712">
        <w:rPr>
          <w:szCs w:val="24"/>
        </w:rPr>
        <w:t>QALYs</w:t>
      </w:r>
      <w:r>
        <w:rPr>
          <w:szCs w:val="24"/>
        </w:rPr>
        <w:t>)</w:t>
      </w:r>
      <w:r w:rsidRPr="007D7712">
        <w:rPr>
          <w:szCs w:val="24"/>
        </w:rPr>
        <w:t xml:space="preserve"> may be possible for some patient sub</w:t>
      </w:r>
      <w:r w:rsidR="00DB23AB">
        <w:rPr>
          <w:szCs w:val="24"/>
        </w:rPr>
        <w:t>groups</w:t>
      </w:r>
      <w:r w:rsidRPr="007D7712">
        <w:rPr>
          <w:szCs w:val="24"/>
        </w:rPr>
        <w:t xml:space="preserve"> where data are available, a whole of pathology patient population analysis predicting QALY outcomes is unlikely to be feasible or credible with existing data sources.</w:t>
      </w:r>
      <w:r>
        <w:rPr>
          <w:szCs w:val="24"/>
        </w:rPr>
        <w:t xml:space="preserve"> Section </w:t>
      </w:r>
      <w:r>
        <w:rPr>
          <w:szCs w:val="24"/>
        </w:rPr>
        <w:fldChar w:fldCharType="begin"/>
      </w:r>
      <w:r>
        <w:rPr>
          <w:szCs w:val="24"/>
        </w:rPr>
        <w:instrText xml:space="preserve"> REF _Ref395087861 \r \h </w:instrText>
      </w:r>
      <w:r>
        <w:rPr>
          <w:szCs w:val="24"/>
        </w:rPr>
      </w:r>
      <w:r>
        <w:rPr>
          <w:szCs w:val="24"/>
        </w:rPr>
        <w:fldChar w:fldCharType="separate"/>
      </w:r>
      <w:r w:rsidR="0044620B">
        <w:rPr>
          <w:szCs w:val="24"/>
        </w:rPr>
        <w:t>D.2.2</w:t>
      </w:r>
      <w:r>
        <w:rPr>
          <w:szCs w:val="24"/>
        </w:rPr>
        <w:fldChar w:fldCharType="end"/>
      </w:r>
      <w:r>
        <w:rPr>
          <w:szCs w:val="24"/>
        </w:rPr>
        <w:t xml:space="preserve"> provides rationale for the economic model undertaken, based on very limited clinical data. </w:t>
      </w:r>
    </w:p>
    <w:p w14:paraId="78E44FD6" w14:textId="77777777" w:rsidR="00B51828" w:rsidRDefault="00B51828" w:rsidP="002101D2">
      <w:pPr>
        <w:pStyle w:val="Caption"/>
      </w:pPr>
      <w:bookmarkStart w:id="83" w:name="_Ref392082672"/>
      <w:bookmarkStart w:id="84" w:name="_Toc396211733"/>
      <w:r>
        <w:t xml:space="preserve">Table </w:t>
      </w:r>
      <w:fldSimple w:instr=" STYLEREF 2 \s ">
        <w:r w:rsidR="0044620B">
          <w:rPr>
            <w:noProof/>
          </w:rPr>
          <w:t>A.8</w:t>
        </w:r>
      </w:fldSimple>
      <w:r>
        <w:noBreakHyphen/>
      </w:r>
      <w:fldSimple w:instr=" SEQ Table \* ARABIC \s 2 ">
        <w:r w:rsidR="0044620B">
          <w:rPr>
            <w:noProof/>
          </w:rPr>
          <w:t>1</w:t>
        </w:r>
      </w:fldSimple>
      <w:bookmarkEnd w:id="83"/>
      <w:r>
        <w:tab/>
        <w:t>Summary of PPICO for the assessment of second, expert pathology opinion</w:t>
      </w:r>
      <w:bookmarkEnd w:id="84"/>
    </w:p>
    <w:tbl>
      <w:tblPr>
        <w:tblStyle w:val="TableGrid"/>
        <w:tblW w:w="8347" w:type="dxa"/>
        <w:tblInd w:w="720" w:type="dxa"/>
        <w:tblLook w:val="04A0" w:firstRow="1" w:lastRow="0" w:firstColumn="1" w:lastColumn="0" w:noHBand="0" w:noVBand="1"/>
        <w:tblCaption w:val="Summary of PPICO for the assessment of second, expert pathology opinion"/>
        <w:tblDescription w:val="Summary of the patients, prior tests, interventions, comparators, evidentiary standard and outcomes for the assessment."/>
      </w:tblPr>
      <w:tblGrid>
        <w:gridCol w:w="1402"/>
        <w:gridCol w:w="6945"/>
      </w:tblGrid>
      <w:tr w:rsidR="00B51828" w14:paraId="52BD7A52" w14:textId="77777777" w:rsidTr="002101D2">
        <w:trPr>
          <w:tblHeader/>
        </w:trPr>
        <w:tc>
          <w:tcPr>
            <w:tcW w:w="1402" w:type="dxa"/>
          </w:tcPr>
          <w:p w14:paraId="69D7D069" w14:textId="77777777" w:rsidR="00B51828" w:rsidRDefault="00B51828" w:rsidP="002101D2">
            <w:pPr>
              <w:pStyle w:val="Tabletextboldleft"/>
              <w:spacing w:before="20" w:after="20"/>
            </w:pPr>
            <w:r>
              <w:t>PPICO element</w:t>
            </w:r>
          </w:p>
        </w:tc>
        <w:tc>
          <w:tcPr>
            <w:tcW w:w="6945" w:type="dxa"/>
          </w:tcPr>
          <w:p w14:paraId="17632CE1" w14:textId="77777777" w:rsidR="00B51828" w:rsidRDefault="00B51828" w:rsidP="002101D2">
            <w:pPr>
              <w:pStyle w:val="Tabletextboldleft"/>
              <w:spacing w:before="20" w:after="20"/>
            </w:pPr>
            <w:r>
              <w:t>Description</w:t>
            </w:r>
          </w:p>
        </w:tc>
      </w:tr>
      <w:tr w:rsidR="00B51828" w14:paraId="26133AB2" w14:textId="77777777" w:rsidTr="002101D2">
        <w:tc>
          <w:tcPr>
            <w:tcW w:w="1402" w:type="dxa"/>
          </w:tcPr>
          <w:p w14:paraId="4A0A79AD" w14:textId="77777777" w:rsidR="00B51828" w:rsidRPr="00E13E79" w:rsidRDefault="00B51828" w:rsidP="002101D2">
            <w:pPr>
              <w:pStyle w:val="Tabletextcentred"/>
              <w:spacing w:before="20" w:after="20"/>
              <w:jc w:val="left"/>
              <w:rPr>
                <w:b/>
              </w:rPr>
            </w:pPr>
            <w:r w:rsidRPr="00E13E79">
              <w:rPr>
                <w:b/>
              </w:rPr>
              <w:t>Patients</w:t>
            </w:r>
          </w:p>
        </w:tc>
        <w:tc>
          <w:tcPr>
            <w:tcW w:w="6945" w:type="dxa"/>
          </w:tcPr>
          <w:p w14:paraId="0EEAAC2E" w14:textId="77777777" w:rsidR="00B51828" w:rsidRDefault="00B51828" w:rsidP="002101D2">
            <w:pPr>
              <w:pStyle w:val="Tabletextcentred"/>
              <w:spacing w:before="20" w:after="20"/>
              <w:jc w:val="left"/>
            </w:pPr>
            <w:r w:rsidRPr="00185815">
              <w:t>All patients having a morphology-based pathology test</w:t>
            </w:r>
          </w:p>
          <w:p w14:paraId="5BDC1B61" w14:textId="77777777" w:rsidR="00B51828" w:rsidRDefault="00B51828" w:rsidP="002101D2">
            <w:pPr>
              <w:pStyle w:val="Tabletextcentred"/>
              <w:spacing w:before="20" w:after="20"/>
              <w:jc w:val="left"/>
            </w:pPr>
            <w:r w:rsidRPr="00185815">
              <w:t xml:space="preserve">Subgroups: </w:t>
            </w:r>
            <w:r>
              <w:t>b</w:t>
            </w:r>
            <w:r w:rsidRPr="00185815">
              <w:t>y suspected disease or indication</w:t>
            </w:r>
          </w:p>
        </w:tc>
      </w:tr>
      <w:tr w:rsidR="00B51828" w14:paraId="4570DD4F" w14:textId="77777777" w:rsidTr="002101D2">
        <w:tc>
          <w:tcPr>
            <w:tcW w:w="1402" w:type="dxa"/>
          </w:tcPr>
          <w:p w14:paraId="4ABF8C11" w14:textId="77777777" w:rsidR="00B51828" w:rsidRPr="00E13E79" w:rsidRDefault="00B51828" w:rsidP="002101D2">
            <w:pPr>
              <w:pStyle w:val="Tabletextcentred"/>
              <w:spacing w:before="20" w:after="20"/>
              <w:jc w:val="left"/>
              <w:rPr>
                <w:b/>
              </w:rPr>
            </w:pPr>
            <w:r w:rsidRPr="00E13E79">
              <w:rPr>
                <w:b/>
              </w:rPr>
              <w:t>Prior tests</w:t>
            </w:r>
          </w:p>
        </w:tc>
        <w:tc>
          <w:tcPr>
            <w:tcW w:w="6945" w:type="dxa"/>
          </w:tcPr>
          <w:p w14:paraId="316D3401" w14:textId="77777777" w:rsidR="00B51828" w:rsidRDefault="00B51828" w:rsidP="002101D2">
            <w:pPr>
              <w:pStyle w:val="Tabletextcentred"/>
              <w:spacing w:before="20" w:after="20"/>
              <w:jc w:val="left"/>
            </w:pPr>
            <w:r>
              <w:t>Initial pathology examination and opinion</w:t>
            </w:r>
          </w:p>
        </w:tc>
      </w:tr>
      <w:tr w:rsidR="00B51828" w14:paraId="70D2831C" w14:textId="77777777" w:rsidTr="002101D2">
        <w:tc>
          <w:tcPr>
            <w:tcW w:w="1402" w:type="dxa"/>
          </w:tcPr>
          <w:p w14:paraId="15E6FC77" w14:textId="77777777" w:rsidR="00B51828" w:rsidRPr="00E13E79" w:rsidRDefault="00B51828" w:rsidP="002101D2">
            <w:pPr>
              <w:pStyle w:val="Tabletextcentred"/>
              <w:spacing w:before="20" w:after="20"/>
              <w:jc w:val="left"/>
              <w:rPr>
                <w:b/>
              </w:rPr>
            </w:pPr>
            <w:r w:rsidRPr="00E13E79">
              <w:rPr>
                <w:b/>
              </w:rPr>
              <w:t>Interventions</w:t>
            </w:r>
          </w:p>
        </w:tc>
        <w:tc>
          <w:tcPr>
            <w:tcW w:w="6945" w:type="dxa"/>
          </w:tcPr>
          <w:p w14:paraId="59700FC2" w14:textId="77777777" w:rsidR="00B51828" w:rsidRPr="00B52118" w:rsidRDefault="00B51828" w:rsidP="002101D2">
            <w:pPr>
              <w:pStyle w:val="Tabletextcentred"/>
              <w:spacing w:before="20" w:after="20"/>
              <w:jc w:val="left"/>
              <w:rPr>
                <w:u w:val="single"/>
              </w:rPr>
            </w:pPr>
            <w:r w:rsidRPr="004A60EE">
              <w:rPr>
                <w:i/>
                <w:u w:val="single"/>
              </w:rPr>
              <w:t>Scenario 1</w:t>
            </w:r>
          </w:p>
          <w:p w14:paraId="3B197DF6" w14:textId="77777777" w:rsidR="00B51828" w:rsidRPr="00185815" w:rsidRDefault="00B51828" w:rsidP="002101D2">
            <w:pPr>
              <w:pStyle w:val="Tabletextcentred"/>
              <w:spacing w:before="20" w:after="20"/>
              <w:jc w:val="left"/>
            </w:pPr>
            <w:r w:rsidRPr="00185815">
              <w:t>External expert tissue pathology (including bone marrow) or cytology opinion sourced upon the suggestion of the initial reporting pathologist, due to uncertainty</w:t>
            </w:r>
            <w:r>
              <w:t xml:space="preserve"> and/or complexity of the case.</w:t>
            </w:r>
          </w:p>
          <w:p w14:paraId="5C022334" w14:textId="77777777" w:rsidR="00B51828" w:rsidRPr="00B52118" w:rsidRDefault="00B51828" w:rsidP="002101D2">
            <w:pPr>
              <w:pStyle w:val="Tabletextcentred"/>
              <w:spacing w:before="20" w:after="20"/>
              <w:jc w:val="left"/>
              <w:rPr>
                <w:u w:val="single"/>
              </w:rPr>
            </w:pPr>
            <w:r w:rsidRPr="004A60EE">
              <w:rPr>
                <w:i/>
                <w:u w:val="single"/>
              </w:rPr>
              <w:t>Scenario 2</w:t>
            </w:r>
          </w:p>
          <w:p w14:paraId="590D5DC0" w14:textId="77777777" w:rsidR="00B51828" w:rsidRDefault="00B51828" w:rsidP="002101D2">
            <w:pPr>
              <w:pStyle w:val="Tabletextcentred"/>
              <w:spacing w:before="20" w:after="20"/>
              <w:jc w:val="left"/>
            </w:pPr>
            <w:r w:rsidRPr="00185815">
              <w:t>Second, expert tissue pathology (including bone marrow) or cytology opinion sourced due to uncertainty and/or complexity of the case or a need to obtain, verify or refine a pathology diagnosis.</w:t>
            </w:r>
          </w:p>
        </w:tc>
      </w:tr>
      <w:tr w:rsidR="00B51828" w14:paraId="14FA439A" w14:textId="77777777" w:rsidTr="002101D2">
        <w:tc>
          <w:tcPr>
            <w:tcW w:w="1402" w:type="dxa"/>
          </w:tcPr>
          <w:p w14:paraId="56FCCCBF" w14:textId="77777777" w:rsidR="00B51828" w:rsidRPr="00E13E79" w:rsidRDefault="00B51828" w:rsidP="002101D2">
            <w:pPr>
              <w:pStyle w:val="Tabletextcentred"/>
              <w:spacing w:before="20" w:after="20"/>
              <w:jc w:val="left"/>
              <w:rPr>
                <w:b/>
              </w:rPr>
            </w:pPr>
            <w:r w:rsidRPr="00E13E79">
              <w:rPr>
                <w:b/>
              </w:rPr>
              <w:t>Comparators</w:t>
            </w:r>
          </w:p>
        </w:tc>
        <w:tc>
          <w:tcPr>
            <w:tcW w:w="6945" w:type="dxa"/>
          </w:tcPr>
          <w:p w14:paraId="3B4793BA" w14:textId="3A87F2F6" w:rsidR="00B51828" w:rsidRDefault="00B51828" w:rsidP="002101D2">
            <w:pPr>
              <w:pStyle w:val="Tabletextcentred"/>
              <w:spacing w:before="20" w:after="20"/>
              <w:jc w:val="left"/>
            </w:pPr>
            <w:r w:rsidRPr="00185815">
              <w:t>No publicly</w:t>
            </w:r>
            <w:r w:rsidR="00DB23AB">
              <w:t xml:space="preserve"> </w:t>
            </w:r>
            <w:r w:rsidRPr="00185815">
              <w:t>funded second, expert opinion (i.e. ex</w:t>
            </w:r>
            <w:r w:rsidR="0053670C">
              <w:t xml:space="preserve"> </w:t>
            </w:r>
            <w:r w:rsidRPr="00185815">
              <w:t>gratis second opinion or alternatively funded second opinion);</w:t>
            </w:r>
            <w:r>
              <w:t xml:space="preserve"> o</w:t>
            </w:r>
            <w:r w:rsidRPr="00185815">
              <w:t>r</w:t>
            </w:r>
          </w:p>
          <w:p w14:paraId="43FB2654" w14:textId="77777777" w:rsidR="00B51828" w:rsidRDefault="00B51828" w:rsidP="002101D2">
            <w:pPr>
              <w:pStyle w:val="Tabletextcentred"/>
              <w:spacing w:before="20" w:after="20"/>
              <w:jc w:val="left"/>
            </w:pPr>
            <w:r w:rsidRPr="00185815">
              <w:t>No second, expert opinion</w:t>
            </w:r>
            <w:r>
              <w:t>.</w:t>
            </w:r>
          </w:p>
        </w:tc>
      </w:tr>
      <w:tr w:rsidR="00B51828" w14:paraId="57A2E5B4" w14:textId="77777777" w:rsidTr="002101D2">
        <w:tc>
          <w:tcPr>
            <w:tcW w:w="1402" w:type="dxa"/>
          </w:tcPr>
          <w:p w14:paraId="600031AD" w14:textId="77777777" w:rsidR="00B51828" w:rsidRPr="00E13E79" w:rsidRDefault="00B51828" w:rsidP="002101D2">
            <w:pPr>
              <w:pStyle w:val="Tabletextcentred"/>
              <w:spacing w:before="20" w:after="20"/>
              <w:jc w:val="left"/>
              <w:rPr>
                <w:b/>
              </w:rPr>
            </w:pPr>
            <w:r w:rsidRPr="00E13E79">
              <w:rPr>
                <w:b/>
              </w:rPr>
              <w:t>Evidentiary standards</w:t>
            </w:r>
          </w:p>
        </w:tc>
        <w:tc>
          <w:tcPr>
            <w:tcW w:w="6945" w:type="dxa"/>
          </w:tcPr>
          <w:p w14:paraId="027EA5AC" w14:textId="77777777" w:rsidR="00B51828" w:rsidRPr="00915F90" w:rsidRDefault="00B51828" w:rsidP="002101D2">
            <w:pPr>
              <w:pStyle w:val="Tabletextcentred"/>
              <w:spacing w:before="20" w:after="20"/>
              <w:jc w:val="left"/>
            </w:pPr>
            <w:r>
              <w:t>Long term clinical diagnosis;</w:t>
            </w:r>
          </w:p>
          <w:p w14:paraId="4FA67992" w14:textId="77777777" w:rsidR="00B51828" w:rsidRPr="00915F90" w:rsidRDefault="00B51828" w:rsidP="002101D2">
            <w:pPr>
              <w:pStyle w:val="Tabletextcentred"/>
              <w:spacing w:before="20" w:after="20"/>
              <w:jc w:val="left"/>
            </w:pPr>
            <w:r w:rsidRPr="00915F90">
              <w:t>Follow-up pathology on subsequent sample; or</w:t>
            </w:r>
          </w:p>
          <w:p w14:paraId="4092B7D3" w14:textId="77777777" w:rsidR="00B51828" w:rsidRDefault="00B51828" w:rsidP="002101D2">
            <w:pPr>
              <w:pStyle w:val="Tabletextcentred"/>
              <w:spacing w:before="20" w:after="20"/>
              <w:jc w:val="left"/>
            </w:pPr>
            <w:r w:rsidRPr="00915F90">
              <w:t>Consensus pathology opinion</w:t>
            </w:r>
            <w:r>
              <w:t>.</w:t>
            </w:r>
          </w:p>
        </w:tc>
      </w:tr>
      <w:tr w:rsidR="00B51828" w14:paraId="660A91FF" w14:textId="77777777" w:rsidTr="002101D2">
        <w:tc>
          <w:tcPr>
            <w:tcW w:w="1402" w:type="dxa"/>
          </w:tcPr>
          <w:p w14:paraId="1F53123E" w14:textId="77777777" w:rsidR="00B51828" w:rsidRPr="00E13E79" w:rsidRDefault="00B51828" w:rsidP="002101D2">
            <w:pPr>
              <w:pStyle w:val="Tabletextcentred"/>
              <w:keepNext/>
              <w:spacing w:before="20" w:after="20"/>
              <w:jc w:val="left"/>
              <w:rPr>
                <w:b/>
              </w:rPr>
            </w:pPr>
            <w:r w:rsidRPr="00E13E79">
              <w:rPr>
                <w:b/>
              </w:rPr>
              <w:lastRenderedPageBreak/>
              <w:t>Outcomes to be assessed</w:t>
            </w:r>
          </w:p>
        </w:tc>
        <w:tc>
          <w:tcPr>
            <w:tcW w:w="6945" w:type="dxa"/>
          </w:tcPr>
          <w:p w14:paraId="50EFA4EC" w14:textId="77777777" w:rsidR="00B51828" w:rsidRPr="00E13E79" w:rsidRDefault="00B51828" w:rsidP="002101D2">
            <w:pPr>
              <w:pStyle w:val="Tabletextcentred"/>
              <w:keepNext/>
              <w:spacing w:before="20" w:after="20"/>
              <w:jc w:val="left"/>
              <w:rPr>
                <w:u w:val="single"/>
              </w:rPr>
            </w:pPr>
            <w:r w:rsidRPr="00E13E79">
              <w:rPr>
                <w:u w:val="single"/>
              </w:rPr>
              <w:t>Safety</w:t>
            </w:r>
          </w:p>
          <w:p w14:paraId="1496C7C1" w14:textId="77777777" w:rsidR="00B51828" w:rsidRPr="00E13E79" w:rsidRDefault="00B51828" w:rsidP="002101D2">
            <w:pPr>
              <w:pStyle w:val="Tabletextcentred"/>
              <w:keepNext/>
              <w:spacing w:before="20" w:after="20"/>
              <w:jc w:val="left"/>
            </w:pPr>
            <w:r w:rsidRPr="00E13E79">
              <w:t>Harms (physical and psychological) due to delay in diagnosis, incorrect diagnosis/ interpretation, incorrect treatment, incorrect revision of diagnosis/in</w:t>
            </w:r>
            <w:r>
              <w:t xml:space="preserve">terpretation </w:t>
            </w:r>
          </w:p>
          <w:p w14:paraId="7779FEAB" w14:textId="77777777" w:rsidR="00B51828" w:rsidRPr="00E13E79" w:rsidRDefault="00B51828" w:rsidP="002101D2">
            <w:pPr>
              <w:pStyle w:val="Tabletextcentred"/>
              <w:keepNext/>
              <w:spacing w:before="20" w:after="20"/>
              <w:jc w:val="left"/>
              <w:rPr>
                <w:u w:val="single"/>
              </w:rPr>
            </w:pPr>
            <w:r w:rsidRPr="00E13E79">
              <w:rPr>
                <w:u w:val="single"/>
              </w:rPr>
              <w:t>Diagnostic accuracy</w:t>
            </w:r>
          </w:p>
          <w:p w14:paraId="1E2BD1DF" w14:textId="77777777" w:rsidR="00B51828" w:rsidRPr="00E13E79" w:rsidRDefault="00B51828" w:rsidP="002101D2">
            <w:pPr>
              <w:pStyle w:val="Tabletextcentred"/>
              <w:keepNext/>
              <w:spacing w:before="20" w:after="20"/>
              <w:jc w:val="left"/>
            </w:pPr>
            <w:r w:rsidRPr="00E13E79">
              <w:t>Sensitivity, specificity, positive predictive value, negative pre</w:t>
            </w:r>
            <w:r>
              <w:t>dictive value, concordance data</w:t>
            </w:r>
          </w:p>
          <w:p w14:paraId="121F1348" w14:textId="77777777" w:rsidR="00B51828" w:rsidRPr="00E13E79" w:rsidRDefault="00B51828" w:rsidP="002101D2">
            <w:pPr>
              <w:pStyle w:val="Tabletextcentred"/>
              <w:keepNext/>
              <w:spacing w:before="20" w:after="20"/>
              <w:jc w:val="left"/>
              <w:rPr>
                <w:u w:val="single"/>
              </w:rPr>
            </w:pPr>
            <w:r w:rsidRPr="00E13E79">
              <w:rPr>
                <w:u w:val="single"/>
              </w:rPr>
              <w:t>Change in management</w:t>
            </w:r>
          </w:p>
          <w:p w14:paraId="4D337EA2" w14:textId="77777777" w:rsidR="00B51828" w:rsidRPr="00E13E79" w:rsidRDefault="00B51828" w:rsidP="002101D2">
            <w:pPr>
              <w:pStyle w:val="Tabletextcentred"/>
              <w:keepNext/>
              <w:spacing w:before="20" w:after="20"/>
              <w:jc w:val="left"/>
            </w:pPr>
            <w:r w:rsidRPr="00E13E79">
              <w:t>Rate of clinically relevant revisions of initial pathology opinions</w:t>
            </w:r>
            <w:r>
              <w:t>, c</w:t>
            </w:r>
            <w:r w:rsidRPr="00E13E79">
              <w:t>hange in clinical management (e.g. biopsy rates, additional test orderin</w:t>
            </w:r>
            <w:r>
              <w:t>g, change in treatment options)</w:t>
            </w:r>
          </w:p>
          <w:p w14:paraId="4B8DDFA6" w14:textId="77777777" w:rsidR="00B51828" w:rsidRPr="00E13E79" w:rsidRDefault="00B51828" w:rsidP="002101D2">
            <w:pPr>
              <w:pStyle w:val="Tabletextcentred"/>
              <w:keepNext/>
              <w:spacing w:before="20" w:after="20"/>
              <w:jc w:val="left"/>
            </w:pPr>
            <w:r w:rsidRPr="00E13E79">
              <w:rPr>
                <w:u w:val="single"/>
              </w:rPr>
              <w:t>Effectiveness</w:t>
            </w:r>
            <w:r w:rsidRPr="00E13E79">
              <w:br/>
              <w:t>Morbid</w:t>
            </w:r>
            <w:r>
              <w:t>ity, mortality, quality of life</w:t>
            </w:r>
          </w:p>
          <w:p w14:paraId="1CC9B222" w14:textId="77777777" w:rsidR="00B51828" w:rsidRPr="00E13E79" w:rsidRDefault="00B51828" w:rsidP="002101D2">
            <w:pPr>
              <w:pStyle w:val="Tabletextcentred"/>
              <w:keepNext/>
              <w:spacing w:before="20" w:after="20"/>
              <w:jc w:val="left"/>
              <w:rPr>
                <w:u w:val="single"/>
              </w:rPr>
            </w:pPr>
            <w:r w:rsidRPr="00E13E79">
              <w:rPr>
                <w:u w:val="single"/>
              </w:rPr>
              <w:t>Cost-effectiveness</w:t>
            </w:r>
          </w:p>
          <w:p w14:paraId="00C37921" w14:textId="77777777" w:rsidR="00B51828" w:rsidRDefault="00B51828" w:rsidP="002101D2">
            <w:pPr>
              <w:pStyle w:val="Tabletextcentred"/>
              <w:keepNext/>
              <w:spacing w:before="20" w:after="20"/>
              <w:jc w:val="left"/>
            </w:pPr>
            <w:r w:rsidRPr="00185815">
              <w:t>Cost per clinically relevant change in diagnosis</w:t>
            </w:r>
            <w:r>
              <w:t>/</w:t>
            </w:r>
            <w:r w:rsidRPr="00185815">
              <w:t>interpretation</w:t>
            </w:r>
          </w:p>
        </w:tc>
      </w:tr>
    </w:tbl>
    <w:p w14:paraId="3E8FC785" w14:textId="77777777" w:rsidR="00B51828" w:rsidRPr="000B01BB" w:rsidRDefault="00B51828" w:rsidP="002101D2">
      <w:pPr>
        <w:rPr>
          <w:szCs w:val="24"/>
        </w:rPr>
      </w:pPr>
    </w:p>
    <w:p w14:paraId="2CE5FD21" w14:textId="77777777" w:rsidR="00B51828" w:rsidRPr="00EA4EFC" w:rsidRDefault="00B51828" w:rsidP="002101D2">
      <w:pPr>
        <w:rPr>
          <w:szCs w:val="24"/>
        </w:rPr>
      </w:pPr>
      <w:bookmarkStart w:id="85" w:name="_Toc382219929"/>
      <w:bookmarkStart w:id="86" w:name="_Ref393275875"/>
      <w:bookmarkStart w:id="87" w:name="_Ref393290896"/>
      <w:bookmarkStart w:id="88" w:name="_Ref393291708"/>
      <w:r>
        <w:rPr>
          <w:szCs w:val="24"/>
        </w:rPr>
        <w:t xml:space="preserve">Although the overall body of evidence regarding second, expert opinions is large, there is only limited evidence about the clinical value of expert opinions that are requested due to pathologist or treating clinician uncertainty or a clinical need for diagnostic refinement. In such cases, input is actively sought to arrive at a definitive diagnosis; treatment will often be postponed until the expert opinion is received. Therefore, the rate of discrepancies between the initial opinion and the expert opinion does not have the same impact on patient care as discrepancies that are noted after cases have been finalised. Where the pathologist actively seeks expert opinion, discrepancies should not be viewed as errors but as a reflection of the acknowledged need for assistance. Furthermore, as a large proportion of cases are referred without a diagnosis, a true discrepancy rate cannot be ascertained. </w:t>
      </w:r>
    </w:p>
    <w:p w14:paraId="0E2C9D3A" w14:textId="77777777" w:rsidR="00B51828" w:rsidRDefault="00B51828" w:rsidP="002101D2">
      <w:pPr>
        <w:rPr>
          <w:szCs w:val="24"/>
        </w:rPr>
      </w:pPr>
      <w:r>
        <w:rPr>
          <w:szCs w:val="24"/>
        </w:rPr>
        <w:t xml:space="preserve">Similarly, discrepancy rates in clinician-initiated second, expert opinions should be interpreted with caution, as such discrepancies would often be identified when a clinician has actively sought expert opinion for verification or refinement of complex cases in order to assist management. Discrepancies would therefore be discovered prior to treatment and would not be associated with a change in management. </w:t>
      </w:r>
    </w:p>
    <w:p w14:paraId="6098836C" w14:textId="55F7ABCA" w:rsidR="00B51828" w:rsidRDefault="00B51828" w:rsidP="002101D2">
      <w:pPr>
        <w:rPr>
          <w:szCs w:val="24"/>
        </w:rPr>
      </w:pPr>
      <w:r>
        <w:rPr>
          <w:szCs w:val="24"/>
        </w:rPr>
        <w:fldChar w:fldCharType="begin"/>
      </w:r>
      <w:r>
        <w:rPr>
          <w:szCs w:val="24"/>
        </w:rPr>
        <w:instrText xml:space="preserve"> REF _Ref385196906 \h </w:instrText>
      </w:r>
      <w:r>
        <w:rPr>
          <w:szCs w:val="24"/>
        </w:rPr>
      </w:r>
      <w:r>
        <w:rPr>
          <w:szCs w:val="24"/>
        </w:rPr>
        <w:fldChar w:fldCharType="separate"/>
      </w:r>
      <w:r w:rsidR="0044620B">
        <w:t xml:space="preserve">Table </w:t>
      </w:r>
      <w:r w:rsidR="0044620B">
        <w:rPr>
          <w:noProof/>
        </w:rPr>
        <w:t>A.8</w:t>
      </w:r>
      <w:r w:rsidR="0044620B">
        <w:noBreakHyphen/>
      </w:r>
      <w:r w:rsidR="0044620B">
        <w:rPr>
          <w:noProof/>
        </w:rPr>
        <w:t>2</w:t>
      </w:r>
      <w:r>
        <w:rPr>
          <w:szCs w:val="24"/>
        </w:rPr>
        <w:fldChar w:fldCharType="end"/>
      </w:r>
      <w:r>
        <w:rPr>
          <w:szCs w:val="24"/>
        </w:rPr>
        <w:t xml:space="preserve"> provides a list of the terms used in the literature to describe the different types of second opinion for morphological pathology. Identification and classification of the evidence is not straight</w:t>
      </w:r>
      <w:r w:rsidR="00DB23AB">
        <w:rPr>
          <w:szCs w:val="24"/>
        </w:rPr>
        <w:t>forward</w:t>
      </w:r>
      <w:r>
        <w:rPr>
          <w:szCs w:val="24"/>
        </w:rPr>
        <w:t xml:space="preserve"> due to the differences in terminology and intention of seeking a second opinion. The majority of studies deal with intra-departmental review (which is undertaken primarily as part of quality assurance to find correctable errors) or mandatory/routine inter-institutional or extra-departmental second opinions or case reviews. Although important for appropriate patient management, there are relatively few studies that explicitly state the purpose of seeking second, expert opinion according to the circumstances (scenarios) described above (see Section </w:t>
      </w:r>
      <w:r>
        <w:rPr>
          <w:szCs w:val="24"/>
        </w:rPr>
        <w:fldChar w:fldCharType="begin"/>
      </w:r>
      <w:r>
        <w:rPr>
          <w:szCs w:val="24"/>
        </w:rPr>
        <w:instrText xml:space="preserve"> REF _Ref392760699 \w \h </w:instrText>
      </w:r>
      <w:r>
        <w:rPr>
          <w:szCs w:val="24"/>
        </w:rPr>
      </w:r>
      <w:r>
        <w:rPr>
          <w:szCs w:val="24"/>
        </w:rPr>
        <w:fldChar w:fldCharType="separate"/>
      </w:r>
      <w:r w:rsidR="0044620B">
        <w:rPr>
          <w:szCs w:val="24"/>
        </w:rPr>
        <w:t>B.2</w:t>
      </w:r>
      <w:r>
        <w:rPr>
          <w:szCs w:val="24"/>
        </w:rPr>
        <w:fldChar w:fldCharType="end"/>
      </w:r>
      <w:r>
        <w:rPr>
          <w:szCs w:val="24"/>
        </w:rPr>
        <w:t xml:space="preserve"> for the included evidence base).</w:t>
      </w:r>
    </w:p>
    <w:p w14:paraId="55F6BFC4" w14:textId="77777777" w:rsidR="00B51828" w:rsidRPr="00435B4B" w:rsidRDefault="00B51828" w:rsidP="002101D2">
      <w:pPr>
        <w:pStyle w:val="Caption"/>
      </w:pPr>
      <w:bookmarkStart w:id="89" w:name="_Ref385196906"/>
      <w:bookmarkStart w:id="90" w:name="_Toc396211734"/>
      <w:r>
        <w:t xml:space="preserve">Table </w:t>
      </w:r>
      <w:fldSimple w:instr=" STYLEREF 2 \s ">
        <w:r w:rsidR="0044620B">
          <w:rPr>
            <w:noProof/>
          </w:rPr>
          <w:t>A.8</w:t>
        </w:r>
      </w:fldSimple>
      <w:r>
        <w:noBreakHyphen/>
      </w:r>
      <w:fldSimple w:instr=" SEQ Table \* ARABIC \s 2 ">
        <w:r w:rsidR="0044620B">
          <w:rPr>
            <w:noProof/>
          </w:rPr>
          <w:t>2</w:t>
        </w:r>
      </w:fldSimple>
      <w:bookmarkEnd w:id="89"/>
      <w:r>
        <w:tab/>
        <w:t>Definitions of second opinion terms used in the literature</w:t>
      </w:r>
      <w:bookmarkEnd w:id="90"/>
    </w:p>
    <w:tbl>
      <w:tblPr>
        <w:tblStyle w:val="TableGrid"/>
        <w:tblW w:w="0" w:type="auto"/>
        <w:tblInd w:w="720" w:type="dxa"/>
        <w:tblLook w:val="04A0" w:firstRow="1" w:lastRow="0" w:firstColumn="1" w:lastColumn="0" w:noHBand="0" w:noVBand="1"/>
        <w:tblCaption w:val="Definitions of second opinion terms used in the literature"/>
        <w:tblDescription w:val="Definition of terms used in the literature and the Assessment Report."/>
      </w:tblPr>
      <w:tblGrid>
        <w:gridCol w:w="8296"/>
      </w:tblGrid>
      <w:tr w:rsidR="00447D71" w:rsidRPr="0068424C" w14:paraId="01713843" w14:textId="77777777" w:rsidTr="00EA2243">
        <w:trPr>
          <w:tblHeader/>
        </w:trPr>
        <w:tc>
          <w:tcPr>
            <w:tcW w:w="8296" w:type="dxa"/>
          </w:tcPr>
          <w:p w14:paraId="5762B972" w14:textId="5BA7AE29" w:rsidR="00447D71" w:rsidRPr="00447D71" w:rsidRDefault="001C7B3D" w:rsidP="002101D2">
            <w:pPr>
              <w:pStyle w:val="TableText1"/>
              <w:keepNext w:val="0"/>
              <w:spacing w:before="20" w:after="20" w:line="240" w:lineRule="auto"/>
              <w:rPr>
                <w:b/>
                <w:sz w:val="20"/>
              </w:rPr>
            </w:pPr>
            <w:r w:rsidRPr="00447D71">
              <w:rPr>
                <w:b/>
                <w:sz w:val="20"/>
              </w:rPr>
              <w:t>Definitions:</w:t>
            </w:r>
          </w:p>
        </w:tc>
      </w:tr>
      <w:tr w:rsidR="00B51828" w:rsidRPr="0068424C" w14:paraId="6C2C3A8A" w14:textId="77777777" w:rsidTr="00EA2243">
        <w:tc>
          <w:tcPr>
            <w:tcW w:w="8296" w:type="dxa"/>
          </w:tcPr>
          <w:p w14:paraId="7627B3DE" w14:textId="77777777" w:rsidR="00B51828" w:rsidRPr="0068424C" w:rsidRDefault="00B51828" w:rsidP="002101D2">
            <w:pPr>
              <w:pStyle w:val="TableText1"/>
              <w:keepNext w:val="0"/>
              <w:spacing w:before="20" w:after="20" w:line="240" w:lineRule="auto"/>
              <w:rPr>
                <w:sz w:val="20"/>
              </w:rPr>
            </w:pPr>
            <w:r w:rsidRPr="0068424C">
              <w:rPr>
                <w:i/>
                <w:sz w:val="20"/>
              </w:rPr>
              <w:t>Initial (primary) pathologist</w:t>
            </w:r>
            <w:r w:rsidRPr="0068424C">
              <w:rPr>
                <w:sz w:val="20"/>
              </w:rPr>
              <w:t>: The pathologist who first received the</w:t>
            </w:r>
            <w:r w:rsidRPr="0068424C">
              <w:rPr>
                <w:i/>
                <w:sz w:val="20"/>
              </w:rPr>
              <w:t xml:space="preserve"> </w:t>
            </w:r>
            <w:r w:rsidRPr="0068424C">
              <w:rPr>
                <w:sz w:val="20"/>
              </w:rPr>
              <w:t>histopathology or cytopathology case for morphological interpretation.</w:t>
            </w:r>
          </w:p>
        </w:tc>
      </w:tr>
      <w:tr w:rsidR="00B51828" w:rsidRPr="0068424C" w14:paraId="50B8805E" w14:textId="77777777" w:rsidTr="00EA2243">
        <w:tc>
          <w:tcPr>
            <w:tcW w:w="8296" w:type="dxa"/>
          </w:tcPr>
          <w:p w14:paraId="77CEB9BD" w14:textId="77777777" w:rsidR="00B51828" w:rsidRPr="0068424C" w:rsidRDefault="00B51828" w:rsidP="002101D2">
            <w:pPr>
              <w:pStyle w:val="TableText1"/>
              <w:keepNext w:val="0"/>
              <w:spacing w:before="20" w:after="20" w:line="240" w:lineRule="auto"/>
              <w:rPr>
                <w:i/>
                <w:sz w:val="20"/>
              </w:rPr>
            </w:pPr>
            <w:r w:rsidRPr="0068424C">
              <w:rPr>
                <w:i/>
                <w:sz w:val="20"/>
              </w:rPr>
              <w:t>Expert pathologist</w:t>
            </w:r>
            <w:r w:rsidRPr="0068424C">
              <w:rPr>
                <w:sz w:val="20"/>
              </w:rPr>
              <w:t>: a pathologist whose diagnostic acumen in a particular field (subspecialty) is recognised by his/her peers by virtue of his/her experience. An expert pathologist may be locally or nationally known.</w:t>
            </w:r>
          </w:p>
        </w:tc>
      </w:tr>
      <w:tr w:rsidR="00B51828" w:rsidRPr="0068424C" w14:paraId="0E69E533" w14:textId="77777777" w:rsidTr="00EA2243">
        <w:tc>
          <w:tcPr>
            <w:tcW w:w="8296" w:type="dxa"/>
          </w:tcPr>
          <w:p w14:paraId="512187F7" w14:textId="77777777" w:rsidR="00B51828" w:rsidRPr="0068424C" w:rsidRDefault="00B51828" w:rsidP="002101D2">
            <w:pPr>
              <w:pStyle w:val="TableText1"/>
              <w:keepNext w:val="0"/>
              <w:spacing w:before="20" w:after="20" w:line="240" w:lineRule="auto"/>
              <w:rPr>
                <w:sz w:val="20"/>
              </w:rPr>
            </w:pPr>
            <w:r w:rsidRPr="0068424C">
              <w:rPr>
                <w:i/>
                <w:sz w:val="20"/>
              </w:rPr>
              <w:t xml:space="preserve">External expert opinion: </w:t>
            </w:r>
            <w:r w:rsidRPr="0068424C">
              <w:rPr>
                <w:sz w:val="20"/>
              </w:rPr>
              <w:t>a</w:t>
            </w:r>
            <w:r w:rsidRPr="0068424C">
              <w:rPr>
                <w:i/>
                <w:sz w:val="20"/>
              </w:rPr>
              <w:t xml:space="preserve"> </w:t>
            </w:r>
            <w:r w:rsidRPr="0068424C">
              <w:rPr>
                <w:sz w:val="20"/>
              </w:rPr>
              <w:t xml:space="preserve">histopathology or cytopathology case sent to a specific expert pathologist or pathology department at a different institution, upon the recommendation of an initial pathologist who could not confidently provide a primary or definitive diagnosis. The case may have been sent by the initial pathologist or </w:t>
            </w:r>
            <w:r w:rsidRPr="0068424C">
              <w:rPr>
                <w:sz w:val="20"/>
              </w:rPr>
              <w:lastRenderedPageBreak/>
              <w:t>by the treating clinician at the request of the initial pathologist.</w:t>
            </w:r>
          </w:p>
        </w:tc>
      </w:tr>
      <w:tr w:rsidR="00B51828" w:rsidRPr="0068424C" w14:paraId="543D546D" w14:textId="77777777" w:rsidTr="00EA2243">
        <w:tc>
          <w:tcPr>
            <w:tcW w:w="8296" w:type="dxa"/>
          </w:tcPr>
          <w:p w14:paraId="0F8AA089" w14:textId="77777777" w:rsidR="00B51828" w:rsidRPr="0068424C" w:rsidRDefault="00B51828" w:rsidP="002101D2">
            <w:pPr>
              <w:pStyle w:val="TableText1"/>
              <w:keepNext w:val="0"/>
              <w:spacing w:before="20" w:after="20" w:line="240" w:lineRule="auto"/>
              <w:rPr>
                <w:i/>
                <w:sz w:val="20"/>
              </w:rPr>
            </w:pPr>
            <w:r w:rsidRPr="0068424C">
              <w:rPr>
                <w:i/>
                <w:sz w:val="20"/>
              </w:rPr>
              <w:lastRenderedPageBreak/>
              <w:t xml:space="preserve">Voluntary/self-referred opinion: </w:t>
            </w:r>
            <w:r w:rsidRPr="0068424C">
              <w:rPr>
                <w:sz w:val="20"/>
              </w:rPr>
              <w:t>a</w:t>
            </w:r>
            <w:r w:rsidRPr="0068424C">
              <w:rPr>
                <w:i/>
                <w:sz w:val="20"/>
              </w:rPr>
              <w:t xml:space="preserve"> </w:t>
            </w:r>
            <w:r w:rsidRPr="0068424C">
              <w:rPr>
                <w:sz w:val="20"/>
              </w:rPr>
              <w:t>histopathology or cytopathology case sent to a specific pathologist or pathology department by a pathologist who recognises their own limitations and/or seeks guidance from an expert pathologist due to uncertainty.</w:t>
            </w:r>
          </w:p>
        </w:tc>
      </w:tr>
      <w:tr w:rsidR="00B51828" w:rsidRPr="0068424C" w14:paraId="62581049" w14:textId="77777777" w:rsidTr="00EA2243">
        <w:tc>
          <w:tcPr>
            <w:tcW w:w="8296" w:type="dxa"/>
          </w:tcPr>
          <w:p w14:paraId="4FDCBD54" w14:textId="77777777" w:rsidR="00B51828" w:rsidRPr="0068424C" w:rsidRDefault="00B51828" w:rsidP="002101D2">
            <w:pPr>
              <w:pStyle w:val="TableText1"/>
              <w:keepNext w:val="0"/>
              <w:spacing w:before="20" w:after="20" w:line="240" w:lineRule="auto"/>
              <w:rPr>
                <w:i/>
                <w:sz w:val="20"/>
              </w:rPr>
            </w:pPr>
            <w:r w:rsidRPr="0068424C">
              <w:rPr>
                <w:i/>
                <w:sz w:val="20"/>
              </w:rPr>
              <w:t>Personal (expert) consultation/referral</w:t>
            </w:r>
            <w:r w:rsidRPr="0068424C">
              <w:rPr>
                <w:sz w:val="20"/>
              </w:rPr>
              <w:t>: a histopathology or cytopathology case sent for a second opinion to a specific pathologist or pathology department, typically sought to resolve diagnostic uncertainty or to obtain input on a case from an expert. The pathologist, the clinician, or the patient may seek this consultation.</w:t>
            </w:r>
          </w:p>
        </w:tc>
      </w:tr>
      <w:tr w:rsidR="00B51828" w:rsidRPr="0068424C" w14:paraId="2A55978E" w14:textId="77777777" w:rsidTr="00EA2243">
        <w:tc>
          <w:tcPr>
            <w:tcW w:w="8296" w:type="dxa"/>
          </w:tcPr>
          <w:p w14:paraId="6775B960" w14:textId="77777777" w:rsidR="00B51828" w:rsidRPr="0068424C" w:rsidRDefault="00B51828" w:rsidP="002101D2">
            <w:pPr>
              <w:pStyle w:val="TableText1"/>
              <w:keepNext w:val="0"/>
              <w:spacing w:before="20" w:after="20" w:line="240" w:lineRule="auto"/>
              <w:rPr>
                <w:sz w:val="20"/>
              </w:rPr>
            </w:pPr>
            <w:r w:rsidRPr="0068424C">
              <w:rPr>
                <w:i/>
                <w:sz w:val="20"/>
              </w:rPr>
              <w:t xml:space="preserve">Intra-departmental consultation: </w:t>
            </w:r>
            <w:r w:rsidRPr="0068424C">
              <w:rPr>
                <w:sz w:val="20"/>
              </w:rPr>
              <w:t>Second opinions on a histopathology or cytopathology case that is sought (often informally) from a particular pathologist(s) within the same department.</w:t>
            </w:r>
          </w:p>
        </w:tc>
      </w:tr>
      <w:tr w:rsidR="00B51828" w:rsidRPr="0068424C" w14:paraId="1B4ED358" w14:textId="77777777" w:rsidTr="00EA2243">
        <w:tc>
          <w:tcPr>
            <w:tcW w:w="8296" w:type="dxa"/>
          </w:tcPr>
          <w:p w14:paraId="30A3E9D8" w14:textId="77777777" w:rsidR="00B51828" w:rsidRPr="0068424C" w:rsidRDefault="00B51828" w:rsidP="002101D2">
            <w:pPr>
              <w:pStyle w:val="TableText1"/>
              <w:keepNext w:val="0"/>
              <w:spacing w:before="20" w:after="20" w:line="240" w:lineRule="auto"/>
              <w:rPr>
                <w:i/>
                <w:sz w:val="20"/>
              </w:rPr>
            </w:pPr>
            <w:r w:rsidRPr="0068424C">
              <w:rPr>
                <w:i/>
                <w:sz w:val="20"/>
              </w:rPr>
              <w:t xml:space="preserve">Intra-institutional consultation/referral: </w:t>
            </w:r>
            <w:r w:rsidRPr="0068424C">
              <w:rPr>
                <w:sz w:val="20"/>
              </w:rPr>
              <w:t>a histopathology or cytopathology case that is sent to a pathologist within the same institution. This type of consultation is typically sought when a patient has been referred to the institution from a different hospital or clinic and a case review (including a review of the histopathology/cytopathology diagnosis) is undertaken at the new institution. At some institutions this is standard (or mandatory) practice.</w:t>
            </w:r>
          </w:p>
        </w:tc>
      </w:tr>
      <w:tr w:rsidR="00B51828" w:rsidRPr="0068424C" w14:paraId="5E7F9F71" w14:textId="77777777" w:rsidTr="00EA2243">
        <w:tc>
          <w:tcPr>
            <w:tcW w:w="8296" w:type="dxa"/>
          </w:tcPr>
          <w:p w14:paraId="3A0EA292" w14:textId="77777777" w:rsidR="00B51828" w:rsidRPr="0068424C" w:rsidRDefault="00B51828" w:rsidP="002101D2">
            <w:pPr>
              <w:pStyle w:val="TableText1"/>
              <w:keepNext w:val="0"/>
              <w:spacing w:before="20" w:after="20" w:line="240" w:lineRule="auto"/>
              <w:rPr>
                <w:sz w:val="20"/>
              </w:rPr>
            </w:pPr>
            <w:r w:rsidRPr="0068424C">
              <w:rPr>
                <w:i/>
                <w:sz w:val="20"/>
              </w:rPr>
              <w:t>Extra-departmental consultation/referral</w:t>
            </w:r>
            <w:r w:rsidRPr="0068424C">
              <w:rPr>
                <w:sz w:val="20"/>
              </w:rPr>
              <w:t>: a histopathology or cytopathology case that is sent out to a pathologist within a different department or to another institution.</w:t>
            </w:r>
          </w:p>
        </w:tc>
      </w:tr>
      <w:tr w:rsidR="00B51828" w:rsidRPr="0068424C" w14:paraId="6E91E11D" w14:textId="77777777" w:rsidTr="00EA2243">
        <w:tc>
          <w:tcPr>
            <w:tcW w:w="8296" w:type="dxa"/>
          </w:tcPr>
          <w:p w14:paraId="61149B2C" w14:textId="77777777" w:rsidR="00B51828" w:rsidRPr="0068424C" w:rsidRDefault="00B51828" w:rsidP="002101D2">
            <w:pPr>
              <w:pStyle w:val="TableText1"/>
              <w:keepNext w:val="0"/>
              <w:spacing w:before="20" w:after="20" w:line="240" w:lineRule="auto"/>
              <w:rPr>
                <w:sz w:val="20"/>
              </w:rPr>
            </w:pPr>
            <w:r w:rsidRPr="0068424C">
              <w:rPr>
                <w:i/>
                <w:sz w:val="20"/>
              </w:rPr>
              <w:t>Inter-institutional consultation/referral</w:t>
            </w:r>
            <w:r w:rsidRPr="0068424C">
              <w:rPr>
                <w:sz w:val="20"/>
              </w:rPr>
              <w:t>: a histopathology or cytopathology case that is sent out to a pathologist in another institution.</w:t>
            </w:r>
          </w:p>
        </w:tc>
      </w:tr>
    </w:tbl>
    <w:p w14:paraId="6D761895" w14:textId="77777777" w:rsidR="00B51828" w:rsidRPr="00435B4B" w:rsidRDefault="00B51828" w:rsidP="002101D2">
      <w:pPr>
        <w:rPr>
          <w:rFonts w:ascii="Arial Narrow" w:hAnsi="Arial Narrow"/>
          <w:sz w:val="16"/>
          <w:szCs w:val="16"/>
        </w:rPr>
      </w:pPr>
      <w:r w:rsidRPr="00EA4B9E">
        <w:rPr>
          <w:rFonts w:ascii="Arial Narrow" w:hAnsi="Arial Narrow"/>
          <w:sz w:val="16"/>
          <w:szCs w:val="16"/>
        </w:rPr>
        <w:t>Source: Adapted from Azam et al. 2002.</w:t>
      </w:r>
    </w:p>
    <w:p w14:paraId="669A007E" w14:textId="77777777" w:rsidR="00B51828" w:rsidRDefault="00B51828" w:rsidP="002101D2">
      <w:pPr>
        <w:rPr>
          <w:szCs w:val="24"/>
        </w:rPr>
      </w:pPr>
      <w:r>
        <w:rPr>
          <w:szCs w:val="24"/>
        </w:rPr>
        <w:t xml:space="preserve">Finally, it is generally assumed that a second opinion sought from an expert is correct; however, second, expert opinion is not the gold standard in diagnostic morphological pathology. Second, expert opinion provides an assessment of precision (consensus of opinion), where precision is regarded as a surrogate for determining the accurate diagnosis </w:t>
      </w:r>
      <w:r>
        <w:rPr>
          <w:noProof/>
          <w:szCs w:val="24"/>
        </w:rPr>
        <w:t>(Lueck et al, 2009)</w:t>
      </w:r>
      <w:r>
        <w:rPr>
          <w:szCs w:val="24"/>
        </w:rPr>
        <w:t xml:space="preserve">. Precision may reflect consensus between the initial and expert pathologists or, on some occasions, between a panel of experts at a laboratory or consultation service, or both. However, numerous studies have reported a high degree of discordance between expert pathologists when diagnosing difficult lesions, suggesting that expert opinion diagnoses are not always accurate/correct </w:t>
      </w:r>
      <w:r>
        <w:rPr>
          <w:noProof/>
          <w:szCs w:val="24"/>
        </w:rPr>
        <w:t>(Cook et al, 2001)</w:t>
      </w:r>
      <w:r>
        <w:rPr>
          <w:szCs w:val="24"/>
        </w:rPr>
        <w:t>. This has been substantiated in studies that have undertaken patient follow-up. Diagnoses in anatomical pathology are essentially judgements dependent on the available tissue and clinical information about the patient’s condition. As such, the gold standard of diagnostic accuracy is good clinical correlation and adequate follow-up. Studies that report discrepancy rates without patient follow-up or consensus pathology opinion should be interpreted with caution.</w:t>
      </w:r>
    </w:p>
    <w:p w14:paraId="3D11BF0F" w14:textId="77777777" w:rsidR="00B51828" w:rsidRPr="005907D7" w:rsidRDefault="00B51828" w:rsidP="002101D2"/>
    <w:p w14:paraId="6CDB81C1" w14:textId="77777777" w:rsidR="00B51828" w:rsidRDefault="00B51828" w:rsidP="00B51828">
      <w:pPr>
        <w:pStyle w:val="Heading1"/>
        <w:numPr>
          <w:ilvl w:val="0"/>
          <w:numId w:val="1"/>
        </w:numPr>
      </w:pPr>
      <w:bookmarkStart w:id="91" w:name="_Ref395167544"/>
      <w:bookmarkStart w:id="92" w:name="_Ref395167662"/>
      <w:bookmarkStart w:id="93" w:name="_Toc396211690"/>
      <w:r w:rsidRPr="00F710E2">
        <w:lastRenderedPageBreak/>
        <w:t>Clinical</w:t>
      </w:r>
      <w:r>
        <w:t xml:space="preserve"> evaluation for the main indication</w:t>
      </w:r>
      <w:bookmarkEnd w:id="85"/>
      <w:bookmarkEnd w:id="86"/>
      <w:bookmarkEnd w:id="87"/>
      <w:bookmarkEnd w:id="88"/>
      <w:bookmarkEnd w:id="91"/>
      <w:bookmarkEnd w:id="92"/>
      <w:bookmarkEnd w:id="93"/>
    </w:p>
    <w:p w14:paraId="3C0DCB1D" w14:textId="77777777" w:rsidR="00B51828" w:rsidRDefault="00B51828" w:rsidP="00B51828">
      <w:pPr>
        <w:pStyle w:val="Heading2"/>
        <w:numPr>
          <w:ilvl w:val="1"/>
          <w:numId w:val="1"/>
        </w:numPr>
      </w:pPr>
      <w:bookmarkStart w:id="94" w:name="_Toc382219930"/>
      <w:bookmarkStart w:id="95" w:name="_Toc396211691"/>
      <w:r w:rsidRPr="00FE1202">
        <w:t>Description</w:t>
      </w:r>
      <w:r>
        <w:t xml:space="preserve"> of search </w:t>
      </w:r>
      <w:r w:rsidRPr="00DD06FA">
        <w:t>strategies</w:t>
      </w:r>
      <w:bookmarkEnd w:id="94"/>
      <w:bookmarkEnd w:id="95"/>
    </w:p>
    <w:p w14:paraId="7835F711" w14:textId="6C482198" w:rsidR="00B51828" w:rsidRDefault="00B51828" w:rsidP="002101D2">
      <w:bookmarkStart w:id="96" w:name="_Ref385333150"/>
      <w:r>
        <w:t xml:space="preserve">A comprehensive search of the scientific literature was undertaken to locate all relevant studies that assessed the value of expert opinions for morphological pathology. Electronic searches of EMBASE.com and </w:t>
      </w:r>
      <w:r w:rsidR="00525F10">
        <w:t>t</w:t>
      </w:r>
      <w:r>
        <w:t xml:space="preserve">he Cochrane Library were conducted using the search terms outlined in </w:t>
      </w:r>
      <w:r>
        <w:fldChar w:fldCharType="begin"/>
      </w:r>
      <w:r>
        <w:instrText xml:space="preserve"> REF _Ref393702378 \w \h </w:instrText>
      </w:r>
      <w:r>
        <w:fldChar w:fldCharType="separate"/>
      </w:r>
      <w:r w:rsidR="0044620B">
        <w:t>Appendix 3</w:t>
      </w:r>
      <w:r>
        <w:fldChar w:fldCharType="end"/>
      </w:r>
      <w:r>
        <w:t xml:space="preserve">. The search terms were broad enough to ensure that economic studies relating to second, expert opinion would also be captured, see Section </w:t>
      </w:r>
      <w:r>
        <w:fldChar w:fldCharType="begin"/>
      </w:r>
      <w:r>
        <w:instrText xml:space="preserve"> REF _Ref393702884 \w \h </w:instrText>
      </w:r>
      <w:r>
        <w:fldChar w:fldCharType="separate"/>
      </w:r>
      <w:r w:rsidR="0044620B">
        <w:t>D.2.1</w:t>
      </w:r>
      <w:r>
        <w:fldChar w:fldCharType="end"/>
      </w:r>
      <w:r>
        <w:t>. The search of EMBASE.com (which concurrently searches M</w:t>
      </w:r>
      <w:r w:rsidR="008A4EDD">
        <w:t>edline</w:t>
      </w:r>
      <w:r>
        <w:t xml:space="preserve"> and EMBASE) was conducted on 21 March, 2014. The Cochrane Library (</w:t>
      </w:r>
      <w:r w:rsidRPr="00520530">
        <w:t>Cochrane Database of Systematic Reviews, Database of Abstracts of Reviews of Effect, Cochrane Central Register of Controlled Trials, Health Technology Assessment Database, Economic Evaluation Database</w:t>
      </w:r>
      <w:r>
        <w:t xml:space="preserve">) was searched on 15 April, 2014.  </w:t>
      </w:r>
    </w:p>
    <w:p w14:paraId="495437B8" w14:textId="77777777" w:rsidR="00B51828" w:rsidRDefault="00B51828" w:rsidP="002101D2">
      <w:r w:rsidRPr="00CC54B6">
        <w:t xml:space="preserve">In addition, reference lists of relevant </w:t>
      </w:r>
      <w:r>
        <w:t xml:space="preserve">reviews </w:t>
      </w:r>
      <w:r w:rsidRPr="00CC54B6">
        <w:t xml:space="preserve">and primary articles </w:t>
      </w:r>
      <w:r>
        <w:t>were</w:t>
      </w:r>
      <w:r w:rsidRPr="00CC54B6">
        <w:t xml:space="preserve"> </w:t>
      </w:r>
      <w:r>
        <w:t>hand-searched to identify additional studies</w:t>
      </w:r>
      <w:r w:rsidRPr="00CC54B6">
        <w:t xml:space="preserve">. Databases maintained by health technology assessment (HTA) agencies </w:t>
      </w:r>
      <w:r>
        <w:t>were also</w:t>
      </w:r>
      <w:r w:rsidRPr="00CC54B6">
        <w:t xml:space="preserve"> reviewed</w:t>
      </w:r>
      <w:r>
        <w:t xml:space="preserve"> for relevant reports.</w:t>
      </w:r>
    </w:p>
    <w:p w14:paraId="3EEA6117" w14:textId="77777777" w:rsidR="00B51828" w:rsidRDefault="00B51828" w:rsidP="00B51828">
      <w:pPr>
        <w:pStyle w:val="Heading3"/>
        <w:numPr>
          <w:ilvl w:val="2"/>
          <w:numId w:val="1"/>
        </w:numPr>
      </w:pPr>
      <w:bookmarkStart w:id="97" w:name="_Ref385326479"/>
      <w:bookmarkStart w:id="98" w:name="_Ref385425183"/>
      <w:bookmarkEnd w:id="96"/>
      <w:r w:rsidRPr="00CD1742">
        <w:t>Selection</w:t>
      </w:r>
      <w:r>
        <w:t xml:space="preserve"> </w:t>
      </w:r>
      <w:r w:rsidRPr="00F710E2">
        <w:t>criteria</w:t>
      </w:r>
      <w:bookmarkEnd w:id="97"/>
      <w:bookmarkEnd w:id="98"/>
    </w:p>
    <w:p w14:paraId="409B81A1" w14:textId="77777777" w:rsidR="00B51828" w:rsidRDefault="00B51828" w:rsidP="002101D2">
      <w:r>
        <w:t xml:space="preserve">To be eligible for inclusion in this Assessment Report, studies had to fulfil the PPICO criteria as presented in </w:t>
      </w:r>
      <w:r>
        <w:fldChar w:fldCharType="begin"/>
      </w:r>
      <w:r>
        <w:instrText xml:space="preserve"> REF _Ref392082672 \h </w:instrText>
      </w:r>
      <w:r>
        <w:fldChar w:fldCharType="separate"/>
      </w:r>
      <w:r w:rsidR="0044620B">
        <w:t xml:space="preserve">Table </w:t>
      </w:r>
      <w:r w:rsidR="0044620B">
        <w:rPr>
          <w:noProof/>
        </w:rPr>
        <w:t>A.8</w:t>
      </w:r>
      <w:r w:rsidR="0044620B">
        <w:noBreakHyphen/>
      </w:r>
      <w:r w:rsidR="0044620B">
        <w:rPr>
          <w:noProof/>
        </w:rPr>
        <w:t>1</w:t>
      </w:r>
      <w:r>
        <w:fldChar w:fldCharType="end"/>
      </w:r>
      <w:r>
        <w:t xml:space="preserve">. Only studies that reported diagnostic accuracy, change in management, safety, effectiveness or cost-effectiveness outcomes were included and only if the expert opinion had been sought upon the suggestion of the initial reporting pathologist or a clinician in charge of patient management. Studies that included a combination of expert opinion types (e.g. pathologist-initiated, patient-requested, and/or routine review of all cases) were included, provided that some cases were referred due to pathologist or clinician uncertainty. However, if outcomes were not provided separately according to reason for referral (i.e. patient, pathologist or clinician-initiated) or type of referral (i.e. personal consultation vs routine review) the study was later excluded (see Section </w:t>
      </w:r>
      <w:r>
        <w:fldChar w:fldCharType="begin"/>
      </w:r>
      <w:r>
        <w:instrText xml:space="preserve"> REF _Ref385325067 \w \h </w:instrText>
      </w:r>
      <w:r>
        <w:fldChar w:fldCharType="separate"/>
      </w:r>
      <w:r w:rsidR="0044620B">
        <w:t>B.2</w:t>
      </w:r>
      <w:r>
        <w:fldChar w:fldCharType="end"/>
      </w:r>
      <w:r>
        <w:t xml:space="preserve">).  </w:t>
      </w:r>
    </w:p>
    <w:p w14:paraId="28C8C1E6" w14:textId="77777777" w:rsidR="00B51828" w:rsidRDefault="00B51828" w:rsidP="002101D2">
      <w:r>
        <w:t xml:space="preserve">Although there is a relatively large body of evidence that relates to second pathology opinion in cases where routine review is mandated by institutional policies, this evidence was excluded from the assessment due to inherent differences in the type and complexity of cases referred for second opinion. </w:t>
      </w:r>
      <w:r>
        <w:rPr>
          <w:szCs w:val="24"/>
        </w:rPr>
        <w:t xml:space="preserve">In studies where expert opinions are exclusively requested due to pathologist or clinician uncertainty or a clinical need for diagnostic refinement, a larger proportion of cases will have no initial diagnostic opinion or be missing pertinent clinical information that is required to effectively manage the patient. In contrast, </w:t>
      </w:r>
      <w:r>
        <w:t xml:space="preserve">studies assessing the value of routine review of all pathology cases may report lower discrepancy rates because they include a higher proportion of cases where the specimen types are unlikely to be misdiagnosed or the initial pathologist was confident in their diagnostic opinion. </w:t>
      </w:r>
      <w:r>
        <w:rPr>
          <w:szCs w:val="24"/>
        </w:rPr>
        <w:t>Thus, the findings of studies relating to routine review of all pathology cases are not applicable to the scenarios for public funding proposed in this Assessment Report.</w:t>
      </w:r>
    </w:p>
    <w:p w14:paraId="38C3682D" w14:textId="33E75277" w:rsidR="00B51828" w:rsidRDefault="00B51828" w:rsidP="002101D2">
      <w:r>
        <w:t xml:space="preserve">A number of studies that examined diagnostic accuracy and/or the value of second opinion in pathology using virtual microscopy or telepathology were also excluded, as </w:t>
      </w:r>
      <w:r>
        <w:lastRenderedPageBreak/>
        <w:t xml:space="preserve">this </w:t>
      </w:r>
      <w:r w:rsidR="007C5E96">
        <w:t>a</w:t>
      </w:r>
      <w:r>
        <w:t>ssessment focus</w:t>
      </w:r>
      <w:r w:rsidR="005414B7">
        <w:t>ses</w:t>
      </w:r>
      <w:r>
        <w:t xml:space="preserve"> specifically on circumstances in which the expert pathologist is sent actual patient samples (e.g. glass slides, specimens) for second, expert opinion. </w:t>
      </w:r>
    </w:p>
    <w:p w14:paraId="3B805519" w14:textId="77777777" w:rsidR="00B51828" w:rsidRDefault="00B51828" w:rsidP="002101D2">
      <w:r>
        <w:t>In addition, literature reviews, case reports, non-human and in vitro studies were excluded. Studies not published in English or articles not fully published and peer-reviewed (e.g. editorials, letters, conference proceedings, abstracts) were also excluded.</w:t>
      </w:r>
    </w:p>
    <w:p w14:paraId="454D7640" w14:textId="77777777" w:rsidR="00B51828" w:rsidRDefault="00B51828" w:rsidP="002101D2">
      <w:r>
        <w:t>In summary, studies were excluded for the following reasons:</w:t>
      </w:r>
    </w:p>
    <w:p w14:paraId="47BE4ABE" w14:textId="77777777" w:rsidR="00B51828" w:rsidRDefault="00B51828" w:rsidP="00B51828">
      <w:pPr>
        <w:pStyle w:val="ListParagraph"/>
        <w:numPr>
          <w:ilvl w:val="0"/>
          <w:numId w:val="16"/>
        </w:numPr>
      </w:pPr>
      <w:r>
        <w:t>Wrong publication type – literature reviews, case reports, non-human and in vitro studies, studies not fully published or peer-reviewed (editorials, letters, conference proceedings, abstracts).</w:t>
      </w:r>
    </w:p>
    <w:p w14:paraId="6A463E87" w14:textId="77777777" w:rsidR="00B51828" w:rsidRDefault="00B51828" w:rsidP="00B51828">
      <w:pPr>
        <w:pStyle w:val="ListParagraph"/>
        <w:numPr>
          <w:ilvl w:val="0"/>
          <w:numId w:val="16"/>
        </w:numPr>
      </w:pPr>
      <w:r>
        <w:t>Wrong indication – not morphological pathology relating to tissue pathology, cytology or bone marrow.</w:t>
      </w:r>
    </w:p>
    <w:p w14:paraId="23D9A347" w14:textId="77777777" w:rsidR="00B51828" w:rsidRDefault="00B51828" w:rsidP="00B51828">
      <w:pPr>
        <w:pStyle w:val="ListParagraph"/>
        <w:numPr>
          <w:ilvl w:val="0"/>
          <w:numId w:val="16"/>
        </w:numPr>
      </w:pPr>
      <w:r>
        <w:t>Wrong intervention – not external second opinion on a pathology sample (including telepathology and in-house/intra-institutional review), not expert opinion resulting from pathologist or clinician uncertainty (including studies that examine mandatory/routine review of all cases).</w:t>
      </w:r>
    </w:p>
    <w:p w14:paraId="6F599349" w14:textId="77777777" w:rsidR="00B51828" w:rsidRDefault="00B51828" w:rsidP="00B51828">
      <w:pPr>
        <w:pStyle w:val="ListParagraph"/>
        <w:numPr>
          <w:ilvl w:val="0"/>
          <w:numId w:val="16"/>
        </w:numPr>
      </w:pPr>
      <w:r>
        <w:t>Wrong outcomes (exclusion criteria for full text review only).</w:t>
      </w:r>
    </w:p>
    <w:p w14:paraId="5A745612" w14:textId="77777777" w:rsidR="00B51828" w:rsidRDefault="00B51828" w:rsidP="00B51828">
      <w:pPr>
        <w:pStyle w:val="ListParagraph"/>
        <w:numPr>
          <w:ilvl w:val="0"/>
          <w:numId w:val="16"/>
        </w:numPr>
      </w:pPr>
      <w:r>
        <w:t>Insufficient sample size – second, expert opinion involving less than 50 cases.</w:t>
      </w:r>
    </w:p>
    <w:p w14:paraId="3C16E8CD" w14:textId="77777777" w:rsidR="00B51828" w:rsidRPr="00B327A1" w:rsidRDefault="00B51828" w:rsidP="00B51828">
      <w:pPr>
        <w:pStyle w:val="ListParagraph"/>
        <w:numPr>
          <w:ilvl w:val="0"/>
          <w:numId w:val="16"/>
        </w:numPr>
      </w:pPr>
      <w:r>
        <w:t>Article not published in English.</w:t>
      </w:r>
    </w:p>
    <w:p w14:paraId="55EDC867" w14:textId="77777777" w:rsidR="00B51828" w:rsidRDefault="00B51828" w:rsidP="00B51828">
      <w:pPr>
        <w:pStyle w:val="Heading3"/>
        <w:numPr>
          <w:ilvl w:val="2"/>
          <w:numId w:val="1"/>
        </w:numPr>
      </w:pPr>
      <w:r w:rsidRPr="00CD1742">
        <w:t>Search</w:t>
      </w:r>
      <w:r>
        <w:t xml:space="preserve"> results</w:t>
      </w:r>
    </w:p>
    <w:p w14:paraId="1E2DFFA5" w14:textId="77777777" w:rsidR="00B51828" w:rsidRDefault="00B51828" w:rsidP="002101D2">
      <w:bookmarkStart w:id="99" w:name="_Ref385328155"/>
      <w:r>
        <w:t xml:space="preserve">The search of EMBASE.com yielded 4,174 potentially relevant publications, excluding seven duplicate citations. All titles and abstracts were screened using the selection criteria outlined in Section </w:t>
      </w:r>
      <w:r>
        <w:fldChar w:fldCharType="begin"/>
      </w:r>
      <w:r>
        <w:instrText xml:space="preserve"> REF _Ref385425183 \w \h </w:instrText>
      </w:r>
      <w:r>
        <w:fldChar w:fldCharType="separate"/>
      </w:r>
      <w:r w:rsidR="0044620B">
        <w:t>B.1.1</w:t>
      </w:r>
      <w:r>
        <w:fldChar w:fldCharType="end"/>
      </w:r>
      <w:r>
        <w:t xml:space="preserve">. </w:t>
      </w:r>
    </w:p>
    <w:p w14:paraId="65B529D1" w14:textId="65F6B6F4" w:rsidR="00B51828" w:rsidRDefault="00B51828" w:rsidP="002101D2">
      <w:r>
        <w:t xml:space="preserve">A total of 4,065 studies were excluded, leaving 109 publications for which the full texts were retrieved. Using the selection criteria outlined in Section </w:t>
      </w:r>
      <w:r>
        <w:fldChar w:fldCharType="begin"/>
      </w:r>
      <w:r>
        <w:instrText xml:space="preserve"> REF _Ref385425183 \w \h </w:instrText>
      </w:r>
      <w:r>
        <w:fldChar w:fldCharType="separate"/>
      </w:r>
      <w:r w:rsidR="0044620B">
        <w:t>B.1.1</w:t>
      </w:r>
      <w:r>
        <w:fldChar w:fldCharType="end"/>
      </w:r>
      <w:r>
        <w:t xml:space="preserve">, each publication was assessed for inclusion/exclusion. Eighty-five of the studies were subsequently excluded, leaving 24 included studies. None of the 141 potentially relevant citations identified through </w:t>
      </w:r>
      <w:r w:rsidR="00525F10">
        <w:t>t</w:t>
      </w:r>
      <w:r>
        <w:t>he Cochrane Library were included in the Assessment Report.</w:t>
      </w:r>
    </w:p>
    <w:p w14:paraId="72121EB3" w14:textId="77777777" w:rsidR="00B51828" w:rsidRDefault="00B51828" w:rsidP="002101D2">
      <w:r>
        <w:t>No additional relevant studies were identified through the search of HTA databases or hand-searching of reference lists.</w:t>
      </w:r>
    </w:p>
    <w:p w14:paraId="3C30A8D2" w14:textId="77777777" w:rsidR="00B51828" w:rsidRDefault="00B51828" w:rsidP="002101D2">
      <w:r>
        <w:t xml:space="preserve">A summary of the literature review process is presented in </w:t>
      </w:r>
      <w:r>
        <w:fldChar w:fldCharType="begin"/>
      </w:r>
      <w:r>
        <w:instrText xml:space="preserve"> REF _Ref385425211 \h </w:instrText>
      </w:r>
      <w:r>
        <w:fldChar w:fldCharType="separate"/>
      </w:r>
      <w:r w:rsidR="0044620B">
        <w:t xml:space="preserve">Table </w:t>
      </w:r>
      <w:r w:rsidR="0044620B">
        <w:rPr>
          <w:noProof/>
        </w:rPr>
        <w:t>B.1</w:t>
      </w:r>
      <w:r w:rsidR="0044620B">
        <w:noBreakHyphen/>
      </w:r>
      <w:r w:rsidR="0044620B">
        <w:rPr>
          <w:noProof/>
        </w:rPr>
        <w:t>1</w:t>
      </w:r>
      <w:r>
        <w:fldChar w:fldCharType="end"/>
      </w:r>
      <w:r>
        <w:t xml:space="preserve">. </w:t>
      </w:r>
    </w:p>
    <w:p w14:paraId="31C95A6E" w14:textId="77777777" w:rsidR="00B51828" w:rsidRDefault="00B51828" w:rsidP="002101D2">
      <w:pPr>
        <w:pStyle w:val="Caption"/>
        <w:ind w:left="2126" w:hanging="1406"/>
      </w:pPr>
      <w:bookmarkStart w:id="100" w:name="_Ref385425211"/>
      <w:bookmarkStart w:id="101" w:name="_Toc396211735"/>
      <w:r>
        <w:lastRenderedPageBreak/>
        <w:t xml:space="preserve">Table </w:t>
      </w:r>
      <w:fldSimple w:instr=" STYLEREF 2 \s ">
        <w:r w:rsidR="0044620B">
          <w:rPr>
            <w:noProof/>
          </w:rPr>
          <w:t>B.1</w:t>
        </w:r>
      </w:fldSimple>
      <w:r>
        <w:noBreakHyphen/>
      </w:r>
      <w:fldSimple w:instr=" SEQ Table \* ARABIC \s 2 ">
        <w:r w:rsidR="0044620B">
          <w:rPr>
            <w:noProof/>
          </w:rPr>
          <w:t>1</w:t>
        </w:r>
      </w:fldSimple>
      <w:bookmarkEnd w:id="99"/>
      <w:bookmarkEnd w:id="100"/>
      <w:r>
        <w:tab/>
        <w:t>Summary of the process used to identify relevant studies</w:t>
      </w:r>
      <w:bookmarkEnd w:id="101"/>
    </w:p>
    <w:tbl>
      <w:tblPr>
        <w:tblStyle w:val="TableGrid"/>
        <w:tblW w:w="0" w:type="auto"/>
        <w:tblInd w:w="720" w:type="dxa"/>
        <w:tblLook w:val="04A0" w:firstRow="1" w:lastRow="0" w:firstColumn="1" w:lastColumn="0" w:noHBand="0" w:noVBand="1"/>
        <w:tblCaption w:val="Summary of the process used to identify relevant studies"/>
        <w:tblDescription w:val="Reasons for exclusion and the number of studies removed at each stage of the eligibility screening"/>
      </w:tblPr>
      <w:tblGrid>
        <w:gridCol w:w="5087"/>
        <w:gridCol w:w="1559"/>
        <w:gridCol w:w="1650"/>
      </w:tblGrid>
      <w:tr w:rsidR="00B51828" w14:paraId="501D881D" w14:textId="77777777" w:rsidTr="002101D2">
        <w:trPr>
          <w:tblHeader/>
        </w:trPr>
        <w:tc>
          <w:tcPr>
            <w:tcW w:w="5087" w:type="dxa"/>
          </w:tcPr>
          <w:p w14:paraId="149EF525" w14:textId="77777777" w:rsidR="00B51828" w:rsidRDefault="00B51828" w:rsidP="002101D2">
            <w:pPr>
              <w:pStyle w:val="Tabletextboldleft"/>
            </w:pPr>
          </w:p>
        </w:tc>
        <w:tc>
          <w:tcPr>
            <w:tcW w:w="1559" w:type="dxa"/>
          </w:tcPr>
          <w:p w14:paraId="312F5559" w14:textId="77777777" w:rsidR="00B51828" w:rsidRDefault="00B51828" w:rsidP="002101D2">
            <w:pPr>
              <w:pStyle w:val="Tabletextboldleft"/>
              <w:jc w:val="center"/>
            </w:pPr>
            <w:r>
              <w:t>Embase.com</w:t>
            </w:r>
          </w:p>
        </w:tc>
        <w:tc>
          <w:tcPr>
            <w:tcW w:w="1650" w:type="dxa"/>
          </w:tcPr>
          <w:p w14:paraId="7FEA070D" w14:textId="77777777" w:rsidR="00B51828" w:rsidRDefault="00B51828" w:rsidP="002101D2">
            <w:pPr>
              <w:pStyle w:val="Tabletextboldleft"/>
              <w:jc w:val="center"/>
            </w:pPr>
            <w:r>
              <w:t>Cochrane library</w:t>
            </w:r>
          </w:p>
        </w:tc>
      </w:tr>
      <w:tr w:rsidR="00B51828" w:rsidRPr="00387119" w14:paraId="5AF13292" w14:textId="77777777" w:rsidTr="002101D2">
        <w:tc>
          <w:tcPr>
            <w:tcW w:w="5087" w:type="dxa"/>
          </w:tcPr>
          <w:p w14:paraId="17FBAD42" w14:textId="77777777" w:rsidR="00B51828" w:rsidRDefault="00B51828" w:rsidP="002101D2">
            <w:pPr>
              <w:pStyle w:val="Tabletextcentred"/>
              <w:keepNext/>
              <w:jc w:val="left"/>
            </w:pPr>
            <w:r>
              <w:t>Number of citations retrieved by search</w:t>
            </w:r>
          </w:p>
        </w:tc>
        <w:tc>
          <w:tcPr>
            <w:tcW w:w="1559" w:type="dxa"/>
          </w:tcPr>
          <w:p w14:paraId="2D3285F5" w14:textId="77777777" w:rsidR="00B51828" w:rsidRDefault="00B51828" w:rsidP="002101D2">
            <w:pPr>
              <w:pStyle w:val="Tabletextcentred"/>
              <w:keepNext/>
            </w:pPr>
            <w:r>
              <w:t>4,181</w:t>
            </w:r>
          </w:p>
        </w:tc>
        <w:tc>
          <w:tcPr>
            <w:tcW w:w="1650" w:type="dxa"/>
          </w:tcPr>
          <w:p w14:paraId="0649DEB3" w14:textId="77777777" w:rsidR="00B51828" w:rsidRPr="00915F90" w:rsidRDefault="00B51828" w:rsidP="002101D2">
            <w:pPr>
              <w:pStyle w:val="Tabletextcentred"/>
              <w:keepNext/>
            </w:pPr>
            <w:r>
              <w:t>141</w:t>
            </w:r>
          </w:p>
        </w:tc>
      </w:tr>
      <w:tr w:rsidR="00B51828" w:rsidRPr="00387119" w14:paraId="69AB6FA4" w14:textId="77777777" w:rsidTr="002101D2">
        <w:tc>
          <w:tcPr>
            <w:tcW w:w="5087" w:type="dxa"/>
          </w:tcPr>
          <w:p w14:paraId="722DF80F" w14:textId="77777777" w:rsidR="00B51828" w:rsidRDefault="00B51828" w:rsidP="002101D2">
            <w:pPr>
              <w:pStyle w:val="Tabletextcentred"/>
              <w:keepNext/>
              <w:jc w:val="left"/>
            </w:pPr>
            <w:r>
              <w:t>Number of duplicate citations removed</w:t>
            </w:r>
          </w:p>
        </w:tc>
        <w:tc>
          <w:tcPr>
            <w:tcW w:w="1559" w:type="dxa"/>
          </w:tcPr>
          <w:p w14:paraId="68923C4D" w14:textId="77777777" w:rsidR="00B51828" w:rsidRDefault="00B51828" w:rsidP="002101D2">
            <w:pPr>
              <w:pStyle w:val="Tabletextcentred"/>
              <w:keepNext/>
            </w:pPr>
            <w:r>
              <w:t>7</w:t>
            </w:r>
          </w:p>
        </w:tc>
        <w:tc>
          <w:tcPr>
            <w:tcW w:w="1650" w:type="dxa"/>
          </w:tcPr>
          <w:p w14:paraId="4D2042B1" w14:textId="77777777" w:rsidR="00B51828" w:rsidRPr="00915F90" w:rsidRDefault="00B51828" w:rsidP="002101D2">
            <w:pPr>
              <w:pStyle w:val="Tabletextcentred"/>
              <w:keepNext/>
            </w:pPr>
            <w:r>
              <w:t>0</w:t>
            </w:r>
          </w:p>
        </w:tc>
      </w:tr>
      <w:tr w:rsidR="00B51828" w:rsidRPr="00387119" w14:paraId="7B4ED4FD" w14:textId="77777777" w:rsidTr="00C71314">
        <w:tc>
          <w:tcPr>
            <w:tcW w:w="5087" w:type="dxa"/>
            <w:tcBorders>
              <w:bottom w:val="single" w:sz="4" w:space="0" w:color="auto"/>
            </w:tcBorders>
          </w:tcPr>
          <w:p w14:paraId="70E6E3A1" w14:textId="77777777" w:rsidR="00B51828" w:rsidRDefault="00B51828" w:rsidP="002101D2">
            <w:pPr>
              <w:pStyle w:val="Tabletextcentred"/>
              <w:keepNext/>
              <w:jc w:val="left"/>
            </w:pPr>
            <w:r>
              <w:t>Number of citations screened by title and abstract review</w:t>
            </w:r>
          </w:p>
        </w:tc>
        <w:tc>
          <w:tcPr>
            <w:tcW w:w="1559" w:type="dxa"/>
            <w:tcBorders>
              <w:bottom w:val="single" w:sz="4" w:space="0" w:color="auto"/>
            </w:tcBorders>
          </w:tcPr>
          <w:p w14:paraId="64B79DC2" w14:textId="77777777" w:rsidR="00B51828" w:rsidRDefault="00B51828" w:rsidP="002101D2">
            <w:pPr>
              <w:pStyle w:val="Tabletextcentred"/>
              <w:keepNext/>
            </w:pPr>
            <w:r>
              <w:t>4,174</w:t>
            </w:r>
          </w:p>
        </w:tc>
        <w:tc>
          <w:tcPr>
            <w:tcW w:w="1650" w:type="dxa"/>
            <w:tcBorders>
              <w:bottom w:val="single" w:sz="4" w:space="0" w:color="auto"/>
            </w:tcBorders>
          </w:tcPr>
          <w:p w14:paraId="732C087F" w14:textId="77777777" w:rsidR="00B51828" w:rsidRPr="00915F90" w:rsidRDefault="00B51828" w:rsidP="002101D2">
            <w:pPr>
              <w:pStyle w:val="Tabletextcentred"/>
              <w:keepNext/>
            </w:pPr>
            <w:r>
              <w:t>141</w:t>
            </w:r>
          </w:p>
        </w:tc>
      </w:tr>
      <w:tr w:rsidR="00B51828" w:rsidRPr="00387119" w14:paraId="46D2F3A3" w14:textId="77777777" w:rsidTr="00C71314">
        <w:tc>
          <w:tcPr>
            <w:tcW w:w="5087" w:type="dxa"/>
            <w:tcBorders>
              <w:bottom w:val="nil"/>
            </w:tcBorders>
          </w:tcPr>
          <w:p w14:paraId="1A4DDAA2" w14:textId="77777777" w:rsidR="00B51828" w:rsidRPr="007E0BC3" w:rsidRDefault="00B51828" w:rsidP="002101D2">
            <w:pPr>
              <w:pStyle w:val="Tabletextcentred"/>
              <w:keepNext/>
              <w:jc w:val="left"/>
              <w:rPr>
                <w:b/>
              </w:rPr>
            </w:pPr>
            <w:r w:rsidRPr="007E0BC3">
              <w:rPr>
                <w:b/>
              </w:rPr>
              <w:t>Number of citations exclu</w:t>
            </w:r>
            <w:r>
              <w:rPr>
                <w:b/>
              </w:rPr>
              <w:t>ded after title/abstract review:</w:t>
            </w:r>
          </w:p>
        </w:tc>
        <w:tc>
          <w:tcPr>
            <w:tcW w:w="1559" w:type="dxa"/>
            <w:tcBorders>
              <w:bottom w:val="nil"/>
            </w:tcBorders>
          </w:tcPr>
          <w:p w14:paraId="3EF23EF1" w14:textId="66BF12A5" w:rsidR="00B51828" w:rsidRDefault="00C71314" w:rsidP="00C71314">
            <w:pPr>
              <w:pStyle w:val="Tabletextcentred"/>
              <w:keepNext/>
            </w:pPr>
            <w:r>
              <w:t>-</w:t>
            </w:r>
          </w:p>
        </w:tc>
        <w:tc>
          <w:tcPr>
            <w:tcW w:w="1650" w:type="dxa"/>
            <w:tcBorders>
              <w:bottom w:val="nil"/>
            </w:tcBorders>
          </w:tcPr>
          <w:p w14:paraId="6E657F56" w14:textId="2A87AE0B" w:rsidR="00B51828" w:rsidRPr="00915F90" w:rsidRDefault="00C71314" w:rsidP="00C71314">
            <w:pPr>
              <w:pStyle w:val="Tabletextcentred"/>
              <w:keepNext/>
            </w:pPr>
            <w:r>
              <w:t>-</w:t>
            </w:r>
          </w:p>
        </w:tc>
      </w:tr>
      <w:tr w:rsidR="00B51828" w:rsidRPr="00387119" w14:paraId="11C14627" w14:textId="77777777" w:rsidTr="00C71314">
        <w:tc>
          <w:tcPr>
            <w:tcW w:w="5087" w:type="dxa"/>
            <w:tcBorders>
              <w:top w:val="nil"/>
              <w:bottom w:val="nil"/>
            </w:tcBorders>
          </w:tcPr>
          <w:p w14:paraId="25D9958C" w14:textId="77777777" w:rsidR="00B51828" w:rsidRPr="007E0BC3" w:rsidRDefault="00B51828" w:rsidP="00B51828">
            <w:pPr>
              <w:pStyle w:val="Tabletextcentred"/>
              <w:keepNext/>
              <w:numPr>
                <w:ilvl w:val="0"/>
                <w:numId w:val="15"/>
              </w:numPr>
              <w:ind w:left="301" w:hanging="283"/>
              <w:jc w:val="left"/>
            </w:pPr>
            <w:r>
              <w:t>Wrong publication type</w:t>
            </w:r>
          </w:p>
        </w:tc>
        <w:tc>
          <w:tcPr>
            <w:tcW w:w="1559" w:type="dxa"/>
            <w:tcBorders>
              <w:top w:val="nil"/>
              <w:bottom w:val="nil"/>
            </w:tcBorders>
          </w:tcPr>
          <w:p w14:paraId="274AF3D4" w14:textId="77777777" w:rsidR="00B51828" w:rsidRDefault="00B51828" w:rsidP="002101D2">
            <w:pPr>
              <w:pStyle w:val="Tabletextcentred"/>
              <w:keepNext/>
            </w:pPr>
            <w:r>
              <w:t>2,956</w:t>
            </w:r>
          </w:p>
        </w:tc>
        <w:tc>
          <w:tcPr>
            <w:tcW w:w="1650" w:type="dxa"/>
            <w:tcBorders>
              <w:top w:val="nil"/>
              <w:bottom w:val="nil"/>
            </w:tcBorders>
          </w:tcPr>
          <w:p w14:paraId="0178C8F0" w14:textId="77777777" w:rsidR="00B51828" w:rsidRPr="00915F90" w:rsidRDefault="00B51828" w:rsidP="002101D2">
            <w:pPr>
              <w:pStyle w:val="Tabletextcentred"/>
              <w:keepNext/>
            </w:pPr>
            <w:r>
              <w:t>7</w:t>
            </w:r>
          </w:p>
        </w:tc>
      </w:tr>
      <w:tr w:rsidR="00B51828" w:rsidRPr="00387119" w14:paraId="4DF5C125" w14:textId="77777777" w:rsidTr="00C71314">
        <w:tc>
          <w:tcPr>
            <w:tcW w:w="5087" w:type="dxa"/>
            <w:tcBorders>
              <w:top w:val="nil"/>
              <w:bottom w:val="nil"/>
            </w:tcBorders>
          </w:tcPr>
          <w:p w14:paraId="3EAD0B07" w14:textId="77777777" w:rsidR="00B51828" w:rsidRDefault="00B51828" w:rsidP="00B51828">
            <w:pPr>
              <w:pStyle w:val="Tabletextcentred"/>
              <w:keepNext/>
              <w:numPr>
                <w:ilvl w:val="0"/>
                <w:numId w:val="15"/>
              </w:numPr>
              <w:ind w:left="301" w:hanging="283"/>
              <w:jc w:val="left"/>
            </w:pPr>
            <w:r>
              <w:t>Wrong indication: not morphological pathology</w:t>
            </w:r>
          </w:p>
        </w:tc>
        <w:tc>
          <w:tcPr>
            <w:tcW w:w="1559" w:type="dxa"/>
            <w:tcBorders>
              <w:top w:val="nil"/>
              <w:bottom w:val="nil"/>
            </w:tcBorders>
          </w:tcPr>
          <w:p w14:paraId="0F8CEE1D" w14:textId="77777777" w:rsidR="00B51828" w:rsidRDefault="00B51828" w:rsidP="002101D2">
            <w:pPr>
              <w:pStyle w:val="Tabletextcentred"/>
              <w:keepNext/>
            </w:pPr>
            <w:r>
              <w:t>506</w:t>
            </w:r>
          </w:p>
        </w:tc>
        <w:tc>
          <w:tcPr>
            <w:tcW w:w="1650" w:type="dxa"/>
            <w:tcBorders>
              <w:top w:val="nil"/>
              <w:bottom w:val="nil"/>
            </w:tcBorders>
          </w:tcPr>
          <w:p w14:paraId="2C97932C" w14:textId="77777777" w:rsidR="00B51828" w:rsidRPr="00915F90" w:rsidRDefault="00B51828" w:rsidP="002101D2">
            <w:pPr>
              <w:pStyle w:val="Tabletextcentred"/>
              <w:keepNext/>
            </w:pPr>
            <w:r>
              <w:t>104</w:t>
            </w:r>
          </w:p>
        </w:tc>
      </w:tr>
      <w:tr w:rsidR="00B51828" w:rsidRPr="00387119" w14:paraId="4D9D5F5B" w14:textId="77777777" w:rsidTr="00C71314">
        <w:tc>
          <w:tcPr>
            <w:tcW w:w="5087" w:type="dxa"/>
            <w:tcBorders>
              <w:top w:val="nil"/>
              <w:bottom w:val="nil"/>
            </w:tcBorders>
          </w:tcPr>
          <w:p w14:paraId="67FF9130" w14:textId="77777777" w:rsidR="00B51828" w:rsidRDefault="00B51828" w:rsidP="00B51828">
            <w:pPr>
              <w:pStyle w:val="Tabletextcentred"/>
              <w:keepNext/>
              <w:numPr>
                <w:ilvl w:val="0"/>
                <w:numId w:val="15"/>
              </w:numPr>
              <w:ind w:left="301" w:hanging="283"/>
              <w:jc w:val="left"/>
            </w:pPr>
            <w:r>
              <w:t>Wrong intervention: not external second opinion on a pathology sample</w:t>
            </w:r>
          </w:p>
        </w:tc>
        <w:tc>
          <w:tcPr>
            <w:tcW w:w="1559" w:type="dxa"/>
            <w:tcBorders>
              <w:top w:val="nil"/>
              <w:bottom w:val="nil"/>
            </w:tcBorders>
          </w:tcPr>
          <w:p w14:paraId="5271DC17" w14:textId="77777777" w:rsidR="00B51828" w:rsidRDefault="00B51828" w:rsidP="002101D2">
            <w:pPr>
              <w:pStyle w:val="Tabletextcentred"/>
              <w:keepNext/>
            </w:pPr>
            <w:r>
              <w:t>481</w:t>
            </w:r>
          </w:p>
        </w:tc>
        <w:tc>
          <w:tcPr>
            <w:tcW w:w="1650" w:type="dxa"/>
            <w:tcBorders>
              <w:top w:val="nil"/>
              <w:bottom w:val="nil"/>
            </w:tcBorders>
          </w:tcPr>
          <w:p w14:paraId="75154FA5" w14:textId="77777777" w:rsidR="00B51828" w:rsidRPr="00915F90" w:rsidRDefault="00B51828" w:rsidP="002101D2">
            <w:pPr>
              <w:pStyle w:val="Tabletextcentred"/>
              <w:keepNext/>
            </w:pPr>
            <w:r>
              <w:t>15</w:t>
            </w:r>
          </w:p>
        </w:tc>
      </w:tr>
      <w:tr w:rsidR="00B51828" w:rsidRPr="00387119" w14:paraId="4395D136" w14:textId="77777777" w:rsidTr="00C71314">
        <w:tc>
          <w:tcPr>
            <w:tcW w:w="5087" w:type="dxa"/>
            <w:tcBorders>
              <w:top w:val="nil"/>
              <w:bottom w:val="nil"/>
            </w:tcBorders>
          </w:tcPr>
          <w:p w14:paraId="29600DFC" w14:textId="77777777" w:rsidR="00B51828" w:rsidRDefault="00B51828" w:rsidP="00B51828">
            <w:pPr>
              <w:pStyle w:val="Tabletextcentred"/>
              <w:keepNext/>
              <w:numPr>
                <w:ilvl w:val="0"/>
                <w:numId w:val="15"/>
              </w:numPr>
              <w:ind w:left="301" w:hanging="283"/>
              <w:jc w:val="left"/>
            </w:pPr>
            <w:r>
              <w:t>Wrong intervention: not expert opinion from pathologist or clinician uncertainty</w:t>
            </w:r>
          </w:p>
        </w:tc>
        <w:tc>
          <w:tcPr>
            <w:tcW w:w="1559" w:type="dxa"/>
            <w:tcBorders>
              <w:top w:val="nil"/>
              <w:bottom w:val="nil"/>
            </w:tcBorders>
          </w:tcPr>
          <w:p w14:paraId="650553E9" w14:textId="77777777" w:rsidR="00B51828" w:rsidRDefault="00B51828" w:rsidP="002101D2">
            <w:pPr>
              <w:pStyle w:val="Tabletextcentred"/>
              <w:keepNext/>
            </w:pPr>
            <w:r>
              <w:t>37</w:t>
            </w:r>
          </w:p>
        </w:tc>
        <w:tc>
          <w:tcPr>
            <w:tcW w:w="1650" w:type="dxa"/>
            <w:tcBorders>
              <w:top w:val="nil"/>
              <w:bottom w:val="nil"/>
            </w:tcBorders>
          </w:tcPr>
          <w:p w14:paraId="187109E8" w14:textId="77777777" w:rsidR="00B51828" w:rsidRPr="00915F90" w:rsidRDefault="00B51828" w:rsidP="002101D2">
            <w:pPr>
              <w:pStyle w:val="Tabletextcentred"/>
              <w:keepNext/>
            </w:pPr>
            <w:r>
              <w:t>13</w:t>
            </w:r>
          </w:p>
        </w:tc>
      </w:tr>
      <w:tr w:rsidR="00B51828" w:rsidRPr="00387119" w14:paraId="474B22D1" w14:textId="77777777" w:rsidTr="00C71314">
        <w:tc>
          <w:tcPr>
            <w:tcW w:w="5087" w:type="dxa"/>
            <w:tcBorders>
              <w:top w:val="nil"/>
              <w:bottom w:val="nil"/>
            </w:tcBorders>
          </w:tcPr>
          <w:p w14:paraId="6587ECD7" w14:textId="77777777" w:rsidR="00B51828" w:rsidRDefault="00B51828" w:rsidP="00B51828">
            <w:pPr>
              <w:pStyle w:val="Tabletextcentred"/>
              <w:keepNext/>
              <w:numPr>
                <w:ilvl w:val="0"/>
                <w:numId w:val="15"/>
              </w:numPr>
              <w:ind w:left="301" w:hanging="283"/>
              <w:jc w:val="left"/>
            </w:pPr>
            <w:r>
              <w:t>Wrong intervention: mandatory or routine review of all cases or review of a random sample of cases not associated with uncertainty</w:t>
            </w:r>
          </w:p>
        </w:tc>
        <w:tc>
          <w:tcPr>
            <w:tcW w:w="1559" w:type="dxa"/>
            <w:tcBorders>
              <w:top w:val="nil"/>
              <w:bottom w:val="nil"/>
            </w:tcBorders>
          </w:tcPr>
          <w:p w14:paraId="2A95E759" w14:textId="77777777" w:rsidR="00B51828" w:rsidRDefault="00B51828" w:rsidP="002101D2">
            <w:pPr>
              <w:pStyle w:val="Tabletextcentred"/>
              <w:keepNext/>
            </w:pPr>
            <w:r>
              <w:t>76</w:t>
            </w:r>
          </w:p>
        </w:tc>
        <w:tc>
          <w:tcPr>
            <w:tcW w:w="1650" w:type="dxa"/>
            <w:tcBorders>
              <w:top w:val="nil"/>
              <w:bottom w:val="nil"/>
            </w:tcBorders>
          </w:tcPr>
          <w:p w14:paraId="53D902BE" w14:textId="77777777" w:rsidR="00B51828" w:rsidRPr="00915F90" w:rsidRDefault="00B51828" w:rsidP="002101D2">
            <w:pPr>
              <w:pStyle w:val="Tabletextcentred"/>
              <w:keepNext/>
            </w:pPr>
            <w:r>
              <w:t>0</w:t>
            </w:r>
          </w:p>
        </w:tc>
      </w:tr>
      <w:tr w:rsidR="00B51828" w:rsidRPr="00387119" w14:paraId="5EFD393D" w14:textId="77777777" w:rsidTr="00C71314">
        <w:tc>
          <w:tcPr>
            <w:tcW w:w="5087" w:type="dxa"/>
            <w:tcBorders>
              <w:top w:val="nil"/>
              <w:bottom w:val="nil"/>
            </w:tcBorders>
          </w:tcPr>
          <w:p w14:paraId="28838611" w14:textId="77777777" w:rsidR="00B51828" w:rsidRDefault="00B51828" w:rsidP="00B51828">
            <w:pPr>
              <w:pStyle w:val="Tabletextcentred"/>
              <w:keepNext/>
              <w:numPr>
                <w:ilvl w:val="0"/>
                <w:numId w:val="15"/>
              </w:numPr>
              <w:ind w:left="301" w:hanging="283"/>
              <w:jc w:val="left"/>
            </w:pPr>
            <w:r>
              <w:t>Sample size &lt;50</w:t>
            </w:r>
          </w:p>
        </w:tc>
        <w:tc>
          <w:tcPr>
            <w:tcW w:w="1559" w:type="dxa"/>
            <w:tcBorders>
              <w:top w:val="nil"/>
              <w:bottom w:val="nil"/>
            </w:tcBorders>
          </w:tcPr>
          <w:p w14:paraId="58BB015B" w14:textId="77777777" w:rsidR="00B51828" w:rsidRDefault="00B51828" w:rsidP="002101D2">
            <w:pPr>
              <w:pStyle w:val="Tabletextcentred"/>
              <w:keepNext/>
            </w:pPr>
            <w:r>
              <w:t>2</w:t>
            </w:r>
          </w:p>
        </w:tc>
        <w:tc>
          <w:tcPr>
            <w:tcW w:w="1650" w:type="dxa"/>
            <w:tcBorders>
              <w:top w:val="nil"/>
              <w:bottom w:val="nil"/>
            </w:tcBorders>
          </w:tcPr>
          <w:p w14:paraId="192FEF54" w14:textId="77777777" w:rsidR="00B51828" w:rsidRPr="00915F90" w:rsidRDefault="00B51828" w:rsidP="002101D2">
            <w:pPr>
              <w:pStyle w:val="Tabletextcentred"/>
              <w:keepNext/>
            </w:pPr>
            <w:r>
              <w:t>0</w:t>
            </w:r>
          </w:p>
        </w:tc>
      </w:tr>
      <w:tr w:rsidR="00B51828" w:rsidRPr="00387119" w14:paraId="3540562D" w14:textId="77777777" w:rsidTr="00C71314">
        <w:tc>
          <w:tcPr>
            <w:tcW w:w="5087" w:type="dxa"/>
            <w:tcBorders>
              <w:top w:val="nil"/>
              <w:bottom w:val="single" w:sz="4" w:space="0" w:color="auto"/>
            </w:tcBorders>
          </w:tcPr>
          <w:p w14:paraId="3389BD31" w14:textId="77777777" w:rsidR="00B51828" w:rsidRDefault="00B51828" w:rsidP="00B51828">
            <w:pPr>
              <w:pStyle w:val="Tabletextcentred"/>
              <w:keepNext/>
              <w:numPr>
                <w:ilvl w:val="0"/>
                <w:numId w:val="15"/>
              </w:numPr>
              <w:ind w:left="301" w:hanging="283"/>
              <w:jc w:val="left"/>
            </w:pPr>
            <w:r>
              <w:t>Not published in English</w:t>
            </w:r>
          </w:p>
        </w:tc>
        <w:tc>
          <w:tcPr>
            <w:tcW w:w="1559" w:type="dxa"/>
            <w:tcBorders>
              <w:top w:val="nil"/>
              <w:bottom w:val="single" w:sz="4" w:space="0" w:color="auto"/>
            </w:tcBorders>
          </w:tcPr>
          <w:p w14:paraId="462BC715" w14:textId="77777777" w:rsidR="00B51828" w:rsidRDefault="00B51828" w:rsidP="002101D2">
            <w:pPr>
              <w:pStyle w:val="Tabletextcentred"/>
              <w:keepNext/>
            </w:pPr>
            <w:r>
              <w:t>8</w:t>
            </w:r>
          </w:p>
        </w:tc>
        <w:tc>
          <w:tcPr>
            <w:tcW w:w="1650" w:type="dxa"/>
            <w:tcBorders>
              <w:top w:val="nil"/>
              <w:bottom w:val="single" w:sz="4" w:space="0" w:color="auto"/>
            </w:tcBorders>
          </w:tcPr>
          <w:p w14:paraId="18815902" w14:textId="77777777" w:rsidR="00B51828" w:rsidRPr="00915F90" w:rsidRDefault="00B51828" w:rsidP="002101D2">
            <w:pPr>
              <w:pStyle w:val="Tabletextcentred"/>
              <w:keepNext/>
            </w:pPr>
            <w:r>
              <w:t>1</w:t>
            </w:r>
          </w:p>
        </w:tc>
      </w:tr>
      <w:tr w:rsidR="00B51828" w:rsidRPr="00387119" w14:paraId="72CCC855" w14:textId="77777777" w:rsidTr="00C71314">
        <w:tc>
          <w:tcPr>
            <w:tcW w:w="5087" w:type="dxa"/>
            <w:tcBorders>
              <w:top w:val="single" w:sz="4" w:space="0" w:color="auto"/>
            </w:tcBorders>
          </w:tcPr>
          <w:p w14:paraId="0036DBE3" w14:textId="77777777" w:rsidR="00B51828" w:rsidRDefault="00B51828" w:rsidP="002101D2">
            <w:pPr>
              <w:pStyle w:val="Tabletextcentred"/>
              <w:keepNext/>
              <w:jc w:val="right"/>
            </w:pPr>
            <w:r>
              <w:rPr>
                <w:b/>
              </w:rPr>
              <w:t>Total excluded</w:t>
            </w:r>
            <w:r>
              <w:t xml:space="preserve"> </w:t>
            </w:r>
          </w:p>
        </w:tc>
        <w:tc>
          <w:tcPr>
            <w:tcW w:w="1559" w:type="dxa"/>
            <w:tcBorders>
              <w:top w:val="single" w:sz="4" w:space="0" w:color="auto"/>
            </w:tcBorders>
          </w:tcPr>
          <w:p w14:paraId="539E3748" w14:textId="77777777" w:rsidR="00B51828" w:rsidRDefault="00B51828" w:rsidP="002101D2">
            <w:pPr>
              <w:pStyle w:val="Tabletextcentred"/>
              <w:keepNext/>
            </w:pPr>
            <w:r>
              <w:t>4,066</w:t>
            </w:r>
          </w:p>
        </w:tc>
        <w:tc>
          <w:tcPr>
            <w:tcW w:w="1650" w:type="dxa"/>
            <w:tcBorders>
              <w:top w:val="single" w:sz="4" w:space="0" w:color="auto"/>
            </w:tcBorders>
          </w:tcPr>
          <w:p w14:paraId="77BB9840" w14:textId="77777777" w:rsidR="00B51828" w:rsidRPr="00915F90" w:rsidRDefault="00B51828" w:rsidP="002101D2">
            <w:pPr>
              <w:pStyle w:val="Tabletextcentred"/>
              <w:keepNext/>
            </w:pPr>
            <w:r>
              <w:t>140</w:t>
            </w:r>
          </w:p>
        </w:tc>
      </w:tr>
      <w:tr w:rsidR="00B51828" w:rsidRPr="00387119" w14:paraId="4217D63D" w14:textId="77777777" w:rsidTr="00C71314">
        <w:tc>
          <w:tcPr>
            <w:tcW w:w="5087" w:type="dxa"/>
            <w:tcBorders>
              <w:bottom w:val="single" w:sz="4" w:space="0" w:color="auto"/>
            </w:tcBorders>
          </w:tcPr>
          <w:p w14:paraId="352E5319" w14:textId="77777777" w:rsidR="00B51828" w:rsidRPr="00E46AE9" w:rsidRDefault="00B51828" w:rsidP="002101D2">
            <w:pPr>
              <w:pStyle w:val="Tabletextcentred"/>
              <w:keepNext/>
              <w:jc w:val="left"/>
            </w:pPr>
            <w:r>
              <w:t>Number of citations screened by full text review</w:t>
            </w:r>
          </w:p>
        </w:tc>
        <w:tc>
          <w:tcPr>
            <w:tcW w:w="1559" w:type="dxa"/>
            <w:tcBorders>
              <w:bottom w:val="single" w:sz="4" w:space="0" w:color="auto"/>
            </w:tcBorders>
          </w:tcPr>
          <w:p w14:paraId="4D36C76A" w14:textId="77777777" w:rsidR="00B51828" w:rsidRDefault="00B51828" w:rsidP="002101D2">
            <w:pPr>
              <w:pStyle w:val="Tabletextcentred"/>
              <w:keepNext/>
            </w:pPr>
            <w:r>
              <w:t>108</w:t>
            </w:r>
          </w:p>
        </w:tc>
        <w:tc>
          <w:tcPr>
            <w:tcW w:w="1650" w:type="dxa"/>
            <w:tcBorders>
              <w:bottom w:val="single" w:sz="4" w:space="0" w:color="auto"/>
            </w:tcBorders>
          </w:tcPr>
          <w:p w14:paraId="498D0579" w14:textId="77777777" w:rsidR="00B51828" w:rsidRPr="00915F90" w:rsidRDefault="00B51828" w:rsidP="002101D2">
            <w:pPr>
              <w:pStyle w:val="Tabletextcentred"/>
              <w:keepNext/>
            </w:pPr>
            <w:r>
              <w:t>1</w:t>
            </w:r>
          </w:p>
        </w:tc>
      </w:tr>
      <w:tr w:rsidR="00B51828" w:rsidRPr="00387119" w14:paraId="0BD295BE" w14:textId="77777777" w:rsidTr="00C71314">
        <w:tc>
          <w:tcPr>
            <w:tcW w:w="5087" w:type="dxa"/>
            <w:tcBorders>
              <w:bottom w:val="nil"/>
            </w:tcBorders>
          </w:tcPr>
          <w:p w14:paraId="2782AF7D" w14:textId="77777777" w:rsidR="00B51828" w:rsidRPr="00241308" w:rsidRDefault="00B51828" w:rsidP="002101D2">
            <w:pPr>
              <w:pStyle w:val="Tabletextcentred"/>
              <w:keepNext/>
              <w:jc w:val="left"/>
              <w:rPr>
                <w:b/>
              </w:rPr>
            </w:pPr>
            <w:r w:rsidRPr="00241308">
              <w:rPr>
                <w:b/>
              </w:rPr>
              <w:t>Number of citations excluded after full text review:</w:t>
            </w:r>
          </w:p>
        </w:tc>
        <w:tc>
          <w:tcPr>
            <w:tcW w:w="1559" w:type="dxa"/>
            <w:tcBorders>
              <w:bottom w:val="nil"/>
            </w:tcBorders>
          </w:tcPr>
          <w:p w14:paraId="5B931345" w14:textId="35DBF498" w:rsidR="00B51828" w:rsidRDefault="00C71314" w:rsidP="00C71314">
            <w:pPr>
              <w:pStyle w:val="Tabletextcentred"/>
              <w:keepNext/>
            </w:pPr>
            <w:r>
              <w:t>-</w:t>
            </w:r>
          </w:p>
        </w:tc>
        <w:tc>
          <w:tcPr>
            <w:tcW w:w="1650" w:type="dxa"/>
            <w:tcBorders>
              <w:bottom w:val="nil"/>
            </w:tcBorders>
          </w:tcPr>
          <w:p w14:paraId="34571522" w14:textId="28CC4508" w:rsidR="00B51828" w:rsidRPr="00915F90" w:rsidRDefault="00C71314" w:rsidP="00C71314">
            <w:pPr>
              <w:pStyle w:val="Tabletextcentred"/>
              <w:keepNext/>
            </w:pPr>
            <w:r>
              <w:t>-</w:t>
            </w:r>
          </w:p>
        </w:tc>
      </w:tr>
      <w:tr w:rsidR="00B51828" w:rsidRPr="00387119" w14:paraId="7873CB3F" w14:textId="77777777" w:rsidTr="00C71314">
        <w:tc>
          <w:tcPr>
            <w:tcW w:w="5087" w:type="dxa"/>
            <w:tcBorders>
              <w:top w:val="nil"/>
              <w:bottom w:val="nil"/>
            </w:tcBorders>
          </w:tcPr>
          <w:p w14:paraId="28C74C14" w14:textId="77777777" w:rsidR="00B51828" w:rsidRDefault="00B51828" w:rsidP="00B51828">
            <w:pPr>
              <w:pStyle w:val="Tabletextcentred"/>
              <w:keepNext/>
              <w:numPr>
                <w:ilvl w:val="0"/>
                <w:numId w:val="15"/>
              </w:numPr>
              <w:ind w:left="301" w:hanging="283"/>
              <w:jc w:val="left"/>
            </w:pPr>
            <w:r>
              <w:t>Wrong publication type</w:t>
            </w:r>
          </w:p>
        </w:tc>
        <w:tc>
          <w:tcPr>
            <w:tcW w:w="1559" w:type="dxa"/>
            <w:tcBorders>
              <w:top w:val="nil"/>
              <w:bottom w:val="nil"/>
            </w:tcBorders>
          </w:tcPr>
          <w:p w14:paraId="00BE5BA2" w14:textId="77777777" w:rsidR="00B51828" w:rsidRDefault="00B51828" w:rsidP="002101D2">
            <w:pPr>
              <w:pStyle w:val="Tabletextcentred"/>
              <w:keepNext/>
            </w:pPr>
            <w:r>
              <w:t>23</w:t>
            </w:r>
          </w:p>
        </w:tc>
        <w:tc>
          <w:tcPr>
            <w:tcW w:w="1650" w:type="dxa"/>
            <w:tcBorders>
              <w:top w:val="nil"/>
              <w:bottom w:val="nil"/>
            </w:tcBorders>
          </w:tcPr>
          <w:p w14:paraId="21CE0A74" w14:textId="77777777" w:rsidR="00B51828" w:rsidRPr="00915F90" w:rsidRDefault="00B51828" w:rsidP="002101D2">
            <w:pPr>
              <w:pStyle w:val="Tabletextcentred"/>
              <w:keepNext/>
            </w:pPr>
            <w:r>
              <w:t>0</w:t>
            </w:r>
          </w:p>
        </w:tc>
      </w:tr>
      <w:tr w:rsidR="00B51828" w:rsidRPr="00387119" w14:paraId="526F7F70" w14:textId="77777777" w:rsidTr="00C71314">
        <w:tc>
          <w:tcPr>
            <w:tcW w:w="5087" w:type="dxa"/>
            <w:tcBorders>
              <w:top w:val="nil"/>
              <w:bottom w:val="nil"/>
            </w:tcBorders>
          </w:tcPr>
          <w:p w14:paraId="0D4923B1" w14:textId="77777777" w:rsidR="00B51828" w:rsidRDefault="00B51828" w:rsidP="00B51828">
            <w:pPr>
              <w:pStyle w:val="Tabletextcentred"/>
              <w:keepNext/>
              <w:numPr>
                <w:ilvl w:val="0"/>
                <w:numId w:val="15"/>
              </w:numPr>
              <w:ind w:left="301" w:hanging="283"/>
              <w:jc w:val="left"/>
            </w:pPr>
            <w:r>
              <w:t>Wrong indication: not morphological pathology</w:t>
            </w:r>
          </w:p>
        </w:tc>
        <w:tc>
          <w:tcPr>
            <w:tcW w:w="1559" w:type="dxa"/>
            <w:tcBorders>
              <w:top w:val="nil"/>
              <w:bottom w:val="nil"/>
            </w:tcBorders>
          </w:tcPr>
          <w:p w14:paraId="49EAF978" w14:textId="77777777" w:rsidR="00B51828" w:rsidRDefault="00B51828" w:rsidP="002101D2">
            <w:pPr>
              <w:pStyle w:val="Tabletextcentred"/>
              <w:keepNext/>
            </w:pPr>
            <w:r>
              <w:t>0</w:t>
            </w:r>
          </w:p>
        </w:tc>
        <w:tc>
          <w:tcPr>
            <w:tcW w:w="1650" w:type="dxa"/>
            <w:tcBorders>
              <w:top w:val="nil"/>
              <w:bottom w:val="nil"/>
            </w:tcBorders>
          </w:tcPr>
          <w:p w14:paraId="567144F6" w14:textId="77777777" w:rsidR="00B51828" w:rsidRPr="00915F90" w:rsidRDefault="00B51828" w:rsidP="002101D2">
            <w:pPr>
              <w:pStyle w:val="Tabletextcentred"/>
              <w:keepNext/>
            </w:pPr>
            <w:r>
              <w:t>0</w:t>
            </w:r>
          </w:p>
        </w:tc>
      </w:tr>
      <w:tr w:rsidR="00B51828" w:rsidRPr="00387119" w14:paraId="38304D99" w14:textId="77777777" w:rsidTr="00C71314">
        <w:tc>
          <w:tcPr>
            <w:tcW w:w="5087" w:type="dxa"/>
            <w:tcBorders>
              <w:top w:val="nil"/>
              <w:bottom w:val="nil"/>
            </w:tcBorders>
          </w:tcPr>
          <w:p w14:paraId="1A78BF03" w14:textId="77777777" w:rsidR="00B51828" w:rsidRDefault="00B51828" w:rsidP="00B51828">
            <w:pPr>
              <w:pStyle w:val="Tabletextcentred"/>
              <w:keepNext/>
              <w:numPr>
                <w:ilvl w:val="0"/>
                <w:numId w:val="15"/>
              </w:numPr>
              <w:ind w:left="301" w:hanging="283"/>
              <w:jc w:val="left"/>
            </w:pPr>
            <w:r>
              <w:t>Wrong intervention: not external second opinion on a pathology sample</w:t>
            </w:r>
          </w:p>
        </w:tc>
        <w:tc>
          <w:tcPr>
            <w:tcW w:w="1559" w:type="dxa"/>
            <w:tcBorders>
              <w:top w:val="nil"/>
              <w:bottom w:val="nil"/>
            </w:tcBorders>
          </w:tcPr>
          <w:p w14:paraId="254488F8" w14:textId="77777777" w:rsidR="00B51828" w:rsidRDefault="00B51828" w:rsidP="002101D2">
            <w:pPr>
              <w:pStyle w:val="Tabletextcentred"/>
              <w:keepNext/>
            </w:pPr>
            <w:r>
              <w:t>8</w:t>
            </w:r>
          </w:p>
        </w:tc>
        <w:tc>
          <w:tcPr>
            <w:tcW w:w="1650" w:type="dxa"/>
            <w:tcBorders>
              <w:top w:val="nil"/>
              <w:bottom w:val="nil"/>
            </w:tcBorders>
          </w:tcPr>
          <w:p w14:paraId="51475262" w14:textId="77777777" w:rsidR="00B51828" w:rsidRPr="00915F90" w:rsidRDefault="00B51828" w:rsidP="002101D2">
            <w:pPr>
              <w:pStyle w:val="Tabletextcentred"/>
              <w:keepNext/>
            </w:pPr>
            <w:r>
              <w:t>0</w:t>
            </w:r>
          </w:p>
        </w:tc>
      </w:tr>
      <w:tr w:rsidR="00B51828" w:rsidRPr="00387119" w14:paraId="2AF94652" w14:textId="77777777" w:rsidTr="00C71314">
        <w:tc>
          <w:tcPr>
            <w:tcW w:w="5087" w:type="dxa"/>
            <w:tcBorders>
              <w:top w:val="nil"/>
              <w:bottom w:val="nil"/>
            </w:tcBorders>
          </w:tcPr>
          <w:p w14:paraId="301DB1D0" w14:textId="77777777" w:rsidR="00B51828" w:rsidRDefault="00B51828" w:rsidP="00B51828">
            <w:pPr>
              <w:pStyle w:val="Tabletextcentred"/>
              <w:keepNext/>
              <w:numPr>
                <w:ilvl w:val="0"/>
                <w:numId w:val="15"/>
              </w:numPr>
              <w:ind w:left="301" w:hanging="283"/>
              <w:jc w:val="left"/>
            </w:pPr>
            <w:r>
              <w:t>Wrong intervention: not expert opinion from pathologist or clinician uncertainty</w:t>
            </w:r>
          </w:p>
        </w:tc>
        <w:tc>
          <w:tcPr>
            <w:tcW w:w="1559" w:type="dxa"/>
            <w:tcBorders>
              <w:top w:val="nil"/>
              <w:bottom w:val="nil"/>
            </w:tcBorders>
          </w:tcPr>
          <w:p w14:paraId="7E3B3A1F" w14:textId="77777777" w:rsidR="00B51828" w:rsidRDefault="00B51828" w:rsidP="002101D2">
            <w:pPr>
              <w:pStyle w:val="Tabletextcentred"/>
              <w:keepNext/>
            </w:pPr>
            <w:r>
              <w:t>25</w:t>
            </w:r>
          </w:p>
        </w:tc>
        <w:tc>
          <w:tcPr>
            <w:tcW w:w="1650" w:type="dxa"/>
            <w:tcBorders>
              <w:top w:val="nil"/>
              <w:bottom w:val="nil"/>
            </w:tcBorders>
          </w:tcPr>
          <w:p w14:paraId="4131B4FE" w14:textId="77777777" w:rsidR="00B51828" w:rsidRPr="00915F90" w:rsidRDefault="00B51828" w:rsidP="002101D2">
            <w:pPr>
              <w:pStyle w:val="Tabletextcentred"/>
              <w:keepNext/>
            </w:pPr>
            <w:r>
              <w:t>0</w:t>
            </w:r>
          </w:p>
        </w:tc>
      </w:tr>
      <w:tr w:rsidR="00B51828" w:rsidRPr="00387119" w14:paraId="5D1340FF" w14:textId="77777777" w:rsidTr="00C71314">
        <w:tc>
          <w:tcPr>
            <w:tcW w:w="5087" w:type="dxa"/>
            <w:tcBorders>
              <w:top w:val="nil"/>
              <w:bottom w:val="nil"/>
            </w:tcBorders>
          </w:tcPr>
          <w:p w14:paraId="380B8DA8" w14:textId="77777777" w:rsidR="00B51828" w:rsidRDefault="00B51828" w:rsidP="00B51828">
            <w:pPr>
              <w:pStyle w:val="Tabletextcentred"/>
              <w:keepNext/>
              <w:numPr>
                <w:ilvl w:val="0"/>
                <w:numId w:val="15"/>
              </w:numPr>
              <w:ind w:left="301" w:hanging="283"/>
              <w:jc w:val="left"/>
            </w:pPr>
            <w:r>
              <w:t>Wrong intervention: mandatory or routine review of all cases or review of a random sample of cases not associated with uncertainty</w:t>
            </w:r>
          </w:p>
        </w:tc>
        <w:tc>
          <w:tcPr>
            <w:tcW w:w="1559" w:type="dxa"/>
            <w:tcBorders>
              <w:top w:val="nil"/>
              <w:bottom w:val="nil"/>
            </w:tcBorders>
          </w:tcPr>
          <w:p w14:paraId="2E464604" w14:textId="77777777" w:rsidR="00B51828" w:rsidRDefault="00B51828" w:rsidP="002101D2">
            <w:pPr>
              <w:pStyle w:val="Tabletextcentred"/>
              <w:keepNext/>
            </w:pPr>
            <w:r>
              <w:t>14</w:t>
            </w:r>
          </w:p>
        </w:tc>
        <w:tc>
          <w:tcPr>
            <w:tcW w:w="1650" w:type="dxa"/>
            <w:tcBorders>
              <w:top w:val="nil"/>
              <w:bottom w:val="nil"/>
            </w:tcBorders>
          </w:tcPr>
          <w:p w14:paraId="58F8D514" w14:textId="77777777" w:rsidR="00B51828" w:rsidRPr="00915F90" w:rsidRDefault="00B51828" w:rsidP="002101D2">
            <w:pPr>
              <w:pStyle w:val="Tabletextcentred"/>
              <w:keepNext/>
            </w:pPr>
            <w:r>
              <w:t>1</w:t>
            </w:r>
          </w:p>
        </w:tc>
      </w:tr>
      <w:tr w:rsidR="00B51828" w:rsidRPr="00387119" w14:paraId="141501B1" w14:textId="77777777" w:rsidTr="00C71314">
        <w:tc>
          <w:tcPr>
            <w:tcW w:w="5087" w:type="dxa"/>
            <w:tcBorders>
              <w:top w:val="nil"/>
              <w:bottom w:val="nil"/>
            </w:tcBorders>
          </w:tcPr>
          <w:p w14:paraId="46B16395" w14:textId="77777777" w:rsidR="00B51828" w:rsidRDefault="00B51828" w:rsidP="00B51828">
            <w:pPr>
              <w:pStyle w:val="Tabletextcentred"/>
              <w:keepNext/>
              <w:numPr>
                <w:ilvl w:val="0"/>
                <w:numId w:val="15"/>
              </w:numPr>
              <w:ind w:left="301" w:hanging="283"/>
              <w:jc w:val="left"/>
            </w:pPr>
            <w:r>
              <w:t>Wrong outcomes</w:t>
            </w:r>
          </w:p>
        </w:tc>
        <w:tc>
          <w:tcPr>
            <w:tcW w:w="1559" w:type="dxa"/>
            <w:tcBorders>
              <w:top w:val="nil"/>
              <w:bottom w:val="nil"/>
            </w:tcBorders>
          </w:tcPr>
          <w:p w14:paraId="1E462904" w14:textId="77777777" w:rsidR="00B51828" w:rsidRDefault="00B51828" w:rsidP="002101D2">
            <w:pPr>
              <w:pStyle w:val="Tabletextcentred"/>
              <w:keepNext/>
            </w:pPr>
            <w:r>
              <w:t>7</w:t>
            </w:r>
          </w:p>
        </w:tc>
        <w:tc>
          <w:tcPr>
            <w:tcW w:w="1650" w:type="dxa"/>
            <w:tcBorders>
              <w:top w:val="nil"/>
              <w:bottom w:val="nil"/>
            </w:tcBorders>
          </w:tcPr>
          <w:p w14:paraId="04A048C9" w14:textId="77777777" w:rsidR="00B51828" w:rsidRPr="00915F90" w:rsidRDefault="00B51828" w:rsidP="002101D2">
            <w:pPr>
              <w:pStyle w:val="Tabletextcentred"/>
              <w:keepNext/>
            </w:pPr>
            <w:r>
              <w:t>0</w:t>
            </w:r>
          </w:p>
        </w:tc>
      </w:tr>
      <w:tr w:rsidR="00B51828" w:rsidRPr="00387119" w14:paraId="69EEACCE" w14:textId="77777777" w:rsidTr="00C71314">
        <w:tc>
          <w:tcPr>
            <w:tcW w:w="5087" w:type="dxa"/>
            <w:tcBorders>
              <w:top w:val="nil"/>
              <w:bottom w:val="nil"/>
            </w:tcBorders>
          </w:tcPr>
          <w:p w14:paraId="04EE9F66" w14:textId="77777777" w:rsidR="00B51828" w:rsidRDefault="00B51828" w:rsidP="00B51828">
            <w:pPr>
              <w:pStyle w:val="Tabletextcentred"/>
              <w:keepNext/>
              <w:numPr>
                <w:ilvl w:val="0"/>
                <w:numId w:val="15"/>
              </w:numPr>
              <w:ind w:left="301" w:hanging="283"/>
              <w:jc w:val="left"/>
            </w:pPr>
            <w:r>
              <w:t>Sample size &lt;50</w:t>
            </w:r>
          </w:p>
        </w:tc>
        <w:tc>
          <w:tcPr>
            <w:tcW w:w="1559" w:type="dxa"/>
            <w:tcBorders>
              <w:top w:val="nil"/>
              <w:bottom w:val="nil"/>
            </w:tcBorders>
          </w:tcPr>
          <w:p w14:paraId="5165B317" w14:textId="77777777" w:rsidR="00B51828" w:rsidRDefault="00B51828" w:rsidP="002101D2">
            <w:pPr>
              <w:pStyle w:val="Tabletextcentred"/>
              <w:keepNext/>
            </w:pPr>
            <w:r>
              <w:t>1</w:t>
            </w:r>
          </w:p>
        </w:tc>
        <w:tc>
          <w:tcPr>
            <w:tcW w:w="1650" w:type="dxa"/>
            <w:tcBorders>
              <w:top w:val="nil"/>
              <w:bottom w:val="nil"/>
            </w:tcBorders>
          </w:tcPr>
          <w:p w14:paraId="45946B8C" w14:textId="77777777" w:rsidR="00B51828" w:rsidRPr="00915F90" w:rsidRDefault="00B51828" w:rsidP="002101D2">
            <w:pPr>
              <w:pStyle w:val="Tabletextcentred"/>
              <w:keepNext/>
            </w:pPr>
            <w:r>
              <w:t>0</w:t>
            </w:r>
          </w:p>
        </w:tc>
      </w:tr>
      <w:tr w:rsidR="00B51828" w:rsidRPr="00387119" w14:paraId="5C94A2E3" w14:textId="77777777" w:rsidTr="00C71314">
        <w:tc>
          <w:tcPr>
            <w:tcW w:w="5087" w:type="dxa"/>
            <w:tcBorders>
              <w:top w:val="nil"/>
              <w:bottom w:val="single" w:sz="4" w:space="0" w:color="auto"/>
            </w:tcBorders>
          </w:tcPr>
          <w:p w14:paraId="0468379A" w14:textId="77777777" w:rsidR="00B51828" w:rsidRDefault="00B51828" w:rsidP="00B51828">
            <w:pPr>
              <w:pStyle w:val="Tabletextcentred"/>
              <w:keepNext/>
              <w:numPr>
                <w:ilvl w:val="0"/>
                <w:numId w:val="15"/>
              </w:numPr>
              <w:ind w:left="301" w:hanging="283"/>
              <w:jc w:val="left"/>
            </w:pPr>
            <w:r>
              <w:t>Not published in English</w:t>
            </w:r>
          </w:p>
        </w:tc>
        <w:tc>
          <w:tcPr>
            <w:tcW w:w="1559" w:type="dxa"/>
            <w:tcBorders>
              <w:top w:val="nil"/>
              <w:bottom w:val="single" w:sz="4" w:space="0" w:color="auto"/>
            </w:tcBorders>
          </w:tcPr>
          <w:p w14:paraId="2D29BD7A" w14:textId="77777777" w:rsidR="00B51828" w:rsidRDefault="00B51828" w:rsidP="002101D2">
            <w:pPr>
              <w:pStyle w:val="Tabletextcentred"/>
              <w:keepNext/>
            </w:pPr>
            <w:r>
              <w:t>6</w:t>
            </w:r>
          </w:p>
        </w:tc>
        <w:tc>
          <w:tcPr>
            <w:tcW w:w="1650" w:type="dxa"/>
            <w:tcBorders>
              <w:top w:val="nil"/>
              <w:bottom w:val="single" w:sz="4" w:space="0" w:color="auto"/>
            </w:tcBorders>
          </w:tcPr>
          <w:p w14:paraId="3556C371" w14:textId="77777777" w:rsidR="00B51828" w:rsidRPr="00915F90" w:rsidRDefault="00B51828" w:rsidP="002101D2">
            <w:pPr>
              <w:pStyle w:val="Tabletextcentred"/>
              <w:keepNext/>
            </w:pPr>
            <w:r>
              <w:t>0</w:t>
            </w:r>
          </w:p>
        </w:tc>
      </w:tr>
      <w:tr w:rsidR="00B51828" w:rsidRPr="00387119" w14:paraId="59A13A99" w14:textId="77777777" w:rsidTr="002101D2">
        <w:tc>
          <w:tcPr>
            <w:tcW w:w="5087" w:type="dxa"/>
            <w:tcBorders>
              <w:top w:val="single" w:sz="4" w:space="0" w:color="auto"/>
            </w:tcBorders>
          </w:tcPr>
          <w:p w14:paraId="4D39BA54" w14:textId="77777777" w:rsidR="00B51828" w:rsidRDefault="00B51828" w:rsidP="002101D2">
            <w:pPr>
              <w:pStyle w:val="Tabletextcentred"/>
              <w:keepNext/>
              <w:jc w:val="right"/>
            </w:pPr>
            <w:r>
              <w:rPr>
                <w:b/>
              </w:rPr>
              <w:t>Total excluded</w:t>
            </w:r>
          </w:p>
        </w:tc>
        <w:tc>
          <w:tcPr>
            <w:tcW w:w="1559" w:type="dxa"/>
            <w:tcBorders>
              <w:top w:val="single" w:sz="4" w:space="0" w:color="auto"/>
            </w:tcBorders>
          </w:tcPr>
          <w:p w14:paraId="3AADF684" w14:textId="77777777" w:rsidR="00B51828" w:rsidRDefault="00B51828" w:rsidP="002101D2">
            <w:pPr>
              <w:pStyle w:val="Tabletextcentred"/>
              <w:keepNext/>
            </w:pPr>
            <w:r>
              <w:t>84</w:t>
            </w:r>
          </w:p>
        </w:tc>
        <w:tc>
          <w:tcPr>
            <w:tcW w:w="1650" w:type="dxa"/>
            <w:tcBorders>
              <w:top w:val="single" w:sz="4" w:space="0" w:color="auto"/>
            </w:tcBorders>
          </w:tcPr>
          <w:p w14:paraId="3ED7032A" w14:textId="77777777" w:rsidR="00B51828" w:rsidRPr="00915F90" w:rsidRDefault="00B51828" w:rsidP="002101D2">
            <w:pPr>
              <w:pStyle w:val="Tabletextcentred"/>
              <w:keepNext/>
            </w:pPr>
            <w:r>
              <w:t>1</w:t>
            </w:r>
          </w:p>
        </w:tc>
      </w:tr>
      <w:tr w:rsidR="00B51828" w:rsidRPr="00387119" w14:paraId="0F339ABB" w14:textId="77777777" w:rsidTr="002101D2">
        <w:tc>
          <w:tcPr>
            <w:tcW w:w="5087" w:type="dxa"/>
          </w:tcPr>
          <w:p w14:paraId="1951DF58" w14:textId="556E0F1C" w:rsidR="00B51828" w:rsidRDefault="006F2875" w:rsidP="002101D2">
            <w:pPr>
              <w:pStyle w:val="Tabletextcentred"/>
              <w:keepNext/>
              <w:jc w:val="left"/>
            </w:pPr>
            <w:r>
              <w:t>Total n</w:t>
            </w:r>
            <w:r w:rsidR="00B51828">
              <w:t>umber of citations included from each database</w:t>
            </w:r>
          </w:p>
        </w:tc>
        <w:tc>
          <w:tcPr>
            <w:tcW w:w="1559" w:type="dxa"/>
          </w:tcPr>
          <w:p w14:paraId="74F1EBB0" w14:textId="77777777" w:rsidR="00B51828" w:rsidRDefault="00B51828" w:rsidP="002101D2">
            <w:pPr>
              <w:pStyle w:val="Tabletextcentred"/>
              <w:keepNext/>
            </w:pPr>
            <w:r>
              <w:t>24</w:t>
            </w:r>
          </w:p>
        </w:tc>
        <w:tc>
          <w:tcPr>
            <w:tcW w:w="1650" w:type="dxa"/>
          </w:tcPr>
          <w:p w14:paraId="7FEBAC08" w14:textId="77777777" w:rsidR="00B51828" w:rsidRPr="00915F90" w:rsidRDefault="00B51828" w:rsidP="002101D2">
            <w:pPr>
              <w:pStyle w:val="Tabletextcentred"/>
              <w:keepNext/>
            </w:pPr>
            <w:r>
              <w:t>0</w:t>
            </w:r>
          </w:p>
        </w:tc>
      </w:tr>
    </w:tbl>
    <w:p w14:paraId="5EE20477" w14:textId="77777777" w:rsidR="00B51828" w:rsidRDefault="00B51828" w:rsidP="002101D2"/>
    <w:p w14:paraId="1FD2429E" w14:textId="77777777" w:rsidR="00B51828" w:rsidRDefault="00B51828" w:rsidP="00B51828">
      <w:pPr>
        <w:pStyle w:val="Heading2"/>
        <w:numPr>
          <w:ilvl w:val="1"/>
          <w:numId w:val="1"/>
        </w:numPr>
        <w:ind w:left="431" w:hanging="431"/>
      </w:pPr>
      <w:bookmarkStart w:id="102" w:name="_Ref385325067"/>
      <w:bookmarkStart w:id="103" w:name="_Ref392760699"/>
      <w:bookmarkStart w:id="104" w:name="_Toc396211692"/>
      <w:r>
        <w:t xml:space="preserve">Listing of all </w:t>
      </w:r>
      <w:bookmarkEnd w:id="102"/>
      <w:r>
        <w:t>studies</w:t>
      </w:r>
      <w:bookmarkEnd w:id="103"/>
      <w:bookmarkEnd w:id="104"/>
    </w:p>
    <w:p w14:paraId="605264C3" w14:textId="619D480B" w:rsidR="00B51828" w:rsidRDefault="00B51828" w:rsidP="002101D2">
      <w:r>
        <w:t xml:space="preserve">In total, 10 studies were identified that met the inclusion criteria for </w:t>
      </w:r>
      <w:r w:rsidRPr="004A60EE">
        <w:rPr>
          <w:i/>
        </w:rPr>
        <w:t>Scenario 1</w:t>
      </w:r>
      <w:r>
        <w:t xml:space="preserve"> – i.e. cases in which an external expert opinion was sought by the initial pathologist due to diagnostic uncertainty. Studies were included in </w:t>
      </w:r>
      <w:r w:rsidRPr="004A60EE">
        <w:rPr>
          <w:i/>
        </w:rPr>
        <w:t>Scenario 1</w:t>
      </w:r>
      <w:r>
        <w:rPr>
          <w:i/>
        </w:rPr>
        <w:t xml:space="preserve"> </w:t>
      </w:r>
      <w:r>
        <w:t xml:space="preserve">regardless of whether it was the initial pathologist or a treating clinician that actually referred the case, provided that pathologist uncertainty was the underlying reason for referral. Of the 10 included studies, two included all surgical pathology cases </w:t>
      </w:r>
      <w:r>
        <w:rPr>
          <w:noProof/>
        </w:rPr>
        <w:t>(Cook et al, 2001; Hsu et al, 2010)</w:t>
      </w:r>
      <w:r>
        <w:t>. As well as presenting overall results, Hsu et al (2010) also presented some results (e.g. discordance and major discrepancies) according to subspecialty areas such as dermatology and bone/soft tissue. The remaining included studies focus</w:t>
      </w:r>
      <w:r w:rsidR="005414B7">
        <w:t>sed</w:t>
      </w:r>
      <w:r>
        <w:t xml:space="preserve"> on the effectiveness of second, expert opinions within one subspecialty area, including dermatology </w:t>
      </w:r>
      <w:r>
        <w:rPr>
          <w:noProof/>
        </w:rPr>
        <w:t xml:space="preserve">(Gaudi et al, 2013; </w:t>
      </w:r>
      <w:r w:rsidR="00525F10">
        <w:rPr>
          <w:noProof/>
        </w:rPr>
        <w:t>v</w:t>
      </w:r>
      <w:r>
        <w:rPr>
          <w:noProof/>
        </w:rPr>
        <w:t>an Dijk et al, 2008; Veenhuizen et al, 1997)</w:t>
      </w:r>
      <w:r>
        <w:t xml:space="preserve">; sarcoma </w:t>
      </w:r>
      <w:r>
        <w:rPr>
          <w:noProof/>
        </w:rPr>
        <w:t>(Arbiser et al, 2001; Ray-Coquard et al, 2012)</w:t>
      </w:r>
      <w:r>
        <w:t xml:space="preserve">; lung biopsies </w:t>
      </w:r>
      <w:r>
        <w:rPr>
          <w:noProof/>
        </w:rPr>
        <w:t>(Hutton Klein et al, 2010)</w:t>
      </w:r>
      <w:r>
        <w:t xml:space="preserve">; oral and maxillofacial pathology </w:t>
      </w:r>
      <w:r>
        <w:rPr>
          <w:noProof/>
        </w:rPr>
        <w:t>(Jones and Jordan, 2010)</w:t>
      </w:r>
      <w:r>
        <w:t xml:space="preserve">; and urothelial lesions </w:t>
      </w:r>
      <w:r>
        <w:rPr>
          <w:noProof/>
        </w:rPr>
        <w:t>(Tavora et al, 2009)</w:t>
      </w:r>
      <w:r>
        <w:t xml:space="preserve">. </w:t>
      </w:r>
    </w:p>
    <w:p w14:paraId="53F083FA" w14:textId="77777777" w:rsidR="00B51828" w:rsidRDefault="00B51828" w:rsidP="002101D2">
      <w:r>
        <w:t xml:space="preserve">As per the PPICO criteria outlined in Section </w:t>
      </w:r>
      <w:r>
        <w:fldChar w:fldCharType="begin"/>
      </w:r>
      <w:r>
        <w:instrText xml:space="preserve"> REF _Ref392751526 \w \h </w:instrText>
      </w:r>
      <w:r>
        <w:fldChar w:fldCharType="separate"/>
      </w:r>
      <w:r w:rsidR="0044620B">
        <w:t>A.8</w:t>
      </w:r>
      <w:r>
        <w:fldChar w:fldCharType="end"/>
      </w:r>
      <w:r>
        <w:t>, the 10</w:t>
      </w:r>
      <w:r w:rsidRPr="000E0E89">
        <w:t xml:space="preserve"> studies that </w:t>
      </w:r>
      <w:r>
        <w:t xml:space="preserve">met the inclusion criteria for </w:t>
      </w:r>
      <w:r w:rsidRPr="004A60EE">
        <w:rPr>
          <w:i/>
        </w:rPr>
        <w:t>Scenario 1</w:t>
      </w:r>
      <w:r w:rsidRPr="000E0E89">
        <w:t xml:space="preserve"> are also relevant to </w:t>
      </w:r>
      <w:r w:rsidRPr="004A60EE">
        <w:rPr>
          <w:i/>
        </w:rPr>
        <w:t>Scenario 2</w:t>
      </w:r>
      <w:r>
        <w:t xml:space="preserve"> – i.e. cases where an initial pathology opinion may have been provided, but where uncertainty or insufficient detail regarding </w:t>
      </w:r>
      <w:r>
        <w:lastRenderedPageBreak/>
        <w:t xml:space="preserve">the diagnosis remains. </w:t>
      </w:r>
      <w:r w:rsidRPr="004A60EE">
        <w:rPr>
          <w:i/>
        </w:rPr>
        <w:t>Scenario 2</w:t>
      </w:r>
      <w:r>
        <w:rPr>
          <w:i/>
        </w:rPr>
        <w:t xml:space="preserve"> </w:t>
      </w:r>
      <w:r>
        <w:t xml:space="preserve">allows for clinicians to refer cases that have not been identified by the pathologist as diagnostically challenging; however, in practice, </w:t>
      </w:r>
      <w:r w:rsidRPr="004A60EE">
        <w:rPr>
          <w:i/>
        </w:rPr>
        <w:t>Scenario 2</w:t>
      </w:r>
      <w:r>
        <w:t xml:space="preserve"> would also include the </w:t>
      </w:r>
      <w:r w:rsidRPr="004A60EE">
        <w:rPr>
          <w:i/>
        </w:rPr>
        <w:t>Scenario 1</w:t>
      </w:r>
      <w:r>
        <w:rPr>
          <w:i/>
        </w:rPr>
        <w:t xml:space="preserve"> </w:t>
      </w:r>
      <w:r>
        <w:t xml:space="preserve">evidence, as an ambiguous or equivocal report from the initial pathologist would be likely to result in clinician uncertainty. </w:t>
      </w:r>
    </w:p>
    <w:p w14:paraId="4D03E051" w14:textId="2BC008FF" w:rsidR="00B51828" w:rsidRDefault="00B51828" w:rsidP="002101D2">
      <w:r>
        <w:t xml:space="preserve">One of the aforementioned studies </w:t>
      </w:r>
      <w:r>
        <w:rPr>
          <w:noProof/>
        </w:rPr>
        <w:t>(Hutton Klein et al, 2010)</w:t>
      </w:r>
      <w:r>
        <w:t xml:space="preserve"> contained additional information that was relevant to </w:t>
      </w:r>
      <w:r w:rsidRPr="004A60EE">
        <w:rPr>
          <w:i/>
        </w:rPr>
        <w:t>Scenario 2</w:t>
      </w:r>
      <w:r>
        <w:t xml:space="preserve">, as twenty (20%) of the cases in that study were clinician-initiated (see </w:t>
      </w:r>
      <w:r>
        <w:fldChar w:fldCharType="begin"/>
      </w:r>
      <w:r>
        <w:instrText xml:space="preserve"> REF _Ref395176835 \h </w:instrText>
      </w:r>
      <w:r>
        <w:fldChar w:fldCharType="separate"/>
      </w:r>
      <w:r w:rsidR="0044620B">
        <w:t xml:space="preserve">Table </w:t>
      </w:r>
      <w:r w:rsidR="0044620B">
        <w:rPr>
          <w:noProof/>
        </w:rPr>
        <w:t>B.4</w:t>
      </w:r>
      <w:r w:rsidR="0044620B">
        <w:noBreakHyphen/>
      </w:r>
      <w:r w:rsidR="0044620B">
        <w:rPr>
          <w:noProof/>
        </w:rPr>
        <w:t>2</w:t>
      </w:r>
      <w:r>
        <w:fldChar w:fldCharType="end"/>
      </w:r>
      <w:r>
        <w:t xml:space="preserve">). Four additional studies were identified that met the inclusion criteria for </w:t>
      </w:r>
      <w:r w:rsidRPr="004A60EE">
        <w:rPr>
          <w:i/>
        </w:rPr>
        <w:t>Scenario 2</w:t>
      </w:r>
      <w:r>
        <w:rPr>
          <w:i/>
        </w:rPr>
        <w:t xml:space="preserve"> </w:t>
      </w:r>
      <w:r>
        <w:t xml:space="preserve">only, including one study that examined all surgical pathology cases </w:t>
      </w:r>
      <w:r>
        <w:rPr>
          <w:noProof/>
        </w:rPr>
        <w:t>(Ahmed et al, 2004)</w:t>
      </w:r>
      <w:r>
        <w:t>. The other three studies focus</w:t>
      </w:r>
      <w:r w:rsidR="005414B7">
        <w:t>sed</w:t>
      </w:r>
      <w:r>
        <w:t xml:space="preserve"> on prostate biopsies </w:t>
      </w:r>
      <w:r>
        <w:rPr>
          <w:noProof/>
        </w:rPr>
        <w:t>(Chan and Epstein, 2005)</w:t>
      </w:r>
      <w:r>
        <w:t xml:space="preserve">; brain and spinal cord specimens </w:t>
      </w:r>
      <w:r>
        <w:rPr>
          <w:noProof/>
        </w:rPr>
        <w:t>(Bruner et al, 1997)</w:t>
      </w:r>
      <w:r>
        <w:t xml:space="preserve">; and labial salivary gland biopsies </w:t>
      </w:r>
      <w:r>
        <w:rPr>
          <w:noProof/>
        </w:rPr>
        <w:t>(Vivino et al, 2002)</w:t>
      </w:r>
      <w:r>
        <w:t xml:space="preserve">. </w:t>
      </w:r>
    </w:p>
    <w:p w14:paraId="28C15CBE" w14:textId="77777777" w:rsidR="00B51828" w:rsidRDefault="00B51828" w:rsidP="002101D2">
      <w:r>
        <w:fldChar w:fldCharType="begin"/>
      </w:r>
      <w:r>
        <w:instrText xml:space="preserve"> REF _Ref393981322 \h </w:instrText>
      </w:r>
      <w:r>
        <w:fldChar w:fldCharType="separate"/>
      </w:r>
      <w:r w:rsidR="0044620B">
        <w:t xml:space="preserve">Table </w:t>
      </w:r>
      <w:r w:rsidR="0044620B">
        <w:rPr>
          <w:noProof/>
        </w:rPr>
        <w:t>B.2</w:t>
      </w:r>
      <w:r w:rsidR="0044620B">
        <w:noBreakHyphen/>
      </w:r>
      <w:r w:rsidR="0044620B">
        <w:rPr>
          <w:noProof/>
        </w:rPr>
        <w:t>1</w:t>
      </w:r>
      <w:r>
        <w:fldChar w:fldCharType="end"/>
      </w:r>
      <w:r>
        <w:t xml:space="preserve"> provides the citation details for all included studies. The characteristics of included studies are summarised in Section </w:t>
      </w:r>
      <w:r>
        <w:fldChar w:fldCharType="begin"/>
      </w:r>
      <w:r>
        <w:instrText xml:space="preserve"> REF _Ref392750474 \w \h </w:instrText>
      </w:r>
      <w:r>
        <w:fldChar w:fldCharType="separate"/>
      </w:r>
      <w:r w:rsidR="0044620B">
        <w:t>B.4</w:t>
      </w:r>
      <w:r>
        <w:fldChar w:fldCharType="end"/>
      </w:r>
      <w:r>
        <w:t xml:space="preserve">. None of the studies were conducted in Australia. </w:t>
      </w:r>
    </w:p>
    <w:p w14:paraId="1D0FAC48" w14:textId="77777777" w:rsidR="00B51828" w:rsidRDefault="00B51828" w:rsidP="002101D2">
      <w:pPr>
        <w:pStyle w:val="Caption"/>
        <w:sectPr w:rsidR="00B51828" w:rsidSect="002101D2">
          <w:footerReference w:type="default" r:id="rId16"/>
          <w:pgSz w:w="11906" w:h="16838" w:code="9"/>
          <w:pgMar w:top="1440" w:right="1440" w:bottom="1440" w:left="1440" w:header="680" w:footer="1021" w:gutter="0"/>
          <w:cols w:space="708"/>
          <w:docGrid w:linePitch="360"/>
        </w:sectPr>
      </w:pPr>
    </w:p>
    <w:p w14:paraId="7D511607" w14:textId="77777777" w:rsidR="00B51828" w:rsidRDefault="00B51828" w:rsidP="002101D2">
      <w:pPr>
        <w:pStyle w:val="Caption"/>
      </w:pPr>
      <w:bookmarkStart w:id="105" w:name="_Ref393981322"/>
      <w:bookmarkStart w:id="106" w:name="_Toc396211736"/>
      <w:r>
        <w:lastRenderedPageBreak/>
        <w:t xml:space="preserve">Table </w:t>
      </w:r>
      <w:fldSimple w:instr=" STYLEREF 2 \s ">
        <w:r w:rsidR="0044620B">
          <w:rPr>
            <w:noProof/>
          </w:rPr>
          <w:t>B.2</w:t>
        </w:r>
      </w:fldSimple>
      <w:r>
        <w:noBreakHyphen/>
      </w:r>
      <w:fldSimple w:instr=" SEQ Table \* ARABIC \s 2 ">
        <w:r w:rsidR="0044620B">
          <w:rPr>
            <w:noProof/>
          </w:rPr>
          <w:t>1</w:t>
        </w:r>
      </w:fldSimple>
      <w:bookmarkEnd w:id="105"/>
      <w:r>
        <w:tab/>
        <w:t>Citations details and study characteristics for all included studies</w:t>
      </w:r>
      <w:bookmarkEnd w:id="106"/>
    </w:p>
    <w:tbl>
      <w:tblPr>
        <w:tblStyle w:val="TableGrid"/>
        <w:tblW w:w="4746" w:type="pct"/>
        <w:tblInd w:w="704" w:type="dxa"/>
        <w:tblLook w:val="04A0" w:firstRow="1" w:lastRow="0" w:firstColumn="1" w:lastColumn="0" w:noHBand="0" w:noVBand="1"/>
        <w:tblCaption w:val="Citations details and study characteristics"/>
        <w:tblDescription w:val="The citation details and study characteristics for all included studies"/>
      </w:tblPr>
      <w:tblGrid>
        <w:gridCol w:w="1283"/>
        <w:gridCol w:w="5729"/>
        <w:gridCol w:w="6442"/>
      </w:tblGrid>
      <w:tr w:rsidR="00B51828" w14:paraId="77858CB1" w14:textId="77777777" w:rsidTr="002101D2">
        <w:trPr>
          <w:tblHeader/>
        </w:trPr>
        <w:tc>
          <w:tcPr>
            <w:tcW w:w="477" w:type="pct"/>
          </w:tcPr>
          <w:p w14:paraId="2AC6FC83"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ID</w:t>
            </w:r>
          </w:p>
        </w:tc>
        <w:tc>
          <w:tcPr>
            <w:tcW w:w="2129" w:type="pct"/>
          </w:tcPr>
          <w:p w14:paraId="2ED1EBB5" w14:textId="77777777" w:rsidR="00B51828" w:rsidRPr="0082484A" w:rsidRDefault="00B51828" w:rsidP="002101D2">
            <w:pPr>
              <w:spacing w:before="20" w:after="20"/>
              <w:ind w:left="0"/>
              <w:rPr>
                <w:rFonts w:ascii="Arial Narrow" w:hAnsi="Arial Narrow"/>
                <w:b/>
                <w:i/>
                <w:sz w:val="20"/>
                <w:szCs w:val="20"/>
              </w:rPr>
            </w:pPr>
            <w:r>
              <w:rPr>
                <w:rFonts w:ascii="Arial Narrow" w:hAnsi="Arial Narrow"/>
                <w:b/>
                <w:sz w:val="20"/>
                <w:szCs w:val="20"/>
              </w:rPr>
              <w:t>Citation details</w:t>
            </w:r>
          </w:p>
        </w:tc>
        <w:tc>
          <w:tcPr>
            <w:tcW w:w="2394" w:type="pct"/>
          </w:tcPr>
          <w:p w14:paraId="464C487C" w14:textId="77777777" w:rsidR="00B51828" w:rsidRDefault="00B51828" w:rsidP="002101D2">
            <w:pPr>
              <w:spacing w:before="20" w:after="20"/>
              <w:ind w:left="0"/>
              <w:rPr>
                <w:rFonts w:ascii="Arial Narrow" w:hAnsi="Arial Narrow"/>
                <w:b/>
                <w:sz w:val="20"/>
                <w:szCs w:val="20"/>
              </w:rPr>
            </w:pPr>
            <w:r>
              <w:rPr>
                <w:rFonts w:ascii="Arial Narrow" w:hAnsi="Arial Narrow"/>
                <w:b/>
                <w:sz w:val="20"/>
                <w:szCs w:val="20"/>
              </w:rPr>
              <w:t>Study characteristics</w:t>
            </w:r>
          </w:p>
        </w:tc>
      </w:tr>
      <w:tr w:rsidR="00B51828" w14:paraId="61143C9E" w14:textId="77777777" w:rsidTr="002101D2">
        <w:tc>
          <w:tcPr>
            <w:tcW w:w="477" w:type="pct"/>
            <w:shd w:val="clear" w:color="auto" w:fill="BFBFBF" w:themeFill="background1" w:themeFillShade="BF"/>
          </w:tcPr>
          <w:p w14:paraId="597365B9" w14:textId="77777777" w:rsidR="00B51828" w:rsidRPr="004F1A4F" w:rsidRDefault="00B51828" w:rsidP="002101D2">
            <w:pPr>
              <w:spacing w:before="20" w:after="20"/>
              <w:ind w:left="0"/>
              <w:rPr>
                <w:rFonts w:ascii="Arial Narrow" w:hAnsi="Arial Narrow"/>
                <w:i/>
                <w:sz w:val="20"/>
                <w:szCs w:val="20"/>
              </w:rPr>
            </w:pPr>
            <w:r w:rsidRPr="004F1A4F">
              <w:rPr>
                <w:rFonts w:ascii="Arial Narrow" w:hAnsi="Arial Narrow"/>
                <w:i/>
                <w:sz w:val="20"/>
                <w:szCs w:val="20"/>
              </w:rPr>
              <w:t>Scenario 1</w:t>
            </w:r>
          </w:p>
        </w:tc>
        <w:tc>
          <w:tcPr>
            <w:tcW w:w="2129" w:type="pct"/>
            <w:shd w:val="clear" w:color="auto" w:fill="BFBFBF" w:themeFill="background1" w:themeFillShade="BF"/>
          </w:tcPr>
          <w:p w14:paraId="3B125B2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2394" w:type="pct"/>
            <w:shd w:val="clear" w:color="auto" w:fill="BFBFBF" w:themeFill="background1" w:themeFillShade="BF"/>
          </w:tcPr>
          <w:p w14:paraId="4A3EAA3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DD28B6" w14:paraId="164B82B5" w14:textId="77777777" w:rsidTr="002101D2">
        <w:tc>
          <w:tcPr>
            <w:tcW w:w="477" w:type="pct"/>
          </w:tcPr>
          <w:p w14:paraId="60666E49" w14:textId="77777777" w:rsidR="00B51828" w:rsidRPr="00DD28B6" w:rsidRDefault="00B51828" w:rsidP="002101D2">
            <w:pPr>
              <w:spacing w:before="20" w:after="20"/>
              <w:ind w:left="0"/>
              <w:rPr>
                <w:rFonts w:ascii="Arial Narrow" w:hAnsi="Arial Narrow"/>
                <w:sz w:val="20"/>
                <w:szCs w:val="20"/>
              </w:rPr>
            </w:pPr>
            <w:r>
              <w:rPr>
                <w:rFonts w:ascii="Arial Narrow" w:hAnsi="Arial Narrow"/>
                <w:sz w:val="20"/>
                <w:szCs w:val="20"/>
              </w:rPr>
              <w:t>Arbiser 2001</w:t>
            </w:r>
          </w:p>
        </w:tc>
        <w:tc>
          <w:tcPr>
            <w:tcW w:w="2129" w:type="pct"/>
          </w:tcPr>
          <w:p w14:paraId="54A1CE25" w14:textId="77777777" w:rsidR="00B51828" w:rsidRPr="00DD28B6" w:rsidRDefault="00B51828" w:rsidP="002101D2">
            <w:pPr>
              <w:spacing w:before="20" w:after="20"/>
              <w:ind w:left="0"/>
              <w:rPr>
                <w:rFonts w:ascii="Arial Narrow" w:hAnsi="Arial Narrow"/>
                <w:sz w:val="20"/>
                <w:szCs w:val="20"/>
              </w:rPr>
            </w:pPr>
            <w:r w:rsidRPr="003A6392">
              <w:rPr>
                <w:rFonts w:ascii="Arial Narrow" w:hAnsi="Arial Narrow"/>
                <w:sz w:val="20"/>
                <w:szCs w:val="20"/>
              </w:rPr>
              <w:t>Arbiser ZK, Folpe AL &amp; Weiss SW (2001). Consultative (expert) second opinions in soft tissue pathology: Analysis of problem-prone diagnostic situations. American Journal of Clinical Pathology,</w:t>
            </w:r>
            <w:r>
              <w:rPr>
                <w:rFonts w:ascii="Arial Narrow" w:hAnsi="Arial Narrow"/>
                <w:sz w:val="20"/>
                <w:szCs w:val="20"/>
              </w:rPr>
              <w:t xml:space="preserve"> 116(4):473-476.</w:t>
            </w:r>
          </w:p>
        </w:tc>
        <w:tc>
          <w:tcPr>
            <w:tcW w:w="2394" w:type="pct"/>
          </w:tcPr>
          <w:p w14:paraId="5E6E434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500 consecutive cases referred to a soft tissue consultation practice for EEO in a 2-month period in 1998.</w:t>
            </w:r>
          </w:p>
          <w:p w14:paraId="47189CFD" w14:textId="77777777" w:rsidR="00B51828" w:rsidRPr="00DD28B6" w:rsidRDefault="00B51828" w:rsidP="002101D2">
            <w:pPr>
              <w:spacing w:before="20" w:after="20"/>
              <w:ind w:left="0"/>
              <w:rPr>
                <w:rFonts w:ascii="Arial Narrow" w:hAnsi="Arial Narrow"/>
                <w:sz w:val="20"/>
                <w:szCs w:val="20"/>
              </w:rPr>
            </w:pPr>
            <w:r w:rsidRPr="002D4131">
              <w:rPr>
                <w:rFonts w:ascii="Arial Narrow" w:hAnsi="Arial Narrow"/>
                <w:i/>
                <w:sz w:val="20"/>
                <w:szCs w:val="20"/>
              </w:rPr>
              <w:t>United States</w:t>
            </w:r>
          </w:p>
        </w:tc>
      </w:tr>
      <w:tr w:rsidR="00B51828" w:rsidRPr="00DD28B6" w14:paraId="28D38916" w14:textId="77777777" w:rsidTr="002101D2">
        <w:tc>
          <w:tcPr>
            <w:tcW w:w="477" w:type="pct"/>
          </w:tcPr>
          <w:p w14:paraId="69E229B3" w14:textId="77777777" w:rsidR="00B51828" w:rsidRPr="00DD28B6" w:rsidRDefault="00B51828" w:rsidP="002101D2">
            <w:pPr>
              <w:spacing w:before="20" w:after="20"/>
              <w:ind w:left="0"/>
              <w:rPr>
                <w:rFonts w:ascii="Arial Narrow" w:hAnsi="Arial Narrow"/>
                <w:sz w:val="20"/>
                <w:szCs w:val="20"/>
              </w:rPr>
            </w:pPr>
            <w:r>
              <w:rPr>
                <w:rFonts w:ascii="Arial Narrow" w:hAnsi="Arial Narrow"/>
                <w:sz w:val="20"/>
                <w:szCs w:val="20"/>
              </w:rPr>
              <w:t>Cook 2001</w:t>
            </w:r>
          </w:p>
        </w:tc>
        <w:tc>
          <w:tcPr>
            <w:tcW w:w="2129" w:type="pct"/>
          </w:tcPr>
          <w:p w14:paraId="2466B0F7" w14:textId="77777777" w:rsidR="00B51828" w:rsidRPr="00DD28B6" w:rsidRDefault="00B51828" w:rsidP="002101D2">
            <w:pPr>
              <w:spacing w:before="20" w:after="20"/>
              <w:ind w:left="0"/>
              <w:rPr>
                <w:rFonts w:ascii="Arial Narrow" w:hAnsi="Arial Narrow"/>
                <w:sz w:val="20"/>
                <w:szCs w:val="20"/>
              </w:rPr>
            </w:pPr>
            <w:r w:rsidRPr="00CD2A7D">
              <w:rPr>
                <w:rFonts w:ascii="Arial Narrow" w:hAnsi="Arial Narrow"/>
                <w:sz w:val="20"/>
                <w:szCs w:val="20"/>
              </w:rPr>
              <w:t xml:space="preserve">Cook IS, McCormick D &amp; Poller DN (2001). Referrals for second opinion in surgical pathology: Implications for management of cancer patients in the UK. </w:t>
            </w:r>
            <w:r w:rsidRPr="00CD2A7D">
              <w:rPr>
                <w:rFonts w:ascii="Arial Narrow" w:hAnsi="Arial Narrow"/>
                <w:i/>
                <w:sz w:val="20"/>
                <w:szCs w:val="20"/>
              </w:rPr>
              <w:t>European Journal of Surgical Oncology,</w:t>
            </w:r>
            <w:r w:rsidRPr="00CD2A7D">
              <w:rPr>
                <w:rFonts w:ascii="Arial Narrow" w:hAnsi="Arial Narrow"/>
                <w:sz w:val="20"/>
                <w:szCs w:val="20"/>
              </w:rPr>
              <w:t xml:space="preserve"> 27(6):589-594.</w:t>
            </w:r>
          </w:p>
        </w:tc>
        <w:tc>
          <w:tcPr>
            <w:tcW w:w="2394" w:type="pct"/>
          </w:tcPr>
          <w:p w14:paraId="129FADA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all cases sent for SO during 1998, compared to 1990, from two large district general hospitals histopathology laboratories.</w:t>
            </w:r>
          </w:p>
          <w:p w14:paraId="12D5A2CF" w14:textId="77777777" w:rsidR="00B51828" w:rsidRPr="00DD28B6" w:rsidRDefault="00B51828" w:rsidP="002101D2">
            <w:pPr>
              <w:spacing w:before="20" w:after="20"/>
              <w:ind w:left="0"/>
              <w:rPr>
                <w:rFonts w:ascii="Arial Narrow" w:hAnsi="Arial Narrow"/>
                <w:sz w:val="20"/>
                <w:szCs w:val="20"/>
              </w:rPr>
            </w:pPr>
            <w:r w:rsidRPr="0009073F">
              <w:rPr>
                <w:rFonts w:ascii="Arial Narrow" w:hAnsi="Arial Narrow"/>
                <w:i/>
                <w:sz w:val="20"/>
                <w:szCs w:val="20"/>
              </w:rPr>
              <w:t>United Kingdom</w:t>
            </w:r>
          </w:p>
        </w:tc>
      </w:tr>
      <w:tr w:rsidR="00B51828" w:rsidRPr="00DD28B6" w14:paraId="74665723" w14:textId="77777777" w:rsidTr="002101D2">
        <w:tc>
          <w:tcPr>
            <w:tcW w:w="477" w:type="pct"/>
          </w:tcPr>
          <w:p w14:paraId="563ED912" w14:textId="77777777" w:rsidR="00B51828" w:rsidRPr="00DD28B6" w:rsidRDefault="00B51828" w:rsidP="002101D2">
            <w:pPr>
              <w:spacing w:before="20" w:after="20"/>
              <w:ind w:left="0"/>
              <w:rPr>
                <w:rFonts w:ascii="Arial Narrow" w:hAnsi="Arial Narrow"/>
                <w:sz w:val="20"/>
                <w:szCs w:val="20"/>
              </w:rPr>
            </w:pPr>
            <w:r>
              <w:rPr>
                <w:rFonts w:ascii="Arial Narrow" w:hAnsi="Arial Narrow"/>
                <w:sz w:val="20"/>
                <w:szCs w:val="20"/>
              </w:rPr>
              <w:t>Gaudi 2013</w:t>
            </w:r>
          </w:p>
        </w:tc>
        <w:tc>
          <w:tcPr>
            <w:tcW w:w="2129" w:type="pct"/>
          </w:tcPr>
          <w:p w14:paraId="441A7DB3" w14:textId="77777777" w:rsidR="00B51828" w:rsidRPr="00DD28B6" w:rsidRDefault="00B51828" w:rsidP="002101D2">
            <w:pPr>
              <w:spacing w:before="20" w:after="20"/>
              <w:ind w:left="0"/>
              <w:rPr>
                <w:rFonts w:ascii="Arial Narrow" w:hAnsi="Arial Narrow"/>
                <w:sz w:val="20"/>
                <w:szCs w:val="20"/>
              </w:rPr>
            </w:pPr>
            <w:r w:rsidRPr="002731BD">
              <w:rPr>
                <w:rFonts w:ascii="Arial Narrow" w:hAnsi="Arial Narrow"/>
                <w:sz w:val="20"/>
                <w:szCs w:val="20"/>
              </w:rPr>
              <w:t xml:space="preserve">Gaudi S, Zarandona JM, Raab SS, English JC &amp; Jukic DM (2013). Discrepancies in dermatopathology diagnoses: The role of second review policies and dermatopathology fellowship training. </w:t>
            </w:r>
            <w:r w:rsidRPr="002731BD">
              <w:rPr>
                <w:rFonts w:ascii="Arial Narrow" w:hAnsi="Arial Narrow"/>
                <w:i/>
                <w:sz w:val="20"/>
                <w:szCs w:val="20"/>
              </w:rPr>
              <w:t>Journal of the American Academy of Dermatology,</w:t>
            </w:r>
            <w:r w:rsidRPr="002731BD">
              <w:rPr>
                <w:rFonts w:ascii="Arial Narrow" w:hAnsi="Arial Narrow"/>
                <w:sz w:val="20"/>
                <w:szCs w:val="20"/>
              </w:rPr>
              <w:t xml:space="preserve"> 68(1):119-128.</w:t>
            </w:r>
          </w:p>
        </w:tc>
        <w:tc>
          <w:tcPr>
            <w:tcW w:w="2394" w:type="pct"/>
          </w:tcPr>
          <w:p w14:paraId="4755270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all outside cases referred to a dermatopathology unit for expert consultation or mandatory second review during one calendar year.</w:t>
            </w:r>
          </w:p>
          <w:p w14:paraId="28C6F9B5" w14:textId="77777777" w:rsidR="00B51828" w:rsidRPr="00DD28B6" w:rsidRDefault="00B51828" w:rsidP="002101D2">
            <w:pPr>
              <w:spacing w:before="20" w:after="20"/>
              <w:ind w:left="0"/>
              <w:rPr>
                <w:rFonts w:ascii="Arial Narrow" w:hAnsi="Arial Narrow"/>
                <w:sz w:val="20"/>
                <w:szCs w:val="20"/>
              </w:rPr>
            </w:pPr>
            <w:r w:rsidRPr="009E401A">
              <w:rPr>
                <w:rFonts w:ascii="Arial Narrow" w:hAnsi="Arial Narrow"/>
                <w:i/>
                <w:sz w:val="20"/>
                <w:szCs w:val="20"/>
              </w:rPr>
              <w:t xml:space="preserve">United States </w:t>
            </w:r>
          </w:p>
        </w:tc>
      </w:tr>
      <w:tr w:rsidR="00B51828" w:rsidRPr="00DD28B6" w14:paraId="64A10853" w14:textId="77777777" w:rsidTr="002101D2">
        <w:tc>
          <w:tcPr>
            <w:tcW w:w="477" w:type="pct"/>
          </w:tcPr>
          <w:p w14:paraId="1529D75F" w14:textId="77777777" w:rsidR="00B51828" w:rsidRPr="00DD28B6" w:rsidRDefault="00B51828" w:rsidP="002101D2">
            <w:pPr>
              <w:spacing w:before="20" w:after="20"/>
              <w:ind w:left="0"/>
              <w:rPr>
                <w:rFonts w:ascii="Arial Narrow" w:hAnsi="Arial Narrow"/>
                <w:sz w:val="20"/>
                <w:szCs w:val="20"/>
              </w:rPr>
            </w:pPr>
            <w:r>
              <w:rPr>
                <w:rFonts w:ascii="Arial Narrow" w:hAnsi="Arial Narrow"/>
                <w:sz w:val="20"/>
                <w:szCs w:val="20"/>
              </w:rPr>
              <w:t>Hsu 2010</w:t>
            </w:r>
          </w:p>
        </w:tc>
        <w:tc>
          <w:tcPr>
            <w:tcW w:w="2129" w:type="pct"/>
          </w:tcPr>
          <w:p w14:paraId="01382285" w14:textId="77777777" w:rsidR="00B51828" w:rsidRPr="002731BD" w:rsidRDefault="00B51828" w:rsidP="002101D2">
            <w:pPr>
              <w:spacing w:before="20" w:after="20"/>
              <w:ind w:left="0"/>
              <w:rPr>
                <w:rFonts w:ascii="Arial Narrow" w:hAnsi="Arial Narrow"/>
                <w:sz w:val="20"/>
                <w:szCs w:val="20"/>
              </w:rPr>
            </w:pPr>
            <w:r w:rsidRPr="002731BD">
              <w:rPr>
                <w:rFonts w:ascii="Arial Narrow" w:hAnsi="Arial Narrow"/>
                <w:sz w:val="20"/>
                <w:szCs w:val="20"/>
              </w:rPr>
              <w:t xml:space="preserve">Hsu CY, Su IJ, Lin MC, Kuo TT, Jung SM &amp; Ho DMT (2010). Extra-departmental anatomic pathology expert consultation in Taiwan: A research grant supported 4-year experience. </w:t>
            </w:r>
            <w:r w:rsidRPr="002731BD">
              <w:rPr>
                <w:rFonts w:ascii="Arial Narrow" w:hAnsi="Arial Narrow"/>
                <w:i/>
                <w:sz w:val="20"/>
                <w:szCs w:val="20"/>
              </w:rPr>
              <w:t>Journal of Surgical Oncology,</w:t>
            </w:r>
            <w:r w:rsidRPr="002731BD">
              <w:rPr>
                <w:rFonts w:ascii="Arial Narrow" w:hAnsi="Arial Narrow"/>
                <w:sz w:val="20"/>
                <w:szCs w:val="20"/>
              </w:rPr>
              <w:t xml:space="preserve"> 101(5):430-435.</w:t>
            </w:r>
          </w:p>
          <w:p w14:paraId="6190F4F9" w14:textId="77777777" w:rsidR="00B51828" w:rsidRPr="00DD28B6" w:rsidRDefault="00B51828" w:rsidP="002101D2">
            <w:pPr>
              <w:spacing w:before="20" w:after="20"/>
              <w:ind w:left="0"/>
              <w:rPr>
                <w:rFonts w:ascii="Arial Narrow" w:hAnsi="Arial Narrow"/>
                <w:sz w:val="20"/>
                <w:szCs w:val="20"/>
              </w:rPr>
            </w:pPr>
          </w:p>
        </w:tc>
        <w:tc>
          <w:tcPr>
            <w:tcW w:w="2394" w:type="pct"/>
          </w:tcPr>
          <w:p w14:paraId="1112D83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multi-institutional review of consecutive cases sent for extra-departmental anatomic pathology consultation by Taiwan Society of Pathology (TSP) members from 2003 to 2006. TSP received research funding for EEO provided. Study does not include cases sent directly to Taiwan-based or overseas consultants.</w:t>
            </w:r>
          </w:p>
          <w:p w14:paraId="1AFC85AD" w14:textId="77777777" w:rsidR="00B51828" w:rsidRPr="00DD28B6" w:rsidRDefault="00B51828" w:rsidP="002101D2">
            <w:pPr>
              <w:spacing w:before="20" w:after="20"/>
              <w:ind w:left="0"/>
              <w:rPr>
                <w:rFonts w:ascii="Arial Narrow" w:hAnsi="Arial Narrow"/>
                <w:sz w:val="20"/>
                <w:szCs w:val="20"/>
              </w:rPr>
            </w:pPr>
            <w:r w:rsidRPr="007007D4">
              <w:rPr>
                <w:rFonts w:ascii="Arial Narrow" w:hAnsi="Arial Narrow"/>
                <w:i/>
                <w:sz w:val="20"/>
                <w:szCs w:val="20"/>
              </w:rPr>
              <w:t>Taiwan</w:t>
            </w:r>
          </w:p>
        </w:tc>
      </w:tr>
      <w:tr w:rsidR="00B51828" w:rsidRPr="00DD28B6" w14:paraId="619F78C5" w14:textId="77777777" w:rsidTr="002101D2">
        <w:tc>
          <w:tcPr>
            <w:tcW w:w="477" w:type="pct"/>
          </w:tcPr>
          <w:p w14:paraId="10C94720" w14:textId="77777777" w:rsidR="00B51828" w:rsidRPr="00DD28B6" w:rsidRDefault="00B51828" w:rsidP="002101D2">
            <w:pPr>
              <w:spacing w:before="20" w:after="20"/>
              <w:ind w:left="0"/>
              <w:rPr>
                <w:rFonts w:ascii="Arial Narrow" w:hAnsi="Arial Narrow"/>
                <w:sz w:val="20"/>
                <w:szCs w:val="20"/>
              </w:rPr>
            </w:pPr>
            <w:r>
              <w:rPr>
                <w:rFonts w:ascii="Arial Narrow" w:hAnsi="Arial Narrow"/>
                <w:sz w:val="20"/>
                <w:szCs w:val="20"/>
              </w:rPr>
              <w:t>Hutton Klein 2010</w:t>
            </w:r>
          </w:p>
        </w:tc>
        <w:tc>
          <w:tcPr>
            <w:tcW w:w="2129" w:type="pct"/>
          </w:tcPr>
          <w:p w14:paraId="14BA4A7A" w14:textId="77777777" w:rsidR="00B51828" w:rsidRPr="002731BD" w:rsidRDefault="00B51828" w:rsidP="002101D2">
            <w:pPr>
              <w:spacing w:before="20" w:after="20"/>
              <w:ind w:left="0"/>
              <w:rPr>
                <w:rFonts w:ascii="Arial Narrow" w:hAnsi="Arial Narrow"/>
                <w:sz w:val="20"/>
                <w:szCs w:val="20"/>
              </w:rPr>
            </w:pPr>
            <w:r w:rsidRPr="002731BD">
              <w:rPr>
                <w:rFonts w:ascii="Arial Narrow" w:hAnsi="Arial Narrow"/>
                <w:sz w:val="20"/>
                <w:szCs w:val="20"/>
              </w:rPr>
              <w:t xml:space="preserve">Hutton Klein JR, Tazelaar HD, Leslie KO &amp; Colby TV (2010). One hundred consecutive granulomas in a pulmonary pathology consultation practice. </w:t>
            </w:r>
            <w:r w:rsidRPr="002731BD">
              <w:rPr>
                <w:rFonts w:ascii="Arial Narrow" w:hAnsi="Arial Narrow"/>
                <w:i/>
                <w:sz w:val="20"/>
                <w:szCs w:val="20"/>
              </w:rPr>
              <w:t>The American journal of surgical pathology,</w:t>
            </w:r>
            <w:r w:rsidRPr="002731BD">
              <w:rPr>
                <w:rFonts w:ascii="Arial Narrow" w:hAnsi="Arial Narrow"/>
                <w:sz w:val="20"/>
                <w:szCs w:val="20"/>
              </w:rPr>
              <w:t xml:space="preserve"> 34(10):1456-1464.</w:t>
            </w:r>
          </w:p>
          <w:p w14:paraId="49C7F878" w14:textId="77777777" w:rsidR="00B51828" w:rsidRPr="00DD28B6" w:rsidRDefault="00B51828" w:rsidP="002101D2">
            <w:pPr>
              <w:spacing w:before="20" w:after="20"/>
              <w:ind w:left="0"/>
              <w:rPr>
                <w:rFonts w:ascii="Arial Narrow" w:hAnsi="Arial Narrow"/>
                <w:sz w:val="20"/>
                <w:szCs w:val="20"/>
              </w:rPr>
            </w:pPr>
          </w:p>
        </w:tc>
        <w:tc>
          <w:tcPr>
            <w:tcW w:w="2394" w:type="pct"/>
          </w:tcPr>
          <w:p w14:paraId="1793FEB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study of 100 consecutive lung biopsies referred to a pulmonary pathology consultation service by a pathologist or clinician over a 7-week period in 2008.</w:t>
            </w:r>
          </w:p>
          <w:p w14:paraId="23A08F20" w14:textId="77777777" w:rsidR="00B51828" w:rsidRPr="00FC6568" w:rsidRDefault="00B51828" w:rsidP="002101D2">
            <w:pPr>
              <w:spacing w:before="20" w:after="20"/>
              <w:ind w:left="0"/>
              <w:rPr>
                <w:rFonts w:ascii="Arial Narrow" w:hAnsi="Arial Narrow"/>
                <w:i/>
                <w:sz w:val="20"/>
                <w:szCs w:val="20"/>
              </w:rPr>
            </w:pPr>
            <w:r w:rsidRPr="00B33D3E">
              <w:rPr>
                <w:rFonts w:ascii="Arial Narrow" w:hAnsi="Arial Narrow"/>
                <w:i/>
                <w:sz w:val="20"/>
                <w:szCs w:val="20"/>
              </w:rPr>
              <w:t>United States</w:t>
            </w:r>
          </w:p>
        </w:tc>
      </w:tr>
      <w:tr w:rsidR="00B51828" w14:paraId="0AD31A89" w14:textId="77777777" w:rsidTr="002101D2">
        <w:tc>
          <w:tcPr>
            <w:tcW w:w="477" w:type="pct"/>
          </w:tcPr>
          <w:p w14:paraId="3DE8F59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Jones 2010</w:t>
            </w:r>
          </w:p>
        </w:tc>
        <w:tc>
          <w:tcPr>
            <w:tcW w:w="2129" w:type="pct"/>
          </w:tcPr>
          <w:p w14:paraId="2D23258F" w14:textId="77777777" w:rsidR="00B51828" w:rsidRPr="002731BD" w:rsidRDefault="00B51828" w:rsidP="002101D2">
            <w:pPr>
              <w:spacing w:before="20" w:after="20"/>
              <w:ind w:left="0"/>
              <w:rPr>
                <w:rFonts w:ascii="Arial Narrow" w:hAnsi="Arial Narrow"/>
                <w:sz w:val="20"/>
                <w:szCs w:val="20"/>
              </w:rPr>
            </w:pPr>
            <w:r w:rsidRPr="002731BD">
              <w:rPr>
                <w:rFonts w:ascii="Arial Narrow" w:hAnsi="Arial Narrow"/>
                <w:sz w:val="20"/>
                <w:szCs w:val="20"/>
              </w:rPr>
              <w:t xml:space="preserve">Jones K &amp; Jordan RCK (2010). Patterns of second-opinion diagnosis in oral and maxillofacial pathology. </w:t>
            </w:r>
            <w:r w:rsidRPr="002731BD">
              <w:rPr>
                <w:rFonts w:ascii="Arial Narrow" w:hAnsi="Arial Narrow"/>
                <w:i/>
                <w:sz w:val="20"/>
                <w:szCs w:val="20"/>
              </w:rPr>
              <w:t>Oral Surgery, Oral Medicine, Oral Pathology, Oral Radiology and Endodontology,</w:t>
            </w:r>
            <w:r w:rsidRPr="002731BD">
              <w:rPr>
                <w:rFonts w:ascii="Arial Narrow" w:hAnsi="Arial Narrow"/>
                <w:sz w:val="20"/>
                <w:szCs w:val="20"/>
              </w:rPr>
              <w:t xml:space="preserve"> 109(6):865-869.</w:t>
            </w:r>
          </w:p>
          <w:p w14:paraId="3864A828" w14:textId="77777777" w:rsidR="00B51828" w:rsidRDefault="00B51828" w:rsidP="002101D2">
            <w:pPr>
              <w:spacing w:before="20" w:after="20"/>
              <w:ind w:left="0"/>
              <w:rPr>
                <w:rFonts w:ascii="Arial Narrow" w:hAnsi="Arial Narrow"/>
                <w:sz w:val="20"/>
                <w:szCs w:val="20"/>
              </w:rPr>
            </w:pPr>
          </w:p>
        </w:tc>
        <w:tc>
          <w:tcPr>
            <w:tcW w:w="2394" w:type="pct"/>
          </w:tcPr>
          <w:p w14:paraId="0893CBC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consecutive cases referred to an oral and maxillofacial pathology consultation practice in a 24-month period in 2007-2008. Excluded intra-institutional referrals and referrals from oral and maxillofacial pathologists (OMPs).</w:t>
            </w:r>
          </w:p>
          <w:p w14:paraId="28FCF1C0" w14:textId="77777777" w:rsidR="00B51828" w:rsidRDefault="00B51828" w:rsidP="002101D2">
            <w:pPr>
              <w:spacing w:before="20" w:after="20"/>
              <w:ind w:left="0"/>
              <w:rPr>
                <w:rFonts w:ascii="Arial Narrow" w:hAnsi="Arial Narrow"/>
                <w:sz w:val="20"/>
                <w:szCs w:val="20"/>
              </w:rPr>
            </w:pPr>
            <w:r w:rsidRPr="009743FA">
              <w:rPr>
                <w:rFonts w:ascii="Arial Narrow" w:hAnsi="Arial Narrow"/>
                <w:i/>
                <w:sz w:val="20"/>
                <w:szCs w:val="20"/>
              </w:rPr>
              <w:t>United States</w:t>
            </w:r>
          </w:p>
        </w:tc>
      </w:tr>
      <w:tr w:rsidR="00B51828" w14:paraId="6E972DC4" w14:textId="77777777" w:rsidTr="002101D2">
        <w:tc>
          <w:tcPr>
            <w:tcW w:w="477" w:type="pct"/>
          </w:tcPr>
          <w:p w14:paraId="5FADADB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Ray-Coquard 2012</w:t>
            </w:r>
          </w:p>
        </w:tc>
        <w:tc>
          <w:tcPr>
            <w:tcW w:w="2129" w:type="pct"/>
          </w:tcPr>
          <w:p w14:paraId="24ED5AC9" w14:textId="77777777" w:rsidR="00B51828" w:rsidRPr="002731BD" w:rsidRDefault="00B51828" w:rsidP="002101D2">
            <w:pPr>
              <w:spacing w:before="20" w:after="20"/>
              <w:ind w:left="0"/>
              <w:rPr>
                <w:rFonts w:ascii="Arial Narrow" w:hAnsi="Arial Narrow"/>
                <w:sz w:val="20"/>
                <w:szCs w:val="20"/>
              </w:rPr>
            </w:pPr>
            <w:r w:rsidRPr="002731BD">
              <w:rPr>
                <w:rFonts w:ascii="Arial Narrow" w:hAnsi="Arial Narrow"/>
                <w:sz w:val="20"/>
                <w:szCs w:val="20"/>
              </w:rPr>
              <w:t>Ray-coquard I, Montesco MC, Coindre JM, Dei tos AP, Lurkin A, Ranchere-vince D, et al. (2012). Sarcoma: Concordance between initial diagnosis and centralized expert review in a population-based study within three European regions. Annals of Oncology, 23(9):2442-2449.</w:t>
            </w:r>
          </w:p>
          <w:p w14:paraId="40C091AF" w14:textId="77777777" w:rsidR="00B51828" w:rsidRPr="002731BD" w:rsidRDefault="00B51828" w:rsidP="002101D2">
            <w:pPr>
              <w:rPr>
                <w:rFonts w:ascii="Arial Narrow" w:hAnsi="Arial Narrow"/>
                <w:sz w:val="20"/>
                <w:szCs w:val="20"/>
              </w:rPr>
            </w:pPr>
          </w:p>
        </w:tc>
        <w:tc>
          <w:tcPr>
            <w:tcW w:w="2394" w:type="pct"/>
          </w:tcPr>
          <w:p w14:paraId="36A1B70C" w14:textId="6C0F9AEE"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review of 1463 cases of soft tissue or visceral sarcoma reviewed by expert pathologists between 2005 and 2008. The study included cases referred for expert SO at the request of the initial ‘non</w:t>
            </w:r>
            <w:r w:rsidR="00DB23AB">
              <w:rPr>
                <w:rFonts w:ascii="Arial Narrow" w:hAnsi="Arial Narrow"/>
                <w:sz w:val="20"/>
                <w:szCs w:val="20"/>
              </w:rPr>
              <w:t>-expert</w:t>
            </w:r>
            <w:r>
              <w:rPr>
                <w:rFonts w:ascii="Arial Narrow" w:hAnsi="Arial Narrow"/>
                <w:sz w:val="20"/>
                <w:szCs w:val="20"/>
              </w:rPr>
              <w:t>’ pathologist and also cases in which the initial ‘non</w:t>
            </w:r>
            <w:r w:rsidR="00DB23AB">
              <w:rPr>
                <w:rFonts w:ascii="Arial Narrow" w:hAnsi="Arial Narrow"/>
                <w:sz w:val="20"/>
                <w:szCs w:val="20"/>
              </w:rPr>
              <w:t>-expert</w:t>
            </w:r>
            <w:r>
              <w:rPr>
                <w:rFonts w:ascii="Arial Narrow" w:hAnsi="Arial Narrow"/>
                <w:sz w:val="20"/>
                <w:szCs w:val="20"/>
              </w:rPr>
              <w:t>’ pathologist did not request confirmation of diagnosis and whose findings were reviewed in the context of the study.</w:t>
            </w:r>
          </w:p>
          <w:p w14:paraId="74F82458"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France</w:t>
            </w:r>
          </w:p>
        </w:tc>
      </w:tr>
      <w:tr w:rsidR="00B51828" w14:paraId="203CD9BB" w14:textId="77777777" w:rsidTr="002101D2">
        <w:tc>
          <w:tcPr>
            <w:tcW w:w="477" w:type="pct"/>
          </w:tcPr>
          <w:p w14:paraId="38C3A45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Tavora 2009</w:t>
            </w:r>
          </w:p>
        </w:tc>
        <w:tc>
          <w:tcPr>
            <w:tcW w:w="2129" w:type="pct"/>
          </w:tcPr>
          <w:p w14:paraId="4483E230" w14:textId="77777777" w:rsidR="00B51828" w:rsidRPr="002731BD" w:rsidRDefault="00B51828" w:rsidP="002101D2">
            <w:pPr>
              <w:keepNext/>
              <w:spacing w:before="20" w:after="20"/>
              <w:ind w:left="0"/>
              <w:rPr>
                <w:rFonts w:ascii="Arial Narrow" w:hAnsi="Arial Narrow"/>
                <w:sz w:val="20"/>
                <w:szCs w:val="20"/>
              </w:rPr>
            </w:pPr>
            <w:r w:rsidRPr="002731BD">
              <w:rPr>
                <w:rFonts w:ascii="Arial Narrow" w:hAnsi="Arial Narrow"/>
                <w:sz w:val="20"/>
                <w:szCs w:val="20"/>
              </w:rPr>
              <w:t xml:space="preserve">Tavora F, Fajardo DA, Lee TK, Lotan T, Miller JS, Miyamoto H, et al. (2009). Small endoscopic biopsies of the ureter and renal pelvis: Pathologic pitfalls. </w:t>
            </w:r>
            <w:r w:rsidRPr="002731BD">
              <w:rPr>
                <w:rFonts w:ascii="Arial Narrow" w:hAnsi="Arial Narrow"/>
                <w:i/>
                <w:sz w:val="20"/>
                <w:szCs w:val="20"/>
              </w:rPr>
              <w:t>American Journal of Surgical Pathology,</w:t>
            </w:r>
            <w:r w:rsidRPr="002731BD">
              <w:rPr>
                <w:rFonts w:ascii="Arial Narrow" w:hAnsi="Arial Narrow"/>
                <w:sz w:val="20"/>
                <w:szCs w:val="20"/>
              </w:rPr>
              <w:t xml:space="preserve"> 33(10):1540-1546.</w:t>
            </w:r>
          </w:p>
          <w:p w14:paraId="128923B5" w14:textId="77777777" w:rsidR="00B51828" w:rsidRDefault="00B51828" w:rsidP="002101D2">
            <w:pPr>
              <w:keepNext/>
              <w:spacing w:before="20" w:after="20"/>
              <w:ind w:left="0"/>
              <w:rPr>
                <w:rFonts w:ascii="Arial Narrow" w:hAnsi="Arial Narrow"/>
                <w:sz w:val="20"/>
                <w:szCs w:val="20"/>
              </w:rPr>
            </w:pPr>
          </w:p>
        </w:tc>
        <w:tc>
          <w:tcPr>
            <w:tcW w:w="2394" w:type="pct"/>
          </w:tcPr>
          <w:p w14:paraId="322B892F"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Retrospective review of 76 consecutive biopsies of the mid-upper ureter and renal pelvis submitted for expert consultation at The John Hopkins Hospital from 2004 to 2009.</w:t>
            </w:r>
          </w:p>
          <w:p w14:paraId="4B3A8CEA" w14:textId="77777777" w:rsidR="00B51828" w:rsidRDefault="00B51828" w:rsidP="002101D2">
            <w:pPr>
              <w:keepNext/>
              <w:spacing w:before="20" w:after="20"/>
              <w:ind w:left="0"/>
              <w:rPr>
                <w:rFonts w:ascii="Arial Narrow" w:hAnsi="Arial Narrow"/>
                <w:sz w:val="20"/>
                <w:szCs w:val="20"/>
              </w:rPr>
            </w:pPr>
            <w:r>
              <w:rPr>
                <w:rFonts w:ascii="Arial Narrow" w:hAnsi="Arial Narrow"/>
                <w:i/>
                <w:sz w:val="20"/>
                <w:szCs w:val="20"/>
              </w:rPr>
              <w:t>United States</w:t>
            </w:r>
          </w:p>
        </w:tc>
      </w:tr>
      <w:tr w:rsidR="00B51828" w14:paraId="167CEA5D" w14:textId="77777777" w:rsidTr="002101D2">
        <w:tc>
          <w:tcPr>
            <w:tcW w:w="477" w:type="pct"/>
          </w:tcPr>
          <w:p w14:paraId="5979A3E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van Dijk 2008</w:t>
            </w:r>
          </w:p>
        </w:tc>
        <w:tc>
          <w:tcPr>
            <w:tcW w:w="2129" w:type="pct"/>
          </w:tcPr>
          <w:p w14:paraId="2A921EB4" w14:textId="77777777" w:rsidR="00B51828" w:rsidRPr="002731BD" w:rsidRDefault="00B51828" w:rsidP="002101D2">
            <w:pPr>
              <w:spacing w:before="20" w:after="20"/>
              <w:ind w:left="0"/>
              <w:rPr>
                <w:rFonts w:ascii="Arial Narrow" w:hAnsi="Arial Narrow"/>
                <w:sz w:val="20"/>
                <w:szCs w:val="20"/>
              </w:rPr>
            </w:pPr>
            <w:r w:rsidRPr="002731BD">
              <w:rPr>
                <w:rFonts w:ascii="Arial Narrow" w:hAnsi="Arial Narrow"/>
                <w:sz w:val="20"/>
                <w:szCs w:val="20"/>
              </w:rPr>
              <w:t xml:space="preserve">Van Dijk MCRF, Aben KKH, Van Hees F, Klaasen A, Blokx WAM, Kiemeney LALM, et al. (2008). Expert review remains important in the histopathological diagnosis of cutaneous melanocytic lesions. </w:t>
            </w:r>
            <w:r w:rsidRPr="002731BD">
              <w:rPr>
                <w:rFonts w:ascii="Arial Narrow" w:hAnsi="Arial Narrow"/>
                <w:i/>
                <w:sz w:val="20"/>
                <w:szCs w:val="20"/>
              </w:rPr>
              <w:t>Histopathology,</w:t>
            </w:r>
            <w:r w:rsidRPr="002731BD">
              <w:rPr>
                <w:rFonts w:ascii="Arial Narrow" w:hAnsi="Arial Narrow"/>
                <w:sz w:val="20"/>
                <w:szCs w:val="20"/>
              </w:rPr>
              <w:t xml:space="preserve"> 52(2):139-146.</w:t>
            </w:r>
          </w:p>
          <w:p w14:paraId="42B098F0" w14:textId="77777777" w:rsidR="00B51828" w:rsidRDefault="00B51828" w:rsidP="002101D2">
            <w:pPr>
              <w:spacing w:before="20" w:after="20"/>
              <w:ind w:left="0"/>
              <w:rPr>
                <w:rFonts w:ascii="Arial Narrow" w:hAnsi="Arial Narrow"/>
                <w:sz w:val="20"/>
                <w:szCs w:val="20"/>
              </w:rPr>
            </w:pPr>
          </w:p>
        </w:tc>
        <w:tc>
          <w:tcPr>
            <w:tcW w:w="2394" w:type="pct"/>
          </w:tcPr>
          <w:p w14:paraId="0BE7F5D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1887 lesions sent to the pathology panel of the Dutch Melanoma Working Group for voluntary expert review between 1991 and 2004. Fifty lesions were not diagnosed as cutaneous melanocytic lesions and were subsequently excluded from the study.</w:t>
            </w:r>
          </w:p>
          <w:p w14:paraId="5CCF4452"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The Netherlands</w:t>
            </w:r>
          </w:p>
        </w:tc>
      </w:tr>
      <w:tr w:rsidR="00B51828" w14:paraId="521F8D95" w14:textId="77777777" w:rsidTr="002101D2">
        <w:tc>
          <w:tcPr>
            <w:tcW w:w="477" w:type="pct"/>
          </w:tcPr>
          <w:p w14:paraId="5137ACD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Veenhuizen 1997</w:t>
            </w:r>
          </w:p>
        </w:tc>
        <w:tc>
          <w:tcPr>
            <w:tcW w:w="2129" w:type="pct"/>
          </w:tcPr>
          <w:p w14:paraId="5FEE1FF3" w14:textId="77777777" w:rsidR="00B51828" w:rsidRPr="002731BD" w:rsidRDefault="00B51828" w:rsidP="002101D2">
            <w:pPr>
              <w:spacing w:before="20" w:after="20"/>
              <w:ind w:left="0"/>
              <w:rPr>
                <w:rFonts w:ascii="Arial Narrow" w:hAnsi="Arial Narrow"/>
                <w:sz w:val="20"/>
                <w:szCs w:val="20"/>
              </w:rPr>
            </w:pPr>
            <w:r w:rsidRPr="002731BD">
              <w:rPr>
                <w:rFonts w:ascii="Arial Narrow" w:hAnsi="Arial Narrow"/>
                <w:sz w:val="20"/>
                <w:szCs w:val="20"/>
              </w:rPr>
              <w:t xml:space="preserve">Veenhuizen KCW, De Wit PEJ, Mooi WJ, Scheffer E, Verbeek ALM &amp; Ruiter DJ (1997). Quality assessment by expert opinion in melanoma pathology: Experience of the Pathology Panel of the Dutch Melanoma Working Party. </w:t>
            </w:r>
            <w:r w:rsidRPr="002731BD">
              <w:rPr>
                <w:rFonts w:ascii="Arial Narrow" w:hAnsi="Arial Narrow"/>
                <w:i/>
                <w:sz w:val="20"/>
                <w:szCs w:val="20"/>
              </w:rPr>
              <w:t>Journal of Pathology,</w:t>
            </w:r>
            <w:r w:rsidRPr="002731BD">
              <w:rPr>
                <w:rFonts w:ascii="Arial Narrow" w:hAnsi="Arial Narrow"/>
                <w:sz w:val="20"/>
                <w:szCs w:val="20"/>
              </w:rPr>
              <w:t xml:space="preserve"> 182(3):266-272.</w:t>
            </w:r>
          </w:p>
          <w:p w14:paraId="4D4C8C70" w14:textId="77777777" w:rsidR="00B51828" w:rsidRDefault="00B51828" w:rsidP="002101D2">
            <w:pPr>
              <w:spacing w:before="20" w:after="20"/>
              <w:ind w:left="0"/>
              <w:rPr>
                <w:rFonts w:ascii="Arial Narrow" w:hAnsi="Arial Narrow"/>
                <w:sz w:val="20"/>
                <w:szCs w:val="20"/>
              </w:rPr>
            </w:pPr>
          </w:p>
        </w:tc>
        <w:tc>
          <w:tcPr>
            <w:tcW w:w="2394" w:type="pct"/>
          </w:tcPr>
          <w:p w14:paraId="0CB4726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1069 consecutive lesions sent to the pathology panel of the Dutch Melanoma Working Group for expert review between 1992 and 1994. Cases were referred from hospitals and institutes throughout The Netherlands and from some pathologists abroad.</w:t>
            </w:r>
          </w:p>
          <w:p w14:paraId="019527AB"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The Netherlands</w:t>
            </w:r>
          </w:p>
        </w:tc>
      </w:tr>
      <w:tr w:rsidR="00B51828" w14:paraId="6557C3AD" w14:textId="77777777" w:rsidTr="002101D2">
        <w:tc>
          <w:tcPr>
            <w:tcW w:w="477" w:type="pct"/>
            <w:shd w:val="clear" w:color="auto" w:fill="BFBFBF" w:themeFill="background1" w:themeFillShade="BF"/>
          </w:tcPr>
          <w:p w14:paraId="1F876B64" w14:textId="77777777" w:rsidR="00B51828" w:rsidRPr="004F1A4F" w:rsidRDefault="00B51828" w:rsidP="002101D2">
            <w:pPr>
              <w:spacing w:before="20" w:after="20"/>
              <w:ind w:left="0"/>
              <w:rPr>
                <w:rFonts w:ascii="Arial Narrow" w:hAnsi="Arial Narrow"/>
                <w:i/>
                <w:sz w:val="20"/>
                <w:szCs w:val="20"/>
              </w:rPr>
            </w:pPr>
            <w:r>
              <w:rPr>
                <w:rFonts w:ascii="Arial Narrow" w:hAnsi="Arial Narrow"/>
                <w:i/>
                <w:sz w:val="20"/>
                <w:szCs w:val="20"/>
              </w:rPr>
              <w:t>Scenario 2</w:t>
            </w:r>
          </w:p>
        </w:tc>
        <w:tc>
          <w:tcPr>
            <w:tcW w:w="2129" w:type="pct"/>
            <w:shd w:val="clear" w:color="auto" w:fill="BFBFBF" w:themeFill="background1" w:themeFillShade="BF"/>
          </w:tcPr>
          <w:p w14:paraId="292FAD9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2394" w:type="pct"/>
            <w:shd w:val="clear" w:color="auto" w:fill="BFBFBF" w:themeFill="background1" w:themeFillShade="BF"/>
          </w:tcPr>
          <w:p w14:paraId="2523B15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14:paraId="2B9FE97C" w14:textId="77777777" w:rsidTr="002101D2">
        <w:tc>
          <w:tcPr>
            <w:tcW w:w="477" w:type="pct"/>
          </w:tcPr>
          <w:p w14:paraId="72FAB8F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Ahmed 2004</w:t>
            </w:r>
          </w:p>
        </w:tc>
        <w:tc>
          <w:tcPr>
            <w:tcW w:w="2129" w:type="pct"/>
          </w:tcPr>
          <w:p w14:paraId="17968B8A" w14:textId="77777777" w:rsidR="00B51828" w:rsidRDefault="00B51828" w:rsidP="002101D2">
            <w:pPr>
              <w:spacing w:before="20" w:after="20"/>
              <w:ind w:left="0"/>
              <w:rPr>
                <w:rFonts w:ascii="Arial Narrow" w:hAnsi="Arial Narrow"/>
                <w:sz w:val="20"/>
                <w:szCs w:val="20"/>
              </w:rPr>
            </w:pPr>
            <w:r w:rsidRPr="00FC6568">
              <w:rPr>
                <w:rFonts w:ascii="Arial Narrow" w:hAnsi="Arial Narrow"/>
                <w:sz w:val="20"/>
                <w:szCs w:val="20"/>
              </w:rPr>
              <w:t xml:space="preserve">Ahmed Z, Yaqoob N, Muzaffar S, Kayani N, Pervez S &amp; Hasan SH (2004). Diagnostic surgical pathology: The importance of second opinion in a developing country. </w:t>
            </w:r>
            <w:r w:rsidRPr="00FC6568">
              <w:rPr>
                <w:rFonts w:ascii="Arial Narrow" w:hAnsi="Arial Narrow"/>
                <w:i/>
                <w:sz w:val="20"/>
                <w:szCs w:val="20"/>
              </w:rPr>
              <w:t>Journal of the Pakistan Medical Association,</w:t>
            </w:r>
            <w:r>
              <w:rPr>
                <w:rFonts w:ascii="Arial Narrow" w:hAnsi="Arial Narrow"/>
                <w:sz w:val="20"/>
                <w:szCs w:val="20"/>
              </w:rPr>
              <w:t xml:space="preserve"> 54(6):306-311.</w:t>
            </w:r>
          </w:p>
        </w:tc>
        <w:tc>
          <w:tcPr>
            <w:tcW w:w="2394" w:type="pct"/>
          </w:tcPr>
          <w:p w14:paraId="0573DC6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study of all consecutive cases referred to a major referral centre for EEO in a 9-month period 2001 to 2002. Cases excluded if no initial diagnosis provided.</w:t>
            </w:r>
          </w:p>
          <w:p w14:paraId="48DB9996" w14:textId="77777777" w:rsidR="00B51828" w:rsidRDefault="00B51828" w:rsidP="002101D2">
            <w:pPr>
              <w:spacing w:before="20" w:after="20"/>
              <w:ind w:left="0"/>
              <w:rPr>
                <w:rFonts w:ascii="Arial Narrow" w:hAnsi="Arial Narrow"/>
                <w:sz w:val="20"/>
                <w:szCs w:val="20"/>
              </w:rPr>
            </w:pPr>
            <w:r w:rsidRPr="0082484A">
              <w:rPr>
                <w:rFonts w:ascii="Arial Narrow" w:hAnsi="Arial Narrow"/>
                <w:i/>
                <w:sz w:val="20"/>
                <w:szCs w:val="20"/>
              </w:rPr>
              <w:t>Pakistan</w:t>
            </w:r>
          </w:p>
        </w:tc>
      </w:tr>
      <w:tr w:rsidR="00B51828" w14:paraId="475B41CD" w14:textId="77777777" w:rsidTr="002101D2">
        <w:tc>
          <w:tcPr>
            <w:tcW w:w="477" w:type="pct"/>
          </w:tcPr>
          <w:p w14:paraId="30CCF34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Bruner 1997</w:t>
            </w:r>
          </w:p>
        </w:tc>
        <w:tc>
          <w:tcPr>
            <w:tcW w:w="2129" w:type="pct"/>
          </w:tcPr>
          <w:p w14:paraId="419E5565" w14:textId="77777777" w:rsidR="00B51828" w:rsidRPr="00FC6568" w:rsidRDefault="00B51828" w:rsidP="002101D2">
            <w:pPr>
              <w:spacing w:before="20" w:after="20"/>
              <w:ind w:left="0"/>
              <w:rPr>
                <w:rFonts w:ascii="Arial Narrow" w:hAnsi="Arial Narrow"/>
                <w:sz w:val="20"/>
                <w:szCs w:val="20"/>
              </w:rPr>
            </w:pPr>
            <w:r w:rsidRPr="00FC6568">
              <w:rPr>
                <w:rFonts w:ascii="Arial Narrow" w:hAnsi="Arial Narrow"/>
                <w:sz w:val="20"/>
                <w:szCs w:val="20"/>
              </w:rPr>
              <w:t xml:space="preserve">Bruner JM, Inouye L, Fuller GN &amp; Langford LA (1997). Diagnostic discrepancies and their clinical impact in a neuropathology referral practice. </w:t>
            </w:r>
            <w:r w:rsidRPr="00FC6568">
              <w:rPr>
                <w:rFonts w:ascii="Arial Narrow" w:hAnsi="Arial Narrow"/>
                <w:i/>
                <w:sz w:val="20"/>
                <w:szCs w:val="20"/>
              </w:rPr>
              <w:t>Cancer,</w:t>
            </w:r>
            <w:r w:rsidRPr="00FC6568">
              <w:rPr>
                <w:rFonts w:ascii="Arial Narrow" w:hAnsi="Arial Narrow"/>
                <w:sz w:val="20"/>
                <w:szCs w:val="20"/>
              </w:rPr>
              <w:t xml:space="preserve"> 79(4):796-803.</w:t>
            </w:r>
          </w:p>
          <w:p w14:paraId="723ED2AA" w14:textId="77777777" w:rsidR="00B51828" w:rsidRDefault="00B51828" w:rsidP="002101D2">
            <w:pPr>
              <w:spacing w:before="20" w:after="20"/>
              <w:ind w:left="0"/>
              <w:rPr>
                <w:rFonts w:ascii="Arial Narrow" w:hAnsi="Arial Narrow"/>
                <w:sz w:val="20"/>
                <w:szCs w:val="20"/>
              </w:rPr>
            </w:pPr>
          </w:p>
        </w:tc>
        <w:tc>
          <w:tcPr>
            <w:tcW w:w="2394" w:type="pct"/>
          </w:tcPr>
          <w:p w14:paraId="6F24AED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500 consecutive brain and spinal cord biopsies referred to a neuropathology consultation service for review (referred patient cases) or EEO in 1995.</w:t>
            </w:r>
          </w:p>
          <w:p w14:paraId="6D53EA95" w14:textId="77777777" w:rsidR="00B51828" w:rsidRDefault="00B51828" w:rsidP="002101D2">
            <w:pPr>
              <w:spacing w:before="20" w:after="20"/>
              <w:ind w:left="0"/>
              <w:rPr>
                <w:rFonts w:ascii="Arial Narrow" w:hAnsi="Arial Narrow"/>
                <w:sz w:val="20"/>
                <w:szCs w:val="20"/>
              </w:rPr>
            </w:pPr>
            <w:r w:rsidRPr="009E401A">
              <w:rPr>
                <w:rFonts w:ascii="Arial Narrow" w:hAnsi="Arial Narrow"/>
                <w:i/>
                <w:sz w:val="20"/>
                <w:szCs w:val="20"/>
              </w:rPr>
              <w:t>United States</w:t>
            </w:r>
          </w:p>
        </w:tc>
      </w:tr>
      <w:tr w:rsidR="00B51828" w14:paraId="7C3D1F34" w14:textId="77777777" w:rsidTr="002101D2">
        <w:tc>
          <w:tcPr>
            <w:tcW w:w="477" w:type="pct"/>
          </w:tcPr>
          <w:p w14:paraId="12F8301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Chan 2005</w:t>
            </w:r>
          </w:p>
        </w:tc>
        <w:tc>
          <w:tcPr>
            <w:tcW w:w="2129" w:type="pct"/>
          </w:tcPr>
          <w:p w14:paraId="5658A071" w14:textId="77777777" w:rsidR="00B51828" w:rsidRPr="00FC6568" w:rsidRDefault="00B51828" w:rsidP="002101D2">
            <w:pPr>
              <w:spacing w:before="20" w:after="20"/>
              <w:ind w:left="0"/>
              <w:rPr>
                <w:rFonts w:ascii="Arial Narrow" w:hAnsi="Arial Narrow"/>
                <w:sz w:val="20"/>
                <w:szCs w:val="20"/>
              </w:rPr>
            </w:pPr>
            <w:r w:rsidRPr="00FC6568">
              <w:rPr>
                <w:rFonts w:ascii="Arial Narrow" w:hAnsi="Arial Narrow"/>
                <w:sz w:val="20"/>
                <w:szCs w:val="20"/>
              </w:rPr>
              <w:t xml:space="preserve">Chan TY &amp; Epstein JI (2005). Patient and urologist driven second opinion of prostate needle biopsies. </w:t>
            </w:r>
            <w:r w:rsidRPr="00FC6568">
              <w:rPr>
                <w:rFonts w:ascii="Arial Narrow" w:hAnsi="Arial Narrow"/>
                <w:i/>
                <w:sz w:val="20"/>
                <w:szCs w:val="20"/>
              </w:rPr>
              <w:t>Journal of Urology,</w:t>
            </w:r>
            <w:r w:rsidRPr="00FC6568">
              <w:rPr>
                <w:rFonts w:ascii="Arial Narrow" w:hAnsi="Arial Narrow"/>
                <w:sz w:val="20"/>
                <w:szCs w:val="20"/>
              </w:rPr>
              <w:t xml:space="preserve"> 174(4 I):1390-1394.</w:t>
            </w:r>
          </w:p>
          <w:p w14:paraId="210FE598" w14:textId="77777777" w:rsidR="00B51828" w:rsidRDefault="00B51828" w:rsidP="002101D2">
            <w:pPr>
              <w:spacing w:before="20" w:after="20"/>
              <w:ind w:left="0"/>
              <w:rPr>
                <w:rFonts w:ascii="Arial Narrow" w:hAnsi="Arial Narrow"/>
                <w:sz w:val="20"/>
                <w:szCs w:val="20"/>
              </w:rPr>
            </w:pPr>
          </w:p>
        </w:tc>
        <w:tc>
          <w:tcPr>
            <w:tcW w:w="2394" w:type="pct"/>
          </w:tcPr>
          <w:p w14:paraId="79E7CA3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all prostate needle biopsies sent for expert consultation at the request of a patient or urologist over a 6-month period in 2001.</w:t>
            </w:r>
          </w:p>
          <w:p w14:paraId="4C4488B3"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United States</w:t>
            </w:r>
            <w:r>
              <w:rPr>
                <w:rFonts w:ascii="Arial Narrow" w:hAnsi="Arial Narrow"/>
                <w:sz w:val="20"/>
                <w:szCs w:val="20"/>
              </w:rPr>
              <w:t xml:space="preserve"> </w:t>
            </w:r>
          </w:p>
        </w:tc>
      </w:tr>
      <w:tr w:rsidR="00B51828" w14:paraId="0744073E" w14:textId="77777777" w:rsidTr="002101D2">
        <w:tc>
          <w:tcPr>
            <w:tcW w:w="477" w:type="pct"/>
          </w:tcPr>
          <w:p w14:paraId="4FE3087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Vivino 2002</w:t>
            </w:r>
          </w:p>
        </w:tc>
        <w:tc>
          <w:tcPr>
            <w:tcW w:w="2129" w:type="pct"/>
          </w:tcPr>
          <w:p w14:paraId="53C8EA17" w14:textId="77777777" w:rsidR="00B51828" w:rsidRPr="00FC6568" w:rsidRDefault="00B51828" w:rsidP="002101D2">
            <w:pPr>
              <w:spacing w:before="20" w:after="20"/>
              <w:ind w:left="0"/>
              <w:rPr>
                <w:rFonts w:ascii="Arial Narrow" w:hAnsi="Arial Narrow"/>
                <w:sz w:val="20"/>
                <w:szCs w:val="20"/>
              </w:rPr>
            </w:pPr>
            <w:r w:rsidRPr="00FC6568">
              <w:rPr>
                <w:rFonts w:ascii="Arial Narrow" w:hAnsi="Arial Narrow"/>
                <w:sz w:val="20"/>
                <w:szCs w:val="20"/>
              </w:rPr>
              <w:t xml:space="preserve">Vivino FB, Gala I &amp; Hermann GA (2002). Change in final diagnosis on second evaluation of labial minor salivary gland biopsies. </w:t>
            </w:r>
            <w:r w:rsidRPr="00FC6568">
              <w:rPr>
                <w:rFonts w:ascii="Arial Narrow" w:hAnsi="Arial Narrow"/>
                <w:i/>
                <w:sz w:val="20"/>
                <w:szCs w:val="20"/>
              </w:rPr>
              <w:t>Journal of Rheumatology,</w:t>
            </w:r>
            <w:r w:rsidRPr="00FC6568">
              <w:rPr>
                <w:rFonts w:ascii="Arial Narrow" w:hAnsi="Arial Narrow"/>
                <w:sz w:val="20"/>
                <w:szCs w:val="20"/>
              </w:rPr>
              <w:t xml:space="preserve"> 29(5):938-944.</w:t>
            </w:r>
          </w:p>
          <w:p w14:paraId="5DC94FEB" w14:textId="77777777" w:rsidR="00B51828" w:rsidRDefault="00B51828" w:rsidP="002101D2">
            <w:pPr>
              <w:spacing w:before="20" w:after="20"/>
              <w:ind w:left="0"/>
              <w:rPr>
                <w:rFonts w:ascii="Arial Narrow" w:hAnsi="Arial Narrow"/>
                <w:sz w:val="20"/>
                <w:szCs w:val="20"/>
              </w:rPr>
            </w:pPr>
          </w:p>
        </w:tc>
        <w:tc>
          <w:tcPr>
            <w:tcW w:w="2394" w:type="pct"/>
          </w:tcPr>
          <w:p w14:paraId="0F0BC2D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Review of cases received for SO consultation for the classification of Sjögren’s syndrome (SS), an autoimmune exocrinopathy, between 1994 and 2000. Cases were submitted by institutions that largely lacked xerostomia clinics.  </w:t>
            </w:r>
          </w:p>
          <w:p w14:paraId="513F5F9E"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United States</w:t>
            </w:r>
          </w:p>
        </w:tc>
      </w:tr>
    </w:tbl>
    <w:p w14:paraId="57D69D01" w14:textId="77777777" w:rsidR="00B51828" w:rsidRDefault="00B51828" w:rsidP="002101D2">
      <w:pPr>
        <w:ind w:firstLine="720"/>
        <w:sectPr w:rsidR="00B51828" w:rsidSect="002101D2">
          <w:footerReference w:type="default" r:id="rId17"/>
          <w:pgSz w:w="16838" w:h="11906" w:orient="landscape" w:code="9"/>
          <w:pgMar w:top="1440" w:right="1440" w:bottom="1440" w:left="1440" w:header="680" w:footer="1021" w:gutter="0"/>
          <w:cols w:space="708"/>
          <w:docGrid w:linePitch="360"/>
        </w:sectPr>
      </w:pPr>
      <w:r w:rsidRPr="00517CA2">
        <w:rPr>
          <w:rFonts w:ascii="Arial Narrow" w:hAnsi="Arial Narrow"/>
          <w:sz w:val="16"/>
          <w:szCs w:val="16"/>
        </w:rPr>
        <w:t>Abbreviations</w:t>
      </w:r>
      <w:r>
        <w:rPr>
          <w:rFonts w:ascii="Arial Narrow" w:hAnsi="Arial Narrow"/>
          <w:sz w:val="16"/>
          <w:szCs w:val="16"/>
        </w:rPr>
        <w:t>: EEO, external expert opinion; OMP, oral and maxillofacial pathologist; SO, second opinion; SS, Sjögren’s syndrome; TSP, Taiwan Society of Pathology.</w:t>
      </w:r>
    </w:p>
    <w:p w14:paraId="5F521424" w14:textId="77777777" w:rsidR="00B51828" w:rsidRDefault="00B51828" w:rsidP="002101D2">
      <w:r>
        <w:lastRenderedPageBreak/>
        <w:t xml:space="preserve">Importantly, some further studies met the inclusion criteria and were later excluded for a variety of reasons. Five studies included evidence for second, expert opinions that came from patient-initiated referrals, as well as other patients who received a second, expert opinion due to pathologist and/or clinician uncertainty </w:t>
      </w:r>
      <w:r>
        <w:rPr>
          <w:noProof/>
        </w:rPr>
        <w:t>(Azam and Nakhleh, 2002; Fajardo et al, 2011; Kronz et al, 2003; Renshaw and Gould, 2013; Renshaw et al, 2009)</w:t>
      </w:r>
      <w:r>
        <w:t xml:space="preserve">. While those studies did include patients whose case material was reviewed at the request of a pathologist or clinician, it was not possible to extract any outcome data from those studies, as the results were not presented separately according to the source of referral. </w:t>
      </w:r>
    </w:p>
    <w:p w14:paraId="6ADB8EAE" w14:textId="77777777" w:rsidR="00B51828" w:rsidRDefault="00B51828" w:rsidP="002101D2">
      <w:r>
        <w:t xml:space="preserve">Similarly, some studies included a combination of cases that were referred due to uncertainty, as well as cases that underwent expert review due to institutional policies mandating second pathology opinion for all patients referred for treatment </w:t>
      </w:r>
      <w:r>
        <w:rPr>
          <w:noProof/>
        </w:rPr>
        <w:t>(Hamady et al, 2005; Zembowicz et al, 2011)</w:t>
      </w:r>
      <w:r>
        <w:t xml:space="preserve">. One study was not applicable to an Australian setting, as the evidence came from an International Outreach Program in low- to middle-income countries </w:t>
      </w:r>
      <w:r>
        <w:rPr>
          <w:noProof/>
        </w:rPr>
        <w:t>(Santiago et al, 2012)</w:t>
      </w:r>
      <w:r>
        <w:t xml:space="preserve">. Finally, one study was excluded because it only included a subset of cases in which the initial pathologist suspected malignancy and an expert pathologist diagnosed the case as benign </w:t>
      </w:r>
      <w:r>
        <w:rPr>
          <w:noProof/>
        </w:rPr>
        <w:t>(Herawi et al, 2005)</w:t>
      </w:r>
      <w:r>
        <w:t>.</w:t>
      </w:r>
    </w:p>
    <w:p w14:paraId="03FD8EBE" w14:textId="0D3EE688" w:rsidR="003771E9" w:rsidRDefault="00B51828" w:rsidP="002101D2">
      <w:r>
        <w:t xml:space="preserve">The characteristics of the aforementioned excluded studies are presented in </w:t>
      </w:r>
      <w:r>
        <w:rPr>
          <w:highlight w:val="yellow"/>
        </w:rPr>
        <w:fldChar w:fldCharType="begin"/>
      </w:r>
      <w:r>
        <w:instrText xml:space="preserve"> REF _Ref393097256 \h </w:instrText>
      </w:r>
      <w:r>
        <w:rPr>
          <w:highlight w:val="yellow"/>
        </w:rPr>
      </w:r>
      <w:r>
        <w:rPr>
          <w:highlight w:val="yellow"/>
        </w:rPr>
        <w:fldChar w:fldCharType="separate"/>
      </w:r>
      <w:r w:rsidR="0044620B">
        <w:t xml:space="preserve">Table </w:t>
      </w:r>
      <w:r w:rsidR="0044620B">
        <w:rPr>
          <w:noProof/>
        </w:rPr>
        <w:t>B.2</w:t>
      </w:r>
      <w:r w:rsidR="0044620B">
        <w:noBreakHyphen/>
      </w:r>
      <w:r w:rsidR="0044620B">
        <w:rPr>
          <w:noProof/>
        </w:rPr>
        <w:t>2</w:t>
      </w:r>
      <w:r>
        <w:rPr>
          <w:highlight w:val="yellow"/>
        </w:rPr>
        <w:fldChar w:fldCharType="end"/>
      </w:r>
      <w:r>
        <w:t xml:space="preserve"> and more detail regarding the specific reasons for exclusion are provided in </w:t>
      </w:r>
      <w:r>
        <w:fldChar w:fldCharType="begin"/>
      </w:r>
      <w:r>
        <w:instrText xml:space="preserve"> REF _Ref393097245 \h </w:instrText>
      </w:r>
      <w:r>
        <w:fldChar w:fldCharType="separate"/>
      </w:r>
      <w:r w:rsidR="0044620B">
        <w:t xml:space="preserve">Table </w:t>
      </w:r>
      <w:r w:rsidR="0044620B">
        <w:rPr>
          <w:noProof/>
        </w:rPr>
        <w:t>B.2</w:t>
      </w:r>
      <w:r w:rsidR="0044620B">
        <w:noBreakHyphen/>
      </w:r>
      <w:r w:rsidR="0044620B">
        <w:rPr>
          <w:noProof/>
        </w:rPr>
        <w:t>3</w:t>
      </w:r>
      <w:r>
        <w:fldChar w:fldCharType="end"/>
      </w:r>
      <w:r>
        <w:t xml:space="preserve">. The excluded studies will not be discussed beyond Section </w:t>
      </w:r>
      <w:r>
        <w:fldChar w:fldCharType="begin"/>
      </w:r>
      <w:r>
        <w:instrText xml:space="preserve"> REF _Ref392760699 \w \h </w:instrText>
      </w:r>
      <w:r>
        <w:fldChar w:fldCharType="separate"/>
      </w:r>
      <w:r w:rsidR="0044620B">
        <w:t>B.2</w:t>
      </w:r>
      <w:r>
        <w:fldChar w:fldCharType="end"/>
      </w:r>
      <w:r>
        <w:t xml:space="preserve"> of this Assessment Report.</w:t>
      </w:r>
    </w:p>
    <w:p w14:paraId="141981D9" w14:textId="180C0D30" w:rsidR="003771E9" w:rsidRDefault="003771E9" w:rsidP="003771E9"/>
    <w:p w14:paraId="2162AACE" w14:textId="77777777" w:rsidR="00B51828" w:rsidRPr="003771E9" w:rsidRDefault="00B51828" w:rsidP="003771E9">
      <w:pPr>
        <w:sectPr w:rsidR="00B51828" w:rsidRPr="003771E9" w:rsidSect="002101D2">
          <w:footerReference w:type="default" r:id="rId18"/>
          <w:pgSz w:w="11906" w:h="16838" w:code="9"/>
          <w:pgMar w:top="1440" w:right="1440" w:bottom="1440" w:left="1440" w:header="680" w:footer="1021" w:gutter="0"/>
          <w:cols w:space="708"/>
          <w:docGrid w:linePitch="360"/>
        </w:sectPr>
      </w:pPr>
    </w:p>
    <w:p w14:paraId="3159C74C" w14:textId="77777777" w:rsidR="00B51828" w:rsidRDefault="00B51828" w:rsidP="002101D2">
      <w:pPr>
        <w:pStyle w:val="Caption"/>
      </w:pPr>
      <w:bookmarkStart w:id="107" w:name="_Ref393097256"/>
      <w:bookmarkStart w:id="108" w:name="_Toc396211737"/>
      <w:r>
        <w:lastRenderedPageBreak/>
        <w:t xml:space="preserve">Table </w:t>
      </w:r>
      <w:fldSimple w:instr=" STYLEREF 2 \s ">
        <w:r w:rsidR="0044620B">
          <w:rPr>
            <w:noProof/>
          </w:rPr>
          <w:t>B.2</w:t>
        </w:r>
      </w:fldSimple>
      <w:r>
        <w:noBreakHyphen/>
      </w:r>
      <w:r w:rsidR="0044620B">
        <w:fldChar w:fldCharType="begin"/>
      </w:r>
      <w:r w:rsidR="0044620B">
        <w:instrText xml:space="preserve"> SEQ Table \* ARABIC \s 2 </w:instrText>
      </w:r>
      <w:r w:rsidR="0044620B">
        <w:fldChar w:fldCharType="separate"/>
      </w:r>
      <w:r w:rsidR="0044620B">
        <w:rPr>
          <w:noProof/>
        </w:rPr>
        <w:t>2</w:t>
      </w:r>
      <w:r w:rsidR="0044620B">
        <w:rPr>
          <w:noProof/>
        </w:rPr>
        <w:fldChar w:fldCharType="end"/>
      </w:r>
      <w:bookmarkEnd w:id="107"/>
      <w:r>
        <w:tab/>
        <w:t>Comparative summary of characteristics of clinical studies relating to second, expert opinion: excluded studies</w:t>
      </w:r>
      <w:bookmarkEnd w:id="108"/>
    </w:p>
    <w:tbl>
      <w:tblPr>
        <w:tblStyle w:val="TableGrid"/>
        <w:tblW w:w="4748" w:type="pct"/>
        <w:tblInd w:w="704" w:type="dxa"/>
        <w:tblCellMar>
          <w:left w:w="57" w:type="dxa"/>
          <w:right w:w="57" w:type="dxa"/>
        </w:tblCellMar>
        <w:tblLook w:val="04A0" w:firstRow="1" w:lastRow="0" w:firstColumn="1" w:lastColumn="0" w:noHBand="0" w:noVBand="1"/>
        <w:tblCaption w:val="Details of excluded studies"/>
        <w:tblDescription w:val="Comparative summary of characteristics of excluded clinical studies"/>
      </w:tblPr>
      <w:tblGrid>
        <w:gridCol w:w="1145"/>
        <w:gridCol w:w="2433"/>
        <w:gridCol w:w="1858"/>
        <w:gridCol w:w="1430"/>
        <w:gridCol w:w="2504"/>
        <w:gridCol w:w="1216"/>
        <w:gridCol w:w="2777"/>
      </w:tblGrid>
      <w:tr w:rsidR="00B51828" w:rsidRPr="00E83D67" w14:paraId="44E16B9A" w14:textId="77777777" w:rsidTr="002101D2">
        <w:trPr>
          <w:tblHeader/>
        </w:trPr>
        <w:tc>
          <w:tcPr>
            <w:tcW w:w="428" w:type="pct"/>
          </w:tcPr>
          <w:p w14:paraId="5C3F71E5"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ID</w:t>
            </w:r>
          </w:p>
        </w:tc>
        <w:tc>
          <w:tcPr>
            <w:tcW w:w="910" w:type="pct"/>
          </w:tcPr>
          <w:p w14:paraId="09013C61" w14:textId="77777777" w:rsidR="00B51828"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characteristics</w:t>
            </w:r>
          </w:p>
          <w:p w14:paraId="0F761515" w14:textId="77777777" w:rsidR="00B51828" w:rsidRPr="0082484A" w:rsidRDefault="00B51828" w:rsidP="002101D2">
            <w:pPr>
              <w:spacing w:before="20" w:after="20"/>
              <w:ind w:left="0"/>
              <w:rPr>
                <w:rFonts w:ascii="Arial Narrow" w:hAnsi="Arial Narrow"/>
                <w:b/>
                <w:i/>
                <w:sz w:val="20"/>
                <w:szCs w:val="20"/>
              </w:rPr>
            </w:pPr>
            <w:r w:rsidRPr="0082484A">
              <w:rPr>
                <w:rFonts w:ascii="Arial Narrow" w:hAnsi="Arial Narrow"/>
                <w:b/>
                <w:i/>
                <w:sz w:val="20"/>
                <w:szCs w:val="20"/>
              </w:rPr>
              <w:t>Country</w:t>
            </w:r>
          </w:p>
        </w:tc>
        <w:tc>
          <w:tcPr>
            <w:tcW w:w="695" w:type="pct"/>
          </w:tcPr>
          <w:p w14:paraId="401370D0" w14:textId="77777777" w:rsidR="00B51828" w:rsidRDefault="00B51828" w:rsidP="002101D2">
            <w:pPr>
              <w:spacing w:before="20" w:after="20"/>
              <w:ind w:left="0"/>
              <w:rPr>
                <w:rFonts w:ascii="Arial Narrow" w:hAnsi="Arial Narrow"/>
                <w:b/>
                <w:sz w:val="20"/>
                <w:szCs w:val="20"/>
              </w:rPr>
            </w:pPr>
            <w:r>
              <w:rPr>
                <w:rFonts w:ascii="Arial Narrow" w:hAnsi="Arial Narrow"/>
                <w:b/>
                <w:sz w:val="20"/>
                <w:szCs w:val="20"/>
              </w:rPr>
              <w:t>Population</w:t>
            </w:r>
          </w:p>
        </w:tc>
        <w:tc>
          <w:tcPr>
            <w:tcW w:w="535" w:type="pct"/>
          </w:tcPr>
          <w:p w14:paraId="44DBBF84" w14:textId="77777777" w:rsidR="00B51828" w:rsidRPr="00E83D67" w:rsidRDefault="00B51828" w:rsidP="002101D2">
            <w:pPr>
              <w:spacing w:before="20" w:after="20"/>
              <w:ind w:left="0"/>
              <w:rPr>
                <w:rFonts w:ascii="Arial Narrow" w:hAnsi="Arial Narrow"/>
                <w:b/>
                <w:sz w:val="20"/>
                <w:szCs w:val="20"/>
              </w:rPr>
            </w:pPr>
            <w:r>
              <w:rPr>
                <w:rFonts w:ascii="Arial Narrow" w:hAnsi="Arial Narrow"/>
                <w:b/>
                <w:sz w:val="20"/>
                <w:szCs w:val="20"/>
              </w:rPr>
              <w:t>Prior test</w:t>
            </w:r>
          </w:p>
        </w:tc>
        <w:tc>
          <w:tcPr>
            <w:tcW w:w="937" w:type="pct"/>
          </w:tcPr>
          <w:p w14:paraId="3D4F10A2" w14:textId="77777777" w:rsidR="00B51828" w:rsidRPr="00E83D67" w:rsidRDefault="00B51828" w:rsidP="002101D2">
            <w:pPr>
              <w:spacing w:before="20" w:after="20"/>
              <w:ind w:left="0"/>
              <w:rPr>
                <w:rFonts w:ascii="Arial Narrow" w:hAnsi="Arial Narrow"/>
                <w:b/>
                <w:sz w:val="20"/>
                <w:szCs w:val="20"/>
              </w:rPr>
            </w:pPr>
            <w:r>
              <w:rPr>
                <w:rFonts w:ascii="Arial Narrow" w:hAnsi="Arial Narrow"/>
                <w:b/>
                <w:sz w:val="20"/>
                <w:szCs w:val="20"/>
              </w:rPr>
              <w:t>Intervention</w:t>
            </w:r>
          </w:p>
        </w:tc>
        <w:tc>
          <w:tcPr>
            <w:tcW w:w="455" w:type="pct"/>
          </w:tcPr>
          <w:p w14:paraId="1D3DDCFD"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Comparator</w:t>
            </w:r>
          </w:p>
        </w:tc>
        <w:tc>
          <w:tcPr>
            <w:tcW w:w="1039" w:type="pct"/>
          </w:tcPr>
          <w:p w14:paraId="695389FC"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Outcomes</w:t>
            </w:r>
          </w:p>
        </w:tc>
      </w:tr>
      <w:tr w:rsidR="00B51828" w:rsidRPr="00E83D67" w14:paraId="5F7E77B2" w14:textId="77777777" w:rsidTr="002101D2">
        <w:tc>
          <w:tcPr>
            <w:tcW w:w="428" w:type="pct"/>
          </w:tcPr>
          <w:p w14:paraId="16E9D1B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Azam 2002</w:t>
            </w:r>
          </w:p>
        </w:tc>
        <w:tc>
          <w:tcPr>
            <w:tcW w:w="910" w:type="pct"/>
          </w:tcPr>
          <w:p w14:paraId="231FC428" w14:textId="0BC6223D"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multi-institu</w:t>
            </w:r>
            <w:r w:rsidR="00DB23AB">
              <w:rPr>
                <w:rFonts w:ascii="Arial Narrow" w:hAnsi="Arial Narrow"/>
                <w:sz w:val="20"/>
                <w:szCs w:val="20"/>
              </w:rPr>
              <w:t xml:space="preserve">tional study of cases sent for </w:t>
            </w:r>
            <w:r>
              <w:rPr>
                <w:rFonts w:ascii="Arial Narrow" w:hAnsi="Arial Narrow"/>
                <w:sz w:val="20"/>
                <w:szCs w:val="20"/>
              </w:rPr>
              <w:t>extra</w:t>
            </w:r>
            <w:r w:rsidR="00DB23AB">
              <w:rPr>
                <w:rFonts w:ascii="Arial Narrow" w:hAnsi="Arial Narrow"/>
                <w:sz w:val="20"/>
                <w:szCs w:val="20"/>
              </w:rPr>
              <w:t>-</w:t>
            </w:r>
            <w:r>
              <w:rPr>
                <w:rFonts w:ascii="Arial Narrow" w:hAnsi="Arial Narrow"/>
                <w:sz w:val="20"/>
                <w:szCs w:val="20"/>
              </w:rPr>
              <w:t>departmenta</w:t>
            </w:r>
            <w:r w:rsidR="00DB23AB">
              <w:rPr>
                <w:rFonts w:ascii="Arial Narrow" w:hAnsi="Arial Narrow"/>
                <w:sz w:val="20"/>
                <w:szCs w:val="20"/>
              </w:rPr>
              <w:t>l personal (expert) consultation</w:t>
            </w:r>
            <w:r>
              <w:rPr>
                <w:rFonts w:ascii="Arial Narrow" w:hAnsi="Arial Narrow"/>
                <w:sz w:val="20"/>
                <w:szCs w:val="20"/>
              </w:rPr>
              <w:t xml:space="preserve"> in 1999. Study concluded when 20 extra</w:t>
            </w:r>
            <w:r w:rsidR="00DB23AB">
              <w:rPr>
                <w:rFonts w:ascii="Arial Narrow" w:hAnsi="Arial Narrow"/>
                <w:sz w:val="20"/>
                <w:szCs w:val="20"/>
              </w:rPr>
              <w:t>-departmental</w:t>
            </w:r>
            <w:r>
              <w:rPr>
                <w:rFonts w:ascii="Arial Narrow" w:hAnsi="Arial Narrow"/>
                <w:sz w:val="20"/>
                <w:szCs w:val="20"/>
              </w:rPr>
              <w:t xml:space="preserve"> cases were documented or 4 months had passed, whichever came first. Participants included 180 institutions enrolled in the College of American Pathologists (CAP) voluntary Q-Probes quality improvement program. Cases excluded if no diagnostic impression was rendered in the primary laboratory. Cases resulting from a patient’s referral to a different institution were excluded.</w:t>
            </w:r>
          </w:p>
          <w:p w14:paraId="14B5087A" w14:textId="77777777" w:rsidR="00B51828" w:rsidRDefault="00B51828" w:rsidP="002101D2">
            <w:pPr>
              <w:spacing w:before="20" w:after="20"/>
              <w:ind w:left="0"/>
              <w:rPr>
                <w:rFonts w:ascii="Arial Narrow" w:hAnsi="Arial Narrow"/>
                <w:sz w:val="20"/>
                <w:szCs w:val="20"/>
              </w:rPr>
            </w:pPr>
            <w:r w:rsidRPr="009E401A">
              <w:rPr>
                <w:rFonts w:ascii="Arial Narrow" w:hAnsi="Arial Narrow"/>
                <w:i/>
                <w:sz w:val="20"/>
                <w:szCs w:val="20"/>
              </w:rPr>
              <w:t>United States (95.6%), Canada and Australia</w:t>
            </w:r>
          </w:p>
        </w:tc>
        <w:tc>
          <w:tcPr>
            <w:tcW w:w="695" w:type="pct"/>
          </w:tcPr>
          <w:p w14:paraId="0012F0E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Surgical pathology (any organ system) and haematopathology (lymph node and bone marrow) cases </w:t>
            </w:r>
          </w:p>
          <w:p w14:paraId="71B0E42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N=2746 cases</w:t>
            </w:r>
          </w:p>
        </w:tc>
        <w:tc>
          <w:tcPr>
            <w:tcW w:w="535" w:type="pct"/>
          </w:tcPr>
          <w:p w14:paraId="2A2D66EA" w14:textId="0CC5CBCC" w:rsidR="00B51828" w:rsidRDefault="00B51828" w:rsidP="00525F10">
            <w:pPr>
              <w:spacing w:before="20" w:after="20"/>
              <w:ind w:left="0"/>
              <w:rPr>
                <w:rFonts w:ascii="Arial Narrow" w:hAnsi="Arial Narrow"/>
                <w:sz w:val="20"/>
                <w:szCs w:val="20"/>
              </w:rPr>
            </w:pPr>
            <w:r>
              <w:rPr>
                <w:rFonts w:ascii="Arial Narrow" w:hAnsi="Arial Narrow"/>
                <w:sz w:val="20"/>
                <w:szCs w:val="20"/>
              </w:rPr>
              <w:t>Initial diagnosis. Most participating institutions (59.9%) did not have an expert in a branch of surgical pathology in their pathology group</w:t>
            </w:r>
          </w:p>
        </w:tc>
        <w:tc>
          <w:tcPr>
            <w:tcW w:w="937" w:type="pct"/>
          </w:tcPr>
          <w:p w14:paraId="2AD1EFD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EEO, requested by the pathologist, clinician or patient. Additional special histopathologic studies conducted as required.</w:t>
            </w:r>
          </w:p>
        </w:tc>
        <w:tc>
          <w:tcPr>
            <w:tcW w:w="455" w:type="pct"/>
          </w:tcPr>
          <w:p w14:paraId="52EB7E0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2F4E8160"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Diagnostic accuracy</w:t>
            </w:r>
          </w:p>
          <w:p w14:paraId="71C60781"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Characteristics of participating laboratories</w:t>
            </w:r>
          </w:p>
          <w:p w14:paraId="551AD294"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Extra-departmental consultation rate</w:t>
            </w:r>
          </w:p>
          <w:p w14:paraId="010D5535"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Turnaround time</w:t>
            </w:r>
          </w:p>
          <w:p w14:paraId="778A72C5"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Satisfaction rate</w:t>
            </w:r>
          </w:p>
          <w:p w14:paraId="1561E954"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Reason for selecting the consultant pathologist</w:t>
            </w:r>
          </w:p>
          <w:p w14:paraId="684100F9"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Nature of the specimen</w:t>
            </w:r>
          </w:p>
          <w:p w14:paraId="20CF38E9"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Type of specimen provided</w:t>
            </w:r>
          </w:p>
          <w:p w14:paraId="48C6FE10"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Communication characteristics</w:t>
            </w:r>
          </w:p>
          <w:p w14:paraId="150D873A"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Institutional protocol characteristics</w:t>
            </w:r>
          </w:p>
          <w:p w14:paraId="430986A0" w14:textId="77777777" w:rsidR="00B51828" w:rsidRPr="00645A69" w:rsidRDefault="00B51828" w:rsidP="00B51828">
            <w:pPr>
              <w:pStyle w:val="ListParagraph"/>
              <w:numPr>
                <w:ilvl w:val="0"/>
                <w:numId w:val="23"/>
              </w:numPr>
              <w:spacing w:before="20" w:after="20"/>
              <w:rPr>
                <w:rFonts w:ascii="Arial Narrow" w:hAnsi="Arial Narrow"/>
                <w:sz w:val="20"/>
                <w:szCs w:val="20"/>
              </w:rPr>
            </w:pPr>
            <w:r w:rsidRPr="00645A69">
              <w:rPr>
                <w:rFonts w:ascii="Arial Narrow" w:hAnsi="Arial Narrow"/>
                <w:sz w:val="20"/>
                <w:szCs w:val="20"/>
              </w:rPr>
              <w:t>Factors contributing to delays</w:t>
            </w:r>
          </w:p>
        </w:tc>
      </w:tr>
      <w:tr w:rsidR="00B51828" w:rsidRPr="00E83D67" w14:paraId="30DAD867" w14:textId="77777777" w:rsidTr="002101D2">
        <w:tc>
          <w:tcPr>
            <w:tcW w:w="428" w:type="pct"/>
          </w:tcPr>
          <w:p w14:paraId="11C2E42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Fajardo 2011</w:t>
            </w:r>
          </w:p>
        </w:tc>
        <w:tc>
          <w:tcPr>
            <w:tcW w:w="910" w:type="pct"/>
          </w:tcPr>
          <w:p w14:paraId="7CB647C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study of consecutive cases of prostatic needle core biopsies in which the EEO was Gleason pattern 5. The final diagnosis was then compared to the Gleason score assigned by the initiating pathologist.</w:t>
            </w:r>
          </w:p>
          <w:p w14:paraId="77ECD1A4" w14:textId="77777777" w:rsidR="00B51828" w:rsidRPr="00E61205" w:rsidRDefault="00B51828" w:rsidP="002101D2">
            <w:pPr>
              <w:spacing w:before="20" w:after="20"/>
              <w:ind w:left="0"/>
              <w:rPr>
                <w:rFonts w:ascii="Arial Narrow" w:hAnsi="Arial Narrow"/>
                <w:i/>
                <w:sz w:val="20"/>
                <w:szCs w:val="20"/>
              </w:rPr>
            </w:pPr>
            <w:r>
              <w:rPr>
                <w:rFonts w:ascii="Arial Narrow" w:hAnsi="Arial Narrow"/>
                <w:i/>
                <w:sz w:val="20"/>
                <w:szCs w:val="20"/>
              </w:rPr>
              <w:t>United States</w:t>
            </w:r>
          </w:p>
        </w:tc>
        <w:tc>
          <w:tcPr>
            <w:tcW w:w="695" w:type="pct"/>
          </w:tcPr>
          <w:p w14:paraId="533388D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Prostatic needle core biopsies</w:t>
            </w:r>
          </w:p>
          <w:p w14:paraId="7B16BC6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N=59 (138 biopsy parts)</w:t>
            </w:r>
          </w:p>
        </w:tc>
        <w:tc>
          <w:tcPr>
            <w:tcW w:w="535" w:type="pct"/>
          </w:tcPr>
          <w:p w14:paraId="3247DDF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937" w:type="pct"/>
          </w:tcPr>
          <w:p w14:paraId="0A1B3F7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EEO provided by an expert pathologist at The John Hopkins Medical Institution. EEO was sought by clinicians or patients and not because the initial pathologist was seeking a second opinion.</w:t>
            </w:r>
          </w:p>
        </w:tc>
        <w:tc>
          <w:tcPr>
            <w:tcW w:w="455" w:type="pct"/>
          </w:tcPr>
          <w:p w14:paraId="525DD5C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74DEF334" w14:textId="77777777" w:rsidR="00B51828" w:rsidRDefault="00B51828" w:rsidP="00B51828">
            <w:pPr>
              <w:pStyle w:val="ListParagraph"/>
              <w:numPr>
                <w:ilvl w:val="0"/>
                <w:numId w:val="35"/>
              </w:numPr>
              <w:spacing w:before="20" w:after="20"/>
              <w:rPr>
                <w:rFonts w:ascii="Arial Narrow" w:hAnsi="Arial Narrow"/>
                <w:sz w:val="20"/>
                <w:szCs w:val="20"/>
              </w:rPr>
            </w:pPr>
            <w:r>
              <w:rPr>
                <w:rFonts w:ascii="Arial Narrow" w:hAnsi="Arial Narrow"/>
                <w:sz w:val="20"/>
                <w:szCs w:val="20"/>
              </w:rPr>
              <w:t>Diagnostic accuracy (correlation of initial and expert Gleason score)</w:t>
            </w:r>
          </w:p>
          <w:p w14:paraId="28250FC6" w14:textId="5C92800B" w:rsidR="00B51828" w:rsidRPr="00800191" w:rsidRDefault="00B51828" w:rsidP="00B51828">
            <w:pPr>
              <w:pStyle w:val="ListParagraph"/>
              <w:numPr>
                <w:ilvl w:val="0"/>
                <w:numId w:val="35"/>
              </w:numPr>
              <w:spacing w:before="20" w:after="20"/>
              <w:rPr>
                <w:rFonts w:ascii="Arial Narrow" w:hAnsi="Arial Narrow"/>
                <w:sz w:val="20"/>
                <w:szCs w:val="20"/>
              </w:rPr>
            </w:pPr>
            <w:r>
              <w:rPr>
                <w:rFonts w:ascii="Arial Narrow" w:hAnsi="Arial Narrow"/>
                <w:sz w:val="20"/>
                <w:szCs w:val="20"/>
              </w:rPr>
              <w:t>Morphologic pattern of Gleason pattern 5 and its relationship to its under</w:t>
            </w:r>
            <w:r w:rsidR="00DB23AB">
              <w:rPr>
                <w:rFonts w:ascii="Arial Narrow" w:hAnsi="Arial Narrow"/>
                <w:sz w:val="20"/>
                <w:szCs w:val="20"/>
              </w:rPr>
              <w:t>-</w:t>
            </w:r>
            <w:r>
              <w:rPr>
                <w:rFonts w:ascii="Arial Narrow" w:hAnsi="Arial Narrow"/>
                <w:sz w:val="20"/>
                <w:szCs w:val="20"/>
              </w:rPr>
              <w:t>diagnosis</w:t>
            </w:r>
          </w:p>
        </w:tc>
      </w:tr>
      <w:tr w:rsidR="00B51828" w:rsidRPr="00E83D67" w14:paraId="1E8B6C2A" w14:textId="77777777" w:rsidTr="002101D2">
        <w:tc>
          <w:tcPr>
            <w:tcW w:w="428" w:type="pct"/>
          </w:tcPr>
          <w:p w14:paraId="56ACA71B" w14:textId="77777777" w:rsidR="00B51828" w:rsidRPr="00E83D67"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Hamady 2004</w:t>
            </w:r>
          </w:p>
        </w:tc>
        <w:tc>
          <w:tcPr>
            <w:tcW w:w="910" w:type="pct"/>
          </w:tcPr>
          <w:p w14:paraId="38939FC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all patients referred to endocrine multidisciplinary meetings at a teaching hospital for further management of thyroid malignancy or for expert thyroid surgical pathology opinion from Jan 2001 to March 2003.</w:t>
            </w:r>
          </w:p>
          <w:p w14:paraId="1265A7DB" w14:textId="77777777" w:rsidR="00B51828" w:rsidRPr="0082484A" w:rsidRDefault="00B51828" w:rsidP="002101D2">
            <w:pPr>
              <w:spacing w:before="20" w:after="20"/>
              <w:ind w:left="0"/>
              <w:rPr>
                <w:rFonts w:ascii="Arial Narrow" w:hAnsi="Arial Narrow"/>
                <w:i/>
                <w:sz w:val="20"/>
                <w:szCs w:val="20"/>
              </w:rPr>
            </w:pPr>
            <w:r w:rsidRPr="003700B7">
              <w:rPr>
                <w:rFonts w:ascii="Arial Narrow" w:hAnsi="Arial Narrow"/>
                <w:i/>
                <w:sz w:val="20"/>
                <w:szCs w:val="20"/>
              </w:rPr>
              <w:t>United Kingdom</w:t>
            </w:r>
          </w:p>
        </w:tc>
        <w:tc>
          <w:tcPr>
            <w:tcW w:w="695" w:type="pct"/>
          </w:tcPr>
          <w:p w14:paraId="60E53B1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All patients with an initial diagnosis of thyroid cancer</w:t>
            </w:r>
          </w:p>
          <w:p w14:paraId="551A07C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N=66 cases (n=49 for routine review of referred cases, n=17 sent for EEO)</w:t>
            </w:r>
          </w:p>
        </w:tc>
        <w:tc>
          <w:tcPr>
            <w:tcW w:w="535" w:type="pct"/>
          </w:tcPr>
          <w:p w14:paraId="62AA20C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937" w:type="pct"/>
          </w:tcPr>
          <w:p w14:paraId="33B791C9"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EEO provided by an expert pathologist at the Institute of Pathology at Leeds Teaching Hospitals, and was confirmed by a second expert pathologist if diagnosis was discrepant from initial diagnosis. EEO requested by general pathologists from district hospitals.</w:t>
            </w:r>
          </w:p>
        </w:tc>
        <w:tc>
          <w:tcPr>
            <w:tcW w:w="455" w:type="pct"/>
          </w:tcPr>
          <w:p w14:paraId="2460A7A9"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2B0CB77E" w14:textId="77777777" w:rsidR="00B51828" w:rsidRPr="00645A69" w:rsidRDefault="00B51828" w:rsidP="00B51828">
            <w:pPr>
              <w:pStyle w:val="ListParagraph"/>
              <w:numPr>
                <w:ilvl w:val="0"/>
                <w:numId w:val="30"/>
              </w:numPr>
              <w:spacing w:before="20" w:after="20"/>
              <w:rPr>
                <w:rFonts w:ascii="Arial Narrow" w:hAnsi="Arial Narrow"/>
                <w:sz w:val="20"/>
                <w:szCs w:val="20"/>
              </w:rPr>
            </w:pPr>
            <w:r w:rsidRPr="00645A69">
              <w:rPr>
                <w:rFonts w:ascii="Arial Narrow" w:hAnsi="Arial Narrow"/>
                <w:sz w:val="20"/>
                <w:szCs w:val="20"/>
              </w:rPr>
              <w:t>Reason for referral</w:t>
            </w:r>
          </w:p>
          <w:p w14:paraId="21E81FFC" w14:textId="77777777" w:rsidR="00B51828" w:rsidRPr="00645A69" w:rsidRDefault="00B51828" w:rsidP="00B51828">
            <w:pPr>
              <w:pStyle w:val="ListParagraph"/>
              <w:numPr>
                <w:ilvl w:val="0"/>
                <w:numId w:val="30"/>
              </w:numPr>
              <w:spacing w:before="20" w:after="20"/>
              <w:rPr>
                <w:rFonts w:ascii="Arial Narrow" w:hAnsi="Arial Narrow"/>
                <w:sz w:val="20"/>
                <w:szCs w:val="20"/>
              </w:rPr>
            </w:pPr>
            <w:r w:rsidRPr="00645A69">
              <w:rPr>
                <w:rFonts w:ascii="Arial Narrow" w:hAnsi="Arial Narrow"/>
                <w:sz w:val="20"/>
                <w:szCs w:val="20"/>
              </w:rPr>
              <w:t>Nature of disagreement</w:t>
            </w:r>
          </w:p>
          <w:p w14:paraId="611FDDC3" w14:textId="77777777" w:rsidR="00B51828" w:rsidRPr="00645A69" w:rsidRDefault="00B51828" w:rsidP="00B51828">
            <w:pPr>
              <w:pStyle w:val="ListParagraph"/>
              <w:numPr>
                <w:ilvl w:val="0"/>
                <w:numId w:val="30"/>
              </w:numPr>
              <w:spacing w:before="20" w:after="20"/>
              <w:rPr>
                <w:rFonts w:ascii="Arial Narrow" w:hAnsi="Arial Narrow"/>
                <w:sz w:val="20"/>
                <w:szCs w:val="20"/>
              </w:rPr>
            </w:pPr>
            <w:r w:rsidRPr="00645A69">
              <w:rPr>
                <w:rFonts w:ascii="Arial Narrow" w:hAnsi="Arial Narrow"/>
                <w:sz w:val="20"/>
                <w:szCs w:val="20"/>
              </w:rPr>
              <w:t>Effect on therapy and prognosis</w:t>
            </w:r>
          </w:p>
        </w:tc>
      </w:tr>
      <w:tr w:rsidR="00B51828" w:rsidRPr="00E83D67" w14:paraId="0481E543" w14:textId="77777777" w:rsidTr="002101D2">
        <w:tc>
          <w:tcPr>
            <w:tcW w:w="428" w:type="pct"/>
          </w:tcPr>
          <w:p w14:paraId="65C1576E"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Herawi 2005</w:t>
            </w:r>
          </w:p>
        </w:tc>
        <w:tc>
          <w:tcPr>
            <w:tcW w:w="910" w:type="pct"/>
          </w:tcPr>
          <w:p w14:paraId="4543FE7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study of all prostate needle biopsies sent for expert consultation over a 7-month period in 2004. Only included cases referred for suspected malignancy, where a review of the entire case diagnosed the case to be benign.</w:t>
            </w:r>
          </w:p>
          <w:p w14:paraId="5C84E29B" w14:textId="77777777" w:rsidR="00B51828" w:rsidRPr="009E401A" w:rsidRDefault="00B51828" w:rsidP="002101D2">
            <w:pPr>
              <w:spacing w:before="20" w:after="20"/>
              <w:ind w:left="0"/>
              <w:rPr>
                <w:rFonts w:ascii="Arial Narrow" w:hAnsi="Arial Narrow"/>
                <w:i/>
                <w:sz w:val="20"/>
                <w:szCs w:val="20"/>
              </w:rPr>
            </w:pPr>
            <w:r w:rsidRPr="00E459B6">
              <w:rPr>
                <w:rFonts w:ascii="Arial Narrow" w:hAnsi="Arial Narrow"/>
                <w:i/>
                <w:sz w:val="20"/>
                <w:szCs w:val="20"/>
              </w:rPr>
              <w:t xml:space="preserve">United States </w:t>
            </w:r>
          </w:p>
        </w:tc>
        <w:tc>
          <w:tcPr>
            <w:tcW w:w="695" w:type="pct"/>
          </w:tcPr>
          <w:p w14:paraId="70F63EE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All prostate needle biopsy cases where diagnosis was changed from malignant to benign.</w:t>
            </w:r>
          </w:p>
          <w:p w14:paraId="31D91C82"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N=345 cases (567 lesions of concern)</w:t>
            </w:r>
          </w:p>
        </w:tc>
        <w:tc>
          <w:tcPr>
            <w:tcW w:w="535" w:type="pct"/>
          </w:tcPr>
          <w:p w14:paraId="71277E5E"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 of suspected malignancy</w:t>
            </w:r>
          </w:p>
        </w:tc>
        <w:tc>
          <w:tcPr>
            <w:tcW w:w="937" w:type="pct"/>
          </w:tcPr>
          <w:p w14:paraId="1327BF82"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EEO provided by an expert pathologist at Johns Hopkins School of Medicine. EEO requested by pathologists from 183 centres in 35 states in the US.</w:t>
            </w:r>
          </w:p>
        </w:tc>
        <w:tc>
          <w:tcPr>
            <w:tcW w:w="455" w:type="pct"/>
          </w:tcPr>
          <w:p w14:paraId="76EA8C4E"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 of suspected malignancy</w:t>
            </w:r>
          </w:p>
        </w:tc>
        <w:tc>
          <w:tcPr>
            <w:tcW w:w="1039" w:type="pct"/>
          </w:tcPr>
          <w:p w14:paraId="1F158160" w14:textId="77777777" w:rsidR="00B51828" w:rsidRPr="00645A69" w:rsidRDefault="00B51828" w:rsidP="00B51828">
            <w:pPr>
              <w:pStyle w:val="ListParagraph"/>
              <w:numPr>
                <w:ilvl w:val="0"/>
                <w:numId w:val="31"/>
              </w:numPr>
              <w:spacing w:before="20" w:after="20"/>
              <w:rPr>
                <w:rFonts w:ascii="Arial Narrow" w:hAnsi="Arial Narrow"/>
                <w:sz w:val="20"/>
                <w:szCs w:val="20"/>
              </w:rPr>
            </w:pPr>
            <w:r w:rsidRPr="00645A69">
              <w:rPr>
                <w:rFonts w:ascii="Arial Narrow" w:hAnsi="Arial Narrow"/>
                <w:sz w:val="20"/>
                <w:szCs w:val="20"/>
              </w:rPr>
              <w:t>Incidence of benign lesions causing diagnostic difficulty</w:t>
            </w:r>
          </w:p>
          <w:p w14:paraId="17110F3A" w14:textId="77777777" w:rsidR="00B51828" w:rsidRPr="00645A69" w:rsidRDefault="00B51828" w:rsidP="00B51828">
            <w:pPr>
              <w:pStyle w:val="ListParagraph"/>
              <w:numPr>
                <w:ilvl w:val="0"/>
                <w:numId w:val="31"/>
              </w:numPr>
              <w:spacing w:before="20" w:after="20"/>
              <w:rPr>
                <w:rFonts w:ascii="Arial Narrow" w:hAnsi="Arial Narrow"/>
                <w:sz w:val="20"/>
                <w:szCs w:val="20"/>
              </w:rPr>
            </w:pPr>
            <w:r w:rsidRPr="00645A69">
              <w:rPr>
                <w:rFonts w:ascii="Arial Narrow" w:hAnsi="Arial Narrow"/>
                <w:sz w:val="20"/>
                <w:szCs w:val="20"/>
              </w:rPr>
              <w:t>IHC results</w:t>
            </w:r>
          </w:p>
        </w:tc>
      </w:tr>
      <w:tr w:rsidR="00B51828" w:rsidRPr="00E83D67" w14:paraId="6AB9A0D1" w14:textId="77777777" w:rsidTr="002101D2">
        <w:tc>
          <w:tcPr>
            <w:tcW w:w="428" w:type="pct"/>
          </w:tcPr>
          <w:p w14:paraId="0644EFD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Kronz 2003</w:t>
            </w:r>
          </w:p>
        </w:tc>
        <w:tc>
          <w:tcPr>
            <w:tcW w:w="910" w:type="pct"/>
          </w:tcPr>
          <w:p w14:paraId="1DB2D7C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study of all prostate needle biopsy cases referred to a urological pathology consult service over a 10-month period in 1999-2000.</w:t>
            </w:r>
          </w:p>
          <w:p w14:paraId="710D2670"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United States</w:t>
            </w:r>
          </w:p>
        </w:tc>
        <w:tc>
          <w:tcPr>
            <w:tcW w:w="695" w:type="pct"/>
          </w:tcPr>
          <w:p w14:paraId="2088908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Prostate needle biopsy</w:t>
            </w:r>
          </w:p>
          <w:p w14:paraId="321D25A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N=3251 cases</w:t>
            </w:r>
          </w:p>
        </w:tc>
        <w:tc>
          <w:tcPr>
            <w:tcW w:w="535" w:type="pct"/>
          </w:tcPr>
          <w:p w14:paraId="2339F0E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937" w:type="pct"/>
          </w:tcPr>
          <w:p w14:paraId="00DC809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EEO at John Hopkins Hospital. All cases were previewed by uropathology fellows or anatomic pathology residents and then reviewed for final diagnosis by the faculty expert in urological pathology.</w:t>
            </w:r>
          </w:p>
        </w:tc>
        <w:tc>
          <w:tcPr>
            <w:tcW w:w="455" w:type="pct"/>
          </w:tcPr>
          <w:p w14:paraId="263E58E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40E48DC6" w14:textId="77777777" w:rsidR="00B51828" w:rsidRPr="00474B91" w:rsidRDefault="00B51828" w:rsidP="00B51828">
            <w:pPr>
              <w:pStyle w:val="ListParagraph"/>
              <w:numPr>
                <w:ilvl w:val="0"/>
                <w:numId w:val="28"/>
              </w:numPr>
              <w:spacing w:before="20" w:after="20"/>
              <w:rPr>
                <w:rFonts w:ascii="Arial Narrow" w:hAnsi="Arial Narrow"/>
                <w:sz w:val="20"/>
                <w:szCs w:val="20"/>
              </w:rPr>
            </w:pPr>
            <w:r w:rsidRPr="00474B91">
              <w:rPr>
                <w:rFonts w:ascii="Arial Narrow" w:hAnsi="Arial Narrow"/>
                <w:sz w:val="20"/>
                <w:szCs w:val="20"/>
              </w:rPr>
              <w:t>Outside preliminary diagnosis</w:t>
            </w:r>
          </w:p>
          <w:p w14:paraId="1B1FC8B3" w14:textId="77777777" w:rsidR="00B51828" w:rsidRPr="00474B91" w:rsidRDefault="00B51828" w:rsidP="00B51828">
            <w:pPr>
              <w:pStyle w:val="ListParagraph"/>
              <w:numPr>
                <w:ilvl w:val="0"/>
                <w:numId w:val="28"/>
              </w:numPr>
              <w:spacing w:before="20" w:after="20"/>
              <w:rPr>
                <w:rFonts w:ascii="Arial Narrow" w:hAnsi="Arial Narrow"/>
                <w:sz w:val="20"/>
                <w:szCs w:val="20"/>
              </w:rPr>
            </w:pPr>
            <w:r w:rsidRPr="00474B91">
              <w:rPr>
                <w:rFonts w:ascii="Arial Narrow" w:hAnsi="Arial Narrow"/>
                <w:sz w:val="20"/>
                <w:szCs w:val="20"/>
              </w:rPr>
              <w:t>Expert review diagnosis</w:t>
            </w:r>
          </w:p>
          <w:p w14:paraId="2D633C11" w14:textId="77777777" w:rsidR="00B51828" w:rsidRPr="00474B91" w:rsidRDefault="00B51828" w:rsidP="00B51828">
            <w:pPr>
              <w:pStyle w:val="ListParagraph"/>
              <w:numPr>
                <w:ilvl w:val="0"/>
                <w:numId w:val="28"/>
              </w:numPr>
              <w:spacing w:before="20" w:after="20"/>
              <w:rPr>
                <w:rFonts w:ascii="Arial Narrow" w:hAnsi="Arial Narrow"/>
                <w:sz w:val="20"/>
                <w:szCs w:val="20"/>
              </w:rPr>
            </w:pPr>
            <w:r w:rsidRPr="00474B91">
              <w:rPr>
                <w:rFonts w:ascii="Arial Narrow" w:hAnsi="Arial Narrow"/>
                <w:sz w:val="20"/>
                <w:szCs w:val="20"/>
              </w:rPr>
              <w:t>Number of missed lesions (including details of cases with missed lesions such as age and type of outside institution)</w:t>
            </w:r>
          </w:p>
          <w:p w14:paraId="53042520" w14:textId="77777777" w:rsidR="00B51828" w:rsidRPr="00474B91" w:rsidRDefault="00B51828" w:rsidP="00B51828">
            <w:pPr>
              <w:pStyle w:val="ListParagraph"/>
              <w:numPr>
                <w:ilvl w:val="0"/>
                <w:numId w:val="28"/>
              </w:numPr>
              <w:spacing w:before="20" w:after="20"/>
              <w:rPr>
                <w:rFonts w:ascii="Arial Narrow" w:hAnsi="Arial Narrow"/>
                <w:sz w:val="20"/>
                <w:szCs w:val="20"/>
              </w:rPr>
            </w:pPr>
            <w:r w:rsidRPr="00474B91">
              <w:rPr>
                <w:rFonts w:ascii="Arial Narrow" w:hAnsi="Arial Narrow"/>
                <w:sz w:val="20"/>
                <w:szCs w:val="20"/>
              </w:rPr>
              <w:t>Type of missed lesion</w:t>
            </w:r>
          </w:p>
          <w:p w14:paraId="61112B5E" w14:textId="77777777" w:rsidR="00B51828" w:rsidRPr="006878C0" w:rsidRDefault="00B51828" w:rsidP="00B51828">
            <w:pPr>
              <w:pStyle w:val="ListParagraph"/>
              <w:numPr>
                <w:ilvl w:val="0"/>
                <w:numId w:val="28"/>
              </w:numPr>
              <w:spacing w:before="20" w:after="20"/>
              <w:rPr>
                <w:rFonts w:ascii="Arial Narrow" w:hAnsi="Arial Narrow"/>
                <w:sz w:val="20"/>
                <w:szCs w:val="20"/>
              </w:rPr>
            </w:pPr>
            <w:r w:rsidRPr="006878C0">
              <w:rPr>
                <w:rFonts w:ascii="Arial Narrow" w:hAnsi="Arial Narrow"/>
                <w:sz w:val="20"/>
                <w:szCs w:val="20"/>
              </w:rPr>
              <w:t>Whether the missed lesion(s) were on the slide(s) of concern</w:t>
            </w:r>
          </w:p>
        </w:tc>
      </w:tr>
      <w:tr w:rsidR="00B51828" w:rsidRPr="00E83D67" w14:paraId="477CFCAA" w14:textId="77777777" w:rsidTr="002101D2">
        <w:tc>
          <w:tcPr>
            <w:tcW w:w="428" w:type="pct"/>
          </w:tcPr>
          <w:p w14:paraId="6E5B72C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Renshaw 2005</w:t>
            </w:r>
          </w:p>
        </w:tc>
        <w:tc>
          <w:tcPr>
            <w:tcW w:w="910" w:type="pct"/>
          </w:tcPr>
          <w:p w14:paraId="45500C7F" w14:textId="674AC91D" w:rsidR="00B51828" w:rsidRDefault="00B51828" w:rsidP="002101D2">
            <w:pPr>
              <w:keepNext/>
              <w:spacing w:before="20" w:after="20"/>
              <w:ind w:left="0"/>
              <w:rPr>
                <w:rFonts w:ascii="Arial Narrow" w:hAnsi="Arial Narrow"/>
                <w:sz w:val="20"/>
                <w:szCs w:val="20"/>
              </w:rPr>
            </w:pPr>
            <w:r>
              <w:rPr>
                <w:rFonts w:ascii="Arial Narrow" w:hAnsi="Arial Narrow"/>
                <w:sz w:val="20"/>
                <w:szCs w:val="20"/>
              </w:rPr>
              <w:t>Review of inter</w:t>
            </w:r>
            <w:r w:rsidR="00DB23AB">
              <w:rPr>
                <w:rFonts w:ascii="Arial Narrow" w:hAnsi="Arial Narrow"/>
                <w:sz w:val="20"/>
                <w:szCs w:val="20"/>
              </w:rPr>
              <w:t>-departmental</w:t>
            </w:r>
            <w:r>
              <w:rPr>
                <w:rFonts w:ascii="Arial Narrow" w:hAnsi="Arial Narrow"/>
                <w:sz w:val="20"/>
                <w:szCs w:val="20"/>
              </w:rPr>
              <w:t xml:space="preserve"> consultations (incoming from outside institutions, pathologist-generated outgoing, patient- or clinician-generated outgoing) during a 2-year period from 2003 to 2005.</w:t>
            </w:r>
          </w:p>
          <w:p w14:paraId="2AFC3EE0" w14:textId="77777777" w:rsidR="00B51828" w:rsidRDefault="00B51828" w:rsidP="002101D2">
            <w:pPr>
              <w:keepNext/>
              <w:spacing w:before="20" w:after="20"/>
              <w:ind w:left="0"/>
              <w:rPr>
                <w:rFonts w:ascii="Arial Narrow" w:hAnsi="Arial Narrow"/>
                <w:sz w:val="20"/>
                <w:szCs w:val="20"/>
              </w:rPr>
            </w:pPr>
            <w:r w:rsidRPr="008759A2">
              <w:rPr>
                <w:rFonts w:ascii="Arial Narrow" w:hAnsi="Arial Narrow"/>
                <w:i/>
                <w:sz w:val="20"/>
                <w:szCs w:val="20"/>
              </w:rPr>
              <w:t>United States</w:t>
            </w:r>
          </w:p>
        </w:tc>
        <w:tc>
          <w:tcPr>
            <w:tcW w:w="695" w:type="pct"/>
          </w:tcPr>
          <w:p w14:paraId="2A04EFF1"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Pathology cases; any organ system</w:t>
            </w:r>
          </w:p>
          <w:p w14:paraId="1A75BEDA"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Incoming: N=328</w:t>
            </w:r>
          </w:p>
          <w:p w14:paraId="322783E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Outgoing: N=928 pathologist-generated, N=227 patient- or clinician-generated</w:t>
            </w:r>
          </w:p>
        </w:tc>
        <w:tc>
          <w:tcPr>
            <w:tcW w:w="535" w:type="pct"/>
          </w:tcPr>
          <w:p w14:paraId="30FC963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w:t>
            </w:r>
          </w:p>
        </w:tc>
        <w:tc>
          <w:tcPr>
            <w:tcW w:w="937" w:type="pct"/>
          </w:tcPr>
          <w:p w14:paraId="651C105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Incoming: SO provided by outside institutions. SO requested by pathologists from Department of Pathology Baptist Hospital of Miami.</w:t>
            </w:r>
          </w:p>
          <w:p w14:paraId="00AB3784"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Outgoing: SO provided by Department of Pathology, Baptist Hospital of Miami. SO requested from outside the department (but may include requests from within the institution).</w:t>
            </w:r>
          </w:p>
        </w:tc>
        <w:tc>
          <w:tcPr>
            <w:tcW w:w="455" w:type="pct"/>
          </w:tcPr>
          <w:p w14:paraId="437D83FE"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413D743A" w14:textId="77777777" w:rsidR="00B51828" w:rsidRPr="00645A69" w:rsidRDefault="00B51828" w:rsidP="00B51828">
            <w:pPr>
              <w:pStyle w:val="ListParagraph"/>
              <w:keepNext/>
              <w:numPr>
                <w:ilvl w:val="0"/>
                <w:numId w:val="32"/>
              </w:numPr>
              <w:spacing w:before="20" w:after="20"/>
              <w:rPr>
                <w:rFonts w:ascii="Arial Narrow" w:hAnsi="Arial Narrow"/>
                <w:sz w:val="20"/>
                <w:szCs w:val="20"/>
              </w:rPr>
            </w:pPr>
            <w:r w:rsidRPr="00645A69">
              <w:rPr>
                <w:rFonts w:ascii="Arial Narrow" w:hAnsi="Arial Narrow"/>
                <w:sz w:val="20"/>
                <w:szCs w:val="20"/>
              </w:rPr>
              <w:t>Diagnostic accuracy (disagreement rate)</w:t>
            </w:r>
          </w:p>
          <w:p w14:paraId="6DA0A8EA" w14:textId="77777777" w:rsidR="00B51828" w:rsidRPr="00645A69" w:rsidRDefault="00B51828" w:rsidP="00B51828">
            <w:pPr>
              <w:pStyle w:val="ListParagraph"/>
              <w:keepNext/>
              <w:numPr>
                <w:ilvl w:val="0"/>
                <w:numId w:val="32"/>
              </w:numPr>
              <w:spacing w:before="20" w:after="20"/>
              <w:rPr>
                <w:rFonts w:ascii="Arial Narrow" w:hAnsi="Arial Narrow"/>
                <w:sz w:val="20"/>
                <w:szCs w:val="20"/>
              </w:rPr>
            </w:pPr>
            <w:r w:rsidRPr="00645A69">
              <w:rPr>
                <w:rFonts w:ascii="Arial Narrow" w:hAnsi="Arial Narrow"/>
                <w:sz w:val="20"/>
                <w:szCs w:val="20"/>
              </w:rPr>
              <w:t>Nature of consultations with follow-up (additional consultation, additional biopsy, additional testing)</w:t>
            </w:r>
          </w:p>
        </w:tc>
      </w:tr>
      <w:tr w:rsidR="00B51828" w:rsidRPr="00E83D67" w14:paraId="2B889848" w14:textId="77777777" w:rsidTr="002101D2">
        <w:tc>
          <w:tcPr>
            <w:tcW w:w="428" w:type="pct"/>
          </w:tcPr>
          <w:p w14:paraId="20F5CFB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Renshaw 2009</w:t>
            </w:r>
          </w:p>
        </w:tc>
        <w:tc>
          <w:tcPr>
            <w:tcW w:w="910" w:type="pct"/>
          </w:tcPr>
          <w:p w14:paraId="112E5DAD" w14:textId="0EBE5B71" w:rsidR="00B51828" w:rsidRDefault="00B51828" w:rsidP="002101D2">
            <w:pPr>
              <w:spacing w:before="20" w:after="20"/>
              <w:ind w:left="0"/>
              <w:rPr>
                <w:rFonts w:ascii="Arial Narrow" w:hAnsi="Arial Narrow"/>
                <w:sz w:val="20"/>
                <w:szCs w:val="20"/>
              </w:rPr>
            </w:pPr>
            <w:r>
              <w:rPr>
                <w:rFonts w:ascii="Arial Narrow" w:hAnsi="Arial Narrow"/>
                <w:sz w:val="20"/>
                <w:szCs w:val="20"/>
              </w:rPr>
              <w:t>A retrospective review of inter</w:t>
            </w:r>
            <w:r w:rsidR="00DB23AB">
              <w:rPr>
                <w:rFonts w:ascii="Arial Narrow" w:hAnsi="Arial Narrow"/>
                <w:sz w:val="20"/>
                <w:szCs w:val="20"/>
              </w:rPr>
              <w:t>-laboratory</w:t>
            </w:r>
            <w:r>
              <w:rPr>
                <w:rFonts w:ascii="Arial Narrow" w:hAnsi="Arial Narrow"/>
                <w:sz w:val="20"/>
                <w:szCs w:val="20"/>
              </w:rPr>
              <w:t xml:space="preserve"> SOs requested by patients or clinicians from 2004 to 2009. The aim of the study was to compare disagreement rates based on whether the initial pathologist sent all or only selected slides.</w:t>
            </w:r>
          </w:p>
          <w:p w14:paraId="3ACC602F"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United States</w:t>
            </w:r>
            <w:r>
              <w:rPr>
                <w:rFonts w:ascii="Arial Narrow" w:hAnsi="Arial Narrow"/>
                <w:sz w:val="20"/>
                <w:szCs w:val="20"/>
              </w:rPr>
              <w:t xml:space="preserve"> </w:t>
            </w:r>
          </w:p>
        </w:tc>
        <w:tc>
          <w:tcPr>
            <w:tcW w:w="695" w:type="pct"/>
          </w:tcPr>
          <w:p w14:paraId="4D92B69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All routine slides  (excluding frozen section slides and IHC slides, unless the IHC stains were necessary to make a diagnosis)</w:t>
            </w:r>
          </w:p>
          <w:p w14:paraId="10740F6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N=596</w:t>
            </w:r>
          </w:p>
        </w:tc>
        <w:tc>
          <w:tcPr>
            <w:tcW w:w="535" w:type="pct"/>
          </w:tcPr>
          <w:p w14:paraId="4F7EE97C" w14:textId="77777777" w:rsidR="00B51828" w:rsidRPr="00C8772F" w:rsidRDefault="00B51828" w:rsidP="002101D2">
            <w:pPr>
              <w:ind w:left="0"/>
              <w:rPr>
                <w:rFonts w:ascii="Arial Narrow" w:hAnsi="Arial Narrow"/>
                <w:sz w:val="20"/>
                <w:szCs w:val="20"/>
              </w:rPr>
            </w:pPr>
            <w:r>
              <w:rPr>
                <w:rFonts w:ascii="Arial Narrow" w:hAnsi="Arial Narrow"/>
                <w:sz w:val="20"/>
                <w:szCs w:val="20"/>
              </w:rPr>
              <w:t>Initial diagnosis</w:t>
            </w:r>
          </w:p>
        </w:tc>
        <w:tc>
          <w:tcPr>
            <w:tcW w:w="937" w:type="pct"/>
          </w:tcPr>
          <w:p w14:paraId="52D00D7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Original material rather than recuts were sent for review, unless there were known legal reasons for retaining the originals, which occurred in less than 1% of cases.</w:t>
            </w:r>
          </w:p>
        </w:tc>
        <w:tc>
          <w:tcPr>
            <w:tcW w:w="455" w:type="pct"/>
          </w:tcPr>
          <w:p w14:paraId="12A0884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33982E82" w14:textId="77777777" w:rsidR="00B51828" w:rsidRDefault="00B51828" w:rsidP="00B51828">
            <w:pPr>
              <w:pStyle w:val="ListParagraph"/>
              <w:numPr>
                <w:ilvl w:val="0"/>
                <w:numId w:val="36"/>
              </w:numPr>
              <w:spacing w:before="20" w:after="20"/>
              <w:rPr>
                <w:rFonts w:ascii="Arial Narrow" w:hAnsi="Arial Narrow"/>
                <w:sz w:val="20"/>
                <w:szCs w:val="20"/>
              </w:rPr>
            </w:pPr>
            <w:r>
              <w:rPr>
                <w:rFonts w:ascii="Arial Narrow" w:hAnsi="Arial Narrow"/>
                <w:sz w:val="20"/>
                <w:szCs w:val="20"/>
              </w:rPr>
              <w:t>Diagnostic accuracy (disagreement rate, error rates at first and second laboratories)</w:t>
            </w:r>
          </w:p>
          <w:p w14:paraId="703D0598" w14:textId="77777777" w:rsidR="00B51828" w:rsidRDefault="00B51828" w:rsidP="00B51828">
            <w:pPr>
              <w:pStyle w:val="ListParagraph"/>
              <w:numPr>
                <w:ilvl w:val="0"/>
                <w:numId w:val="36"/>
              </w:numPr>
              <w:spacing w:before="20" w:after="20"/>
              <w:rPr>
                <w:rFonts w:ascii="Arial Narrow" w:hAnsi="Arial Narrow"/>
                <w:sz w:val="20"/>
                <w:szCs w:val="20"/>
              </w:rPr>
            </w:pPr>
            <w:r>
              <w:rPr>
                <w:rFonts w:ascii="Arial Narrow" w:hAnsi="Arial Narrow"/>
                <w:sz w:val="20"/>
                <w:szCs w:val="20"/>
              </w:rPr>
              <w:t>Disagreement rate according to whether all or selected slides were reviewed</w:t>
            </w:r>
          </w:p>
          <w:p w14:paraId="700C8649" w14:textId="77777777" w:rsidR="00B51828" w:rsidRPr="00B44BBE" w:rsidRDefault="00B51828" w:rsidP="00B51828">
            <w:pPr>
              <w:pStyle w:val="ListParagraph"/>
              <w:numPr>
                <w:ilvl w:val="0"/>
                <w:numId w:val="36"/>
              </w:numPr>
              <w:spacing w:before="20" w:after="20"/>
              <w:rPr>
                <w:rFonts w:ascii="Arial Narrow" w:hAnsi="Arial Narrow"/>
                <w:sz w:val="20"/>
                <w:szCs w:val="20"/>
              </w:rPr>
            </w:pPr>
            <w:r>
              <w:rPr>
                <w:rFonts w:ascii="Arial Narrow" w:hAnsi="Arial Narrow"/>
                <w:sz w:val="20"/>
                <w:szCs w:val="20"/>
              </w:rPr>
              <w:t>Whether outside institution attempted to contact original institution regarding discrepant cases</w:t>
            </w:r>
          </w:p>
        </w:tc>
      </w:tr>
      <w:tr w:rsidR="00B51828" w:rsidRPr="00E83D67" w14:paraId="1C182F0C" w14:textId="77777777" w:rsidTr="002101D2">
        <w:tc>
          <w:tcPr>
            <w:tcW w:w="428" w:type="pct"/>
          </w:tcPr>
          <w:p w14:paraId="3246BC1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Renshaw 2013</w:t>
            </w:r>
          </w:p>
        </w:tc>
        <w:tc>
          <w:tcPr>
            <w:tcW w:w="910" w:type="pct"/>
          </w:tcPr>
          <w:p w14:paraId="5EAA0E6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 review of patient/clinician-initiated consultations (incoming and outgoing) handled by the Baptist Hospital of Miami from 2006 to 2012.</w:t>
            </w:r>
          </w:p>
          <w:p w14:paraId="3CF755AB" w14:textId="77777777" w:rsidR="00B51828" w:rsidRPr="00517CA2" w:rsidRDefault="00B51828" w:rsidP="002101D2">
            <w:pPr>
              <w:spacing w:before="20" w:after="20"/>
              <w:ind w:left="0"/>
              <w:rPr>
                <w:rFonts w:ascii="Arial Narrow" w:hAnsi="Arial Narrow"/>
                <w:i/>
                <w:sz w:val="20"/>
                <w:szCs w:val="20"/>
              </w:rPr>
            </w:pPr>
            <w:r>
              <w:rPr>
                <w:rFonts w:ascii="Arial Narrow" w:hAnsi="Arial Narrow"/>
                <w:i/>
                <w:sz w:val="20"/>
                <w:szCs w:val="20"/>
              </w:rPr>
              <w:t>United States</w:t>
            </w:r>
          </w:p>
        </w:tc>
        <w:tc>
          <w:tcPr>
            <w:tcW w:w="695" w:type="pct"/>
          </w:tcPr>
          <w:p w14:paraId="779E493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All anatomic pathology (including surgical pathology and cytology)</w:t>
            </w:r>
          </w:p>
          <w:p w14:paraId="0E6B1FB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Incoming: N=1966</w:t>
            </w:r>
          </w:p>
          <w:p w14:paraId="3EAB8E0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Outgoing: N=1532</w:t>
            </w:r>
          </w:p>
        </w:tc>
        <w:tc>
          <w:tcPr>
            <w:tcW w:w="535" w:type="pct"/>
          </w:tcPr>
          <w:p w14:paraId="5673D23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937" w:type="pct"/>
          </w:tcPr>
          <w:p w14:paraId="345492F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EEO requested or provided by the Baptist Hospital of Miami. All discrepant cases were reviewed by one of the authors. </w:t>
            </w:r>
          </w:p>
        </w:tc>
        <w:tc>
          <w:tcPr>
            <w:tcW w:w="455" w:type="pct"/>
          </w:tcPr>
          <w:p w14:paraId="2B97322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626ABD08" w14:textId="77777777" w:rsidR="00B51828" w:rsidRDefault="00B51828" w:rsidP="00B51828">
            <w:pPr>
              <w:pStyle w:val="ListParagraph"/>
              <w:numPr>
                <w:ilvl w:val="0"/>
                <w:numId w:val="36"/>
              </w:numPr>
              <w:spacing w:before="20" w:after="20"/>
              <w:rPr>
                <w:rFonts w:ascii="Arial Narrow" w:hAnsi="Arial Narrow"/>
                <w:sz w:val="20"/>
                <w:szCs w:val="20"/>
              </w:rPr>
            </w:pPr>
            <w:r>
              <w:rPr>
                <w:rFonts w:ascii="Arial Narrow" w:hAnsi="Arial Narrow"/>
                <w:sz w:val="20"/>
                <w:szCs w:val="20"/>
              </w:rPr>
              <w:t>Diagnostic accuracy (disagreement rate)</w:t>
            </w:r>
          </w:p>
          <w:p w14:paraId="33E2B9B8" w14:textId="77777777" w:rsidR="00B51828" w:rsidRDefault="00B51828" w:rsidP="00B51828">
            <w:pPr>
              <w:pStyle w:val="ListParagraph"/>
              <w:numPr>
                <w:ilvl w:val="0"/>
                <w:numId w:val="36"/>
              </w:numPr>
              <w:spacing w:before="20" w:after="20"/>
              <w:rPr>
                <w:rFonts w:ascii="Arial Narrow" w:hAnsi="Arial Narrow"/>
                <w:sz w:val="20"/>
                <w:szCs w:val="20"/>
              </w:rPr>
            </w:pPr>
            <w:r>
              <w:rPr>
                <w:rFonts w:ascii="Arial Narrow" w:hAnsi="Arial Narrow"/>
                <w:sz w:val="20"/>
                <w:szCs w:val="20"/>
              </w:rPr>
              <w:t>Change in disagreement rate over time</w:t>
            </w:r>
          </w:p>
          <w:p w14:paraId="1BFB8B35" w14:textId="77777777" w:rsidR="00B51828" w:rsidRPr="00C8772F" w:rsidRDefault="00B51828" w:rsidP="00B51828">
            <w:pPr>
              <w:pStyle w:val="ListParagraph"/>
              <w:numPr>
                <w:ilvl w:val="0"/>
                <w:numId w:val="36"/>
              </w:numPr>
              <w:spacing w:before="20" w:after="20"/>
              <w:rPr>
                <w:rFonts w:ascii="Arial Narrow" w:hAnsi="Arial Narrow"/>
                <w:sz w:val="20"/>
                <w:szCs w:val="20"/>
              </w:rPr>
            </w:pPr>
            <w:r>
              <w:rPr>
                <w:rFonts w:ascii="Arial Narrow" w:hAnsi="Arial Narrow"/>
                <w:sz w:val="20"/>
                <w:szCs w:val="20"/>
              </w:rPr>
              <w:t>Use of IHC</w:t>
            </w:r>
          </w:p>
        </w:tc>
      </w:tr>
      <w:tr w:rsidR="00B51828" w:rsidRPr="00E83D67" w14:paraId="3D02AC46" w14:textId="77777777" w:rsidTr="002101D2">
        <w:tc>
          <w:tcPr>
            <w:tcW w:w="428" w:type="pct"/>
          </w:tcPr>
          <w:p w14:paraId="66D19B1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Santiago 2013</w:t>
            </w:r>
          </w:p>
        </w:tc>
        <w:tc>
          <w:tcPr>
            <w:tcW w:w="910" w:type="pct"/>
          </w:tcPr>
          <w:p w14:paraId="12371F31"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 xml:space="preserve">Retrospective review of international paediatric cases from low- to middle-income countries submitted to an International Outreach Program for histopathologic EEO during a 3-year period from 2009 to 2011. Excluded cases when EEO was not definitively conclusive, insufficient tissue quality or quantity for diagnosis, or when original primary diagnostic report not available. </w:t>
            </w:r>
          </w:p>
          <w:p w14:paraId="67B454DE" w14:textId="77777777" w:rsidR="00B51828" w:rsidRDefault="00B51828" w:rsidP="002101D2">
            <w:pPr>
              <w:keepNext/>
              <w:spacing w:before="20" w:after="20"/>
              <w:ind w:left="0"/>
              <w:rPr>
                <w:rFonts w:ascii="Arial Narrow" w:hAnsi="Arial Narrow"/>
                <w:sz w:val="20"/>
                <w:szCs w:val="20"/>
              </w:rPr>
            </w:pPr>
            <w:r w:rsidRPr="00C17DB1">
              <w:rPr>
                <w:rFonts w:ascii="Arial Narrow" w:hAnsi="Arial Narrow"/>
                <w:i/>
                <w:sz w:val="20"/>
                <w:szCs w:val="20"/>
              </w:rPr>
              <w:t xml:space="preserve">Low- to middle-income countries obtaining EEO from United States </w:t>
            </w:r>
          </w:p>
        </w:tc>
        <w:tc>
          <w:tcPr>
            <w:tcW w:w="695" w:type="pct"/>
          </w:tcPr>
          <w:p w14:paraId="0C28C016"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Paediatric malignancy histopathology cases</w:t>
            </w:r>
          </w:p>
          <w:p w14:paraId="125DD40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N=705</w:t>
            </w:r>
          </w:p>
        </w:tc>
        <w:tc>
          <w:tcPr>
            <w:tcW w:w="535" w:type="pct"/>
          </w:tcPr>
          <w:p w14:paraId="349ACCD5"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w:t>
            </w:r>
          </w:p>
        </w:tc>
        <w:tc>
          <w:tcPr>
            <w:tcW w:w="937" w:type="pct"/>
          </w:tcPr>
          <w:p w14:paraId="31B0D02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EEO provided by one or more pathologists (a board-certified anatomic pathologist, a haematopathologist, and/or a neuropathologist) from the Department of Pathology at St. Jude Children’s Research Hospital. EEO requested by 184 pathologists from 37 countries (International Outreach Program partner sites).</w:t>
            </w:r>
          </w:p>
        </w:tc>
        <w:tc>
          <w:tcPr>
            <w:tcW w:w="455" w:type="pct"/>
          </w:tcPr>
          <w:p w14:paraId="672D908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5A0D6AC5" w14:textId="77777777" w:rsidR="00B51828" w:rsidRPr="00645A69" w:rsidRDefault="00B51828" w:rsidP="00B51828">
            <w:pPr>
              <w:pStyle w:val="ListParagraph"/>
              <w:keepNext/>
              <w:numPr>
                <w:ilvl w:val="0"/>
                <w:numId w:val="33"/>
              </w:numPr>
              <w:spacing w:before="20" w:after="20"/>
              <w:rPr>
                <w:rFonts w:ascii="Arial Narrow" w:hAnsi="Arial Narrow"/>
                <w:sz w:val="20"/>
                <w:szCs w:val="20"/>
              </w:rPr>
            </w:pPr>
            <w:r w:rsidRPr="00645A69">
              <w:rPr>
                <w:rFonts w:ascii="Arial Narrow" w:hAnsi="Arial Narrow"/>
                <w:sz w:val="20"/>
                <w:szCs w:val="20"/>
              </w:rPr>
              <w:t>Diagnostic accuracy (agreement, minor disagreement, major disagreement)</w:t>
            </w:r>
          </w:p>
          <w:p w14:paraId="4FC5F376" w14:textId="77777777" w:rsidR="00B51828" w:rsidRPr="00645A69" w:rsidRDefault="00B51828" w:rsidP="00B51828">
            <w:pPr>
              <w:pStyle w:val="ListParagraph"/>
              <w:keepNext/>
              <w:numPr>
                <w:ilvl w:val="0"/>
                <w:numId w:val="33"/>
              </w:numPr>
              <w:spacing w:before="20" w:after="20"/>
              <w:rPr>
                <w:rFonts w:ascii="Arial Narrow" w:hAnsi="Arial Narrow"/>
                <w:sz w:val="20"/>
                <w:szCs w:val="20"/>
              </w:rPr>
            </w:pPr>
            <w:r w:rsidRPr="00645A69">
              <w:rPr>
                <w:rFonts w:ascii="Arial Narrow" w:hAnsi="Arial Narrow"/>
                <w:sz w:val="20"/>
                <w:szCs w:val="20"/>
              </w:rPr>
              <w:t>Diagnostic accuracy by anatomic site</w:t>
            </w:r>
          </w:p>
          <w:p w14:paraId="7819E548" w14:textId="77777777" w:rsidR="00B51828" w:rsidRPr="00645A69" w:rsidRDefault="00B51828" w:rsidP="00B51828">
            <w:pPr>
              <w:pStyle w:val="ListParagraph"/>
              <w:keepNext/>
              <w:numPr>
                <w:ilvl w:val="0"/>
                <w:numId w:val="33"/>
              </w:numPr>
              <w:spacing w:before="20" w:after="20"/>
              <w:rPr>
                <w:rFonts w:ascii="Arial Narrow" w:hAnsi="Arial Narrow"/>
                <w:sz w:val="20"/>
                <w:szCs w:val="20"/>
              </w:rPr>
            </w:pPr>
            <w:r w:rsidRPr="00645A69">
              <w:rPr>
                <w:rFonts w:ascii="Arial Narrow" w:hAnsi="Arial Narrow"/>
                <w:sz w:val="20"/>
                <w:szCs w:val="20"/>
              </w:rPr>
              <w:t>Characteristics of cases sent for review</w:t>
            </w:r>
          </w:p>
          <w:p w14:paraId="147DFF2F" w14:textId="77777777" w:rsidR="00B51828" w:rsidRPr="00645A69" w:rsidRDefault="00B51828" w:rsidP="00B51828">
            <w:pPr>
              <w:pStyle w:val="ListParagraph"/>
              <w:keepNext/>
              <w:numPr>
                <w:ilvl w:val="0"/>
                <w:numId w:val="33"/>
              </w:numPr>
              <w:spacing w:before="20" w:after="20"/>
              <w:rPr>
                <w:rFonts w:ascii="Arial Narrow" w:hAnsi="Arial Narrow"/>
                <w:sz w:val="20"/>
                <w:szCs w:val="20"/>
              </w:rPr>
            </w:pPr>
            <w:r w:rsidRPr="00645A69">
              <w:rPr>
                <w:rFonts w:ascii="Arial Narrow" w:hAnsi="Arial Narrow"/>
                <w:sz w:val="20"/>
                <w:szCs w:val="20"/>
              </w:rPr>
              <w:t>Nature of IHC used by initial pathologist and EEO pathologist</w:t>
            </w:r>
          </w:p>
          <w:p w14:paraId="40B363A6" w14:textId="77777777" w:rsidR="00B51828" w:rsidRPr="00645A69" w:rsidRDefault="00B51828" w:rsidP="00B51828">
            <w:pPr>
              <w:pStyle w:val="ListParagraph"/>
              <w:keepNext/>
              <w:numPr>
                <w:ilvl w:val="0"/>
                <w:numId w:val="33"/>
              </w:numPr>
              <w:spacing w:before="20" w:after="20"/>
              <w:rPr>
                <w:rFonts w:ascii="Arial Narrow" w:hAnsi="Arial Narrow"/>
                <w:sz w:val="20"/>
                <w:szCs w:val="20"/>
              </w:rPr>
            </w:pPr>
            <w:r w:rsidRPr="00645A69">
              <w:rPr>
                <w:rFonts w:ascii="Arial Narrow" w:hAnsi="Arial Narrow"/>
                <w:sz w:val="20"/>
                <w:szCs w:val="20"/>
              </w:rPr>
              <w:t>Correlation between major disagreements and use of IHC</w:t>
            </w:r>
          </w:p>
        </w:tc>
      </w:tr>
      <w:tr w:rsidR="00B51828" w:rsidRPr="00E83D67" w14:paraId="2E6CD6F3" w14:textId="77777777" w:rsidTr="002101D2">
        <w:tc>
          <w:tcPr>
            <w:tcW w:w="428" w:type="pct"/>
          </w:tcPr>
          <w:p w14:paraId="2A97D28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Zembowicz 2011</w:t>
            </w:r>
          </w:p>
        </w:tc>
        <w:tc>
          <w:tcPr>
            <w:tcW w:w="910" w:type="pct"/>
          </w:tcPr>
          <w:p w14:paraId="1D74110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Review of dermatopathology cases received for SO consultation from within the United States during a 6-month period from February to August, 2009.</w:t>
            </w:r>
          </w:p>
          <w:p w14:paraId="08BE3C26"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United States</w:t>
            </w:r>
          </w:p>
        </w:tc>
        <w:tc>
          <w:tcPr>
            <w:tcW w:w="695" w:type="pct"/>
          </w:tcPr>
          <w:p w14:paraId="051621E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Dermatopathology cases</w:t>
            </w:r>
          </w:p>
          <w:p w14:paraId="3D20235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N=1229 cases (average case consisted of 3.4 ± 3 slides)</w:t>
            </w:r>
          </w:p>
        </w:tc>
        <w:tc>
          <w:tcPr>
            <w:tcW w:w="535" w:type="pct"/>
          </w:tcPr>
          <w:p w14:paraId="14F89AD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937" w:type="pct"/>
          </w:tcPr>
          <w:p w14:paraId="2058387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EEO provided by a consultant pathologist at a free-standing clinical laboratory with no formal affiliations with large medical institutions. EEO requested by pathologists or clinicians due to diagnostic challenges or specific policies at outside institutions requiring external second opinion. </w:t>
            </w:r>
          </w:p>
        </w:tc>
        <w:tc>
          <w:tcPr>
            <w:tcW w:w="455" w:type="pct"/>
          </w:tcPr>
          <w:p w14:paraId="737A0BD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2C24E0D8" w14:textId="49116898" w:rsidR="00B51828" w:rsidRPr="00645A69" w:rsidRDefault="00B51828" w:rsidP="00B51828">
            <w:pPr>
              <w:pStyle w:val="ListParagraph"/>
              <w:numPr>
                <w:ilvl w:val="0"/>
                <w:numId w:val="34"/>
              </w:numPr>
              <w:spacing w:before="20" w:after="20"/>
              <w:rPr>
                <w:rFonts w:ascii="Arial Narrow" w:hAnsi="Arial Narrow"/>
                <w:sz w:val="20"/>
                <w:szCs w:val="20"/>
              </w:rPr>
            </w:pPr>
            <w:r w:rsidRPr="00645A69">
              <w:rPr>
                <w:rFonts w:ascii="Arial Narrow" w:hAnsi="Arial Narrow"/>
                <w:sz w:val="20"/>
                <w:szCs w:val="20"/>
              </w:rPr>
              <w:t>Turn</w:t>
            </w:r>
            <w:r w:rsidR="005414B7">
              <w:rPr>
                <w:rFonts w:ascii="Arial Narrow" w:hAnsi="Arial Narrow"/>
                <w:sz w:val="20"/>
                <w:szCs w:val="20"/>
              </w:rPr>
              <w:t>around</w:t>
            </w:r>
            <w:r w:rsidRPr="00645A69">
              <w:rPr>
                <w:rFonts w:ascii="Arial Narrow" w:hAnsi="Arial Narrow"/>
                <w:sz w:val="20"/>
                <w:szCs w:val="20"/>
              </w:rPr>
              <w:t xml:space="preserve"> time</w:t>
            </w:r>
          </w:p>
          <w:p w14:paraId="1DD278B1" w14:textId="77777777" w:rsidR="00B51828" w:rsidRPr="00645A69" w:rsidRDefault="00B51828" w:rsidP="00B51828">
            <w:pPr>
              <w:pStyle w:val="ListParagraph"/>
              <w:numPr>
                <w:ilvl w:val="0"/>
                <w:numId w:val="34"/>
              </w:numPr>
              <w:spacing w:before="20" w:after="20"/>
              <w:rPr>
                <w:rFonts w:ascii="Arial Narrow" w:hAnsi="Arial Narrow"/>
                <w:sz w:val="20"/>
                <w:szCs w:val="20"/>
              </w:rPr>
            </w:pPr>
            <w:r w:rsidRPr="00645A69">
              <w:rPr>
                <w:rFonts w:ascii="Arial Narrow" w:hAnsi="Arial Narrow"/>
                <w:sz w:val="20"/>
                <w:szCs w:val="20"/>
              </w:rPr>
              <w:t>Diagnostic categories of specimens submitted for review</w:t>
            </w:r>
          </w:p>
        </w:tc>
      </w:tr>
    </w:tbl>
    <w:p w14:paraId="207EE80B" w14:textId="77777777" w:rsidR="00B51828" w:rsidRPr="00517CA2" w:rsidRDefault="00B51828" w:rsidP="002101D2">
      <w:pPr>
        <w:ind w:left="0" w:firstLine="720"/>
        <w:rPr>
          <w:rFonts w:ascii="Arial Narrow" w:hAnsi="Arial Narrow"/>
          <w:sz w:val="16"/>
          <w:szCs w:val="16"/>
        </w:rPr>
        <w:sectPr w:rsidR="00B51828" w:rsidRPr="00517CA2" w:rsidSect="002101D2">
          <w:footerReference w:type="default" r:id="rId19"/>
          <w:pgSz w:w="16838" w:h="11906" w:orient="landscape" w:code="9"/>
          <w:pgMar w:top="1440" w:right="1440" w:bottom="1440" w:left="1440" w:header="680" w:footer="1021" w:gutter="0"/>
          <w:cols w:space="708"/>
          <w:docGrid w:linePitch="360"/>
        </w:sectPr>
      </w:pPr>
      <w:bookmarkStart w:id="109" w:name="_Ref392761682"/>
      <w:r w:rsidRPr="00517CA2">
        <w:rPr>
          <w:rFonts w:ascii="Arial Narrow" w:hAnsi="Arial Narrow"/>
          <w:sz w:val="16"/>
          <w:szCs w:val="16"/>
        </w:rPr>
        <w:t>Abbreviations</w:t>
      </w:r>
      <w:r>
        <w:rPr>
          <w:rFonts w:ascii="Arial Narrow" w:hAnsi="Arial Narrow"/>
          <w:sz w:val="16"/>
          <w:szCs w:val="16"/>
        </w:rPr>
        <w:t xml:space="preserve">: EEO, external expert opinion; IHC, immunohistochemistry; SO, second opinion. </w:t>
      </w:r>
    </w:p>
    <w:p w14:paraId="3F98B793" w14:textId="77777777" w:rsidR="00B51828" w:rsidRDefault="00B51828" w:rsidP="002101D2">
      <w:pPr>
        <w:pStyle w:val="Caption"/>
      </w:pPr>
      <w:bookmarkStart w:id="110" w:name="_Ref393097245"/>
      <w:bookmarkStart w:id="111" w:name="_Toc396211738"/>
      <w:r>
        <w:lastRenderedPageBreak/>
        <w:t xml:space="preserve">Table </w:t>
      </w:r>
      <w:fldSimple w:instr=" STYLEREF 2 \s ">
        <w:r w:rsidR="0044620B">
          <w:rPr>
            <w:noProof/>
          </w:rPr>
          <w:t>B.2</w:t>
        </w:r>
      </w:fldSimple>
      <w:r>
        <w:noBreakHyphen/>
      </w:r>
      <w:fldSimple w:instr=" SEQ Table \* ARABIC \s 2 ">
        <w:r w:rsidR="0044620B">
          <w:rPr>
            <w:noProof/>
          </w:rPr>
          <w:t>3</w:t>
        </w:r>
      </w:fldSimple>
      <w:bookmarkEnd w:id="109"/>
      <w:bookmarkEnd w:id="110"/>
      <w:r>
        <w:tab/>
        <w:t>Reasons to exclude each study from further detailed assessment</w:t>
      </w:r>
      <w:bookmarkEnd w:id="111"/>
    </w:p>
    <w:tbl>
      <w:tblPr>
        <w:tblStyle w:val="TableGrid"/>
        <w:tblW w:w="4745" w:type="pct"/>
        <w:tblInd w:w="704" w:type="dxa"/>
        <w:tblCellMar>
          <w:left w:w="57" w:type="dxa"/>
          <w:right w:w="57" w:type="dxa"/>
        </w:tblCellMar>
        <w:tblLook w:val="04A0" w:firstRow="1" w:lastRow="0" w:firstColumn="1" w:lastColumn="0" w:noHBand="0" w:noVBand="1"/>
        <w:tblCaption w:val="Reasons to exclude each study from further detailed assessment"/>
        <w:tblDescription w:val="Specific reasons for exclusion"/>
      </w:tblPr>
      <w:tblGrid>
        <w:gridCol w:w="1679"/>
        <w:gridCol w:w="3558"/>
        <w:gridCol w:w="8117"/>
      </w:tblGrid>
      <w:tr w:rsidR="00B51828" w:rsidRPr="00E83D67" w14:paraId="5BDFFF56" w14:textId="77777777" w:rsidTr="002101D2">
        <w:trPr>
          <w:tblHeader/>
        </w:trPr>
        <w:tc>
          <w:tcPr>
            <w:tcW w:w="629" w:type="pct"/>
          </w:tcPr>
          <w:p w14:paraId="60C76A7A"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ID</w:t>
            </w:r>
          </w:p>
        </w:tc>
        <w:tc>
          <w:tcPr>
            <w:tcW w:w="1332" w:type="pct"/>
          </w:tcPr>
          <w:p w14:paraId="5D4CAF9F" w14:textId="77777777" w:rsidR="00B51828" w:rsidRPr="0082484A" w:rsidRDefault="00B51828" w:rsidP="002101D2">
            <w:pPr>
              <w:spacing w:before="20" w:after="20"/>
              <w:ind w:left="0"/>
              <w:rPr>
                <w:rFonts w:ascii="Arial Narrow" w:hAnsi="Arial Narrow"/>
                <w:b/>
                <w:i/>
                <w:sz w:val="20"/>
                <w:szCs w:val="20"/>
              </w:rPr>
            </w:pPr>
            <w:r>
              <w:rPr>
                <w:rFonts w:ascii="Arial Narrow" w:hAnsi="Arial Narrow"/>
                <w:b/>
                <w:sz w:val="20"/>
                <w:szCs w:val="20"/>
              </w:rPr>
              <w:t>Grounds for seeking exclusion</w:t>
            </w:r>
          </w:p>
        </w:tc>
        <w:tc>
          <w:tcPr>
            <w:tcW w:w="3039" w:type="pct"/>
          </w:tcPr>
          <w:p w14:paraId="61FA56C7" w14:textId="77777777" w:rsidR="00B51828" w:rsidRDefault="00B51828" w:rsidP="002101D2">
            <w:pPr>
              <w:spacing w:before="20" w:after="20"/>
              <w:ind w:left="0"/>
              <w:rPr>
                <w:rFonts w:ascii="Arial Narrow" w:hAnsi="Arial Narrow"/>
                <w:b/>
                <w:sz w:val="20"/>
                <w:szCs w:val="20"/>
              </w:rPr>
            </w:pPr>
            <w:r>
              <w:rPr>
                <w:rFonts w:ascii="Arial Narrow" w:hAnsi="Arial Narrow"/>
                <w:b/>
                <w:sz w:val="20"/>
                <w:szCs w:val="20"/>
              </w:rPr>
              <w:t>Details</w:t>
            </w:r>
          </w:p>
        </w:tc>
      </w:tr>
      <w:tr w:rsidR="00B51828" w:rsidRPr="00E83D67" w14:paraId="126437E2" w14:textId="77777777" w:rsidTr="002101D2">
        <w:tc>
          <w:tcPr>
            <w:tcW w:w="629" w:type="pct"/>
          </w:tcPr>
          <w:p w14:paraId="3B53676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Azam 2002</w:t>
            </w:r>
          </w:p>
        </w:tc>
        <w:tc>
          <w:tcPr>
            <w:tcW w:w="1332" w:type="pct"/>
          </w:tcPr>
          <w:p w14:paraId="09B38AA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Study included EEO sought by the primary pathologist, clinician or patient.</w:t>
            </w:r>
          </w:p>
        </w:tc>
        <w:tc>
          <w:tcPr>
            <w:tcW w:w="3039" w:type="pct"/>
          </w:tcPr>
          <w:p w14:paraId="47DA07A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The main reasons for seeking personal (expert) consultation were (Azam et al 2002, Table 2, p407): diagnostic uncertainty of the referring pathologist (46.8%), disagreement of opinion between 2 or more pathologists (6.0%), to seek additional information/ recommendation from an expert (28.2%), clinician’s request (13.4%), patient’s request (4.2%), other (1.3%). Results were not reported separately for EEO requests by pathologists or clinician only. Cases were excluded from the study if no diagnostic impression was rendered in the primary laboratory. These cases would represent a proportion of cases sent at the recommendation of the clinician or primary pathologist.</w:t>
            </w:r>
          </w:p>
        </w:tc>
      </w:tr>
      <w:tr w:rsidR="00B51828" w:rsidRPr="00E83D67" w14:paraId="15EDBC98" w14:textId="77777777" w:rsidTr="002101D2">
        <w:tc>
          <w:tcPr>
            <w:tcW w:w="629" w:type="pct"/>
          </w:tcPr>
          <w:p w14:paraId="29C0A501" w14:textId="77777777" w:rsidR="00B51828" w:rsidRPr="00DD28B6" w:rsidRDefault="00B51828" w:rsidP="002101D2">
            <w:pPr>
              <w:spacing w:before="20" w:after="20"/>
              <w:ind w:left="0"/>
              <w:rPr>
                <w:rFonts w:ascii="Arial Narrow" w:hAnsi="Arial Narrow"/>
                <w:sz w:val="20"/>
                <w:szCs w:val="20"/>
              </w:rPr>
            </w:pPr>
            <w:r>
              <w:rPr>
                <w:rFonts w:ascii="Arial Narrow" w:hAnsi="Arial Narrow"/>
                <w:sz w:val="20"/>
                <w:szCs w:val="20"/>
              </w:rPr>
              <w:t>Fajardo 2011</w:t>
            </w:r>
          </w:p>
        </w:tc>
        <w:tc>
          <w:tcPr>
            <w:tcW w:w="1332" w:type="pct"/>
          </w:tcPr>
          <w:p w14:paraId="5E86F147" w14:textId="77777777" w:rsidR="00B51828" w:rsidRPr="00DD28B6" w:rsidRDefault="00B51828" w:rsidP="002101D2">
            <w:pPr>
              <w:spacing w:before="20" w:after="20"/>
              <w:ind w:left="0"/>
              <w:rPr>
                <w:rFonts w:ascii="Arial Narrow" w:hAnsi="Arial Narrow"/>
                <w:sz w:val="20"/>
                <w:szCs w:val="20"/>
              </w:rPr>
            </w:pPr>
            <w:r>
              <w:rPr>
                <w:rFonts w:ascii="Arial Narrow" w:hAnsi="Arial Narrow"/>
                <w:sz w:val="20"/>
                <w:szCs w:val="20"/>
              </w:rPr>
              <w:t>Study included EEO sought by patients or clinicians.</w:t>
            </w:r>
          </w:p>
        </w:tc>
        <w:tc>
          <w:tcPr>
            <w:tcW w:w="3039" w:type="pct"/>
          </w:tcPr>
          <w:p w14:paraId="79E3096E" w14:textId="77777777" w:rsidR="00B51828" w:rsidRPr="00DD28B6" w:rsidRDefault="00B51828" w:rsidP="002101D2">
            <w:pPr>
              <w:spacing w:before="20" w:after="20"/>
              <w:ind w:left="0"/>
              <w:rPr>
                <w:rFonts w:ascii="Arial Narrow" w:hAnsi="Arial Narrow"/>
                <w:sz w:val="20"/>
                <w:szCs w:val="20"/>
              </w:rPr>
            </w:pPr>
            <w:r>
              <w:rPr>
                <w:rFonts w:ascii="Arial Narrow" w:hAnsi="Arial Narrow"/>
                <w:sz w:val="20"/>
                <w:szCs w:val="20"/>
              </w:rPr>
              <w:t>In all cases the initial pathologist had provided a ‘final’ diagnosis and the cases were sent at the behest of clinicians or patients. Gleason pattern 5 was missed in 34 of 59 (57.6%) cases by the initial pathologist; however it is unclear what proportion of those cases were patient- and clinician-initiated. In addition, the study only included cases in which the expert diagnosis was Gleason pattern 5 – the diagnosis of the submitting pathologist was then compared.</w:t>
            </w:r>
          </w:p>
        </w:tc>
      </w:tr>
      <w:tr w:rsidR="00B51828" w:rsidRPr="00E83D67" w14:paraId="4CAC36E2" w14:textId="77777777" w:rsidTr="002101D2">
        <w:tc>
          <w:tcPr>
            <w:tcW w:w="629" w:type="pct"/>
          </w:tcPr>
          <w:p w14:paraId="5C68E1F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Hamady 2005</w:t>
            </w:r>
          </w:p>
        </w:tc>
        <w:tc>
          <w:tcPr>
            <w:tcW w:w="1332" w:type="pct"/>
          </w:tcPr>
          <w:p w14:paraId="3EB1BD4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 most cases second opinion was provided as part of a routine review prior to therapy, not because of any particular uncertainty on the part of the clinician or pathologist.</w:t>
            </w:r>
          </w:p>
        </w:tc>
        <w:tc>
          <w:tcPr>
            <w:tcW w:w="3039" w:type="pct"/>
          </w:tcPr>
          <w:p w14:paraId="43B688D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The study included a total of 66 cases, 49 of which underwent routine review before starting therapy. Only 17 cases were referred by the general pathologist for confirmation of the diagnosis. The relevant cases are therefore less than 50, which is one of the exclusion criteria.</w:t>
            </w:r>
          </w:p>
        </w:tc>
      </w:tr>
      <w:tr w:rsidR="00B51828" w:rsidRPr="00E83D67" w14:paraId="59234804" w14:textId="77777777" w:rsidTr="002101D2">
        <w:tc>
          <w:tcPr>
            <w:tcW w:w="629" w:type="pct"/>
          </w:tcPr>
          <w:p w14:paraId="05C25E5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Herawi 2005</w:t>
            </w:r>
          </w:p>
        </w:tc>
        <w:tc>
          <w:tcPr>
            <w:tcW w:w="1332" w:type="pct"/>
          </w:tcPr>
          <w:p w14:paraId="0CA9C1B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Only included cases where referring pathologist suspected malignancy and an expert review of the entire case diagnosed it as benign.</w:t>
            </w:r>
          </w:p>
        </w:tc>
        <w:tc>
          <w:tcPr>
            <w:tcW w:w="3039" w:type="pct"/>
          </w:tcPr>
          <w:p w14:paraId="677A47D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 total of 4,046 prostate needle biopsy cases were sent for consultation and 345 cases (8.5%) were diagnosed on EEO as benign after an initial diagnosis of suspected malignancy (Herawi et al 2005, p874).</w:t>
            </w:r>
          </w:p>
        </w:tc>
      </w:tr>
      <w:tr w:rsidR="00B51828" w:rsidRPr="00E83D67" w14:paraId="3E33B259" w14:textId="77777777" w:rsidTr="002101D2">
        <w:tc>
          <w:tcPr>
            <w:tcW w:w="629" w:type="pct"/>
          </w:tcPr>
          <w:p w14:paraId="398EA8C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Kronz </w:t>
            </w:r>
          </w:p>
          <w:p w14:paraId="30EDC6A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2003</w:t>
            </w:r>
          </w:p>
        </w:tc>
        <w:tc>
          <w:tcPr>
            <w:tcW w:w="1332" w:type="pct"/>
          </w:tcPr>
          <w:p w14:paraId="2CEA4E1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Study included EEO sought by the initial pathologist, clinician, patient and ‘other’.</w:t>
            </w:r>
          </w:p>
        </w:tc>
        <w:tc>
          <w:tcPr>
            <w:tcW w:w="3039" w:type="pct"/>
          </w:tcPr>
          <w:p w14:paraId="33C2409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The study only included expert consultations (i.e. not patients referred for surgery). It was clear that some expert reviews were requested by patients and reasons other than clinician or pathologist uncertainty; however it was unclear what proportion of referrals came from each source. </w:t>
            </w:r>
          </w:p>
        </w:tc>
      </w:tr>
      <w:tr w:rsidR="00B51828" w:rsidRPr="00E83D67" w14:paraId="27264A34" w14:textId="77777777" w:rsidTr="002101D2">
        <w:tc>
          <w:tcPr>
            <w:tcW w:w="629" w:type="pct"/>
          </w:tcPr>
          <w:p w14:paraId="604DD89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Renshaw 2005</w:t>
            </w:r>
          </w:p>
        </w:tc>
        <w:tc>
          <w:tcPr>
            <w:tcW w:w="1332" w:type="pct"/>
          </w:tcPr>
          <w:p w14:paraId="257B3E6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The reason for obtaining second opinion was not only due to diagnostic uncertainty. It is not clear whether the second opinion was from an expert pathologist.</w:t>
            </w:r>
          </w:p>
        </w:tc>
        <w:tc>
          <w:tcPr>
            <w:tcW w:w="3039" w:type="pct"/>
          </w:tcPr>
          <w:p w14:paraId="0414A5B9" w14:textId="5F8A6E9E" w:rsidR="00B51828" w:rsidRDefault="00B51828" w:rsidP="002101D2">
            <w:pPr>
              <w:spacing w:before="20" w:after="20"/>
              <w:ind w:left="0"/>
              <w:rPr>
                <w:rFonts w:ascii="Arial Narrow" w:hAnsi="Arial Narrow"/>
                <w:sz w:val="20"/>
                <w:szCs w:val="20"/>
              </w:rPr>
            </w:pPr>
            <w:r>
              <w:rPr>
                <w:rFonts w:ascii="Arial Narrow" w:hAnsi="Arial Narrow"/>
                <w:sz w:val="20"/>
                <w:szCs w:val="20"/>
              </w:rPr>
              <w:t>The study focus</w:t>
            </w:r>
            <w:r w:rsidR="005414B7">
              <w:rPr>
                <w:rFonts w:ascii="Arial Narrow" w:hAnsi="Arial Narrow"/>
                <w:sz w:val="20"/>
                <w:szCs w:val="20"/>
              </w:rPr>
              <w:t>ses</w:t>
            </w:r>
            <w:r>
              <w:rPr>
                <w:rFonts w:ascii="Arial Narrow" w:hAnsi="Arial Narrow"/>
                <w:sz w:val="20"/>
                <w:szCs w:val="20"/>
              </w:rPr>
              <w:t xml:space="preserve"> on inter-departmental consultation, but not necessarily expert opinion (particularly for incoming cases). Reason for incoming consults not provided in publication. The discussion section (Renshaw et al, 2005, p881) states that the high rate of pathologist-generated outgoing consultation may be because of litigious environment and the need to have an outside expert’s name on the report. The authors claimed that these types of cases were not able to be distinguished in the data set and therefore the impact that these cases had on the rate of disagreement or error could not be directly measured. The publication did not mention cases where no initial opinion could be provided by the primary pathologist.</w:t>
            </w:r>
          </w:p>
        </w:tc>
      </w:tr>
      <w:tr w:rsidR="00B51828" w:rsidRPr="00E83D67" w14:paraId="405D8EA2" w14:textId="77777777" w:rsidTr="002101D2">
        <w:tc>
          <w:tcPr>
            <w:tcW w:w="629" w:type="pct"/>
          </w:tcPr>
          <w:p w14:paraId="02F975E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Renshaw 2009</w:t>
            </w:r>
          </w:p>
        </w:tc>
        <w:tc>
          <w:tcPr>
            <w:tcW w:w="1332" w:type="pct"/>
          </w:tcPr>
          <w:p w14:paraId="372BC2B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Study included EEO sought by patients or clinicians.</w:t>
            </w:r>
          </w:p>
        </w:tc>
        <w:tc>
          <w:tcPr>
            <w:tcW w:w="3039" w:type="pct"/>
          </w:tcPr>
          <w:p w14:paraId="24D9534E" w14:textId="7FFDF787" w:rsidR="00B51828" w:rsidRDefault="00B51828" w:rsidP="002101D2">
            <w:pPr>
              <w:spacing w:before="20" w:after="20"/>
              <w:ind w:left="0"/>
              <w:rPr>
                <w:rFonts w:ascii="Arial Narrow" w:hAnsi="Arial Narrow"/>
                <w:sz w:val="20"/>
                <w:szCs w:val="20"/>
              </w:rPr>
            </w:pPr>
            <w:r>
              <w:rPr>
                <w:rFonts w:ascii="Arial Narrow" w:hAnsi="Arial Narrow"/>
                <w:sz w:val="20"/>
                <w:szCs w:val="20"/>
              </w:rPr>
              <w:t>It is unclear what proportion of cases were patient/clinician-initiated. Of 596 inter</w:t>
            </w:r>
            <w:r w:rsidR="00DB23AB">
              <w:rPr>
                <w:rFonts w:ascii="Arial Narrow" w:hAnsi="Arial Narrow"/>
                <w:sz w:val="20"/>
                <w:szCs w:val="20"/>
              </w:rPr>
              <w:t>-departmental</w:t>
            </w:r>
            <w:r>
              <w:rPr>
                <w:rFonts w:ascii="Arial Narrow" w:hAnsi="Arial Narrow"/>
                <w:sz w:val="20"/>
                <w:szCs w:val="20"/>
              </w:rPr>
              <w:t xml:space="preserve"> consultations, disagreements were identified in 81 (13.6%); however, the results were not presented separately according to the source of referral.</w:t>
            </w:r>
          </w:p>
        </w:tc>
      </w:tr>
      <w:tr w:rsidR="00B51828" w:rsidRPr="00E83D67" w14:paraId="63973A54" w14:textId="77777777" w:rsidTr="002101D2">
        <w:tc>
          <w:tcPr>
            <w:tcW w:w="629" w:type="pct"/>
          </w:tcPr>
          <w:p w14:paraId="6035B8A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Renshaw 2013</w:t>
            </w:r>
          </w:p>
        </w:tc>
        <w:tc>
          <w:tcPr>
            <w:tcW w:w="1332" w:type="pct"/>
          </w:tcPr>
          <w:p w14:paraId="07F9329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Study included EEO sought by patients or clinicians.</w:t>
            </w:r>
          </w:p>
        </w:tc>
        <w:tc>
          <w:tcPr>
            <w:tcW w:w="3039" w:type="pct"/>
          </w:tcPr>
          <w:p w14:paraId="7E176C0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The study examined whether there has been a change over time in inter-laboratory (incoming and outgoing) anatomic pathology consultation material. Incoming requests were based entirely on patient or clinician desire because there is no mandatory requirement for consultation at the study hospital. For outgoing consultations, only those requested by the patient/clinician were reviewed. In both cases, it is unclear what proportion of cases were patient/clinician-initiated and the results were not presented separately according to the source of the referral.</w:t>
            </w:r>
          </w:p>
        </w:tc>
      </w:tr>
      <w:tr w:rsidR="00B51828" w:rsidRPr="00E83D67" w14:paraId="2968F955" w14:textId="77777777" w:rsidTr="002101D2">
        <w:tc>
          <w:tcPr>
            <w:tcW w:w="629" w:type="pct"/>
          </w:tcPr>
          <w:p w14:paraId="3BA58BF2"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Santiago 2013</w:t>
            </w:r>
          </w:p>
        </w:tc>
        <w:tc>
          <w:tcPr>
            <w:tcW w:w="1332" w:type="pct"/>
          </w:tcPr>
          <w:p w14:paraId="58F69E2D"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 xml:space="preserve">Study not applicable to Australian setting. </w:t>
            </w:r>
          </w:p>
        </w:tc>
        <w:tc>
          <w:tcPr>
            <w:tcW w:w="3039" w:type="pct"/>
          </w:tcPr>
          <w:p w14:paraId="081F0755" w14:textId="4E8EAD24"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Study includes cases for histopathological review of paediatric neoplasms submitted by international pathologists from 37 low- and middle-income countries, where pathology services may be sub</w:t>
            </w:r>
            <w:r w:rsidR="00DB23AB">
              <w:rPr>
                <w:rFonts w:ascii="Arial Narrow" w:hAnsi="Arial Narrow"/>
                <w:sz w:val="20"/>
                <w:szCs w:val="20"/>
              </w:rPr>
              <w:t>-optimal</w:t>
            </w:r>
            <w:r>
              <w:rPr>
                <w:rFonts w:ascii="Arial Narrow" w:hAnsi="Arial Narrow"/>
                <w:sz w:val="20"/>
                <w:szCs w:val="20"/>
              </w:rPr>
              <w:t xml:space="preserve"> (Santiago et al 2013, p1652).</w:t>
            </w:r>
          </w:p>
        </w:tc>
      </w:tr>
      <w:tr w:rsidR="00B51828" w:rsidRPr="00E83D67" w14:paraId="1A146A08" w14:textId="77777777" w:rsidTr="002101D2">
        <w:tc>
          <w:tcPr>
            <w:tcW w:w="629" w:type="pct"/>
          </w:tcPr>
          <w:p w14:paraId="3B32073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Zembowicz 2011</w:t>
            </w:r>
          </w:p>
        </w:tc>
        <w:tc>
          <w:tcPr>
            <w:tcW w:w="1332" w:type="pct"/>
          </w:tcPr>
          <w:p w14:paraId="094BEB4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Study included EEO sought by (i) the primary pathologist; (ii) the clinician; and (iii) a clinician or pathologist because of a policy at their institution mandating second opinion/external review.</w:t>
            </w:r>
          </w:p>
        </w:tc>
        <w:tc>
          <w:tcPr>
            <w:tcW w:w="3039" w:type="pct"/>
          </w:tcPr>
          <w:p w14:paraId="408DC6E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Study includes at least 9% of cases that were referred for reasons other than pathologist or clinician uncertainty. In 9% of cases, the authors found records that indicated the review was requested by a clinician, or was referred because of outside institutional policies. In addition, of the remaining 91% of cases (referred by a pathologist) the authors suspect that some cases may have been referred because of considerations other than just seeking a second opinion on a challenging case. For example, it is possible that some pathology practices used the Web-based service as a means of obtaining a primary diagnosis, due to contractual arrangements with the referral centre, low costs and/or minimal logistical barriers. Some cases may have been sent due to medico-legal considerations, despite the fact that a submitting pathologist had little doubt about a diagnosis. Therefore, the type and number of referrals presented in the study may not reflect usual clinical practice due to the Web-based nature which reduces barriers and cost of referral (e.g. minimises secretarial resources needed for referral). </w:t>
            </w:r>
          </w:p>
        </w:tc>
      </w:tr>
    </w:tbl>
    <w:p w14:paraId="1C346DC8" w14:textId="77777777" w:rsidR="00B51828" w:rsidRPr="00CD7707" w:rsidRDefault="00B51828" w:rsidP="002101D2">
      <w:pPr>
        <w:ind w:left="0" w:firstLine="720"/>
        <w:rPr>
          <w:rFonts w:ascii="Arial Narrow" w:hAnsi="Arial Narrow"/>
          <w:sz w:val="16"/>
          <w:szCs w:val="16"/>
        </w:rPr>
        <w:sectPr w:rsidR="00B51828" w:rsidRPr="00CD7707" w:rsidSect="002101D2">
          <w:pgSz w:w="16838" w:h="11906" w:orient="landscape" w:code="9"/>
          <w:pgMar w:top="1440" w:right="1440" w:bottom="1440" w:left="1440" w:header="680" w:footer="1021" w:gutter="0"/>
          <w:cols w:space="708"/>
          <w:docGrid w:linePitch="360"/>
        </w:sectPr>
      </w:pPr>
      <w:r w:rsidRPr="00CD7707">
        <w:rPr>
          <w:rFonts w:ascii="Arial Narrow" w:hAnsi="Arial Narrow"/>
          <w:sz w:val="16"/>
          <w:szCs w:val="16"/>
        </w:rPr>
        <w:t>Abbreviations</w:t>
      </w:r>
      <w:r>
        <w:rPr>
          <w:rFonts w:ascii="Arial Narrow" w:hAnsi="Arial Narrow"/>
          <w:sz w:val="16"/>
          <w:szCs w:val="16"/>
        </w:rPr>
        <w:t>: EEO, external expert opinion.</w:t>
      </w:r>
    </w:p>
    <w:p w14:paraId="22643FF7" w14:textId="77777777" w:rsidR="00B51828" w:rsidRDefault="00B51828" w:rsidP="00B51828">
      <w:pPr>
        <w:pStyle w:val="Heading2"/>
        <w:numPr>
          <w:ilvl w:val="1"/>
          <w:numId w:val="1"/>
        </w:numPr>
      </w:pPr>
      <w:bookmarkStart w:id="112" w:name="_Toc396211693"/>
      <w:r>
        <w:lastRenderedPageBreak/>
        <w:t xml:space="preserve">Assessment of the </w:t>
      </w:r>
      <w:r w:rsidRPr="00DD06FA">
        <w:t>measures</w:t>
      </w:r>
      <w:r>
        <w:t xml:space="preserve"> taken by investigators to minimise </w:t>
      </w:r>
      <w:r w:rsidRPr="00C47E47">
        <w:t>bias</w:t>
      </w:r>
      <w:bookmarkEnd w:id="112"/>
    </w:p>
    <w:p w14:paraId="7AF6A3F2" w14:textId="77777777" w:rsidR="00B51828" w:rsidRDefault="00B51828" w:rsidP="002101D2">
      <w:r>
        <w:t xml:space="preserve">Potential sources of bias in the included studies have been assessed using principles from the QUADAS-2 tool developed by Whiting et al (2011). Important sources of bias may relate to patient selection, the index test, reference standard, and patient flow and timing. For the purposes of the following discussion, the ‘index test’ refers to an initial pathology opinion and the ‘reference standard’ refers to a second opinion obtained from one or more expert pathologists as a result of diagnostic uncertainty. </w:t>
      </w:r>
    </w:p>
    <w:p w14:paraId="62FC641D" w14:textId="77777777" w:rsidR="00B51828" w:rsidRDefault="00B51828" w:rsidP="00B51828">
      <w:pPr>
        <w:pStyle w:val="Heading3"/>
        <w:numPr>
          <w:ilvl w:val="2"/>
          <w:numId w:val="1"/>
        </w:numPr>
        <w:ind w:hanging="294"/>
      </w:pPr>
      <w:r>
        <w:t xml:space="preserve">Patient selection </w:t>
      </w:r>
    </w:p>
    <w:p w14:paraId="07998747" w14:textId="61907F3B" w:rsidR="00B51828" w:rsidRDefault="00B51828" w:rsidP="002101D2">
      <w:r>
        <w:t xml:space="preserve">Most of the included studies had a low risk of bias in terms of patient selection. The majority of studies, which were both prospective and retrospective, assessed all consecutive cases sent to, or received by an expert consultation practice over the period of the study </w:t>
      </w:r>
      <w:r>
        <w:rPr>
          <w:noProof/>
        </w:rPr>
        <w:t xml:space="preserve">(Arbiser et al, 2001; Bruner et al, 1997; Chan and Epstein, 2005; Hsu et al, 2010; Hutton Klein et al, 2010; Jones and Jordan, 2010; Ray-Coquard et al, 2012; Tavora et al, 2009; </w:t>
      </w:r>
      <w:r w:rsidR="00525F10">
        <w:rPr>
          <w:noProof/>
        </w:rPr>
        <w:t>v</w:t>
      </w:r>
      <w:r>
        <w:rPr>
          <w:noProof/>
        </w:rPr>
        <w:t>an Dijk et al, 2008; Veenhuizen et al, 1997; Vivino et al, 2002)</w:t>
      </w:r>
      <w:r>
        <w:t>. The remaining studies had a higher risk of patient selection bias for several different reasons, as discussed below.</w:t>
      </w:r>
    </w:p>
    <w:p w14:paraId="27E760FF" w14:textId="77777777" w:rsidR="00B51828" w:rsidRDefault="00B51828" w:rsidP="002101D2">
      <w:r>
        <w:t xml:space="preserve">Over 20% of cases in the study by Cook et al (2001) had a prior final diagnosis of malignant lymphoma. The 27 cases of malignant lymphoma were referred for further lymphoma classification and grading only. Therefore, those cases were likely to be less diagnostically challenging than cases in which the initial pathologist could not provide a diagnosis or could only provide a differential or provisional diagnosis and were unlikely to result in major diagnostic discrepancies. The inclusion of those cases with a pre-existing final diagnosis is likely to bias the results towards better/overoptimistic estimates of diagnostic accuracy. </w:t>
      </w:r>
    </w:p>
    <w:p w14:paraId="7280E4EF" w14:textId="77777777" w:rsidR="00B51828" w:rsidRDefault="00B51828" w:rsidP="002101D2">
      <w:r>
        <w:t xml:space="preserve">The risk of patient selection bias in the study by Gaudi et al (2013) was also relatively low. However, it is important to note that one case (0.2%) underwent expert review due to an institutional policy mandating second review of pathology prior to definitive treatment, rather than acknowledged uncertainty on the part of the initial pathologist or clinician. In that case, the initial pathology opinion had been definitive (the patient had been referred for treatment) and the review was undertaken as a means of error detection rather than to seek assistance or clarification by an expert before a final diagnosis was provided. Therefore, the case was not necessarily difficult to diagnose, which may affect diagnostic accuracy results. However, as this was only one case, it is unlikely that any significant bias was introduced into the study. </w:t>
      </w:r>
    </w:p>
    <w:p w14:paraId="55DB9DE8" w14:textId="77777777" w:rsidR="00B51828" w:rsidRDefault="00B51828" w:rsidP="002101D2">
      <w:r>
        <w:t xml:space="preserve">The results of the study by Ray-Coquard et al (2012) may have low applicability due to some specific aspects of patient selection. In particular, patients were only included if sarcoma was suspected. This suggests a high likelihood that the patient population was different in terms of the severity of their condition compared with the broader focus of the research question (in which all initial cases would have the opportunity to be reviewed regardless of the suspected diagnosis). In addition, the cases included in Ray-Coquard et al (2012) may have differed substantially from the other studies, as initial pathologists were “systematically offered” external expert opinion on suspected sarcoma cases. As such, there may have been a tendency to refer less complex cases than those that a pathologist would refer without similar encouragement. </w:t>
      </w:r>
    </w:p>
    <w:p w14:paraId="6545BB80" w14:textId="77777777" w:rsidR="00B51828" w:rsidRDefault="00B51828" w:rsidP="002101D2">
      <w:r>
        <w:lastRenderedPageBreak/>
        <w:t xml:space="preserve">Overall, the patient selection of the studies matched the research question of this Assessment Report, with the exception of the studies listed above. The remaining studies have a low risk of patient selection bias, as consecutive patients who are referred due to clinical uncertainty are unlikely to be associated with significant bias. </w:t>
      </w:r>
    </w:p>
    <w:p w14:paraId="3F36FEC2" w14:textId="77777777" w:rsidR="00B51828" w:rsidRDefault="00B51828" w:rsidP="002101D2">
      <w:r>
        <w:t xml:space="preserve">With the exception of one case in Gaudi et al (2013), the large body of evidence that relates to second, expert opinion in cases where an institutional policy mandates expert review was not included in the assessment due to inherent differences in the complexity of cases that would therefore make up the patient sample.  </w:t>
      </w:r>
    </w:p>
    <w:p w14:paraId="3BD8297A" w14:textId="77777777" w:rsidR="00B51828" w:rsidRDefault="00B51828" w:rsidP="00B51828">
      <w:pPr>
        <w:pStyle w:val="Heading3"/>
        <w:numPr>
          <w:ilvl w:val="2"/>
          <w:numId w:val="1"/>
        </w:numPr>
      </w:pPr>
      <w:r>
        <w:t>Index test</w:t>
      </w:r>
    </w:p>
    <w:p w14:paraId="6EBBEE5B" w14:textId="77777777" w:rsidR="00B51828" w:rsidRDefault="00B51828" w:rsidP="002101D2">
      <w:r>
        <w:t xml:space="preserve">In all cases the index test (initial opinion) was conducted prior to the reference standard (second, expert opinion). As such, there is no risk of bias relating to the sequence of the index test and reference standard. Importantly, the majority of studies included some patients that were not provided with a diagnosis by the initial pathologist due to the complexity of the case. In those instances it was not possible to compare the result of the reference standard to the index test. The absence of an index test may introduce bias into study results, depending on how the cases without an initial diagnosis are dealt with in calculations of diagnostic accuracy (e.g. concordance and discordance). In this Assessment Report, the cases without an initial diagnosis were generally excluded from results relating to diagnostic accuracy, including the number of major discrepancies (see Section </w:t>
      </w:r>
      <w:r>
        <w:fldChar w:fldCharType="begin"/>
      </w:r>
      <w:r>
        <w:instrText xml:space="preserve"> REF _Ref393726308 \w \h </w:instrText>
      </w:r>
      <w:r>
        <w:fldChar w:fldCharType="separate"/>
      </w:r>
      <w:r w:rsidR="0044620B">
        <w:t>B.5</w:t>
      </w:r>
      <w:r>
        <w:fldChar w:fldCharType="end"/>
      </w:r>
      <w:r>
        <w:t xml:space="preserve">). </w:t>
      </w:r>
    </w:p>
    <w:p w14:paraId="3AB40C60" w14:textId="60DEAD6E" w:rsidR="00B51828" w:rsidRDefault="00B51828" w:rsidP="002101D2">
      <w:r>
        <w:t>It is difficult to assess the applicability of the index test based on the information provided in the publications. In most cases the expertise of the initial pathologist was not reported, despite the likelihood that a small proportion of cases would be examined by an expert in the first instance. Gaudi et al (2013) reported that their study included 85 pathologists who referred cases to a dermatopathology unit for expert consultation, 16 (18.8%) of whom had completed a dermatopathology fellowship. In contrast, Ray-Coquard et al (2012) stated that cases were initially examined by a ‘non</w:t>
      </w:r>
      <w:r w:rsidR="00DB23AB">
        <w:t>-expert</w:t>
      </w:r>
      <w:r>
        <w:t xml:space="preserve">’ pathologist who requested an external, expert opinion for confirmation. Equivalent information is not available in many studies, nor is it possible to determine the proportion of cases that would be likely to be seen by an expert in the first instance in Australia.  </w:t>
      </w:r>
    </w:p>
    <w:p w14:paraId="284B8755" w14:textId="77777777" w:rsidR="00B51828" w:rsidRDefault="00B51828" w:rsidP="002101D2">
      <w:r>
        <w:t xml:space="preserve">Finally, any studies in which the nature or conduct of the index test varied substantially from that of the review question (e.g. expert opinion provided via telepathology) were specifically excluded. </w:t>
      </w:r>
    </w:p>
    <w:p w14:paraId="74939427" w14:textId="77777777" w:rsidR="00B51828" w:rsidRDefault="00B51828" w:rsidP="00B51828">
      <w:pPr>
        <w:pStyle w:val="Heading3"/>
        <w:numPr>
          <w:ilvl w:val="2"/>
          <w:numId w:val="1"/>
        </w:numPr>
      </w:pPr>
      <w:bookmarkStart w:id="113" w:name="_Ref395175064"/>
      <w:r>
        <w:t>Reference standard</w:t>
      </w:r>
      <w:bookmarkEnd w:id="113"/>
    </w:p>
    <w:p w14:paraId="5CA798EC" w14:textId="77777777" w:rsidR="00B51828" w:rsidRDefault="00B51828" w:rsidP="002101D2">
      <w:r>
        <w:t xml:space="preserve">In many of the included studies there was an underlying assumption that the reference standard (second opinion by an expert pathologist) was 100% accurate and that any discordance (i.e. major or minor discrepancies) resulted from an incorrect initial diagnosis. However, none of the reference standards adopted in the included studies met the evidentiary standard defined in the PPICO criteria (see Section </w:t>
      </w:r>
      <w:r>
        <w:fldChar w:fldCharType="begin"/>
      </w:r>
      <w:r>
        <w:instrText xml:space="preserve"> REF _Ref393984540 \w \h </w:instrText>
      </w:r>
      <w:r>
        <w:fldChar w:fldCharType="separate"/>
      </w:r>
      <w:r w:rsidR="0044620B">
        <w:t>A.8</w:t>
      </w:r>
      <w:r>
        <w:fldChar w:fldCharType="end"/>
      </w:r>
      <w:r>
        <w:t xml:space="preserve">) and it is possible that the reference standard did not correctly diagnose/classify the clinical condition. </w:t>
      </w:r>
    </w:p>
    <w:p w14:paraId="24A28036" w14:textId="17014895" w:rsidR="00B51828" w:rsidRDefault="00B51828" w:rsidP="002101D2">
      <w:r>
        <w:t>Follow</w:t>
      </w:r>
      <w:r w:rsidR="00DB23AB">
        <w:t>-</w:t>
      </w:r>
      <w:r>
        <w:t xml:space="preserve">up data was rarely available to confirm the assumption that, in discrepant cases, the second, expert opinion is accurate. Only two of the included studies provided patient follow-up information </w:t>
      </w:r>
      <w:r>
        <w:rPr>
          <w:noProof/>
        </w:rPr>
        <w:t>(Hutton Klein et al, 2010; Tavora et al, 2009)</w:t>
      </w:r>
      <w:r>
        <w:t xml:space="preserve">; however, Hutton </w:t>
      </w:r>
      <w:r>
        <w:lastRenderedPageBreak/>
        <w:t xml:space="preserve">Klein et al (2010) only obtained follow-up information in cases where the expert opinion was not confident (i.e. a probable or broad differential diagnosis was provided). </w:t>
      </w:r>
    </w:p>
    <w:p w14:paraId="091D4F5E" w14:textId="77777777" w:rsidR="00B51828" w:rsidRDefault="00B51828" w:rsidP="002101D2">
      <w:r>
        <w:t xml:space="preserve">Furthermore, in all but one of the included studies </w:t>
      </w:r>
      <w:r>
        <w:rPr>
          <w:noProof/>
        </w:rPr>
        <w:t>(Vivino et al, 2002)</w:t>
      </w:r>
      <w:r>
        <w:t xml:space="preserve"> the reference standard was conducted with full knowledge of the initial diagnosis (index test). The expert pathologist either had access to the initial pathology report, a letter from the initial pathologist or some insight into the initial pathologist’s opinion via the clinician’s referral letter. However, this is considered to be appropriate bias in the context of this Assessment Report, as it reflects the way in which second, expert opinions would be conducted in Australia under the current and proposed funding circumstances.</w:t>
      </w:r>
    </w:p>
    <w:p w14:paraId="447A8205" w14:textId="77777777" w:rsidR="00B51828" w:rsidRDefault="00B51828" w:rsidP="00B51828">
      <w:pPr>
        <w:pStyle w:val="Heading3"/>
        <w:numPr>
          <w:ilvl w:val="2"/>
          <w:numId w:val="1"/>
        </w:numPr>
      </w:pPr>
      <w:bookmarkStart w:id="114" w:name="_Ref393735108"/>
      <w:r>
        <w:t>Flow and timing</w:t>
      </w:r>
      <w:bookmarkEnd w:id="114"/>
    </w:p>
    <w:p w14:paraId="2ADACE7D" w14:textId="7778E370" w:rsidR="00B51828" w:rsidRDefault="00B51828" w:rsidP="002101D2">
      <w:r w:rsidRPr="00E7496A">
        <w:t>The QUADAS</w:t>
      </w:r>
      <w:r>
        <w:t>-2 tool highlights the importance of all patients receiving the same reference standard. In several of the studies, expert opinion was not necessarily carried out in an identical manner across all cases. For example</w:t>
      </w:r>
      <w:r w:rsidRPr="00B21929">
        <w:t>, in several studies the expert pathologist could refer a case to a panel of expert pathologists if they felt uncertain</w:t>
      </w:r>
      <w:r>
        <w:t xml:space="preserve"> about the diagnosis or certain aspects of classification </w:t>
      </w:r>
      <w:r>
        <w:rPr>
          <w:noProof/>
        </w:rPr>
        <w:t xml:space="preserve">(Ray-Coquard et al, 2012; </w:t>
      </w:r>
      <w:r w:rsidR="00525F10">
        <w:rPr>
          <w:noProof/>
        </w:rPr>
        <w:t>v</w:t>
      </w:r>
      <w:r>
        <w:rPr>
          <w:noProof/>
        </w:rPr>
        <w:t>an Dijk et al, 2008; Veenhuizen et al, 1997)</w:t>
      </w:r>
      <w:r>
        <w:t xml:space="preserve">. As such, in some cases the reference standard was expert opinion by one pathologist, while in other cases expert opinion may have been a consensus based on the opinion of two or more expert pathologists. In the study by Ray-Coquard et al (2012), </w:t>
      </w:r>
      <w:r w:rsidRPr="000C0767">
        <w:t>all pathologists involved in the expert review attended training sessions in order to homogeni</w:t>
      </w:r>
      <w:r>
        <w:t>s</w:t>
      </w:r>
      <w:r w:rsidRPr="000C0767">
        <w:t>e the review process</w:t>
      </w:r>
      <w:r>
        <w:t>.</w:t>
      </w:r>
    </w:p>
    <w:p w14:paraId="27304EA1" w14:textId="77777777" w:rsidR="00B51828" w:rsidRDefault="00B51828" w:rsidP="002101D2">
      <w:r>
        <w:t xml:space="preserve">In the study by Jones and Jordan (2010), a third expert was approached for a diagnosis when there was disagreement between the diagnosis of the initial and first expert pathologist. </w:t>
      </w:r>
    </w:p>
    <w:p w14:paraId="03453954" w14:textId="77777777" w:rsidR="00B51828" w:rsidRDefault="00B51828" w:rsidP="002101D2">
      <w:r>
        <w:t xml:space="preserve">Importantly, the consensus opinion in the studies listed above differs from consensus pathology opinion as an evidentiary standard, referred to in the PPICO criteria in </w:t>
      </w:r>
      <w:r>
        <w:fldChar w:fldCharType="begin"/>
      </w:r>
      <w:r>
        <w:instrText xml:space="preserve"> REF _Ref392082672 \h </w:instrText>
      </w:r>
      <w:r>
        <w:fldChar w:fldCharType="separate"/>
      </w:r>
      <w:r w:rsidR="0044620B">
        <w:t xml:space="preserve">Table </w:t>
      </w:r>
      <w:r w:rsidR="0044620B">
        <w:rPr>
          <w:noProof/>
        </w:rPr>
        <w:t>A.8</w:t>
      </w:r>
      <w:r w:rsidR="0044620B">
        <w:noBreakHyphen/>
      </w:r>
      <w:r w:rsidR="0044620B">
        <w:rPr>
          <w:noProof/>
        </w:rPr>
        <w:t>1</w:t>
      </w:r>
      <w:r>
        <w:fldChar w:fldCharType="end"/>
      </w:r>
      <w:r>
        <w:t xml:space="preserve">. </w:t>
      </w:r>
    </w:p>
    <w:p w14:paraId="11B4FFE5" w14:textId="4D6DABD9" w:rsidR="00B51828" w:rsidRPr="00C1423B" w:rsidRDefault="00B51828" w:rsidP="002101D2">
      <w:pPr>
        <w:spacing w:after="360"/>
      </w:pPr>
      <w:r>
        <w:t xml:space="preserve">The concept of bias relating to timing is not relevant to this </w:t>
      </w:r>
      <w:r w:rsidR="007C5E96">
        <w:t>a</w:t>
      </w:r>
      <w:r>
        <w:t xml:space="preserve">ssessment, as the reference standard is conducted using the same case material as the initial opinion. </w:t>
      </w:r>
    </w:p>
    <w:p w14:paraId="67C9A665" w14:textId="77777777" w:rsidR="00B51828" w:rsidRDefault="00B51828" w:rsidP="00B51828">
      <w:pPr>
        <w:pStyle w:val="Heading2"/>
        <w:numPr>
          <w:ilvl w:val="1"/>
          <w:numId w:val="1"/>
        </w:numPr>
      </w:pPr>
      <w:bookmarkStart w:id="115" w:name="_Ref392749812"/>
      <w:bookmarkStart w:id="116" w:name="_Ref392750474"/>
      <w:bookmarkStart w:id="117" w:name="_Toc396211694"/>
      <w:r>
        <w:t xml:space="preserve">Characteristics of the </w:t>
      </w:r>
      <w:bookmarkEnd w:id="115"/>
      <w:bookmarkEnd w:id="116"/>
      <w:r>
        <w:t>studies</w:t>
      </w:r>
      <w:bookmarkEnd w:id="117"/>
    </w:p>
    <w:p w14:paraId="3E0155FF" w14:textId="77777777" w:rsidR="00B51828" w:rsidRDefault="00B51828" w:rsidP="002101D2">
      <w:bookmarkStart w:id="118" w:name="_Ref392488017"/>
      <w:r>
        <w:t xml:space="preserve">As outlined in Section </w:t>
      </w:r>
      <w:r>
        <w:fldChar w:fldCharType="begin"/>
      </w:r>
      <w:r>
        <w:instrText xml:space="preserve"> REF _Ref392760699 \w \h </w:instrText>
      </w:r>
      <w:r>
        <w:fldChar w:fldCharType="separate"/>
      </w:r>
      <w:r w:rsidR="0044620B">
        <w:t>B.2</w:t>
      </w:r>
      <w:r>
        <w:fldChar w:fldCharType="end"/>
      </w:r>
      <w:r>
        <w:t xml:space="preserve">, 10 studies were identified that met the inclusion criteria for </w:t>
      </w:r>
      <w:r>
        <w:rPr>
          <w:i/>
        </w:rPr>
        <w:t>Scenario 1</w:t>
      </w:r>
      <w:r>
        <w:t xml:space="preserve">. The characteristics of those studies are summarised in </w:t>
      </w:r>
      <w:r>
        <w:fldChar w:fldCharType="begin"/>
      </w:r>
      <w:r>
        <w:instrText xml:space="preserve"> REF _Ref393984928 \h </w:instrText>
      </w:r>
      <w:r>
        <w:fldChar w:fldCharType="separate"/>
      </w:r>
      <w:r w:rsidR="0044620B">
        <w:t xml:space="preserve">Table </w:t>
      </w:r>
      <w:r w:rsidR="0044620B">
        <w:rPr>
          <w:noProof/>
        </w:rPr>
        <w:t>B.4</w:t>
      </w:r>
      <w:r w:rsidR="0044620B">
        <w:noBreakHyphen/>
      </w:r>
      <w:r w:rsidR="0044620B">
        <w:rPr>
          <w:noProof/>
        </w:rPr>
        <w:t>1</w:t>
      </w:r>
      <w:r>
        <w:fldChar w:fldCharType="end"/>
      </w:r>
      <w:r>
        <w:t>. The studies were heterogeneous, with sample sizes that ranged from 76 cases to 2,686 cases. Five of the studies were conducted in the United States, two were from the Netherlands, and the remaining three studies were from the United Kingdom, France and Taiwan. All studies reported concordance rate and/or rate of major discrepancies (see Section B.5 for further details).</w:t>
      </w:r>
    </w:p>
    <w:p w14:paraId="544CE14A" w14:textId="0F68D6D9" w:rsidR="00B51828" w:rsidRDefault="00B51828" w:rsidP="002101D2">
      <w:r>
        <w:t xml:space="preserve">Two of the </w:t>
      </w:r>
      <w:r w:rsidRPr="00612EA6">
        <w:rPr>
          <w:i/>
        </w:rPr>
        <w:t>Scenario 1</w:t>
      </w:r>
      <w:r>
        <w:t xml:space="preserve"> studies included histopathology cases from any organ system </w:t>
      </w:r>
      <w:r>
        <w:rPr>
          <w:noProof/>
        </w:rPr>
        <w:t>(Cook et al, 2001; Hsu et al, 2010)</w:t>
      </w:r>
      <w:r>
        <w:t xml:space="preserve">, two studies included soft tissue or sarcoma cases (Arbiser et al, 2001; Ray-Coquard et al, 2012), three studies included dermatology cases (Gaudi et al, 2013; </w:t>
      </w:r>
      <w:r w:rsidR="00525F10">
        <w:t>v</w:t>
      </w:r>
      <w:r>
        <w:t xml:space="preserve">an Dijk et al, 2008; </w:t>
      </w:r>
      <w:r w:rsidRPr="008E17D8">
        <w:t xml:space="preserve">Veenhuizen </w:t>
      </w:r>
      <w:r>
        <w:t xml:space="preserve">et al, </w:t>
      </w:r>
      <w:r w:rsidRPr="008E17D8">
        <w:t>1997</w:t>
      </w:r>
      <w:r>
        <w:t>), one study included cases of g</w:t>
      </w:r>
      <w:r w:rsidRPr="008E17D8">
        <w:t xml:space="preserve">ranulomatous or giant cell reactions in the lung </w:t>
      </w:r>
      <w:r>
        <w:t>(Hutton</w:t>
      </w:r>
      <w:r w:rsidR="00DB23AB">
        <w:t xml:space="preserve"> </w:t>
      </w:r>
      <w:r>
        <w:t>Klein et al, 2010), one study included o</w:t>
      </w:r>
      <w:r w:rsidRPr="002B4B56">
        <w:t>ral and maxillofacial pathology</w:t>
      </w:r>
      <w:r>
        <w:t xml:space="preserve"> cases (Jones et al, 2010) and one study included cases of u</w:t>
      </w:r>
      <w:r w:rsidRPr="002B4B56">
        <w:t>rothelial lesions of the renal pelvis and mid-upper ureter</w:t>
      </w:r>
      <w:r>
        <w:t xml:space="preserve"> (Tavora et al, 2009). </w:t>
      </w:r>
      <w:r>
        <w:lastRenderedPageBreak/>
        <w:t>The two studies of histopathology cases from any organ system included consecutive</w:t>
      </w:r>
      <w:r w:rsidRPr="00A324B5">
        <w:t xml:space="preserve"> cases sent </w:t>
      </w:r>
      <w:r>
        <w:t>out of the institution to an external expert pathologist; the other eight studies included cases received for review by an expert pathologist or expert pathology service.</w:t>
      </w:r>
    </w:p>
    <w:p w14:paraId="246BC2EE" w14:textId="7319E6E4" w:rsidR="00B51828" w:rsidRDefault="00B51828" w:rsidP="002101D2">
      <w:r>
        <w:t xml:space="preserve">In addition, a further four studies were identified that met the inclusion criteria for </w:t>
      </w:r>
      <w:r>
        <w:rPr>
          <w:i/>
        </w:rPr>
        <w:t>Scenario 2</w:t>
      </w:r>
      <w:r>
        <w:t xml:space="preserve"> only. The characteristics of those studies are presented in </w:t>
      </w:r>
      <w:r>
        <w:fldChar w:fldCharType="begin"/>
      </w:r>
      <w:r>
        <w:instrText xml:space="preserve"> REF _Ref395176835 \h </w:instrText>
      </w:r>
      <w:r>
        <w:fldChar w:fldCharType="separate"/>
      </w:r>
      <w:r w:rsidR="0044620B">
        <w:t xml:space="preserve">Table </w:t>
      </w:r>
      <w:r w:rsidR="0044620B">
        <w:rPr>
          <w:noProof/>
        </w:rPr>
        <w:t>B.4</w:t>
      </w:r>
      <w:r w:rsidR="0044620B">
        <w:noBreakHyphen/>
      </w:r>
      <w:r w:rsidR="0044620B">
        <w:rPr>
          <w:noProof/>
        </w:rPr>
        <w:t>2</w:t>
      </w:r>
      <w:r>
        <w:fldChar w:fldCharType="end"/>
      </w:r>
      <w:r>
        <w:t>. The study by Hutton</w:t>
      </w:r>
      <w:r w:rsidR="00DB23AB">
        <w:t xml:space="preserve"> </w:t>
      </w:r>
      <w:r>
        <w:t xml:space="preserve">Klein fulfils the definition of second, expert opinion in the context of both </w:t>
      </w:r>
      <w:r w:rsidRPr="009C63D1">
        <w:rPr>
          <w:i/>
        </w:rPr>
        <w:t>Scenario 1</w:t>
      </w:r>
      <w:r>
        <w:t xml:space="preserve"> and </w:t>
      </w:r>
      <w:r w:rsidRPr="009C63D1">
        <w:rPr>
          <w:i/>
        </w:rPr>
        <w:t>Scenario 2</w:t>
      </w:r>
      <w:r>
        <w:t xml:space="preserve">; therefore, the characteristics of this study are repeated for completeness in </w:t>
      </w:r>
      <w:r>
        <w:fldChar w:fldCharType="begin"/>
      </w:r>
      <w:r>
        <w:instrText xml:space="preserve"> REF _Ref395176835 \h </w:instrText>
      </w:r>
      <w:r>
        <w:fldChar w:fldCharType="separate"/>
      </w:r>
      <w:r w:rsidR="0044620B">
        <w:t xml:space="preserve">Table </w:t>
      </w:r>
      <w:r w:rsidR="0044620B">
        <w:rPr>
          <w:noProof/>
        </w:rPr>
        <w:t>B.4</w:t>
      </w:r>
      <w:r w:rsidR="0044620B">
        <w:noBreakHyphen/>
      </w:r>
      <w:r w:rsidR="0044620B">
        <w:rPr>
          <w:noProof/>
        </w:rPr>
        <w:t>2</w:t>
      </w:r>
      <w:r>
        <w:fldChar w:fldCharType="end"/>
      </w:r>
      <w:r>
        <w:t>.</w:t>
      </w:r>
    </w:p>
    <w:p w14:paraId="5521DF47" w14:textId="4F25F22D" w:rsidR="00B51828" w:rsidRPr="00217964" w:rsidRDefault="00B51828" w:rsidP="002101D2">
      <w:r>
        <w:t xml:space="preserve">The </w:t>
      </w:r>
      <w:r w:rsidRPr="00F81361">
        <w:rPr>
          <w:i/>
        </w:rPr>
        <w:t>Scenario 2</w:t>
      </w:r>
      <w:r>
        <w:t xml:space="preserve"> studies ranged in size from 60 cases to 684 cases. One study from Pakistan included surgical pathology cases from any organ system (Ahmed et al, 2004). The other four studies were from the United States; one study of brain and spinal cord cases (Bruner et al, 1997), one study of prostate needle biopsies (Chan et al, 2005), one study of cases of g</w:t>
      </w:r>
      <w:r w:rsidRPr="008E17D8">
        <w:t xml:space="preserve">ranulomatous or giant cell reactions in the lung </w:t>
      </w:r>
      <w:r>
        <w:t>(Hutton</w:t>
      </w:r>
      <w:r w:rsidR="00DB23AB">
        <w:t xml:space="preserve"> </w:t>
      </w:r>
      <w:r>
        <w:t>Klein et al, 2010), and one study of l</w:t>
      </w:r>
      <w:r w:rsidRPr="005C11BE">
        <w:t xml:space="preserve">abial salivary gland biopsy </w:t>
      </w:r>
      <w:r>
        <w:t>cases (Vivino et al, 2002). All studies reported on cases received for review by an expert pathologist or expert pathology service.</w:t>
      </w:r>
    </w:p>
    <w:p w14:paraId="0F7F9730" w14:textId="77777777" w:rsidR="00B51828" w:rsidRDefault="00B51828" w:rsidP="002101D2">
      <w:pPr>
        <w:sectPr w:rsidR="00B51828" w:rsidSect="002101D2">
          <w:footerReference w:type="default" r:id="rId20"/>
          <w:pgSz w:w="11906" w:h="16838" w:code="9"/>
          <w:pgMar w:top="1440" w:right="1440" w:bottom="1440" w:left="1440" w:header="680" w:footer="1021" w:gutter="0"/>
          <w:cols w:space="708"/>
          <w:docGrid w:linePitch="360"/>
        </w:sectPr>
      </w:pPr>
    </w:p>
    <w:p w14:paraId="2CD7D199" w14:textId="77777777" w:rsidR="00B51828" w:rsidRDefault="00B51828" w:rsidP="002101D2">
      <w:pPr>
        <w:pStyle w:val="Caption"/>
      </w:pPr>
      <w:bookmarkStart w:id="119" w:name="_Ref393984928"/>
      <w:bookmarkStart w:id="120" w:name="_Toc396211739"/>
      <w:r>
        <w:lastRenderedPageBreak/>
        <w:t xml:space="preserve">Table </w:t>
      </w:r>
      <w:fldSimple w:instr=" STYLEREF 2 \s ">
        <w:r w:rsidR="0044620B">
          <w:rPr>
            <w:noProof/>
          </w:rPr>
          <w:t>B.4</w:t>
        </w:r>
      </w:fldSimple>
      <w:r>
        <w:noBreakHyphen/>
      </w:r>
      <w:fldSimple w:instr=" SEQ Table \* ARABIC \s 2 ">
        <w:r w:rsidR="0044620B">
          <w:rPr>
            <w:noProof/>
          </w:rPr>
          <w:t>1</w:t>
        </w:r>
      </w:fldSimple>
      <w:bookmarkEnd w:id="118"/>
      <w:bookmarkEnd w:id="119"/>
      <w:r>
        <w:tab/>
        <w:t xml:space="preserve">Comparative summary of characteristics of clinical studies relating to external expert opinion: </w:t>
      </w:r>
      <w:r w:rsidRPr="00F81361">
        <w:rPr>
          <w:i/>
        </w:rPr>
        <w:t>Scenario 1</w:t>
      </w:r>
      <w:r>
        <w:t xml:space="preserve"> studies</w:t>
      </w:r>
      <w:bookmarkEnd w:id="120"/>
    </w:p>
    <w:tbl>
      <w:tblPr>
        <w:tblStyle w:val="TableGrid"/>
        <w:tblW w:w="4748" w:type="pct"/>
        <w:tblInd w:w="704" w:type="dxa"/>
        <w:tblLayout w:type="fixed"/>
        <w:tblLook w:val="04A0" w:firstRow="1" w:lastRow="0" w:firstColumn="1" w:lastColumn="0" w:noHBand="0" w:noVBand="1"/>
        <w:tblCaption w:val="Comparative summary of characteristics of clinical studies (Scenario 1)"/>
        <w:tblDescription w:val="Comparative summary of characteristics of Scenario 1 clinical studies relating to external expert opinion."/>
      </w:tblPr>
      <w:tblGrid>
        <w:gridCol w:w="1585"/>
        <w:gridCol w:w="2307"/>
        <w:gridCol w:w="1586"/>
        <w:gridCol w:w="1440"/>
        <w:gridCol w:w="2304"/>
        <w:gridCol w:w="1166"/>
        <w:gridCol w:w="3072"/>
      </w:tblGrid>
      <w:tr w:rsidR="00B51828" w:rsidRPr="00E83D67" w14:paraId="7FB01A27" w14:textId="77777777" w:rsidTr="002101D2">
        <w:trPr>
          <w:tblHeader/>
        </w:trPr>
        <w:tc>
          <w:tcPr>
            <w:tcW w:w="589" w:type="pct"/>
          </w:tcPr>
          <w:p w14:paraId="6E90A728"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ID</w:t>
            </w:r>
          </w:p>
        </w:tc>
        <w:tc>
          <w:tcPr>
            <w:tcW w:w="857" w:type="pct"/>
          </w:tcPr>
          <w:p w14:paraId="3E699BCC" w14:textId="77777777" w:rsidR="00B51828"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characteristics</w:t>
            </w:r>
          </w:p>
          <w:p w14:paraId="748ABB18" w14:textId="77777777" w:rsidR="00B51828" w:rsidRPr="0030435C" w:rsidRDefault="00B51828" w:rsidP="002101D2">
            <w:pPr>
              <w:spacing w:before="20" w:after="20"/>
              <w:ind w:left="0"/>
              <w:rPr>
                <w:rFonts w:ascii="Arial Narrow" w:hAnsi="Arial Narrow"/>
                <w:b/>
                <w:i/>
                <w:sz w:val="20"/>
                <w:szCs w:val="20"/>
              </w:rPr>
            </w:pPr>
            <w:r w:rsidRPr="0030435C">
              <w:rPr>
                <w:rFonts w:ascii="Arial Narrow" w:hAnsi="Arial Narrow"/>
                <w:b/>
                <w:i/>
                <w:sz w:val="20"/>
                <w:szCs w:val="20"/>
              </w:rPr>
              <w:t>Country</w:t>
            </w:r>
          </w:p>
        </w:tc>
        <w:tc>
          <w:tcPr>
            <w:tcW w:w="589" w:type="pct"/>
          </w:tcPr>
          <w:p w14:paraId="09388DB2" w14:textId="77777777" w:rsidR="00B51828" w:rsidRDefault="00B51828" w:rsidP="002101D2">
            <w:pPr>
              <w:spacing w:before="20" w:after="20"/>
              <w:ind w:left="0"/>
              <w:rPr>
                <w:rFonts w:ascii="Arial Narrow" w:hAnsi="Arial Narrow"/>
                <w:b/>
                <w:sz w:val="20"/>
                <w:szCs w:val="20"/>
              </w:rPr>
            </w:pPr>
            <w:r>
              <w:rPr>
                <w:rFonts w:ascii="Arial Narrow" w:hAnsi="Arial Narrow"/>
                <w:b/>
                <w:sz w:val="20"/>
                <w:szCs w:val="20"/>
              </w:rPr>
              <w:t>Population</w:t>
            </w:r>
          </w:p>
        </w:tc>
        <w:tc>
          <w:tcPr>
            <w:tcW w:w="535" w:type="pct"/>
          </w:tcPr>
          <w:p w14:paraId="59A09072" w14:textId="77777777" w:rsidR="00B51828" w:rsidRPr="00E83D67" w:rsidRDefault="00B51828" w:rsidP="002101D2">
            <w:pPr>
              <w:spacing w:before="20" w:after="20"/>
              <w:ind w:left="0"/>
              <w:rPr>
                <w:rFonts w:ascii="Arial Narrow" w:hAnsi="Arial Narrow"/>
                <w:b/>
                <w:sz w:val="20"/>
                <w:szCs w:val="20"/>
              </w:rPr>
            </w:pPr>
            <w:r>
              <w:rPr>
                <w:rFonts w:ascii="Arial Narrow" w:hAnsi="Arial Narrow"/>
                <w:b/>
                <w:sz w:val="20"/>
                <w:szCs w:val="20"/>
              </w:rPr>
              <w:t>Prior test</w:t>
            </w:r>
          </w:p>
        </w:tc>
        <w:tc>
          <w:tcPr>
            <w:tcW w:w="856" w:type="pct"/>
          </w:tcPr>
          <w:p w14:paraId="7FD25AC0" w14:textId="77777777" w:rsidR="00B51828" w:rsidRPr="00E83D67" w:rsidRDefault="00B51828" w:rsidP="002101D2">
            <w:pPr>
              <w:spacing w:before="20" w:after="20"/>
              <w:ind w:left="0"/>
              <w:rPr>
                <w:rFonts w:ascii="Arial Narrow" w:hAnsi="Arial Narrow"/>
                <w:b/>
                <w:sz w:val="20"/>
                <w:szCs w:val="20"/>
              </w:rPr>
            </w:pPr>
            <w:r>
              <w:rPr>
                <w:rFonts w:ascii="Arial Narrow" w:hAnsi="Arial Narrow"/>
                <w:b/>
                <w:sz w:val="20"/>
                <w:szCs w:val="20"/>
              </w:rPr>
              <w:t>Intervention</w:t>
            </w:r>
          </w:p>
        </w:tc>
        <w:tc>
          <w:tcPr>
            <w:tcW w:w="433" w:type="pct"/>
          </w:tcPr>
          <w:p w14:paraId="43F062D3"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Comparator</w:t>
            </w:r>
          </w:p>
        </w:tc>
        <w:tc>
          <w:tcPr>
            <w:tcW w:w="1142" w:type="pct"/>
          </w:tcPr>
          <w:p w14:paraId="780C01DB"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Outcomes</w:t>
            </w:r>
          </w:p>
        </w:tc>
      </w:tr>
      <w:tr w:rsidR="00B51828" w:rsidRPr="00E83D67" w14:paraId="11647AB0" w14:textId="77777777" w:rsidTr="002101D2">
        <w:tc>
          <w:tcPr>
            <w:tcW w:w="589" w:type="pct"/>
            <w:shd w:val="clear" w:color="auto" w:fill="BFBFBF" w:themeFill="background1" w:themeFillShade="BF"/>
          </w:tcPr>
          <w:p w14:paraId="21E8441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ALL SURGICAL PATHOLOGY</w:t>
            </w:r>
          </w:p>
        </w:tc>
        <w:tc>
          <w:tcPr>
            <w:tcW w:w="857" w:type="pct"/>
            <w:shd w:val="clear" w:color="auto" w:fill="BFBFBF" w:themeFill="background1" w:themeFillShade="BF"/>
          </w:tcPr>
          <w:p w14:paraId="66887B1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89" w:type="pct"/>
            <w:shd w:val="clear" w:color="auto" w:fill="BFBFBF" w:themeFill="background1" w:themeFillShade="BF"/>
          </w:tcPr>
          <w:p w14:paraId="1CE8358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35" w:type="pct"/>
            <w:shd w:val="clear" w:color="auto" w:fill="BFBFBF" w:themeFill="background1" w:themeFillShade="BF"/>
          </w:tcPr>
          <w:p w14:paraId="135A005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856" w:type="pct"/>
            <w:shd w:val="clear" w:color="auto" w:fill="BFBFBF" w:themeFill="background1" w:themeFillShade="BF"/>
          </w:tcPr>
          <w:p w14:paraId="7ECAE47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433" w:type="pct"/>
            <w:shd w:val="clear" w:color="auto" w:fill="BFBFBF" w:themeFill="background1" w:themeFillShade="BF"/>
          </w:tcPr>
          <w:p w14:paraId="48AB762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142" w:type="pct"/>
            <w:shd w:val="clear" w:color="auto" w:fill="BFBFBF" w:themeFill="background1" w:themeFillShade="BF"/>
          </w:tcPr>
          <w:p w14:paraId="74E1B187" w14:textId="77777777" w:rsidR="00B51828" w:rsidRPr="00B16162"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E83D67" w14:paraId="13B5F01E" w14:textId="77777777" w:rsidTr="002101D2">
        <w:tc>
          <w:tcPr>
            <w:tcW w:w="589" w:type="pct"/>
          </w:tcPr>
          <w:p w14:paraId="56C3621E"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Cook 2001</w:t>
            </w:r>
          </w:p>
        </w:tc>
        <w:tc>
          <w:tcPr>
            <w:tcW w:w="857" w:type="pct"/>
          </w:tcPr>
          <w:p w14:paraId="2097EAD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all cases sent for SO during 1998, compared to 1990, from two large district general hospitals histopathology laboratories.</w:t>
            </w:r>
          </w:p>
          <w:p w14:paraId="7F1A3BE8" w14:textId="77777777" w:rsidR="00B51828" w:rsidRPr="002D4131" w:rsidRDefault="00B51828" w:rsidP="002101D2">
            <w:pPr>
              <w:spacing w:before="20" w:after="20"/>
              <w:ind w:left="0"/>
              <w:rPr>
                <w:rFonts w:ascii="Arial Narrow" w:hAnsi="Arial Narrow"/>
                <w:i/>
                <w:sz w:val="20"/>
                <w:szCs w:val="20"/>
              </w:rPr>
            </w:pPr>
            <w:r w:rsidRPr="0009073F">
              <w:rPr>
                <w:rFonts w:ascii="Arial Narrow" w:hAnsi="Arial Narrow"/>
                <w:i/>
                <w:sz w:val="20"/>
                <w:szCs w:val="20"/>
              </w:rPr>
              <w:t>United Kingdom</w:t>
            </w:r>
          </w:p>
        </w:tc>
        <w:tc>
          <w:tcPr>
            <w:tcW w:w="589" w:type="pct"/>
          </w:tcPr>
          <w:p w14:paraId="2C793DC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All histopathology cases; any organ system</w:t>
            </w:r>
          </w:p>
          <w:p w14:paraId="4242BC00"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N=128 cases</w:t>
            </w:r>
            <w:r>
              <w:rPr>
                <w:rFonts w:ascii="Arial Narrow" w:hAnsi="Arial Narrow"/>
                <w:sz w:val="20"/>
                <w:szCs w:val="20"/>
                <w:vertAlign w:val="superscript"/>
              </w:rPr>
              <w:t>a</w:t>
            </w:r>
          </w:p>
        </w:tc>
        <w:tc>
          <w:tcPr>
            <w:tcW w:w="535" w:type="pct"/>
          </w:tcPr>
          <w:p w14:paraId="15333042"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856" w:type="pct"/>
          </w:tcPr>
          <w:p w14:paraId="67CF08CD"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SO provided by “external experts” from other pathology laboratories in the UK. SO was mainly requested by pathologists</w:t>
            </w:r>
            <w:r>
              <w:rPr>
                <w:rFonts w:ascii="Arial Narrow" w:hAnsi="Arial Narrow"/>
                <w:sz w:val="20"/>
                <w:szCs w:val="20"/>
                <w:vertAlign w:val="superscript"/>
              </w:rPr>
              <w:t>b</w:t>
            </w:r>
            <w:r>
              <w:rPr>
                <w:rFonts w:ascii="Arial Narrow" w:hAnsi="Arial Narrow"/>
                <w:sz w:val="20"/>
                <w:szCs w:val="20"/>
              </w:rPr>
              <w:t xml:space="preserve"> at Portsmouth Hospitals National Health Service (NHS) Trust.</w:t>
            </w:r>
          </w:p>
        </w:tc>
        <w:tc>
          <w:tcPr>
            <w:tcW w:w="433" w:type="pct"/>
          </w:tcPr>
          <w:p w14:paraId="0C917C7D"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44617CFC" w14:textId="77777777" w:rsidR="00B51828" w:rsidRPr="0001564A" w:rsidRDefault="00B51828" w:rsidP="00B51828">
            <w:pPr>
              <w:pStyle w:val="ListParagraph"/>
              <w:numPr>
                <w:ilvl w:val="0"/>
                <w:numId w:val="17"/>
              </w:numPr>
              <w:spacing w:before="20" w:after="20"/>
              <w:rPr>
                <w:rFonts w:ascii="Arial Narrow" w:hAnsi="Arial Narrow"/>
                <w:sz w:val="20"/>
                <w:szCs w:val="20"/>
              </w:rPr>
            </w:pPr>
            <w:r w:rsidRPr="0001564A">
              <w:rPr>
                <w:rFonts w:ascii="Arial Narrow" w:hAnsi="Arial Narrow"/>
                <w:sz w:val="20"/>
                <w:szCs w:val="20"/>
              </w:rPr>
              <w:t>SO consultation rate</w:t>
            </w:r>
          </w:p>
          <w:p w14:paraId="6B04A483" w14:textId="77777777" w:rsidR="00B51828" w:rsidRDefault="00B51828" w:rsidP="00B51828">
            <w:pPr>
              <w:pStyle w:val="ListParagraph"/>
              <w:numPr>
                <w:ilvl w:val="0"/>
                <w:numId w:val="17"/>
              </w:numPr>
              <w:spacing w:before="20" w:after="20"/>
              <w:rPr>
                <w:rFonts w:ascii="Arial Narrow" w:hAnsi="Arial Narrow"/>
                <w:sz w:val="20"/>
                <w:szCs w:val="20"/>
              </w:rPr>
            </w:pPr>
            <w:r w:rsidRPr="0001564A">
              <w:rPr>
                <w:rFonts w:ascii="Arial Narrow" w:hAnsi="Arial Narrow"/>
                <w:sz w:val="20"/>
                <w:szCs w:val="20"/>
              </w:rPr>
              <w:t>Specimen anatomical site</w:t>
            </w:r>
          </w:p>
          <w:p w14:paraId="2C28350B" w14:textId="77777777" w:rsidR="00B51828" w:rsidRPr="00407C06" w:rsidRDefault="00B51828" w:rsidP="00B51828">
            <w:pPr>
              <w:pStyle w:val="ListParagraph"/>
              <w:numPr>
                <w:ilvl w:val="0"/>
                <w:numId w:val="17"/>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w:t>
            </w:r>
            <w:r>
              <w:rPr>
                <w:rFonts w:ascii="Arial Narrow" w:hAnsi="Arial Narrow"/>
                <w:sz w:val="20"/>
                <w:szCs w:val="20"/>
              </w:rPr>
              <w:t xml:space="preserve"> (no/differential/</w:t>
            </w:r>
            <w:r w:rsidRPr="0001564A">
              <w:rPr>
                <w:rFonts w:ascii="Arial Narrow" w:hAnsi="Arial Narrow"/>
                <w:sz w:val="20"/>
                <w:szCs w:val="20"/>
              </w:rPr>
              <w:t>provisional diagnosis)</w:t>
            </w:r>
          </w:p>
          <w:p w14:paraId="1D87BFCA" w14:textId="77777777" w:rsidR="00B51828" w:rsidRPr="0001564A" w:rsidRDefault="00B51828" w:rsidP="00B51828">
            <w:pPr>
              <w:pStyle w:val="ListParagraph"/>
              <w:numPr>
                <w:ilvl w:val="0"/>
                <w:numId w:val="17"/>
              </w:numPr>
              <w:spacing w:before="20" w:after="20"/>
              <w:rPr>
                <w:rFonts w:ascii="Arial Narrow" w:hAnsi="Arial Narrow"/>
                <w:sz w:val="20"/>
                <w:szCs w:val="20"/>
              </w:rPr>
            </w:pPr>
            <w:r w:rsidRPr="0001564A">
              <w:rPr>
                <w:rFonts w:ascii="Arial Narrow" w:hAnsi="Arial Narrow"/>
                <w:sz w:val="20"/>
                <w:szCs w:val="20"/>
              </w:rPr>
              <w:t>Reason for referral</w:t>
            </w:r>
          </w:p>
          <w:p w14:paraId="7BD56539" w14:textId="77777777" w:rsidR="00B51828" w:rsidRPr="0001564A" w:rsidRDefault="00B51828" w:rsidP="00B51828">
            <w:pPr>
              <w:pStyle w:val="ListParagraph"/>
              <w:numPr>
                <w:ilvl w:val="0"/>
                <w:numId w:val="17"/>
              </w:numPr>
              <w:spacing w:before="20" w:after="20"/>
              <w:rPr>
                <w:rFonts w:ascii="Arial Narrow" w:hAnsi="Arial Narrow"/>
                <w:sz w:val="20"/>
                <w:szCs w:val="20"/>
              </w:rPr>
            </w:pPr>
            <w:r w:rsidRPr="0001564A">
              <w:rPr>
                <w:rFonts w:ascii="Arial Narrow" w:hAnsi="Arial Narrow"/>
                <w:sz w:val="20"/>
                <w:szCs w:val="20"/>
              </w:rPr>
              <w:t>Diagnostic accuracy</w:t>
            </w:r>
            <w:r>
              <w:rPr>
                <w:rFonts w:ascii="Arial Narrow" w:hAnsi="Arial Narrow"/>
                <w:sz w:val="20"/>
                <w:szCs w:val="20"/>
              </w:rPr>
              <w:t xml:space="preserve"> (concordance/discordance; major discrepancies)</w:t>
            </w:r>
          </w:p>
          <w:p w14:paraId="4499286E" w14:textId="77777777" w:rsidR="00B51828" w:rsidRDefault="00B51828" w:rsidP="00B51828">
            <w:pPr>
              <w:pStyle w:val="ListParagraph"/>
              <w:numPr>
                <w:ilvl w:val="0"/>
                <w:numId w:val="17"/>
              </w:numPr>
              <w:spacing w:before="20" w:after="20"/>
              <w:rPr>
                <w:rFonts w:ascii="Arial Narrow" w:hAnsi="Arial Narrow"/>
                <w:sz w:val="20"/>
                <w:szCs w:val="20"/>
              </w:rPr>
            </w:pPr>
            <w:r w:rsidRPr="0001564A">
              <w:rPr>
                <w:rFonts w:ascii="Arial Narrow" w:hAnsi="Arial Narrow"/>
                <w:sz w:val="20"/>
                <w:szCs w:val="20"/>
              </w:rPr>
              <w:t>Turnaround time</w:t>
            </w:r>
          </w:p>
          <w:p w14:paraId="42B0CD04" w14:textId="77777777" w:rsidR="00B51828" w:rsidRPr="008E17D8" w:rsidRDefault="00B51828" w:rsidP="00B51828">
            <w:pPr>
              <w:pStyle w:val="ListParagraph"/>
              <w:numPr>
                <w:ilvl w:val="0"/>
                <w:numId w:val="17"/>
              </w:numPr>
              <w:spacing w:before="20" w:after="20"/>
              <w:rPr>
                <w:rFonts w:ascii="Arial Narrow" w:hAnsi="Arial Narrow"/>
                <w:sz w:val="20"/>
                <w:szCs w:val="20"/>
              </w:rPr>
            </w:pPr>
            <w:r w:rsidRPr="008E17D8">
              <w:rPr>
                <w:rFonts w:ascii="Arial Narrow" w:hAnsi="Arial Narrow"/>
                <w:sz w:val="20"/>
                <w:szCs w:val="20"/>
              </w:rPr>
              <w:t>Nature of expert diagnosis (no diagnosis/confident diagnosis)</w:t>
            </w:r>
          </w:p>
        </w:tc>
      </w:tr>
      <w:tr w:rsidR="00B51828" w:rsidRPr="00E83D67" w14:paraId="409BC966" w14:textId="77777777" w:rsidTr="002101D2">
        <w:tc>
          <w:tcPr>
            <w:tcW w:w="589" w:type="pct"/>
          </w:tcPr>
          <w:p w14:paraId="45C96453"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Hsu 2010</w:t>
            </w:r>
          </w:p>
        </w:tc>
        <w:tc>
          <w:tcPr>
            <w:tcW w:w="857" w:type="pct"/>
          </w:tcPr>
          <w:p w14:paraId="5A1A8B2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multi-institutional review of consecutive cases sent for extra-departmental anatomic pathology consultation by Taiwan Society of Pathology (TSP) members from 2003 to 2006. TSP received research funding for EEO provided. Study does not include cases sent directly to Taiwan-based or overseas consultants.</w:t>
            </w:r>
          </w:p>
          <w:p w14:paraId="475A6B68" w14:textId="77777777" w:rsidR="00B51828" w:rsidRPr="0009073F" w:rsidRDefault="00B51828" w:rsidP="002101D2">
            <w:pPr>
              <w:spacing w:before="20" w:after="20"/>
              <w:ind w:left="0"/>
              <w:rPr>
                <w:rFonts w:ascii="Arial Narrow" w:hAnsi="Arial Narrow"/>
                <w:i/>
                <w:sz w:val="20"/>
                <w:szCs w:val="20"/>
              </w:rPr>
            </w:pPr>
            <w:r w:rsidRPr="007007D4">
              <w:rPr>
                <w:rFonts w:ascii="Arial Narrow" w:hAnsi="Arial Narrow"/>
                <w:i/>
                <w:sz w:val="20"/>
                <w:szCs w:val="20"/>
              </w:rPr>
              <w:t>Taiwan</w:t>
            </w:r>
          </w:p>
        </w:tc>
        <w:tc>
          <w:tcPr>
            <w:tcW w:w="589" w:type="pct"/>
          </w:tcPr>
          <w:p w14:paraId="72D74CB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Anatomic pathology; any organ system</w:t>
            </w:r>
          </w:p>
          <w:p w14:paraId="48A81EAB" w14:textId="77777777" w:rsidR="00B51828" w:rsidRPr="00F81361"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N=2686 cases</w:t>
            </w:r>
          </w:p>
          <w:p w14:paraId="74AD5385" w14:textId="77777777" w:rsidR="00B51828" w:rsidRPr="00384645" w:rsidRDefault="00B51828" w:rsidP="002101D2">
            <w:pPr>
              <w:rPr>
                <w:rFonts w:ascii="Arial Narrow" w:hAnsi="Arial Narrow"/>
                <w:sz w:val="20"/>
                <w:szCs w:val="20"/>
              </w:rPr>
            </w:pPr>
          </w:p>
        </w:tc>
        <w:tc>
          <w:tcPr>
            <w:tcW w:w="535" w:type="pct"/>
          </w:tcPr>
          <w:p w14:paraId="386A0782"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856" w:type="pct"/>
          </w:tcPr>
          <w:p w14:paraId="56AED92C"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EEO provided by 65 pathologists with subspecialty expertise from teaching hospitals across Taiwan. Additional specialised testing performed as required. EEO requested by 224 pathologists from 79 institutes across Taiwan. Reasons for consultation not provided.</w:t>
            </w:r>
          </w:p>
        </w:tc>
        <w:tc>
          <w:tcPr>
            <w:tcW w:w="433" w:type="pct"/>
          </w:tcPr>
          <w:p w14:paraId="0CCE49C0"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60EFF947" w14:textId="77777777" w:rsidR="00B51828" w:rsidRDefault="00B51828" w:rsidP="00B51828">
            <w:pPr>
              <w:pStyle w:val="ListParagraph"/>
              <w:numPr>
                <w:ilvl w:val="0"/>
                <w:numId w:val="19"/>
              </w:numPr>
              <w:spacing w:before="20" w:after="20"/>
              <w:rPr>
                <w:rFonts w:ascii="Arial Narrow" w:hAnsi="Arial Narrow"/>
                <w:sz w:val="20"/>
                <w:szCs w:val="20"/>
              </w:rPr>
            </w:pPr>
            <w:r w:rsidRPr="0001564A">
              <w:rPr>
                <w:rFonts w:ascii="Arial Narrow" w:hAnsi="Arial Narrow"/>
                <w:sz w:val="20"/>
                <w:szCs w:val="20"/>
              </w:rPr>
              <w:t>Annual SO consultation rate</w:t>
            </w:r>
          </w:p>
          <w:p w14:paraId="713B1146" w14:textId="77777777" w:rsidR="00B51828" w:rsidRPr="008A34E3" w:rsidRDefault="00B51828" w:rsidP="00B51828">
            <w:pPr>
              <w:pStyle w:val="ListParagraph"/>
              <w:numPr>
                <w:ilvl w:val="0"/>
                <w:numId w:val="19"/>
              </w:numPr>
              <w:spacing w:before="20" w:after="20"/>
              <w:rPr>
                <w:rFonts w:ascii="Arial Narrow" w:hAnsi="Arial Narrow"/>
                <w:sz w:val="20"/>
                <w:szCs w:val="20"/>
              </w:rPr>
            </w:pPr>
            <w:r w:rsidRPr="0001564A">
              <w:rPr>
                <w:rFonts w:ascii="Arial Narrow" w:hAnsi="Arial Narrow"/>
                <w:sz w:val="20"/>
                <w:szCs w:val="20"/>
              </w:rPr>
              <w:t>Tissue origin of specimens</w:t>
            </w:r>
          </w:p>
          <w:p w14:paraId="0212ADA2" w14:textId="77777777" w:rsidR="00B51828" w:rsidRPr="008A34E3" w:rsidRDefault="00B51828" w:rsidP="00B51828">
            <w:pPr>
              <w:pStyle w:val="ListParagraph"/>
              <w:numPr>
                <w:ilvl w:val="0"/>
                <w:numId w:val="19"/>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 (</w:t>
            </w:r>
            <w:r>
              <w:rPr>
                <w:rFonts w:ascii="Arial Narrow" w:hAnsi="Arial Narrow"/>
                <w:sz w:val="20"/>
                <w:szCs w:val="20"/>
              </w:rPr>
              <w:t>no diagnosis, tentative diagnosis</w:t>
            </w:r>
            <w:r w:rsidRPr="0001564A">
              <w:rPr>
                <w:rFonts w:ascii="Arial Narrow" w:hAnsi="Arial Narrow"/>
                <w:sz w:val="20"/>
                <w:szCs w:val="20"/>
              </w:rPr>
              <w:t>)</w:t>
            </w:r>
          </w:p>
          <w:p w14:paraId="219BD56D" w14:textId="77777777" w:rsidR="00B51828" w:rsidRPr="0001564A" w:rsidRDefault="00B51828" w:rsidP="00B51828">
            <w:pPr>
              <w:pStyle w:val="ListParagraph"/>
              <w:numPr>
                <w:ilvl w:val="0"/>
                <w:numId w:val="19"/>
              </w:numPr>
              <w:spacing w:before="20" w:after="20"/>
              <w:rPr>
                <w:rFonts w:ascii="Arial Narrow" w:hAnsi="Arial Narrow"/>
                <w:sz w:val="20"/>
                <w:szCs w:val="20"/>
              </w:rPr>
            </w:pPr>
            <w:r w:rsidRPr="0001564A">
              <w:rPr>
                <w:rFonts w:ascii="Arial Narrow" w:hAnsi="Arial Narrow"/>
                <w:sz w:val="20"/>
                <w:szCs w:val="20"/>
              </w:rPr>
              <w:t>Diagnostic accuracy</w:t>
            </w:r>
            <w:r>
              <w:rPr>
                <w:rFonts w:ascii="Arial Narrow" w:hAnsi="Arial Narrow"/>
                <w:sz w:val="20"/>
                <w:szCs w:val="20"/>
              </w:rPr>
              <w:t xml:space="preserve"> (concordance, discordance; major and minor discrepancies)</w:t>
            </w:r>
          </w:p>
          <w:p w14:paraId="72578B91" w14:textId="77777777" w:rsidR="00B51828" w:rsidRPr="0001564A" w:rsidRDefault="00B51828" w:rsidP="00B51828">
            <w:pPr>
              <w:pStyle w:val="ListParagraph"/>
              <w:numPr>
                <w:ilvl w:val="0"/>
                <w:numId w:val="19"/>
              </w:numPr>
              <w:spacing w:before="20" w:after="20"/>
              <w:rPr>
                <w:rFonts w:ascii="Arial Narrow" w:hAnsi="Arial Narrow"/>
                <w:sz w:val="20"/>
                <w:szCs w:val="20"/>
              </w:rPr>
            </w:pPr>
            <w:r w:rsidRPr="0001564A">
              <w:rPr>
                <w:rFonts w:ascii="Arial Narrow" w:hAnsi="Arial Narrow"/>
                <w:sz w:val="20"/>
                <w:szCs w:val="20"/>
              </w:rPr>
              <w:t>Turnaround time</w:t>
            </w:r>
          </w:p>
          <w:p w14:paraId="239229C5" w14:textId="77777777" w:rsidR="00B51828" w:rsidRPr="0001564A" w:rsidRDefault="00B51828" w:rsidP="00B51828">
            <w:pPr>
              <w:pStyle w:val="ListParagraph"/>
              <w:numPr>
                <w:ilvl w:val="0"/>
                <w:numId w:val="19"/>
              </w:numPr>
              <w:spacing w:before="20" w:after="20"/>
              <w:rPr>
                <w:rFonts w:ascii="Arial Narrow" w:hAnsi="Arial Narrow"/>
                <w:sz w:val="20"/>
                <w:szCs w:val="20"/>
              </w:rPr>
            </w:pPr>
            <w:r w:rsidRPr="0001564A">
              <w:rPr>
                <w:rFonts w:ascii="Arial Narrow" w:hAnsi="Arial Narrow"/>
                <w:sz w:val="20"/>
                <w:szCs w:val="20"/>
              </w:rPr>
              <w:t>Use of special stains</w:t>
            </w:r>
          </w:p>
          <w:p w14:paraId="39593A37" w14:textId="77777777" w:rsidR="00B51828" w:rsidRPr="0001564A" w:rsidRDefault="00B51828" w:rsidP="00B51828">
            <w:pPr>
              <w:pStyle w:val="ListParagraph"/>
              <w:numPr>
                <w:ilvl w:val="0"/>
                <w:numId w:val="19"/>
              </w:numPr>
              <w:spacing w:before="20" w:after="20"/>
              <w:rPr>
                <w:rFonts w:ascii="Arial Narrow" w:hAnsi="Arial Narrow"/>
                <w:sz w:val="20"/>
                <w:szCs w:val="20"/>
              </w:rPr>
            </w:pPr>
            <w:r w:rsidRPr="0001564A">
              <w:rPr>
                <w:rFonts w:ascii="Arial Narrow" w:hAnsi="Arial Narrow"/>
                <w:sz w:val="20"/>
                <w:szCs w:val="20"/>
              </w:rPr>
              <w:t>Characteristics of referring pathologists</w:t>
            </w:r>
          </w:p>
          <w:p w14:paraId="2F1B2D0B" w14:textId="77777777" w:rsidR="00B51828" w:rsidRPr="0001564A" w:rsidRDefault="00B51828" w:rsidP="00B51828">
            <w:pPr>
              <w:pStyle w:val="ListParagraph"/>
              <w:numPr>
                <w:ilvl w:val="0"/>
                <w:numId w:val="17"/>
              </w:numPr>
              <w:spacing w:before="20" w:after="20"/>
              <w:rPr>
                <w:rFonts w:ascii="Arial Narrow" w:hAnsi="Arial Narrow"/>
                <w:sz w:val="20"/>
                <w:szCs w:val="20"/>
              </w:rPr>
            </w:pPr>
            <w:r w:rsidRPr="0001564A">
              <w:rPr>
                <w:rFonts w:ascii="Arial Narrow" w:hAnsi="Arial Narrow"/>
                <w:sz w:val="20"/>
                <w:szCs w:val="20"/>
              </w:rPr>
              <w:t>Characteristics of EEO pathologists</w:t>
            </w:r>
          </w:p>
        </w:tc>
      </w:tr>
      <w:tr w:rsidR="00B51828" w:rsidRPr="00E83D67" w14:paraId="43F418DC" w14:textId="77777777" w:rsidTr="002101D2">
        <w:tc>
          <w:tcPr>
            <w:tcW w:w="589" w:type="pct"/>
            <w:shd w:val="clear" w:color="auto" w:fill="BFBFBF" w:themeFill="background1" w:themeFillShade="BF"/>
          </w:tcPr>
          <w:p w14:paraId="338A360E"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SOFT TISSUE/ SARCOMA</w:t>
            </w:r>
          </w:p>
        </w:tc>
        <w:tc>
          <w:tcPr>
            <w:tcW w:w="857" w:type="pct"/>
            <w:shd w:val="clear" w:color="auto" w:fill="BFBFBF" w:themeFill="background1" w:themeFillShade="BF"/>
          </w:tcPr>
          <w:p w14:paraId="5848956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589" w:type="pct"/>
            <w:shd w:val="clear" w:color="auto" w:fill="BFBFBF" w:themeFill="background1" w:themeFillShade="BF"/>
          </w:tcPr>
          <w:p w14:paraId="73991E02"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535" w:type="pct"/>
            <w:shd w:val="clear" w:color="auto" w:fill="BFBFBF" w:themeFill="background1" w:themeFillShade="BF"/>
          </w:tcPr>
          <w:p w14:paraId="54212165"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856" w:type="pct"/>
            <w:shd w:val="clear" w:color="auto" w:fill="BFBFBF" w:themeFill="background1" w:themeFillShade="BF"/>
          </w:tcPr>
          <w:p w14:paraId="160B0479"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433" w:type="pct"/>
            <w:shd w:val="clear" w:color="auto" w:fill="BFBFBF" w:themeFill="background1" w:themeFillShade="BF"/>
          </w:tcPr>
          <w:p w14:paraId="3FB75532"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1142" w:type="pct"/>
            <w:shd w:val="clear" w:color="auto" w:fill="BFBFBF" w:themeFill="background1" w:themeFillShade="BF"/>
          </w:tcPr>
          <w:p w14:paraId="774C44B0" w14:textId="77777777" w:rsidR="00B51828" w:rsidRPr="00B16162" w:rsidRDefault="00B51828" w:rsidP="002101D2">
            <w:pPr>
              <w:keepNext/>
              <w:spacing w:before="20" w:after="20"/>
              <w:ind w:left="0"/>
              <w:rPr>
                <w:rFonts w:ascii="Arial Narrow" w:hAnsi="Arial Narrow"/>
                <w:sz w:val="20"/>
                <w:szCs w:val="20"/>
              </w:rPr>
            </w:pPr>
            <w:r>
              <w:rPr>
                <w:rFonts w:ascii="Arial Narrow" w:hAnsi="Arial Narrow"/>
                <w:sz w:val="20"/>
                <w:szCs w:val="20"/>
              </w:rPr>
              <w:t>-</w:t>
            </w:r>
          </w:p>
        </w:tc>
      </w:tr>
      <w:tr w:rsidR="00B51828" w:rsidRPr="00E83D67" w14:paraId="2B04E3C3" w14:textId="77777777" w:rsidTr="002101D2">
        <w:tc>
          <w:tcPr>
            <w:tcW w:w="589" w:type="pct"/>
          </w:tcPr>
          <w:p w14:paraId="066A92C2"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Arbiser 2001</w:t>
            </w:r>
          </w:p>
        </w:tc>
        <w:tc>
          <w:tcPr>
            <w:tcW w:w="857" w:type="pct"/>
          </w:tcPr>
          <w:p w14:paraId="418CBFFE"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Retrospective review of 500 consecutive cases referred to a soft tissue consultation practice for EEO in a 2-month period in 1998.</w:t>
            </w:r>
          </w:p>
          <w:p w14:paraId="4FAE50DC" w14:textId="77777777" w:rsidR="00B51828" w:rsidRDefault="00B51828" w:rsidP="002101D2">
            <w:pPr>
              <w:keepNext/>
              <w:spacing w:before="20" w:after="20"/>
              <w:ind w:left="0"/>
              <w:rPr>
                <w:rFonts w:ascii="Arial Narrow" w:hAnsi="Arial Narrow"/>
                <w:sz w:val="20"/>
                <w:szCs w:val="20"/>
              </w:rPr>
            </w:pPr>
            <w:r w:rsidRPr="002D4131">
              <w:rPr>
                <w:rFonts w:ascii="Arial Narrow" w:hAnsi="Arial Narrow"/>
                <w:i/>
                <w:sz w:val="20"/>
                <w:szCs w:val="20"/>
              </w:rPr>
              <w:t>United States</w:t>
            </w:r>
          </w:p>
        </w:tc>
        <w:tc>
          <w:tcPr>
            <w:tcW w:w="589" w:type="pct"/>
          </w:tcPr>
          <w:p w14:paraId="6D60DCB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Soft tissue lesions. Sample obtained by biopsy or definitive excisions (92.4%), or needle or punch biopsy (7.6%)</w:t>
            </w:r>
          </w:p>
          <w:p w14:paraId="3801302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N=500 cases</w:t>
            </w:r>
          </w:p>
        </w:tc>
        <w:tc>
          <w:tcPr>
            <w:tcW w:w="535" w:type="pct"/>
          </w:tcPr>
          <w:p w14:paraId="20A20F62"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856" w:type="pct"/>
          </w:tcPr>
          <w:p w14:paraId="0434DEB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EEO provided by a Soft Tissue Consultation Service, “which serves as an excellent resource to evaluate situations in which pathologists themselves recognise their limitations and/or seek guidance”. EEO was ‘self-referred’ from across the US. Additional IHC conducted as required.</w:t>
            </w:r>
          </w:p>
        </w:tc>
        <w:tc>
          <w:tcPr>
            <w:tcW w:w="433" w:type="pct"/>
          </w:tcPr>
          <w:p w14:paraId="7B50201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4BEAF801" w14:textId="77777777" w:rsidR="00B51828" w:rsidRPr="00FD1BB2" w:rsidRDefault="00B51828" w:rsidP="00B51828">
            <w:pPr>
              <w:pStyle w:val="ListParagraph"/>
              <w:keepNext/>
              <w:numPr>
                <w:ilvl w:val="0"/>
                <w:numId w:val="15"/>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 (</w:t>
            </w:r>
            <w:r>
              <w:rPr>
                <w:rFonts w:ascii="Arial Narrow" w:hAnsi="Arial Narrow"/>
                <w:sz w:val="20"/>
                <w:szCs w:val="20"/>
              </w:rPr>
              <w:t xml:space="preserve">no diagnosis, </w:t>
            </w:r>
            <w:r w:rsidRPr="0001564A">
              <w:rPr>
                <w:rFonts w:ascii="Arial Narrow" w:hAnsi="Arial Narrow"/>
                <w:sz w:val="20"/>
                <w:szCs w:val="20"/>
              </w:rPr>
              <w:t>provisional diagnosis)</w:t>
            </w:r>
          </w:p>
          <w:p w14:paraId="10391150" w14:textId="77777777" w:rsidR="00B51828" w:rsidRPr="0001564A" w:rsidRDefault="00B51828" w:rsidP="00B51828">
            <w:pPr>
              <w:pStyle w:val="ListParagraph"/>
              <w:keepNext/>
              <w:numPr>
                <w:ilvl w:val="0"/>
                <w:numId w:val="15"/>
              </w:numPr>
              <w:spacing w:before="20" w:after="20"/>
              <w:rPr>
                <w:rFonts w:ascii="Arial Narrow" w:hAnsi="Arial Narrow"/>
                <w:sz w:val="20"/>
                <w:szCs w:val="20"/>
              </w:rPr>
            </w:pPr>
            <w:r w:rsidRPr="0001564A">
              <w:rPr>
                <w:rFonts w:ascii="Arial Narrow" w:hAnsi="Arial Narrow"/>
                <w:sz w:val="20"/>
                <w:szCs w:val="20"/>
              </w:rPr>
              <w:t>D</w:t>
            </w:r>
            <w:r>
              <w:rPr>
                <w:rFonts w:ascii="Arial Narrow" w:hAnsi="Arial Narrow"/>
                <w:sz w:val="20"/>
                <w:szCs w:val="20"/>
              </w:rPr>
              <w:t>iagnostic accuracy (concordance; major and minor disagreements)</w:t>
            </w:r>
          </w:p>
          <w:p w14:paraId="7859E075" w14:textId="77777777" w:rsidR="00B51828" w:rsidRPr="00026C3C" w:rsidRDefault="00B51828" w:rsidP="00B51828">
            <w:pPr>
              <w:pStyle w:val="ListParagraph"/>
              <w:keepNext/>
              <w:numPr>
                <w:ilvl w:val="0"/>
                <w:numId w:val="15"/>
              </w:numPr>
              <w:spacing w:before="20" w:after="20"/>
              <w:rPr>
                <w:rFonts w:ascii="Arial Narrow" w:hAnsi="Arial Narrow"/>
                <w:sz w:val="20"/>
                <w:szCs w:val="20"/>
              </w:rPr>
            </w:pPr>
            <w:r>
              <w:rPr>
                <w:rFonts w:ascii="Arial Narrow" w:hAnsi="Arial Narrow"/>
                <w:sz w:val="20"/>
                <w:szCs w:val="20"/>
              </w:rPr>
              <w:t xml:space="preserve">Specimen </w:t>
            </w:r>
            <w:r w:rsidRPr="0001564A">
              <w:rPr>
                <w:rFonts w:ascii="Arial Narrow" w:hAnsi="Arial Narrow"/>
                <w:sz w:val="20"/>
                <w:szCs w:val="20"/>
              </w:rPr>
              <w:t>diagnostic categor</w:t>
            </w:r>
            <w:r>
              <w:rPr>
                <w:rFonts w:ascii="Arial Narrow" w:hAnsi="Arial Narrow"/>
                <w:sz w:val="20"/>
                <w:szCs w:val="20"/>
              </w:rPr>
              <w:t>y</w:t>
            </w:r>
          </w:p>
        </w:tc>
      </w:tr>
      <w:tr w:rsidR="00B51828" w:rsidRPr="00E83D67" w14:paraId="3B0429D7" w14:textId="77777777" w:rsidTr="002101D2">
        <w:tc>
          <w:tcPr>
            <w:tcW w:w="589" w:type="pct"/>
          </w:tcPr>
          <w:p w14:paraId="75A2820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Ray-Coquard 2012</w:t>
            </w:r>
          </w:p>
        </w:tc>
        <w:tc>
          <w:tcPr>
            <w:tcW w:w="857" w:type="pct"/>
          </w:tcPr>
          <w:p w14:paraId="76637712" w14:textId="00EEA60F"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review of 1463 cases of soft tissue or visceral sarcoma reviewed by expert pathologists between 2005 and 2008. The study included cases referred for expert SO at the request of the initial ‘non</w:t>
            </w:r>
            <w:r w:rsidR="00DB23AB">
              <w:rPr>
                <w:rFonts w:ascii="Arial Narrow" w:hAnsi="Arial Narrow"/>
                <w:sz w:val="20"/>
                <w:szCs w:val="20"/>
              </w:rPr>
              <w:t>-expert</w:t>
            </w:r>
            <w:r>
              <w:rPr>
                <w:rFonts w:ascii="Arial Narrow" w:hAnsi="Arial Narrow"/>
                <w:sz w:val="20"/>
                <w:szCs w:val="20"/>
              </w:rPr>
              <w:t>’ pathologist and also cases in which the initial ‘non</w:t>
            </w:r>
            <w:r w:rsidR="00DB23AB">
              <w:rPr>
                <w:rFonts w:ascii="Arial Narrow" w:hAnsi="Arial Narrow"/>
                <w:sz w:val="20"/>
                <w:szCs w:val="20"/>
              </w:rPr>
              <w:t>-expert</w:t>
            </w:r>
            <w:r>
              <w:rPr>
                <w:rFonts w:ascii="Arial Narrow" w:hAnsi="Arial Narrow"/>
                <w:sz w:val="20"/>
                <w:szCs w:val="20"/>
              </w:rPr>
              <w:t>’ pathologist did not request confirmation of diagnosis and whose findings were reviewed in the context of the study.</w:t>
            </w:r>
          </w:p>
          <w:p w14:paraId="60DBEBA4"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France</w:t>
            </w:r>
          </w:p>
        </w:tc>
        <w:tc>
          <w:tcPr>
            <w:tcW w:w="589" w:type="pct"/>
          </w:tcPr>
          <w:p w14:paraId="6FEBE76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Soft tissue or visceral sarcoma </w:t>
            </w:r>
          </w:p>
          <w:p w14:paraId="4818C7FC" w14:textId="77777777" w:rsidR="00B51828" w:rsidRPr="002A3F26"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N=1463 cases</w:t>
            </w:r>
            <w:r>
              <w:rPr>
                <w:rFonts w:ascii="Arial Narrow" w:hAnsi="Arial Narrow"/>
                <w:sz w:val="20"/>
                <w:szCs w:val="20"/>
                <w:vertAlign w:val="superscript"/>
              </w:rPr>
              <w:t>c</w:t>
            </w:r>
          </w:p>
        </w:tc>
        <w:tc>
          <w:tcPr>
            <w:tcW w:w="535" w:type="pct"/>
          </w:tcPr>
          <w:p w14:paraId="79BCF4A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856" w:type="pct"/>
          </w:tcPr>
          <w:p w14:paraId="61035A6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EEO provided by an expert pathologist. In rare cases, the reviewing expert requested that the diagnosis was re-examined by another expert or discussed at panel meetings and a final consensus was reached. All pathologist from the three regions involved in this ‘central review’ attended training sessions in order to homogenise the review process.</w:t>
            </w:r>
          </w:p>
        </w:tc>
        <w:tc>
          <w:tcPr>
            <w:tcW w:w="433" w:type="pct"/>
          </w:tcPr>
          <w:p w14:paraId="58B0EFD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16ED3E88" w14:textId="77777777" w:rsidR="00B51828" w:rsidRDefault="00B51828" w:rsidP="00B51828">
            <w:pPr>
              <w:pStyle w:val="ListParagraph"/>
              <w:numPr>
                <w:ilvl w:val="0"/>
                <w:numId w:val="22"/>
              </w:numPr>
              <w:spacing w:before="20" w:after="20"/>
              <w:rPr>
                <w:rFonts w:ascii="Arial Narrow" w:hAnsi="Arial Narrow"/>
                <w:sz w:val="20"/>
                <w:szCs w:val="20"/>
              </w:rPr>
            </w:pPr>
            <w:r>
              <w:rPr>
                <w:rFonts w:ascii="Arial Narrow" w:hAnsi="Arial Narrow"/>
                <w:sz w:val="20"/>
                <w:szCs w:val="20"/>
              </w:rPr>
              <w:t>Patient characteristics</w:t>
            </w:r>
          </w:p>
          <w:p w14:paraId="2684A8D2" w14:textId="77777777" w:rsidR="00B51828" w:rsidRDefault="00B51828" w:rsidP="00B51828">
            <w:pPr>
              <w:pStyle w:val="ListParagraph"/>
              <w:numPr>
                <w:ilvl w:val="0"/>
                <w:numId w:val="22"/>
              </w:numPr>
              <w:spacing w:before="20" w:after="20"/>
              <w:rPr>
                <w:rFonts w:ascii="Arial Narrow" w:hAnsi="Arial Narrow"/>
                <w:sz w:val="20"/>
                <w:szCs w:val="20"/>
              </w:rPr>
            </w:pPr>
            <w:r>
              <w:rPr>
                <w:rFonts w:ascii="Arial Narrow" w:hAnsi="Arial Narrow"/>
                <w:sz w:val="20"/>
                <w:szCs w:val="20"/>
              </w:rPr>
              <w:t>Type of referring laboratory (public/private)</w:t>
            </w:r>
          </w:p>
          <w:p w14:paraId="4A4D49B8" w14:textId="77777777" w:rsidR="00B51828" w:rsidRPr="000138E7" w:rsidRDefault="00B51828" w:rsidP="00B51828">
            <w:pPr>
              <w:pStyle w:val="ListParagraph"/>
              <w:numPr>
                <w:ilvl w:val="0"/>
                <w:numId w:val="22"/>
              </w:numPr>
              <w:spacing w:before="20" w:after="20"/>
              <w:rPr>
                <w:rFonts w:ascii="Arial Narrow" w:hAnsi="Arial Narrow"/>
                <w:sz w:val="20"/>
                <w:szCs w:val="20"/>
              </w:rPr>
            </w:pPr>
            <w:r w:rsidRPr="0001564A">
              <w:rPr>
                <w:rFonts w:ascii="Arial Narrow" w:hAnsi="Arial Narrow"/>
                <w:sz w:val="20"/>
                <w:szCs w:val="20"/>
              </w:rPr>
              <w:t>Characteristics of submitted tumours (tumour site, histological subtype, grade, type of sample)</w:t>
            </w:r>
          </w:p>
          <w:p w14:paraId="1211F1FC" w14:textId="77777777" w:rsidR="00B51828" w:rsidRPr="0001564A" w:rsidRDefault="00B51828" w:rsidP="00B51828">
            <w:pPr>
              <w:pStyle w:val="ListParagraph"/>
              <w:numPr>
                <w:ilvl w:val="0"/>
                <w:numId w:val="22"/>
              </w:numPr>
              <w:spacing w:before="20" w:after="20"/>
              <w:rPr>
                <w:rFonts w:ascii="Arial Narrow" w:hAnsi="Arial Narrow"/>
                <w:sz w:val="20"/>
                <w:szCs w:val="20"/>
              </w:rPr>
            </w:pPr>
            <w:r w:rsidRPr="0001564A">
              <w:rPr>
                <w:rFonts w:ascii="Arial Narrow" w:hAnsi="Arial Narrow"/>
                <w:sz w:val="20"/>
                <w:szCs w:val="20"/>
              </w:rPr>
              <w:t>Diagnostic accuracy (</w:t>
            </w:r>
            <w:r>
              <w:rPr>
                <w:rFonts w:ascii="Arial Narrow" w:hAnsi="Arial Narrow"/>
                <w:sz w:val="20"/>
                <w:szCs w:val="20"/>
              </w:rPr>
              <w:t xml:space="preserve">full/partial </w:t>
            </w:r>
            <w:r w:rsidRPr="0001564A">
              <w:rPr>
                <w:rFonts w:ascii="Arial Narrow" w:hAnsi="Arial Narrow"/>
                <w:sz w:val="20"/>
                <w:szCs w:val="20"/>
              </w:rPr>
              <w:t>concordance</w:t>
            </w:r>
            <w:r>
              <w:rPr>
                <w:rFonts w:ascii="Arial Narrow" w:hAnsi="Arial Narrow"/>
                <w:sz w:val="20"/>
                <w:szCs w:val="20"/>
              </w:rPr>
              <w:t>, complete discordance</w:t>
            </w:r>
            <w:r w:rsidRPr="0001564A">
              <w:rPr>
                <w:rFonts w:ascii="Arial Narrow" w:hAnsi="Arial Narrow"/>
                <w:sz w:val="20"/>
                <w:szCs w:val="20"/>
              </w:rPr>
              <w:t>)</w:t>
            </w:r>
          </w:p>
          <w:p w14:paraId="557D17BA" w14:textId="77777777" w:rsidR="00B51828" w:rsidRPr="0001564A" w:rsidRDefault="00B51828" w:rsidP="00B51828">
            <w:pPr>
              <w:pStyle w:val="ListParagraph"/>
              <w:numPr>
                <w:ilvl w:val="0"/>
                <w:numId w:val="18"/>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discordance</w:t>
            </w:r>
            <w:r>
              <w:rPr>
                <w:rFonts w:ascii="Arial Narrow" w:hAnsi="Arial Narrow"/>
                <w:sz w:val="20"/>
                <w:szCs w:val="20"/>
              </w:rPr>
              <w:t xml:space="preserve"> (grade, histological type, subtype)</w:t>
            </w:r>
          </w:p>
        </w:tc>
      </w:tr>
      <w:tr w:rsidR="00B51828" w:rsidRPr="00E83D67" w14:paraId="041DECA4" w14:textId="77777777" w:rsidTr="002101D2">
        <w:tc>
          <w:tcPr>
            <w:tcW w:w="589" w:type="pct"/>
            <w:shd w:val="clear" w:color="auto" w:fill="BFBFBF" w:themeFill="background1" w:themeFillShade="BF"/>
          </w:tcPr>
          <w:p w14:paraId="29C5ECD5"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DERMATOLOGY</w:t>
            </w:r>
          </w:p>
        </w:tc>
        <w:tc>
          <w:tcPr>
            <w:tcW w:w="857" w:type="pct"/>
            <w:shd w:val="clear" w:color="auto" w:fill="BFBFBF" w:themeFill="background1" w:themeFillShade="BF"/>
          </w:tcPr>
          <w:p w14:paraId="291B650C"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589" w:type="pct"/>
            <w:shd w:val="clear" w:color="auto" w:fill="BFBFBF" w:themeFill="background1" w:themeFillShade="BF"/>
          </w:tcPr>
          <w:p w14:paraId="1B0043A5"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535" w:type="pct"/>
            <w:shd w:val="clear" w:color="auto" w:fill="BFBFBF" w:themeFill="background1" w:themeFillShade="BF"/>
          </w:tcPr>
          <w:p w14:paraId="742FD2F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856" w:type="pct"/>
            <w:shd w:val="clear" w:color="auto" w:fill="BFBFBF" w:themeFill="background1" w:themeFillShade="BF"/>
          </w:tcPr>
          <w:p w14:paraId="69BCB574"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433" w:type="pct"/>
            <w:shd w:val="clear" w:color="auto" w:fill="BFBFBF" w:themeFill="background1" w:themeFillShade="BF"/>
          </w:tcPr>
          <w:p w14:paraId="078A02AE"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1142" w:type="pct"/>
            <w:shd w:val="clear" w:color="auto" w:fill="BFBFBF" w:themeFill="background1" w:themeFillShade="BF"/>
          </w:tcPr>
          <w:p w14:paraId="54957107" w14:textId="77777777" w:rsidR="00B51828" w:rsidRPr="00B16162" w:rsidRDefault="00B51828" w:rsidP="002101D2">
            <w:pPr>
              <w:keepNext/>
              <w:spacing w:before="20" w:after="20"/>
              <w:ind w:left="0"/>
              <w:rPr>
                <w:rFonts w:ascii="Arial Narrow" w:hAnsi="Arial Narrow"/>
                <w:sz w:val="20"/>
                <w:szCs w:val="20"/>
              </w:rPr>
            </w:pPr>
            <w:r>
              <w:rPr>
                <w:rFonts w:ascii="Arial Narrow" w:hAnsi="Arial Narrow"/>
                <w:sz w:val="20"/>
                <w:szCs w:val="20"/>
              </w:rPr>
              <w:t>-</w:t>
            </w:r>
          </w:p>
        </w:tc>
      </w:tr>
      <w:tr w:rsidR="00B51828" w:rsidRPr="00E83D67" w14:paraId="03F09A91" w14:textId="77777777" w:rsidTr="002101D2">
        <w:tc>
          <w:tcPr>
            <w:tcW w:w="589" w:type="pct"/>
          </w:tcPr>
          <w:p w14:paraId="0B0C13E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Gaudi 2013</w:t>
            </w:r>
          </w:p>
        </w:tc>
        <w:tc>
          <w:tcPr>
            <w:tcW w:w="857" w:type="pct"/>
          </w:tcPr>
          <w:p w14:paraId="6964C4A8"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Retrospective review of all outside cases referred to a dermatopathology unit for expert consultation or mandatory second review during one calendar year.</w:t>
            </w:r>
          </w:p>
          <w:p w14:paraId="59D95A44" w14:textId="77777777" w:rsidR="00B51828" w:rsidRDefault="00B51828" w:rsidP="002101D2">
            <w:pPr>
              <w:keepNext/>
              <w:spacing w:before="20" w:after="20"/>
              <w:ind w:left="0"/>
              <w:rPr>
                <w:rFonts w:ascii="Arial Narrow" w:hAnsi="Arial Narrow"/>
                <w:sz w:val="20"/>
                <w:szCs w:val="20"/>
              </w:rPr>
            </w:pPr>
            <w:r w:rsidRPr="009E401A">
              <w:rPr>
                <w:rFonts w:ascii="Arial Narrow" w:hAnsi="Arial Narrow"/>
                <w:i/>
                <w:sz w:val="20"/>
                <w:szCs w:val="20"/>
              </w:rPr>
              <w:t xml:space="preserve">United States </w:t>
            </w:r>
          </w:p>
        </w:tc>
        <w:tc>
          <w:tcPr>
            <w:tcW w:w="589" w:type="pct"/>
          </w:tcPr>
          <w:p w14:paraId="0268B88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Dermatopathology</w:t>
            </w:r>
          </w:p>
          <w:p w14:paraId="067AB928"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N=405 cases</w:t>
            </w:r>
            <w:r>
              <w:rPr>
                <w:rFonts w:ascii="Arial Narrow" w:hAnsi="Arial Narrow"/>
                <w:sz w:val="20"/>
                <w:szCs w:val="20"/>
                <w:vertAlign w:val="superscript"/>
              </w:rPr>
              <w:t>d</w:t>
            </w:r>
          </w:p>
        </w:tc>
        <w:tc>
          <w:tcPr>
            <w:tcW w:w="535" w:type="pct"/>
          </w:tcPr>
          <w:p w14:paraId="2D1DDEE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856" w:type="pct"/>
          </w:tcPr>
          <w:p w14:paraId="6DFDAE5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Expert review provided by either of two university-based dermatopathologists, from the University of Pittsburgh Dermatopathology Unit. Expert review requested by 85 pathologists – 18.8% were dermatopathology trained.</w:t>
            </w:r>
          </w:p>
        </w:tc>
        <w:tc>
          <w:tcPr>
            <w:tcW w:w="433" w:type="pct"/>
          </w:tcPr>
          <w:p w14:paraId="3816D793"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5F590408" w14:textId="77777777" w:rsidR="00B51828" w:rsidRDefault="00B51828" w:rsidP="00B51828">
            <w:pPr>
              <w:pStyle w:val="ListParagraph"/>
              <w:keepNext/>
              <w:numPr>
                <w:ilvl w:val="0"/>
                <w:numId w:val="18"/>
              </w:numPr>
              <w:spacing w:before="20" w:after="20"/>
              <w:rPr>
                <w:rFonts w:ascii="Arial Narrow" w:hAnsi="Arial Narrow"/>
                <w:sz w:val="20"/>
                <w:szCs w:val="20"/>
              </w:rPr>
            </w:pPr>
            <w:r>
              <w:rPr>
                <w:rFonts w:ascii="Arial Narrow" w:hAnsi="Arial Narrow"/>
                <w:sz w:val="20"/>
                <w:szCs w:val="20"/>
              </w:rPr>
              <w:t>Number of cases with no initial diagnosis</w:t>
            </w:r>
          </w:p>
          <w:p w14:paraId="74FC9ABE" w14:textId="77777777" w:rsidR="00B51828" w:rsidRPr="0001564A" w:rsidRDefault="00B51828" w:rsidP="00B51828">
            <w:pPr>
              <w:pStyle w:val="ListParagraph"/>
              <w:keepNext/>
              <w:numPr>
                <w:ilvl w:val="0"/>
                <w:numId w:val="18"/>
              </w:numPr>
              <w:spacing w:before="20" w:after="20"/>
              <w:rPr>
                <w:rFonts w:ascii="Arial Narrow" w:hAnsi="Arial Narrow"/>
                <w:sz w:val="20"/>
                <w:szCs w:val="20"/>
              </w:rPr>
            </w:pPr>
            <w:r w:rsidRPr="0001564A">
              <w:rPr>
                <w:rFonts w:ascii="Arial Narrow" w:hAnsi="Arial Narrow"/>
                <w:sz w:val="20"/>
                <w:szCs w:val="20"/>
              </w:rPr>
              <w:t>Diagnostic</w:t>
            </w:r>
            <w:r>
              <w:rPr>
                <w:rFonts w:ascii="Arial Narrow" w:hAnsi="Arial Narrow"/>
                <w:sz w:val="20"/>
                <w:szCs w:val="20"/>
              </w:rPr>
              <w:t xml:space="preserve"> accuracy (major and minor discrepancies)</w:t>
            </w:r>
          </w:p>
          <w:p w14:paraId="19C9642F" w14:textId="77777777" w:rsidR="00B51828" w:rsidRPr="0001564A" w:rsidRDefault="00B51828" w:rsidP="00B51828">
            <w:pPr>
              <w:pStyle w:val="ListParagraph"/>
              <w:keepNext/>
              <w:numPr>
                <w:ilvl w:val="0"/>
                <w:numId w:val="18"/>
              </w:numPr>
              <w:spacing w:before="20" w:after="20"/>
              <w:rPr>
                <w:rFonts w:ascii="Arial Narrow" w:hAnsi="Arial Narrow"/>
                <w:sz w:val="20"/>
                <w:szCs w:val="20"/>
              </w:rPr>
            </w:pPr>
            <w:r>
              <w:rPr>
                <w:rFonts w:ascii="Arial Narrow" w:hAnsi="Arial Narrow"/>
                <w:sz w:val="20"/>
                <w:szCs w:val="20"/>
              </w:rPr>
              <w:t>Diagnostic category</w:t>
            </w:r>
            <w:r w:rsidRPr="0001564A">
              <w:rPr>
                <w:rFonts w:ascii="Arial Narrow" w:hAnsi="Arial Narrow"/>
                <w:sz w:val="20"/>
                <w:szCs w:val="20"/>
              </w:rPr>
              <w:t xml:space="preserve"> of major discrepancies</w:t>
            </w:r>
          </w:p>
          <w:p w14:paraId="5E152DF9" w14:textId="77777777" w:rsidR="00B51828" w:rsidRPr="0001564A" w:rsidRDefault="00B51828" w:rsidP="00B51828">
            <w:pPr>
              <w:pStyle w:val="ListParagraph"/>
              <w:keepNext/>
              <w:numPr>
                <w:ilvl w:val="0"/>
                <w:numId w:val="18"/>
              </w:numPr>
              <w:spacing w:before="20" w:after="20"/>
              <w:rPr>
                <w:rFonts w:ascii="Arial Narrow" w:hAnsi="Arial Narrow"/>
                <w:sz w:val="20"/>
                <w:szCs w:val="20"/>
              </w:rPr>
            </w:pPr>
            <w:r w:rsidRPr="0001564A">
              <w:rPr>
                <w:rFonts w:ascii="Arial Narrow" w:hAnsi="Arial Narrow"/>
                <w:sz w:val="20"/>
                <w:szCs w:val="20"/>
              </w:rPr>
              <w:t>Use of IHC</w:t>
            </w:r>
          </w:p>
          <w:p w14:paraId="6D918D8F" w14:textId="77777777" w:rsidR="00B51828" w:rsidRPr="0001564A" w:rsidRDefault="00B51828" w:rsidP="00B51828">
            <w:pPr>
              <w:pStyle w:val="ListParagraph"/>
              <w:keepNext/>
              <w:numPr>
                <w:ilvl w:val="0"/>
                <w:numId w:val="19"/>
              </w:numPr>
              <w:spacing w:before="20" w:after="20"/>
              <w:rPr>
                <w:rFonts w:ascii="Arial Narrow" w:hAnsi="Arial Narrow"/>
                <w:sz w:val="20"/>
                <w:szCs w:val="20"/>
              </w:rPr>
            </w:pPr>
            <w:r w:rsidRPr="0001564A">
              <w:rPr>
                <w:rFonts w:ascii="Arial Narrow" w:hAnsi="Arial Narrow"/>
                <w:sz w:val="20"/>
                <w:szCs w:val="20"/>
              </w:rPr>
              <w:t>Training of referring pathologist</w:t>
            </w:r>
          </w:p>
        </w:tc>
      </w:tr>
      <w:tr w:rsidR="00B51828" w:rsidRPr="00E83D67" w14:paraId="065C30FE" w14:textId="77777777" w:rsidTr="002101D2">
        <w:tc>
          <w:tcPr>
            <w:tcW w:w="589" w:type="pct"/>
          </w:tcPr>
          <w:p w14:paraId="40666AA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van Dijk 2008</w:t>
            </w:r>
          </w:p>
        </w:tc>
        <w:tc>
          <w:tcPr>
            <w:tcW w:w="857" w:type="pct"/>
          </w:tcPr>
          <w:p w14:paraId="3415F7B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1887 lesions sent to the pathology panel of the Dutch Melanoma Working Group for voluntary expert review between 1991 and 2004. Fifty lesions were not diagnosed as cutaneous melanocytic lesions and were subsequently excluded from the study.</w:t>
            </w:r>
          </w:p>
          <w:p w14:paraId="49CDBF30"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The Netherlands</w:t>
            </w:r>
          </w:p>
        </w:tc>
        <w:tc>
          <w:tcPr>
            <w:tcW w:w="589" w:type="pct"/>
          </w:tcPr>
          <w:p w14:paraId="752C70B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Cutaneous melanocytic lesions</w:t>
            </w:r>
          </w:p>
          <w:p w14:paraId="44EE473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N=1837 cases</w:t>
            </w:r>
          </w:p>
        </w:tc>
        <w:tc>
          <w:tcPr>
            <w:tcW w:w="535" w:type="pct"/>
          </w:tcPr>
          <w:p w14:paraId="042E341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856" w:type="pct"/>
          </w:tcPr>
          <w:p w14:paraId="7B91118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EEO provided by the Dutch Melanoma Working Group when a primary pathologist encountered difficulties diagnosing or classifying potential cutaneous melanocytic lesion. Approximately 75% of submitted lesions were reviewed by an individual panel member and discussed at a regular pathology panel meeting</w:t>
            </w:r>
            <w:r>
              <w:rPr>
                <w:rFonts w:ascii="Arial Narrow" w:hAnsi="Arial Narrow"/>
                <w:sz w:val="20"/>
                <w:szCs w:val="20"/>
                <w:vertAlign w:val="superscript"/>
              </w:rPr>
              <w:t>e</w:t>
            </w:r>
            <w:r>
              <w:rPr>
                <w:rFonts w:ascii="Arial Narrow" w:hAnsi="Arial Narrow"/>
                <w:sz w:val="20"/>
                <w:szCs w:val="20"/>
              </w:rPr>
              <w:t xml:space="preserve">; 25% were reviewed by the individual panel member only and were not discussed with other panel members. </w:t>
            </w:r>
          </w:p>
        </w:tc>
        <w:tc>
          <w:tcPr>
            <w:tcW w:w="433" w:type="pct"/>
          </w:tcPr>
          <w:p w14:paraId="075B14B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4C3720ED" w14:textId="77777777" w:rsidR="00B51828" w:rsidRPr="004663AB" w:rsidRDefault="00B51828" w:rsidP="00B51828">
            <w:pPr>
              <w:pStyle w:val="ListParagraph"/>
              <w:numPr>
                <w:ilvl w:val="0"/>
                <w:numId w:val="24"/>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w:t>
            </w:r>
            <w:r>
              <w:rPr>
                <w:rFonts w:ascii="Arial Narrow" w:hAnsi="Arial Narrow"/>
                <w:sz w:val="20"/>
                <w:szCs w:val="20"/>
              </w:rPr>
              <w:t xml:space="preserve"> (no/differential/</w:t>
            </w:r>
            <w:r w:rsidRPr="0001564A">
              <w:rPr>
                <w:rFonts w:ascii="Arial Narrow" w:hAnsi="Arial Narrow"/>
                <w:sz w:val="20"/>
                <w:szCs w:val="20"/>
              </w:rPr>
              <w:t>provisional diagnosis)</w:t>
            </w:r>
          </w:p>
          <w:p w14:paraId="79F6F983" w14:textId="77777777" w:rsidR="00B51828" w:rsidRPr="0001564A" w:rsidRDefault="00B51828" w:rsidP="00B51828">
            <w:pPr>
              <w:pStyle w:val="ListParagraph"/>
              <w:numPr>
                <w:ilvl w:val="0"/>
                <w:numId w:val="24"/>
              </w:numPr>
              <w:spacing w:before="20" w:after="20"/>
              <w:rPr>
                <w:rFonts w:ascii="Arial Narrow" w:hAnsi="Arial Narrow"/>
                <w:sz w:val="20"/>
                <w:szCs w:val="20"/>
              </w:rPr>
            </w:pPr>
            <w:r w:rsidRPr="0001564A">
              <w:rPr>
                <w:rFonts w:ascii="Arial Narrow" w:hAnsi="Arial Narrow"/>
                <w:sz w:val="20"/>
                <w:szCs w:val="20"/>
              </w:rPr>
              <w:t>Characteristics of submitted lesions</w:t>
            </w:r>
            <w:r>
              <w:rPr>
                <w:rFonts w:ascii="Arial Narrow" w:hAnsi="Arial Narrow"/>
                <w:sz w:val="20"/>
                <w:szCs w:val="20"/>
              </w:rPr>
              <w:t xml:space="preserve"> (Spitz naevus, melanoma, etc)</w:t>
            </w:r>
          </w:p>
          <w:p w14:paraId="12CF197E" w14:textId="77777777" w:rsidR="00B51828" w:rsidRPr="0001564A" w:rsidRDefault="00B51828" w:rsidP="00B51828">
            <w:pPr>
              <w:pStyle w:val="ListParagraph"/>
              <w:numPr>
                <w:ilvl w:val="0"/>
                <w:numId w:val="24"/>
              </w:numPr>
              <w:spacing w:before="20" w:after="20"/>
              <w:rPr>
                <w:rFonts w:ascii="Arial Narrow" w:hAnsi="Arial Narrow"/>
                <w:sz w:val="20"/>
                <w:szCs w:val="20"/>
              </w:rPr>
            </w:pPr>
            <w:r w:rsidRPr="0001564A">
              <w:rPr>
                <w:rFonts w:ascii="Arial Narrow" w:hAnsi="Arial Narrow"/>
                <w:sz w:val="20"/>
                <w:szCs w:val="20"/>
              </w:rPr>
              <w:t>Diagn</w:t>
            </w:r>
            <w:r>
              <w:rPr>
                <w:rFonts w:ascii="Arial Narrow" w:hAnsi="Arial Narrow"/>
                <w:sz w:val="20"/>
                <w:szCs w:val="20"/>
              </w:rPr>
              <w:t>ostic accuracy (concordance, discordance</w:t>
            </w:r>
            <w:r w:rsidRPr="0001564A">
              <w:rPr>
                <w:rFonts w:ascii="Arial Narrow" w:hAnsi="Arial Narrow"/>
                <w:sz w:val="20"/>
                <w:szCs w:val="20"/>
              </w:rPr>
              <w:t xml:space="preserve">; over- and under-diagnosis) </w:t>
            </w:r>
          </w:p>
          <w:p w14:paraId="2E11B6D7" w14:textId="77777777" w:rsidR="00B51828" w:rsidRDefault="00B51828" w:rsidP="00B51828">
            <w:pPr>
              <w:pStyle w:val="ListParagraph"/>
              <w:numPr>
                <w:ilvl w:val="0"/>
                <w:numId w:val="24"/>
              </w:numPr>
              <w:spacing w:before="20" w:after="20"/>
              <w:rPr>
                <w:rFonts w:ascii="Arial Narrow" w:hAnsi="Arial Narrow"/>
                <w:sz w:val="20"/>
                <w:szCs w:val="20"/>
              </w:rPr>
            </w:pPr>
            <w:r w:rsidRPr="0001564A">
              <w:rPr>
                <w:rFonts w:ascii="Arial Narrow" w:hAnsi="Arial Narrow"/>
                <w:sz w:val="20"/>
                <w:szCs w:val="20"/>
              </w:rPr>
              <w:t>Use of IHC</w:t>
            </w:r>
          </w:p>
          <w:p w14:paraId="78A01531" w14:textId="77777777" w:rsidR="00B51828" w:rsidRPr="00B00644" w:rsidRDefault="00B51828" w:rsidP="00B51828">
            <w:pPr>
              <w:pStyle w:val="ListParagraph"/>
              <w:numPr>
                <w:ilvl w:val="0"/>
                <w:numId w:val="24"/>
              </w:numPr>
              <w:spacing w:before="20" w:after="20"/>
              <w:rPr>
                <w:rFonts w:ascii="Arial Narrow" w:hAnsi="Arial Narrow"/>
                <w:sz w:val="20"/>
                <w:szCs w:val="20"/>
              </w:rPr>
            </w:pPr>
            <w:r>
              <w:rPr>
                <w:rFonts w:ascii="Arial Narrow" w:hAnsi="Arial Narrow"/>
                <w:sz w:val="20"/>
                <w:szCs w:val="20"/>
              </w:rPr>
              <w:t xml:space="preserve">Features </w:t>
            </w:r>
            <w:r w:rsidRPr="00B00644">
              <w:rPr>
                <w:rFonts w:ascii="Arial Narrow" w:hAnsi="Arial Narrow"/>
                <w:sz w:val="20"/>
                <w:szCs w:val="20"/>
              </w:rPr>
              <w:t>of problematic lesions</w:t>
            </w:r>
          </w:p>
          <w:p w14:paraId="3059F6C2" w14:textId="77777777" w:rsidR="00B51828" w:rsidRPr="0001564A" w:rsidRDefault="00B51828" w:rsidP="00B51828">
            <w:pPr>
              <w:pStyle w:val="ListParagraph"/>
              <w:numPr>
                <w:ilvl w:val="0"/>
                <w:numId w:val="19"/>
              </w:numPr>
              <w:spacing w:before="20" w:after="20"/>
              <w:rPr>
                <w:rFonts w:ascii="Arial Narrow" w:hAnsi="Arial Narrow"/>
                <w:sz w:val="20"/>
                <w:szCs w:val="20"/>
              </w:rPr>
            </w:pPr>
            <w:r w:rsidRPr="0001564A">
              <w:rPr>
                <w:rFonts w:ascii="Arial Narrow" w:hAnsi="Arial Narrow"/>
                <w:sz w:val="20"/>
                <w:szCs w:val="20"/>
              </w:rPr>
              <w:t>Changes over time regarding the features of submitted lesions</w:t>
            </w:r>
          </w:p>
        </w:tc>
      </w:tr>
      <w:tr w:rsidR="00B51828" w:rsidRPr="00E83D67" w14:paraId="49D85E41" w14:textId="77777777" w:rsidTr="002101D2">
        <w:tc>
          <w:tcPr>
            <w:tcW w:w="589" w:type="pct"/>
          </w:tcPr>
          <w:p w14:paraId="19D042D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Veenhuizen 1997</w:t>
            </w:r>
          </w:p>
        </w:tc>
        <w:tc>
          <w:tcPr>
            <w:tcW w:w="857" w:type="pct"/>
          </w:tcPr>
          <w:p w14:paraId="659FE46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Retrospective review of 1069 consecutive lesions sent to the pathology panel of the Dutch Melanoma Working Group for expert review between 1992 and 1994. Cases were referred from hospitals and institutes throughout The Netherlands and from some pathologists abroad.</w:t>
            </w:r>
          </w:p>
          <w:p w14:paraId="420B12A6" w14:textId="77777777" w:rsidR="00B51828" w:rsidRDefault="00B51828" w:rsidP="002101D2">
            <w:pPr>
              <w:keepNext/>
              <w:spacing w:before="20" w:after="20"/>
              <w:ind w:left="0"/>
              <w:rPr>
                <w:rFonts w:ascii="Arial Narrow" w:hAnsi="Arial Narrow"/>
                <w:sz w:val="20"/>
                <w:szCs w:val="20"/>
              </w:rPr>
            </w:pPr>
            <w:r>
              <w:rPr>
                <w:rFonts w:ascii="Arial Narrow" w:hAnsi="Arial Narrow"/>
                <w:i/>
                <w:sz w:val="20"/>
                <w:szCs w:val="20"/>
              </w:rPr>
              <w:t>The Netherlands</w:t>
            </w:r>
          </w:p>
        </w:tc>
        <w:tc>
          <w:tcPr>
            <w:tcW w:w="589" w:type="pct"/>
          </w:tcPr>
          <w:p w14:paraId="3DD7371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Skin lesions</w:t>
            </w:r>
          </w:p>
          <w:p w14:paraId="0469E79F"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N=1069 cases</w:t>
            </w:r>
          </w:p>
        </w:tc>
        <w:tc>
          <w:tcPr>
            <w:tcW w:w="535" w:type="pct"/>
          </w:tcPr>
          <w:p w14:paraId="6DE765F2"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856" w:type="pct"/>
          </w:tcPr>
          <w:p w14:paraId="613EF50A"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 xml:space="preserve">EEO provided by the pathology panel of the Dutch Melanoma Working Group when a primary pathologist encountered difficulties in making an unequivocal diagnosis of a potential cutaneous melanocytic lesion. One of the three members of the pathology panel provided the EEO. Where doubt remained, the case was sent to other panel members and/or reviewed at bi-monthly panel meetings. If panel discussion led to a clinically relevant change in the original expert diagnosis, an additional report was promptly issued. </w:t>
            </w:r>
          </w:p>
        </w:tc>
        <w:tc>
          <w:tcPr>
            <w:tcW w:w="433" w:type="pct"/>
          </w:tcPr>
          <w:p w14:paraId="474B71D9"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345B7D48" w14:textId="77777777" w:rsidR="00B51828" w:rsidRDefault="00B51828" w:rsidP="00B51828">
            <w:pPr>
              <w:pStyle w:val="ListParagraph"/>
              <w:keepNext/>
              <w:numPr>
                <w:ilvl w:val="0"/>
                <w:numId w:val="15"/>
              </w:numPr>
              <w:spacing w:before="20" w:after="20"/>
              <w:rPr>
                <w:rFonts w:ascii="Arial Narrow" w:hAnsi="Arial Narrow"/>
                <w:sz w:val="20"/>
                <w:szCs w:val="20"/>
              </w:rPr>
            </w:pPr>
            <w:r w:rsidRPr="0001564A">
              <w:rPr>
                <w:rFonts w:ascii="Arial Narrow" w:hAnsi="Arial Narrow"/>
                <w:sz w:val="20"/>
                <w:szCs w:val="20"/>
              </w:rPr>
              <w:t>SO consultation rate (number of cases referred per institution; size of requesting institutions)</w:t>
            </w:r>
          </w:p>
          <w:p w14:paraId="34E1F8C4" w14:textId="77777777" w:rsidR="00B51828" w:rsidRPr="00BF3BFF" w:rsidRDefault="00B51828" w:rsidP="00B51828">
            <w:pPr>
              <w:pStyle w:val="ListParagraph"/>
              <w:keepNext/>
              <w:numPr>
                <w:ilvl w:val="0"/>
                <w:numId w:val="15"/>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w:t>
            </w:r>
            <w:r>
              <w:rPr>
                <w:rFonts w:ascii="Arial Narrow" w:hAnsi="Arial Narrow"/>
                <w:sz w:val="20"/>
                <w:szCs w:val="20"/>
              </w:rPr>
              <w:t xml:space="preserve"> (no/differential/</w:t>
            </w:r>
            <w:r w:rsidRPr="0001564A">
              <w:rPr>
                <w:rFonts w:ascii="Arial Narrow" w:hAnsi="Arial Narrow"/>
                <w:sz w:val="20"/>
                <w:szCs w:val="20"/>
              </w:rPr>
              <w:t>provisional diagnosis)</w:t>
            </w:r>
          </w:p>
          <w:p w14:paraId="5C11473A" w14:textId="77777777" w:rsidR="00B51828" w:rsidRPr="0001564A" w:rsidRDefault="00B51828" w:rsidP="00B51828">
            <w:pPr>
              <w:pStyle w:val="ListParagraph"/>
              <w:keepNext/>
              <w:numPr>
                <w:ilvl w:val="0"/>
                <w:numId w:val="15"/>
              </w:numPr>
              <w:spacing w:before="20" w:after="20"/>
              <w:rPr>
                <w:rFonts w:ascii="Arial Narrow" w:hAnsi="Arial Narrow"/>
                <w:sz w:val="20"/>
                <w:szCs w:val="20"/>
              </w:rPr>
            </w:pPr>
            <w:r w:rsidRPr="0001564A">
              <w:rPr>
                <w:rFonts w:ascii="Arial Narrow" w:hAnsi="Arial Narrow"/>
                <w:sz w:val="20"/>
                <w:szCs w:val="20"/>
              </w:rPr>
              <w:t>Patient characteristics of submitted cases (age, gender)</w:t>
            </w:r>
          </w:p>
          <w:p w14:paraId="1DE6559D" w14:textId="77777777" w:rsidR="00B51828" w:rsidRDefault="00B51828" w:rsidP="00B51828">
            <w:pPr>
              <w:pStyle w:val="ListParagraph"/>
              <w:keepNext/>
              <w:numPr>
                <w:ilvl w:val="0"/>
                <w:numId w:val="15"/>
              </w:numPr>
              <w:spacing w:before="20" w:after="20"/>
              <w:rPr>
                <w:rFonts w:ascii="Arial Narrow" w:hAnsi="Arial Narrow"/>
                <w:sz w:val="20"/>
                <w:szCs w:val="20"/>
              </w:rPr>
            </w:pPr>
            <w:r w:rsidRPr="0001564A">
              <w:rPr>
                <w:rFonts w:ascii="Arial Narrow" w:hAnsi="Arial Narrow"/>
                <w:sz w:val="20"/>
                <w:szCs w:val="20"/>
              </w:rPr>
              <w:t>Diagnostic accuracy (concordance; over- and under-diagnosis)</w:t>
            </w:r>
          </w:p>
          <w:p w14:paraId="286F1DD6" w14:textId="77777777" w:rsidR="00B51828" w:rsidRPr="0001564A" w:rsidRDefault="00B51828" w:rsidP="00B51828">
            <w:pPr>
              <w:pStyle w:val="ListParagraph"/>
              <w:keepNext/>
              <w:numPr>
                <w:ilvl w:val="0"/>
                <w:numId w:val="19"/>
              </w:numPr>
              <w:spacing w:before="20" w:after="20"/>
              <w:rPr>
                <w:rFonts w:ascii="Arial Narrow" w:hAnsi="Arial Narrow"/>
                <w:sz w:val="20"/>
                <w:szCs w:val="20"/>
              </w:rPr>
            </w:pPr>
            <w:r>
              <w:rPr>
                <w:rFonts w:ascii="Arial Narrow" w:hAnsi="Arial Narrow"/>
                <w:sz w:val="20"/>
                <w:szCs w:val="20"/>
              </w:rPr>
              <w:t>Number of cases in which expert panel made an unequivocal diagnosis</w:t>
            </w:r>
          </w:p>
        </w:tc>
      </w:tr>
      <w:tr w:rsidR="00B51828" w:rsidRPr="00E83D67" w14:paraId="38362E40" w14:textId="77777777" w:rsidTr="002101D2">
        <w:tc>
          <w:tcPr>
            <w:tcW w:w="589" w:type="pct"/>
            <w:shd w:val="clear" w:color="auto" w:fill="BFBFBF" w:themeFill="background1" w:themeFillShade="BF"/>
          </w:tcPr>
          <w:p w14:paraId="0CA4B05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LUNG</w:t>
            </w:r>
          </w:p>
        </w:tc>
        <w:tc>
          <w:tcPr>
            <w:tcW w:w="857" w:type="pct"/>
            <w:shd w:val="clear" w:color="auto" w:fill="BFBFBF" w:themeFill="background1" w:themeFillShade="BF"/>
          </w:tcPr>
          <w:p w14:paraId="250DD37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89" w:type="pct"/>
            <w:shd w:val="clear" w:color="auto" w:fill="BFBFBF" w:themeFill="background1" w:themeFillShade="BF"/>
          </w:tcPr>
          <w:p w14:paraId="1E758E1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35" w:type="pct"/>
            <w:shd w:val="clear" w:color="auto" w:fill="BFBFBF" w:themeFill="background1" w:themeFillShade="BF"/>
          </w:tcPr>
          <w:p w14:paraId="1ED8BB6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856" w:type="pct"/>
            <w:shd w:val="clear" w:color="auto" w:fill="BFBFBF" w:themeFill="background1" w:themeFillShade="BF"/>
          </w:tcPr>
          <w:p w14:paraId="7B996CD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433" w:type="pct"/>
            <w:shd w:val="clear" w:color="auto" w:fill="BFBFBF" w:themeFill="background1" w:themeFillShade="BF"/>
          </w:tcPr>
          <w:p w14:paraId="47F0CCC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142" w:type="pct"/>
            <w:shd w:val="clear" w:color="auto" w:fill="BFBFBF" w:themeFill="background1" w:themeFillShade="BF"/>
          </w:tcPr>
          <w:p w14:paraId="7BEC6D9E" w14:textId="77777777" w:rsidR="00B51828" w:rsidRPr="00B16162"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E83D67" w14:paraId="10EB18ED" w14:textId="77777777" w:rsidTr="002101D2">
        <w:tc>
          <w:tcPr>
            <w:tcW w:w="589" w:type="pct"/>
          </w:tcPr>
          <w:p w14:paraId="11991DC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Hutton Klein 2010</w:t>
            </w:r>
          </w:p>
        </w:tc>
        <w:tc>
          <w:tcPr>
            <w:tcW w:w="857" w:type="pct"/>
          </w:tcPr>
          <w:p w14:paraId="3A18FF1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study of 100 consecutive lung biopsies referred to a pulmonary pathology consultation service by a pathologist or clinician over a 7-week period in 2008.</w:t>
            </w:r>
          </w:p>
          <w:p w14:paraId="6BFDEE7D" w14:textId="77777777" w:rsidR="00B51828" w:rsidRDefault="00B51828" w:rsidP="002101D2">
            <w:pPr>
              <w:spacing w:before="20" w:after="20"/>
              <w:ind w:left="0"/>
              <w:rPr>
                <w:rFonts w:ascii="Arial Narrow" w:hAnsi="Arial Narrow"/>
                <w:sz w:val="20"/>
                <w:szCs w:val="20"/>
              </w:rPr>
            </w:pPr>
            <w:r w:rsidRPr="00B33D3E">
              <w:rPr>
                <w:rFonts w:ascii="Arial Narrow" w:hAnsi="Arial Narrow"/>
                <w:i/>
                <w:sz w:val="20"/>
                <w:szCs w:val="20"/>
              </w:rPr>
              <w:t>United States</w:t>
            </w:r>
          </w:p>
        </w:tc>
        <w:tc>
          <w:tcPr>
            <w:tcW w:w="589" w:type="pct"/>
          </w:tcPr>
          <w:p w14:paraId="07B31DE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Granulomatous or giant cell reactions in the lung</w:t>
            </w:r>
          </w:p>
          <w:p w14:paraId="7D8F27B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N=80 cases</w:t>
            </w:r>
            <w:r>
              <w:rPr>
                <w:rFonts w:ascii="Arial Narrow" w:hAnsi="Arial Narrow"/>
                <w:sz w:val="20"/>
                <w:szCs w:val="20"/>
                <w:vertAlign w:val="superscript"/>
              </w:rPr>
              <w:t>f</w:t>
            </w:r>
          </w:p>
        </w:tc>
        <w:tc>
          <w:tcPr>
            <w:tcW w:w="535" w:type="pct"/>
          </w:tcPr>
          <w:p w14:paraId="77F3A0E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856" w:type="pct"/>
          </w:tcPr>
          <w:p w14:paraId="5870767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EEO provided by one or more of three pulmonary pathologists at the Mayo Clinic Scottsdale Pulmonary Pathology Consult Service, using an algorithmic approach to diagnosis.</w:t>
            </w:r>
          </w:p>
        </w:tc>
        <w:tc>
          <w:tcPr>
            <w:tcW w:w="433" w:type="pct"/>
          </w:tcPr>
          <w:p w14:paraId="6D7E78A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27E7269D" w14:textId="77777777" w:rsidR="00B51828" w:rsidRPr="002A3C56" w:rsidRDefault="00B51828" w:rsidP="00B51828">
            <w:pPr>
              <w:pStyle w:val="ListParagraph"/>
              <w:numPr>
                <w:ilvl w:val="0"/>
                <w:numId w:val="20"/>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w:t>
            </w:r>
            <w:r>
              <w:rPr>
                <w:rFonts w:ascii="Arial Narrow" w:hAnsi="Arial Narrow"/>
                <w:sz w:val="20"/>
                <w:szCs w:val="20"/>
              </w:rPr>
              <w:t xml:space="preserve"> (no diagnosis/</w:t>
            </w:r>
            <w:r w:rsidRPr="0001564A">
              <w:rPr>
                <w:rFonts w:ascii="Arial Narrow" w:hAnsi="Arial Narrow"/>
                <w:sz w:val="20"/>
                <w:szCs w:val="20"/>
              </w:rPr>
              <w:t>provisional diagnosis)</w:t>
            </w:r>
          </w:p>
          <w:p w14:paraId="69C11266" w14:textId="77777777" w:rsidR="00B51828" w:rsidRPr="0001564A" w:rsidRDefault="00B51828" w:rsidP="00B51828">
            <w:pPr>
              <w:pStyle w:val="ListParagraph"/>
              <w:numPr>
                <w:ilvl w:val="0"/>
                <w:numId w:val="20"/>
              </w:numPr>
              <w:spacing w:before="20" w:after="20"/>
              <w:rPr>
                <w:rFonts w:ascii="Arial Narrow" w:hAnsi="Arial Narrow"/>
                <w:sz w:val="20"/>
                <w:szCs w:val="20"/>
              </w:rPr>
            </w:pPr>
            <w:r w:rsidRPr="0001564A">
              <w:rPr>
                <w:rFonts w:ascii="Arial Narrow" w:hAnsi="Arial Narrow"/>
                <w:sz w:val="20"/>
                <w:szCs w:val="20"/>
              </w:rPr>
              <w:t>Diagnostic accuracy</w:t>
            </w:r>
            <w:r>
              <w:rPr>
                <w:rFonts w:ascii="Arial Narrow" w:hAnsi="Arial Narrow"/>
                <w:sz w:val="20"/>
                <w:szCs w:val="20"/>
              </w:rPr>
              <w:t xml:space="preserve"> (agreement/disagreement)</w:t>
            </w:r>
          </w:p>
          <w:p w14:paraId="2EEBCA31" w14:textId="77777777" w:rsidR="00B51828" w:rsidRPr="0001564A" w:rsidRDefault="00B51828" w:rsidP="00B51828">
            <w:pPr>
              <w:pStyle w:val="ListParagraph"/>
              <w:numPr>
                <w:ilvl w:val="0"/>
                <w:numId w:val="20"/>
              </w:numPr>
              <w:spacing w:before="20" w:after="20"/>
              <w:rPr>
                <w:rFonts w:ascii="Arial Narrow" w:hAnsi="Arial Narrow"/>
                <w:sz w:val="20"/>
                <w:szCs w:val="20"/>
              </w:rPr>
            </w:pPr>
            <w:r w:rsidRPr="0001564A">
              <w:rPr>
                <w:rFonts w:ascii="Arial Narrow" w:hAnsi="Arial Narrow"/>
                <w:sz w:val="20"/>
                <w:szCs w:val="20"/>
              </w:rPr>
              <w:t>Nature of specimens (not reported separately for requests initiated by pathologist)</w:t>
            </w:r>
          </w:p>
          <w:p w14:paraId="26B88C4C" w14:textId="77777777" w:rsidR="00B51828" w:rsidRPr="0001564A" w:rsidRDefault="00B51828" w:rsidP="00B51828">
            <w:pPr>
              <w:pStyle w:val="ListParagraph"/>
              <w:numPr>
                <w:ilvl w:val="0"/>
                <w:numId w:val="20"/>
              </w:numPr>
              <w:spacing w:before="20" w:after="20"/>
              <w:rPr>
                <w:rFonts w:ascii="Arial Narrow" w:hAnsi="Arial Narrow"/>
                <w:sz w:val="20"/>
                <w:szCs w:val="20"/>
              </w:rPr>
            </w:pPr>
            <w:r w:rsidRPr="0001564A">
              <w:rPr>
                <w:rFonts w:ascii="Arial Narrow" w:hAnsi="Arial Narrow"/>
                <w:sz w:val="20"/>
                <w:szCs w:val="20"/>
              </w:rPr>
              <w:t>Clinical follow-up (not reported separately for requests initiated by pathologist)</w:t>
            </w:r>
          </w:p>
        </w:tc>
      </w:tr>
      <w:tr w:rsidR="00B51828" w:rsidRPr="00E83D67" w14:paraId="0ACF852B" w14:textId="77777777" w:rsidTr="002101D2">
        <w:tc>
          <w:tcPr>
            <w:tcW w:w="589" w:type="pct"/>
            <w:shd w:val="clear" w:color="auto" w:fill="BFBFBF" w:themeFill="background1" w:themeFillShade="BF"/>
          </w:tcPr>
          <w:p w14:paraId="2628035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ORAL AND MAXILLOFACIAL</w:t>
            </w:r>
          </w:p>
        </w:tc>
        <w:tc>
          <w:tcPr>
            <w:tcW w:w="857" w:type="pct"/>
            <w:shd w:val="clear" w:color="auto" w:fill="BFBFBF" w:themeFill="background1" w:themeFillShade="BF"/>
          </w:tcPr>
          <w:p w14:paraId="681589E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89" w:type="pct"/>
            <w:shd w:val="clear" w:color="auto" w:fill="BFBFBF" w:themeFill="background1" w:themeFillShade="BF"/>
          </w:tcPr>
          <w:p w14:paraId="1D59616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35" w:type="pct"/>
            <w:shd w:val="clear" w:color="auto" w:fill="BFBFBF" w:themeFill="background1" w:themeFillShade="BF"/>
          </w:tcPr>
          <w:p w14:paraId="08FB770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856" w:type="pct"/>
            <w:shd w:val="clear" w:color="auto" w:fill="BFBFBF" w:themeFill="background1" w:themeFillShade="BF"/>
          </w:tcPr>
          <w:p w14:paraId="3211242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433" w:type="pct"/>
            <w:shd w:val="clear" w:color="auto" w:fill="BFBFBF" w:themeFill="background1" w:themeFillShade="BF"/>
          </w:tcPr>
          <w:p w14:paraId="56A3B36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142" w:type="pct"/>
            <w:shd w:val="clear" w:color="auto" w:fill="BFBFBF" w:themeFill="background1" w:themeFillShade="BF"/>
          </w:tcPr>
          <w:p w14:paraId="61260660" w14:textId="77777777" w:rsidR="00B51828" w:rsidRPr="00B16162"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E83D67" w14:paraId="43E77C87" w14:textId="77777777" w:rsidTr="002101D2">
        <w:tc>
          <w:tcPr>
            <w:tcW w:w="589" w:type="pct"/>
          </w:tcPr>
          <w:p w14:paraId="5634728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Jones 2010</w:t>
            </w:r>
          </w:p>
        </w:tc>
        <w:tc>
          <w:tcPr>
            <w:tcW w:w="857" w:type="pct"/>
          </w:tcPr>
          <w:p w14:paraId="351974F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Retrospective review of </w:t>
            </w:r>
            <w:r>
              <w:rPr>
                <w:rFonts w:ascii="Arial Narrow" w:hAnsi="Arial Narrow"/>
                <w:sz w:val="20"/>
                <w:szCs w:val="20"/>
              </w:rPr>
              <w:lastRenderedPageBreak/>
              <w:t>consecutive cases referred to an oral and maxillofacial pathology consultation practice in a 24-month period in 2007-2008. Excluded intra-institutional referrals and referrals from oral and maxillofacial pathologists (OMPs).</w:t>
            </w:r>
          </w:p>
          <w:p w14:paraId="2CA8E0C1" w14:textId="77777777" w:rsidR="00B51828" w:rsidRDefault="00B51828" w:rsidP="002101D2">
            <w:pPr>
              <w:spacing w:before="20" w:after="20"/>
              <w:ind w:left="0"/>
              <w:rPr>
                <w:rFonts w:ascii="Arial Narrow" w:hAnsi="Arial Narrow"/>
                <w:sz w:val="20"/>
                <w:szCs w:val="20"/>
              </w:rPr>
            </w:pPr>
            <w:r w:rsidRPr="009743FA">
              <w:rPr>
                <w:rFonts w:ascii="Arial Narrow" w:hAnsi="Arial Narrow"/>
                <w:i/>
                <w:sz w:val="20"/>
                <w:szCs w:val="20"/>
              </w:rPr>
              <w:t>United States</w:t>
            </w:r>
          </w:p>
        </w:tc>
        <w:tc>
          <w:tcPr>
            <w:tcW w:w="589" w:type="pct"/>
          </w:tcPr>
          <w:p w14:paraId="65C3085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 xml:space="preserve">Oral and </w:t>
            </w:r>
            <w:r>
              <w:rPr>
                <w:rFonts w:ascii="Arial Narrow" w:hAnsi="Arial Narrow"/>
                <w:sz w:val="20"/>
                <w:szCs w:val="20"/>
              </w:rPr>
              <w:lastRenderedPageBreak/>
              <w:t>maxillofacial pathology</w:t>
            </w:r>
          </w:p>
          <w:p w14:paraId="0624666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N=142 cases</w:t>
            </w:r>
          </w:p>
        </w:tc>
        <w:tc>
          <w:tcPr>
            <w:tcW w:w="535" w:type="pct"/>
          </w:tcPr>
          <w:p w14:paraId="3D791AA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 xml:space="preserve">Initial diagnosis </w:t>
            </w:r>
            <w:r>
              <w:rPr>
                <w:rFonts w:ascii="Arial Narrow" w:hAnsi="Arial Narrow"/>
                <w:sz w:val="20"/>
                <w:szCs w:val="20"/>
              </w:rPr>
              <w:lastRenderedPageBreak/>
              <w:t>or no diagnosis rendered</w:t>
            </w:r>
          </w:p>
        </w:tc>
        <w:tc>
          <w:tcPr>
            <w:tcW w:w="856" w:type="pct"/>
          </w:tcPr>
          <w:p w14:paraId="69FFD945" w14:textId="4258F1D2"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 xml:space="preserve">EEO provided by an OMP </w:t>
            </w:r>
            <w:r>
              <w:rPr>
                <w:rFonts w:ascii="Arial Narrow" w:hAnsi="Arial Narrow"/>
                <w:sz w:val="20"/>
                <w:szCs w:val="20"/>
              </w:rPr>
              <w:lastRenderedPageBreak/>
              <w:t>located within a tertiary</w:t>
            </w:r>
            <w:r w:rsidR="00DB23AB">
              <w:rPr>
                <w:rFonts w:ascii="Arial Narrow" w:hAnsi="Arial Narrow"/>
                <w:sz w:val="20"/>
                <w:szCs w:val="20"/>
              </w:rPr>
              <w:t xml:space="preserve"> </w:t>
            </w:r>
            <w:r>
              <w:rPr>
                <w:rFonts w:ascii="Arial Narrow" w:hAnsi="Arial Narrow"/>
                <w:sz w:val="20"/>
                <w:szCs w:val="20"/>
              </w:rPr>
              <w:t>care academic centre in a large metropolitan centre, with disagreements reviewed by at least 2 other OMPs from the same institution for diagnostic confirmation. EEO was requested by 81 physician pathologists from community hospitals (90.8%) or academic medical centres (9.2%).</w:t>
            </w:r>
          </w:p>
        </w:tc>
        <w:tc>
          <w:tcPr>
            <w:tcW w:w="433" w:type="pct"/>
          </w:tcPr>
          <w:p w14:paraId="173F282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 xml:space="preserve">Initial </w:t>
            </w:r>
            <w:r>
              <w:rPr>
                <w:rFonts w:ascii="Arial Narrow" w:hAnsi="Arial Narrow"/>
                <w:sz w:val="20"/>
                <w:szCs w:val="20"/>
              </w:rPr>
              <w:lastRenderedPageBreak/>
              <w:t>diagnosis</w:t>
            </w:r>
          </w:p>
        </w:tc>
        <w:tc>
          <w:tcPr>
            <w:tcW w:w="1142" w:type="pct"/>
          </w:tcPr>
          <w:p w14:paraId="6CF40BD9" w14:textId="77777777" w:rsidR="00B51828" w:rsidRPr="002A3C56" w:rsidRDefault="00B51828" w:rsidP="00B51828">
            <w:pPr>
              <w:pStyle w:val="ListParagraph"/>
              <w:numPr>
                <w:ilvl w:val="0"/>
                <w:numId w:val="21"/>
              </w:numPr>
              <w:spacing w:before="20" w:after="20"/>
              <w:rPr>
                <w:rFonts w:ascii="Arial Narrow" w:hAnsi="Arial Narrow"/>
                <w:sz w:val="20"/>
                <w:szCs w:val="20"/>
              </w:rPr>
            </w:pPr>
            <w:r>
              <w:rPr>
                <w:rFonts w:ascii="Arial Narrow" w:hAnsi="Arial Narrow"/>
                <w:sz w:val="20"/>
                <w:szCs w:val="20"/>
              </w:rPr>
              <w:lastRenderedPageBreak/>
              <w:t>Nature</w:t>
            </w:r>
            <w:r w:rsidRPr="0001564A">
              <w:rPr>
                <w:rFonts w:ascii="Arial Narrow" w:hAnsi="Arial Narrow"/>
                <w:sz w:val="20"/>
                <w:szCs w:val="20"/>
              </w:rPr>
              <w:t xml:space="preserve"> of initial pathology opinion</w:t>
            </w:r>
            <w:r>
              <w:rPr>
                <w:rFonts w:ascii="Arial Narrow" w:hAnsi="Arial Narrow"/>
                <w:sz w:val="20"/>
                <w:szCs w:val="20"/>
              </w:rPr>
              <w:t xml:space="preserve"> </w:t>
            </w:r>
            <w:r>
              <w:rPr>
                <w:rFonts w:ascii="Arial Narrow" w:hAnsi="Arial Narrow"/>
                <w:sz w:val="20"/>
                <w:szCs w:val="20"/>
              </w:rPr>
              <w:lastRenderedPageBreak/>
              <w:t>(no diagnosis/</w:t>
            </w:r>
            <w:r w:rsidRPr="0001564A">
              <w:rPr>
                <w:rFonts w:ascii="Arial Narrow" w:hAnsi="Arial Narrow"/>
                <w:sz w:val="20"/>
                <w:szCs w:val="20"/>
              </w:rPr>
              <w:t>provisional diagnosis)</w:t>
            </w:r>
          </w:p>
          <w:p w14:paraId="69778010" w14:textId="77777777" w:rsidR="00B51828" w:rsidRDefault="00B51828" w:rsidP="00B51828">
            <w:pPr>
              <w:pStyle w:val="ListParagraph"/>
              <w:numPr>
                <w:ilvl w:val="0"/>
                <w:numId w:val="21"/>
              </w:numPr>
              <w:spacing w:before="20" w:after="20"/>
              <w:rPr>
                <w:rFonts w:ascii="Arial Narrow" w:hAnsi="Arial Narrow"/>
                <w:sz w:val="20"/>
                <w:szCs w:val="20"/>
              </w:rPr>
            </w:pPr>
            <w:r w:rsidRPr="0001564A">
              <w:rPr>
                <w:rFonts w:ascii="Arial Narrow" w:hAnsi="Arial Narrow"/>
                <w:sz w:val="20"/>
                <w:szCs w:val="20"/>
              </w:rPr>
              <w:t>Diagnostic accuracy (agreement</w:t>
            </w:r>
            <w:r>
              <w:rPr>
                <w:rFonts w:ascii="Arial Narrow" w:hAnsi="Arial Narrow"/>
                <w:sz w:val="20"/>
                <w:szCs w:val="20"/>
              </w:rPr>
              <w:t>/disagreement</w:t>
            </w:r>
            <w:r w:rsidRPr="0001564A">
              <w:rPr>
                <w:rFonts w:ascii="Arial Narrow" w:hAnsi="Arial Narrow"/>
                <w:sz w:val="20"/>
                <w:szCs w:val="20"/>
              </w:rPr>
              <w:t>)</w:t>
            </w:r>
          </w:p>
          <w:p w14:paraId="2878C5F2" w14:textId="77777777" w:rsidR="00B51828" w:rsidRPr="0001564A" w:rsidRDefault="00B51828" w:rsidP="00B51828">
            <w:pPr>
              <w:pStyle w:val="ListParagraph"/>
              <w:numPr>
                <w:ilvl w:val="0"/>
                <w:numId w:val="21"/>
              </w:numPr>
              <w:spacing w:before="20" w:after="20"/>
              <w:rPr>
                <w:rFonts w:ascii="Arial Narrow" w:hAnsi="Arial Narrow"/>
                <w:sz w:val="20"/>
                <w:szCs w:val="20"/>
              </w:rPr>
            </w:pPr>
            <w:r w:rsidRPr="0001564A">
              <w:rPr>
                <w:rFonts w:ascii="Arial Narrow" w:hAnsi="Arial Narrow"/>
                <w:sz w:val="20"/>
                <w:szCs w:val="20"/>
              </w:rPr>
              <w:t>Nature of diag</w:t>
            </w:r>
            <w:r>
              <w:rPr>
                <w:rFonts w:ascii="Arial Narrow" w:hAnsi="Arial Narrow"/>
                <w:sz w:val="20"/>
                <w:szCs w:val="20"/>
              </w:rPr>
              <w:t>nostic disagreements (major/</w:t>
            </w:r>
            <w:r w:rsidRPr="0001564A">
              <w:rPr>
                <w:rFonts w:ascii="Arial Narrow" w:hAnsi="Arial Narrow"/>
                <w:sz w:val="20"/>
                <w:szCs w:val="20"/>
              </w:rPr>
              <w:t>minor)</w:t>
            </w:r>
          </w:p>
          <w:p w14:paraId="3C4EB07A" w14:textId="77777777" w:rsidR="00B51828" w:rsidRPr="0001564A" w:rsidRDefault="00B51828" w:rsidP="00B51828">
            <w:pPr>
              <w:pStyle w:val="ListParagraph"/>
              <w:numPr>
                <w:ilvl w:val="0"/>
                <w:numId w:val="21"/>
              </w:numPr>
              <w:spacing w:before="20" w:after="20"/>
              <w:rPr>
                <w:rFonts w:ascii="Arial Narrow" w:hAnsi="Arial Narrow"/>
                <w:sz w:val="20"/>
                <w:szCs w:val="20"/>
              </w:rPr>
            </w:pPr>
            <w:r w:rsidRPr="0001564A">
              <w:rPr>
                <w:rFonts w:ascii="Arial Narrow" w:hAnsi="Arial Narrow"/>
                <w:sz w:val="20"/>
                <w:szCs w:val="20"/>
              </w:rPr>
              <w:t>Characteristics of referring pathologists</w:t>
            </w:r>
          </w:p>
          <w:p w14:paraId="31D510D0" w14:textId="77777777" w:rsidR="00B51828" w:rsidRPr="0001564A" w:rsidRDefault="00B51828" w:rsidP="00B51828">
            <w:pPr>
              <w:pStyle w:val="ListParagraph"/>
              <w:numPr>
                <w:ilvl w:val="0"/>
                <w:numId w:val="21"/>
              </w:numPr>
              <w:spacing w:before="20" w:after="20"/>
              <w:rPr>
                <w:rFonts w:ascii="Arial Narrow" w:hAnsi="Arial Narrow"/>
                <w:sz w:val="20"/>
                <w:szCs w:val="20"/>
              </w:rPr>
            </w:pPr>
            <w:r w:rsidRPr="0001564A">
              <w:rPr>
                <w:rFonts w:ascii="Arial Narrow" w:hAnsi="Arial Narrow"/>
                <w:sz w:val="20"/>
                <w:szCs w:val="20"/>
              </w:rPr>
              <w:t>EEO billing information</w:t>
            </w:r>
          </w:p>
          <w:p w14:paraId="55F2C2E5" w14:textId="77777777" w:rsidR="00B51828" w:rsidRPr="0001564A" w:rsidRDefault="00B51828" w:rsidP="00B51828">
            <w:pPr>
              <w:pStyle w:val="ListParagraph"/>
              <w:numPr>
                <w:ilvl w:val="0"/>
                <w:numId w:val="21"/>
              </w:numPr>
              <w:spacing w:before="20" w:after="20"/>
              <w:rPr>
                <w:rFonts w:ascii="Arial Narrow" w:hAnsi="Arial Narrow"/>
                <w:sz w:val="20"/>
                <w:szCs w:val="20"/>
              </w:rPr>
            </w:pPr>
            <w:r w:rsidRPr="0001564A">
              <w:rPr>
                <w:rFonts w:ascii="Arial Narrow" w:hAnsi="Arial Narrow"/>
                <w:sz w:val="20"/>
                <w:szCs w:val="20"/>
              </w:rPr>
              <w:t>Specimen anatomical site</w:t>
            </w:r>
          </w:p>
          <w:p w14:paraId="5D2BA208" w14:textId="77777777" w:rsidR="00B51828" w:rsidRPr="0001564A" w:rsidRDefault="00B51828" w:rsidP="00B51828">
            <w:pPr>
              <w:pStyle w:val="ListParagraph"/>
              <w:numPr>
                <w:ilvl w:val="0"/>
                <w:numId w:val="21"/>
              </w:numPr>
              <w:spacing w:before="20" w:after="20"/>
              <w:rPr>
                <w:rFonts w:ascii="Arial Narrow" w:hAnsi="Arial Narrow"/>
                <w:sz w:val="20"/>
                <w:szCs w:val="20"/>
              </w:rPr>
            </w:pPr>
            <w:r w:rsidRPr="0001564A">
              <w:rPr>
                <w:rFonts w:ascii="Arial Narrow" w:hAnsi="Arial Narrow"/>
                <w:sz w:val="20"/>
                <w:szCs w:val="20"/>
              </w:rPr>
              <w:t>Supplemental imaging studies</w:t>
            </w:r>
          </w:p>
          <w:p w14:paraId="6DF3FAC0" w14:textId="77777777" w:rsidR="00B51828" w:rsidRPr="00207873" w:rsidRDefault="00B51828" w:rsidP="00B51828">
            <w:pPr>
              <w:pStyle w:val="ListParagraph"/>
              <w:numPr>
                <w:ilvl w:val="0"/>
                <w:numId w:val="21"/>
              </w:numPr>
              <w:spacing w:before="20" w:after="20"/>
              <w:rPr>
                <w:rFonts w:ascii="Arial Narrow" w:hAnsi="Arial Narrow"/>
                <w:sz w:val="20"/>
                <w:szCs w:val="20"/>
              </w:rPr>
            </w:pPr>
            <w:r>
              <w:rPr>
                <w:rFonts w:ascii="Arial Narrow" w:hAnsi="Arial Narrow"/>
                <w:sz w:val="20"/>
                <w:szCs w:val="20"/>
              </w:rPr>
              <w:t>Use of ancillary tests</w:t>
            </w:r>
          </w:p>
        </w:tc>
      </w:tr>
      <w:tr w:rsidR="00B51828" w:rsidRPr="00E83D67" w14:paraId="6792F833" w14:textId="77777777" w:rsidTr="002101D2">
        <w:tc>
          <w:tcPr>
            <w:tcW w:w="589" w:type="pct"/>
            <w:shd w:val="clear" w:color="auto" w:fill="BFBFBF" w:themeFill="background1" w:themeFillShade="BF"/>
          </w:tcPr>
          <w:p w14:paraId="22A12CB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UROTHELIAL</w:t>
            </w:r>
          </w:p>
        </w:tc>
        <w:tc>
          <w:tcPr>
            <w:tcW w:w="857" w:type="pct"/>
            <w:shd w:val="clear" w:color="auto" w:fill="BFBFBF" w:themeFill="background1" w:themeFillShade="BF"/>
          </w:tcPr>
          <w:p w14:paraId="1C3D7B5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89" w:type="pct"/>
            <w:shd w:val="clear" w:color="auto" w:fill="BFBFBF" w:themeFill="background1" w:themeFillShade="BF"/>
          </w:tcPr>
          <w:p w14:paraId="7DB1930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35" w:type="pct"/>
            <w:shd w:val="clear" w:color="auto" w:fill="BFBFBF" w:themeFill="background1" w:themeFillShade="BF"/>
          </w:tcPr>
          <w:p w14:paraId="2062F00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856" w:type="pct"/>
            <w:shd w:val="clear" w:color="auto" w:fill="BFBFBF" w:themeFill="background1" w:themeFillShade="BF"/>
          </w:tcPr>
          <w:p w14:paraId="0EA001A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433" w:type="pct"/>
            <w:shd w:val="clear" w:color="auto" w:fill="BFBFBF" w:themeFill="background1" w:themeFillShade="BF"/>
          </w:tcPr>
          <w:p w14:paraId="2B6C693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142" w:type="pct"/>
            <w:shd w:val="clear" w:color="auto" w:fill="BFBFBF" w:themeFill="background1" w:themeFillShade="BF"/>
          </w:tcPr>
          <w:p w14:paraId="790C4A80" w14:textId="77777777" w:rsidR="00B51828" w:rsidRPr="00B16162"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E83D67" w14:paraId="2E313077" w14:textId="77777777" w:rsidTr="002101D2">
        <w:tc>
          <w:tcPr>
            <w:tcW w:w="589" w:type="pct"/>
          </w:tcPr>
          <w:p w14:paraId="0C48A55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Tavora 2009</w:t>
            </w:r>
          </w:p>
        </w:tc>
        <w:tc>
          <w:tcPr>
            <w:tcW w:w="857" w:type="pct"/>
          </w:tcPr>
          <w:p w14:paraId="59FC4BF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76 consecutive biopsies of the mid-upper ureter and renal pelvis submitted for expert consultation at The John Hopkins Hospital from 2004 to 2009.</w:t>
            </w:r>
          </w:p>
          <w:p w14:paraId="3EFABCD0"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United States</w:t>
            </w:r>
          </w:p>
        </w:tc>
        <w:tc>
          <w:tcPr>
            <w:tcW w:w="589" w:type="pct"/>
          </w:tcPr>
          <w:p w14:paraId="342A43F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Urothelial lesions of the renal pelvis and mid-upper ureter</w:t>
            </w:r>
          </w:p>
          <w:p w14:paraId="547F253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N=76 cases (39 biopsies from the ureter and 37 from the renal pelvis)</w:t>
            </w:r>
          </w:p>
        </w:tc>
        <w:tc>
          <w:tcPr>
            <w:tcW w:w="535" w:type="pct"/>
          </w:tcPr>
          <w:p w14:paraId="2CC4775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856" w:type="pct"/>
          </w:tcPr>
          <w:p w14:paraId="0822365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EEO provided by an expert pathologist at The John Hopkins Hospital. The expert opinions were undertaken in response to a request for expert consultation, presumably from the initial pathologist</w:t>
            </w:r>
            <w:r>
              <w:rPr>
                <w:rFonts w:ascii="Arial Narrow" w:hAnsi="Arial Narrow"/>
                <w:sz w:val="20"/>
                <w:szCs w:val="20"/>
                <w:vertAlign w:val="superscript"/>
              </w:rPr>
              <w:t>g</w:t>
            </w:r>
            <w:r>
              <w:rPr>
                <w:rFonts w:ascii="Arial Narrow" w:hAnsi="Arial Narrow"/>
                <w:sz w:val="20"/>
                <w:szCs w:val="20"/>
              </w:rPr>
              <w:t>.</w:t>
            </w:r>
          </w:p>
        </w:tc>
        <w:tc>
          <w:tcPr>
            <w:tcW w:w="433" w:type="pct"/>
          </w:tcPr>
          <w:p w14:paraId="238A9DB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142" w:type="pct"/>
          </w:tcPr>
          <w:p w14:paraId="17D22D1C" w14:textId="77777777" w:rsidR="00B51828" w:rsidRDefault="00B51828" w:rsidP="00B51828">
            <w:pPr>
              <w:pStyle w:val="ListParagraph"/>
              <w:numPr>
                <w:ilvl w:val="0"/>
                <w:numId w:val="23"/>
              </w:numPr>
              <w:spacing w:before="20" w:after="20"/>
              <w:rPr>
                <w:rFonts w:ascii="Arial Narrow" w:hAnsi="Arial Narrow"/>
                <w:sz w:val="20"/>
                <w:szCs w:val="20"/>
              </w:rPr>
            </w:pPr>
            <w:r w:rsidRPr="0001564A">
              <w:rPr>
                <w:rFonts w:ascii="Arial Narrow" w:hAnsi="Arial Narrow"/>
                <w:sz w:val="20"/>
                <w:szCs w:val="20"/>
              </w:rPr>
              <w:t>Patient characteristics (age, gender) of submitted cases</w:t>
            </w:r>
          </w:p>
          <w:p w14:paraId="75194FA7" w14:textId="77777777" w:rsidR="00B51828" w:rsidRDefault="00B51828" w:rsidP="00B51828">
            <w:pPr>
              <w:pStyle w:val="ListParagraph"/>
              <w:numPr>
                <w:ilvl w:val="0"/>
                <w:numId w:val="23"/>
              </w:numPr>
              <w:spacing w:before="20" w:after="20"/>
              <w:rPr>
                <w:rFonts w:ascii="Arial Narrow" w:hAnsi="Arial Narrow"/>
                <w:sz w:val="20"/>
                <w:szCs w:val="20"/>
              </w:rPr>
            </w:pPr>
            <w:r>
              <w:rPr>
                <w:rFonts w:ascii="Arial Narrow" w:hAnsi="Arial Narrow"/>
                <w:sz w:val="20"/>
                <w:szCs w:val="20"/>
              </w:rPr>
              <w:t>Diagnostic accuracy (major discrepancies)</w:t>
            </w:r>
          </w:p>
          <w:p w14:paraId="6711BA9E" w14:textId="77777777" w:rsidR="00B51828" w:rsidRPr="00876D19" w:rsidRDefault="00B51828" w:rsidP="00B51828">
            <w:pPr>
              <w:pStyle w:val="ListParagraph"/>
              <w:numPr>
                <w:ilvl w:val="0"/>
                <w:numId w:val="23"/>
              </w:numPr>
              <w:spacing w:before="20" w:after="20"/>
              <w:rPr>
                <w:rFonts w:ascii="Arial Narrow" w:hAnsi="Arial Narrow"/>
                <w:sz w:val="20"/>
                <w:szCs w:val="20"/>
              </w:rPr>
            </w:pPr>
            <w:r w:rsidRPr="0001564A">
              <w:rPr>
                <w:rFonts w:ascii="Arial Narrow" w:hAnsi="Arial Narrow"/>
                <w:sz w:val="20"/>
                <w:szCs w:val="20"/>
              </w:rPr>
              <w:t>Diagnosis at consultation</w:t>
            </w:r>
          </w:p>
        </w:tc>
      </w:tr>
    </w:tbl>
    <w:p w14:paraId="301D22BE" w14:textId="77777777" w:rsidR="00B51828" w:rsidRPr="00D144EE" w:rsidRDefault="00B51828" w:rsidP="002101D2">
      <w:pPr>
        <w:pStyle w:val="Tablefootnotes"/>
      </w:pPr>
      <w:r>
        <w:t>Abbreviations: EEO, external expert opinion; IHC, immunohistochemistry; NHS, National Health Service; OMP, oral and maxillofacial pathologists; SO, second opinion; TSP, Taiwan Society of Pathology; UK, United Kingdom.</w:t>
      </w:r>
    </w:p>
    <w:p w14:paraId="68CAA0DF" w14:textId="77777777" w:rsidR="00B51828" w:rsidRDefault="00B51828" w:rsidP="002101D2">
      <w:pPr>
        <w:pStyle w:val="Tablefootnotes"/>
      </w:pPr>
      <w:r>
        <w:rPr>
          <w:vertAlign w:val="superscript"/>
        </w:rPr>
        <w:t>a</w:t>
      </w:r>
      <w:r>
        <w:t xml:space="preserve"> Details of the initial pathology opinion were available in 116 cases (i.e. </w:t>
      </w:r>
      <w:r w:rsidRPr="00A833C2">
        <w:t xml:space="preserve">cases for which the original referring Consultant’s referral letter </w:t>
      </w:r>
      <w:r>
        <w:t>was found).</w:t>
      </w:r>
    </w:p>
    <w:p w14:paraId="408A80A6" w14:textId="77777777" w:rsidR="00B51828" w:rsidRDefault="00B51828" w:rsidP="002101D2">
      <w:pPr>
        <w:pStyle w:val="Tablefootnotes"/>
      </w:pPr>
      <w:r>
        <w:rPr>
          <w:vertAlign w:val="superscript"/>
        </w:rPr>
        <w:t>b</w:t>
      </w:r>
      <w:r>
        <w:t xml:space="preserve"> </w:t>
      </w:r>
      <w:r w:rsidRPr="00D94640">
        <w:t xml:space="preserve">The </w:t>
      </w:r>
      <w:r>
        <w:t>study included three cases that were clinician-referred; however, it has been included in Scenario 1 because three cases is a very low proportion (2.6%) of total cases and because most of the results were reported separately according to source of referral.</w:t>
      </w:r>
    </w:p>
    <w:p w14:paraId="1C7640E4" w14:textId="77777777" w:rsidR="00B51828" w:rsidRDefault="00B51828" w:rsidP="002101D2">
      <w:pPr>
        <w:pStyle w:val="Tablefootnotes"/>
      </w:pPr>
      <w:r>
        <w:rPr>
          <w:vertAlign w:val="superscript"/>
        </w:rPr>
        <w:t>c</w:t>
      </w:r>
      <w:r>
        <w:t xml:space="preserve"> The study included a total of 1463 cases: 564 cases were initially examined by a ‘non-expert’ pathologist who requested a second opinion to confirm the diagnosis; 899 cases were initially examined by a ‘non-expert’ pathologist who did not request confirmation of the diagnosis. The study referred to the latter group as the ‘systematic review’ or ‘control’ group.</w:t>
      </w:r>
    </w:p>
    <w:p w14:paraId="7FA42378" w14:textId="77777777" w:rsidR="00B51828" w:rsidRDefault="00B51828" w:rsidP="002101D2">
      <w:pPr>
        <w:pStyle w:val="Tablefootnotes"/>
      </w:pPr>
      <w:r>
        <w:rPr>
          <w:vertAlign w:val="superscript"/>
        </w:rPr>
        <w:t>d</w:t>
      </w:r>
      <w:r>
        <w:t xml:space="preserve"> 404 out of 405 cases were relevant expert opinion cases, in which an outside pathologist sought an expert opinion. One case was a mandatory second review case, in which an expert opinion was required prior to definitive medical or surgical treatment.</w:t>
      </w:r>
    </w:p>
    <w:p w14:paraId="56F1BF15" w14:textId="77777777" w:rsidR="00B51828" w:rsidRDefault="00B51828" w:rsidP="002101D2">
      <w:pPr>
        <w:pStyle w:val="Tablefootnotes"/>
      </w:pPr>
      <w:r>
        <w:rPr>
          <w:vertAlign w:val="superscript"/>
        </w:rPr>
        <w:t>e</w:t>
      </w:r>
      <w:r>
        <w:t xml:space="preserve"> Throughout the duration of the study, the pathology panel of the Dutch Melanoma Working Group consisted of at least three pathologists with at least 5 years’ extensive experience in diagnosing melanocytic lesions.</w:t>
      </w:r>
    </w:p>
    <w:p w14:paraId="133C78A6" w14:textId="77777777" w:rsidR="00B51828" w:rsidRDefault="00B51828" w:rsidP="002101D2">
      <w:pPr>
        <w:pStyle w:val="Tablefootnotes"/>
      </w:pPr>
      <w:r>
        <w:rPr>
          <w:vertAlign w:val="superscript"/>
        </w:rPr>
        <w:t>f</w:t>
      </w:r>
      <w:r>
        <w:t xml:space="preserve"> The study included a total of 100 cases. Eighty requests for expert opinion were initiated by the pathologist; 20 expert opinion requests were initiated by the clinician.</w:t>
      </w:r>
    </w:p>
    <w:p w14:paraId="11ED40FD" w14:textId="77777777" w:rsidR="00B51828" w:rsidRDefault="00B51828" w:rsidP="002101D2">
      <w:pPr>
        <w:pStyle w:val="Tablefootnotes"/>
      </w:pPr>
      <w:r>
        <w:rPr>
          <w:vertAlign w:val="superscript"/>
        </w:rPr>
        <w:t>g</w:t>
      </w:r>
      <w:r w:rsidRPr="00F27A35">
        <w:rPr>
          <w:vertAlign w:val="superscript"/>
        </w:rPr>
        <w:t xml:space="preserve"> </w:t>
      </w:r>
      <w:r w:rsidRPr="00F27A35">
        <w:t>The article did not explicitly state where the request for second opinion originated (i.e. pathologist, clinician or patient); however, the terminology throughout the study implied that it was the initial pathologist (e.g. “submitting pathologist”, “expert diagnosis consultation”).</w:t>
      </w:r>
      <w:r>
        <w:br w:type="page"/>
      </w:r>
    </w:p>
    <w:p w14:paraId="55E2E4BA" w14:textId="77777777" w:rsidR="00B51828" w:rsidRDefault="00B51828" w:rsidP="002101D2">
      <w:pPr>
        <w:pStyle w:val="Caption"/>
        <w:sectPr w:rsidR="00B51828" w:rsidSect="002101D2">
          <w:footerReference w:type="default" r:id="rId21"/>
          <w:pgSz w:w="16838" w:h="11906" w:orient="landscape" w:code="9"/>
          <w:pgMar w:top="1440" w:right="1440" w:bottom="1440" w:left="1440" w:header="680" w:footer="1021" w:gutter="0"/>
          <w:cols w:space="708"/>
          <w:docGrid w:linePitch="360"/>
        </w:sectPr>
      </w:pPr>
      <w:bookmarkStart w:id="121" w:name="_Ref392500264"/>
    </w:p>
    <w:p w14:paraId="7C6DA3F6" w14:textId="77777777" w:rsidR="00B51828" w:rsidRDefault="00B51828" w:rsidP="002101D2">
      <w:pPr>
        <w:pStyle w:val="Caption"/>
      </w:pPr>
      <w:bookmarkStart w:id="122" w:name="_Ref395176835"/>
      <w:bookmarkStart w:id="123" w:name="_Toc396211740"/>
      <w:r>
        <w:lastRenderedPageBreak/>
        <w:t xml:space="preserve">Table </w:t>
      </w:r>
      <w:fldSimple w:instr=" STYLEREF 2 \s ">
        <w:r w:rsidR="0044620B">
          <w:rPr>
            <w:noProof/>
          </w:rPr>
          <w:t>B.4</w:t>
        </w:r>
      </w:fldSimple>
      <w:r>
        <w:noBreakHyphen/>
      </w:r>
      <w:r w:rsidR="0044620B">
        <w:fldChar w:fldCharType="begin"/>
      </w:r>
      <w:r w:rsidR="0044620B">
        <w:instrText xml:space="preserve"> SEQ Table \* ARABIC \s 2 </w:instrText>
      </w:r>
      <w:r w:rsidR="0044620B">
        <w:fldChar w:fldCharType="separate"/>
      </w:r>
      <w:r w:rsidR="0044620B">
        <w:rPr>
          <w:noProof/>
        </w:rPr>
        <w:t>2</w:t>
      </w:r>
      <w:r w:rsidR="0044620B">
        <w:rPr>
          <w:noProof/>
        </w:rPr>
        <w:fldChar w:fldCharType="end"/>
      </w:r>
      <w:bookmarkEnd w:id="121"/>
      <w:bookmarkEnd w:id="122"/>
      <w:r>
        <w:tab/>
        <w:t xml:space="preserve">Comparative summary of characteristics of clinical studies relating to second, expert opinion: </w:t>
      </w:r>
      <w:r w:rsidRPr="00F81361">
        <w:rPr>
          <w:i/>
        </w:rPr>
        <w:t>Scenario 2</w:t>
      </w:r>
      <w:r>
        <w:t xml:space="preserve"> studies</w:t>
      </w:r>
      <w:bookmarkEnd w:id="123"/>
    </w:p>
    <w:tbl>
      <w:tblPr>
        <w:tblStyle w:val="TableGrid"/>
        <w:tblW w:w="4748" w:type="pct"/>
        <w:tblInd w:w="704" w:type="dxa"/>
        <w:tblLook w:val="04A0" w:firstRow="1" w:lastRow="0" w:firstColumn="1" w:lastColumn="0" w:noHBand="0" w:noVBand="1"/>
        <w:tblCaption w:val="Comparative summary of characteristics of clinical studies (Scenario 2)"/>
        <w:tblDescription w:val="Comparative summary of characteristics of Scenario 2 clinical studies relating to second, expert opinion"/>
      </w:tblPr>
      <w:tblGrid>
        <w:gridCol w:w="1440"/>
        <w:gridCol w:w="2151"/>
        <w:gridCol w:w="1591"/>
        <w:gridCol w:w="1734"/>
        <w:gridCol w:w="2522"/>
        <w:gridCol w:w="1225"/>
        <w:gridCol w:w="2797"/>
      </w:tblGrid>
      <w:tr w:rsidR="00B51828" w:rsidRPr="00E83D67" w14:paraId="619B3B01" w14:textId="77777777" w:rsidTr="002101D2">
        <w:trPr>
          <w:tblHeader/>
        </w:trPr>
        <w:tc>
          <w:tcPr>
            <w:tcW w:w="535" w:type="pct"/>
          </w:tcPr>
          <w:p w14:paraId="1537FFE4"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ID</w:t>
            </w:r>
          </w:p>
        </w:tc>
        <w:tc>
          <w:tcPr>
            <w:tcW w:w="799" w:type="pct"/>
          </w:tcPr>
          <w:p w14:paraId="20609A7B" w14:textId="77777777" w:rsidR="00B51828"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characteristics</w:t>
            </w:r>
          </w:p>
          <w:p w14:paraId="3513338E" w14:textId="77777777" w:rsidR="00B51828" w:rsidRPr="0082484A" w:rsidRDefault="00B51828" w:rsidP="002101D2">
            <w:pPr>
              <w:spacing w:before="20" w:after="20"/>
              <w:ind w:left="0"/>
              <w:rPr>
                <w:rFonts w:ascii="Arial Narrow" w:hAnsi="Arial Narrow"/>
                <w:b/>
                <w:i/>
                <w:sz w:val="20"/>
                <w:szCs w:val="20"/>
              </w:rPr>
            </w:pPr>
            <w:r w:rsidRPr="0082484A">
              <w:rPr>
                <w:rFonts w:ascii="Arial Narrow" w:hAnsi="Arial Narrow"/>
                <w:b/>
                <w:i/>
                <w:sz w:val="20"/>
                <w:szCs w:val="20"/>
              </w:rPr>
              <w:t>Country</w:t>
            </w:r>
          </w:p>
        </w:tc>
        <w:tc>
          <w:tcPr>
            <w:tcW w:w="591" w:type="pct"/>
          </w:tcPr>
          <w:p w14:paraId="3CADA461" w14:textId="77777777" w:rsidR="00B51828" w:rsidRDefault="00B51828" w:rsidP="002101D2">
            <w:pPr>
              <w:spacing w:before="20" w:after="20"/>
              <w:ind w:left="0"/>
              <w:rPr>
                <w:rFonts w:ascii="Arial Narrow" w:hAnsi="Arial Narrow"/>
                <w:b/>
                <w:sz w:val="20"/>
                <w:szCs w:val="20"/>
              </w:rPr>
            </w:pPr>
            <w:r>
              <w:rPr>
                <w:rFonts w:ascii="Arial Narrow" w:hAnsi="Arial Narrow"/>
                <w:b/>
                <w:sz w:val="20"/>
                <w:szCs w:val="20"/>
              </w:rPr>
              <w:t>Population</w:t>
            </w:r>
          </w:p>
        </w:tc>
        <w:tc>
          <w:tcPr>
            <w:tcW w:w="644" w:type="pct"/>
          </w:tcPr>
          <w:p w14:paraId="6C87F640" w14:textId="77777777" w:rsidR="00B51828" w:rsidRPr="00E83D67" w:rsidRDefault="00B51828" w:rsidP="002101D2">
            <w:pPr>
              <w:spacing w:before="20" w:after="20"/>
              <w:ind w:left="0"/>
              <w:rPr>
                <w:rFonts w:ascii="Arial Narrow" w:hAnsi="Arial Narrow"/>
                <w:b/>
                <w:sz w:val="20"/>
                <w:szCs w:val="20"/>
              </w:rPr>
            </w:pPr>
            <w:r>
              <w:rPr>
                <w:rFonts w:ascii="Arial Narrow" w:hAnsi="Arial Narrow"/>
                <w:b/>
                <w:sz w:val="20"/>
                <w:szCs w:val="20"/>
              </w:rPr>
              <w:t>Prior test</w:t>
            </w:r>
          </w:p>
        </w:tc>
        <w:tc>
          <w:tcPr>
            <w:tcW w:w="937" w:type="pct"/>
          </w:tcPr>
          <w:p w14:paraId="36FEED5C"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I</w:t>
            </w:r>
            <w:r>
              <w:rPr>
                <w:rFonts w:ascii="Arial Narrow" w:hAnsi="Arial Narrow"/>
                <w:b/>
                <w:sz w:val="20"/>
                <w:szCs w:val="20"/>
              </w:rPr>
              <w:t>ndex test</w:t>
            </w:r>
          </w:p>
        </w:tc>
        <w:tc>
          <w:tcPr>
            <w:tcW w:w="455" w:type="pct"/>
          </w:tcPr>
          <w:p w14:paraId="6CE4C2DA"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Comparator</w:t>
            </w:r>
          </w:p>
        </w:tc>
        <w:tc>
          <w:tcPr>
            <w:tcW w:w="1039" w:type="pct"/>
          </w:tcPr>
          <w:p w14:paraId="1F141CA2"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Outcomes</w:t>
            </w:r>
          </w:p>
        </w:tc>
      </w:tr>
      <w:tr w:rsidR="00B51828" w:rsidRPr="00E83D67" w14:paraId="7C507F73" w14:textId="77777777" w:rsidTr="002101D2">
        <w:tc>
          <w:tcPr>
            <w:tcW w:w="535" w:type="pct"/>
            <w:shd w:val="clear" w:color="auto" w:fill="BFBFBF" w:themeFill="background1" w:themeFillShade="BF"/>
          </w:tcPr>
          <w:p w14:paraId="1B33927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ALL SURGICAL PATHOLOGY</w:t>
            </w:r>
          </w:p>
        </w:tc>
        <w:tc>
          <w:tcPr>
            <w:tcW w:w="799" w:type="pct"/>
            <w:shd w:val="clear" w:color="auto" w:fill="BFBFBF" w:themeFill="background1" w:themeFillShade="BF"/>
          </w:tcPr>
          <w:p w14:paraId="2487D2A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91" w:type="pct"/>
            <w:shd w:val="clear" w:color="auto" w:fill="BFBFBF" w:themeFill="background1" w:themeFillShade="BF"/>
          </w:tcPr>
          <w:p w14:paraId="09A9133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644" w:type="pct"/>
            <w:shd w:val="clear" w:color="auto" w:fill="BFBFBF" w:themeFill="background1" w:themeFillShade="BF"/>
          </w:tcPr>
          <w:p w14:paraId="3652971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937" w:type="pct"/>
            <w:shd w:val="clear" w:color="auto" w:fill="BFBFBF" w:themeFill="background1" w:themeFillShade="BF"/>
          </w:tcPr>
          <w:p w14:paraId="197C42F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455" w:type="pct"/>
            <w:shd w:val="clear" w:color="auto" w:fill="BFBFBF" w:themeFill="background1" w:themeFillShade="BF"/>
          </w:tcPr>
          <w:p w14:paraId="4F21311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039" w:type="pct"/>
            <w:shd w:val="clear" w:color="auto" w:fill="BFBFBF" w:themeFill="background1" w:themeFillShade="BF"/>
          </w:tcPr>
          <w:p w14:paraId="4764AD13" w14:textId="77777777" w:rsidR="00B51828" w:rsidRPr="00FF0590"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E83D67" w14:paraId="22911F12" w14:textId="77777777" w:rsidTr="002101D2">
        <w:tc>
          <w:tcPr>
            <w:tcW w:w="535" w:type="pct"/>
          </w:tcPr>
          <w:p w14:paraId="37365EE8"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Ahmed 2004</w:t>
            </w:r>
          </w:p>
        </w:tc>
        <w:tc>
          <w:tcPr>
            <w:tcW w:w="799" w:type="pct"/>
          </w:tcPr>
          <w:p w14:paraId="3BE3B52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study of all consecutive cases referred to a major referral centre for EEO in a 9-month period 2001 to 2002. Cases excluded if no initial diagnosis provided.</w:t>
            </w:r>
          </w:p>
          <w:p w14:paraId="29A8C4CD" w14:textId="77777777" w:rsidR="00B51828" w:rsidRPr="0082484A" w:rsidRDefault="00B51828" w:rsidP="002101D2">
            <w:pPr>
              <w:spacing w:before="20" w:after="20"/>
              <w:ind w:left="0"/>
              <w:rPr>
                <w:rFonts w:ascii="Arial Narrow" w:hAnsi="Arial Narrow"/>
                <w:i/>
                <w:sz w:val="20"/>
                <w:szCs w:val="20"/>
              </w:rPr>
            </w:pPr>
            <w:r w:rsidRPr="0082484A">
              <w:rPr>
                <w:rFonts w:ascii="Arial Narrow" w:hAnsi="Arial Narrow"/>
                <w:i/>
                <w:sz w:val="20"/>
                <w:szCs w:val="20"/>
              </w:rPr>
              <w:t>Pakistan</w:t>
            </w:r>
          </w:p>
        </w:tc>
        <w:tc>
          <w:tcPr>
            <w:tcW w:w="591" w:type="pct"/>
          </w:tcPr>
          <w:p w14:paraId="4A92B21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Surgical pathology; any organ system</w:t>
            </w:r>
          </w:p>
          <w:p w14:paraId="78C69FA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N=381 cases</w:t>
            </w:r>
          </w:p>
        </w:tc>
        <w:tc>
          <w:tcPr>
            <w:tcW w:w="644" w:type="pct"/>
          </w:tcPr>
          <w:p w14:paraId="76E7A33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937" w:type="pct"/>
          </w:tcPr>
          <w:p w14:paraId="2F6D047E"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EEO provided by Section of Histopathology at the Aga Khan University Hospital. EEO requested by clinicians and in some cases the primary pathologist, across Pakistan. Additional IHC conducted as required.</w:t>
            </w:r>
          </w:p>
        </w:tc>
        <w:tc>
          <w:tcPr>
            <w:tcW w:w="455" w:type="pct"/>
          </w:tcPr>
          <w:p w14:paraId="04522055"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5DAF0617" w14:textId="77777777" w:rsidR="00B51828" w:rsidRPr="00B879A9" w:rsidRDefault="00B51828" w:rsidP="00B51828">
            <w:pPr>
              <w:pStyle w:val="ListParagraph"/>
              <w:numPr>
                <w:ilvl w:val="0"/>
                <w:numId w:val="15"/>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w:t>
            </w:r>
            <w:r>
              <w:rPr>
                <w:rFonts w:ascii="Arial Narrow" w:hAnsi="Arial Narrow"/>
                <w:sz w:val="20"/>
                <w:szCs w:val="20"/>
              </w:rPr>
              <w:t xml:space="preserve"> (no diagnosis/ </w:t>
            </w:r>
            <w:r w:rsidRPr="0001564A">
              <w:rPr>
                <w:rFonts w:ascii="Arial Narrow" w:hAnsi="Arial Narrow"/>
                <w:sz w:val="20"/>
                <w:szCs w:val="20"/>
              </w:rPr>
              <w:t>provisional diagnosis)</w:t>
            </w:r>
          </w:p>
          <w:p w14:paraId="1E897673" w14:textId="77777777" w:rsidR="00B51828" w:rsidRPr="00474B91" w:rsidRDefault="00B51828" w:rsidP="00B51828">
            <w:pPr>
              <w:pStyle w:val="ListParagraph"/>
              <w:numPr>
                <w:ilvl w:val="0"/>
                <w:numId w:val="15"/>
              </w:numPr>
              <w:spacing w:before="20" w:after="20"/>
              <w:rPr>
                <w:rFonts w:ascii="Arial Narrow" w:hAnsi="Arial Narrow"/>
                <w:sz w:val="20"/>
                <w:szCs w:val="20"/>
              </w:rPr>
            </w:pPr>
            <w:r w:rsidRPr="00474B91">
              <w:rPr>
                <w:rFonts w:ascii="Arial Narrow" w:hAnsi="Arial Narrow"/>
                <w:sz w:val="20"/>
                <w:szCs w:val="20"/>
              </w:rPr>
              <w:t>Diagnostic accuracy (agreement, disagreement)</w:t>
            </w:r>
          </w:p>
          <w:p w14:paraId="1A91E84E" w14:textId="77777777" w:rsidR="00B51828" w:rsidRPr="00474B91" w:rsidRDefault="00B51828" w:rsidP="00B51828">
            <w:pPr>
              <w:pStyle w:val="ListParagraph"/>
              <w:numPr>
                <w:ilvl w:val="0"/>
                <w:numId w:val="15"/>
              </w:numPr>
              <w:spacing w:before="20" w:after="20"/>
              <w:rPr>
                <w:rFonts w:ascii="Arial Narrow" w:hAnsi="Arial Narrow"/>
                <w:sz w:val="20"/>
                <w:szCs w:val="20"/>
              </w:rPr>
            </w:pPr>
            <w:r w:rsidRPr="00474B91">
              <w:rPr>
                <w:rFonts w:ascii="Arial Narrow" w:hAnsi="Arial Narrow"/>
                <w:sz w:val="20"/>
                <w:szCs w:val="20"/>
              </w:rPr>
              <w:t>Use of IHC</w:t>
            </w:r>
          </w:p>
          <w:p w14:paraId="6A89B999" w14:textId="77777777" w:rsidR="00B51828" w:rsidRDefault="00B51828" w:rsidP="00B51828">
            <w:pPr>
              <w:pStyle w:val="ListParagraph"/>
              <w:numPr>
                <w:ilvl w:val="0"/>
                <w:numId w:val="15"/>
              </w:numPr>
              <w:spacing w:before="20" w:after="20"/>
              <w:rPr>
                <w:rFonts w:ascii="Arial Narrow" w:hAnsi="Arial Narrow"/>
                <w:sz w:val="20"/>
                <w:szCs w:val="20"/>
              </w:rPr>
            </w:pPr>
            <w:r w:rsidRPr="00474B91">
              <w:rPr>
                <w:rFonts w:ascii="Arial Narrow" w:hAnsi="Arial Narrow"/>
                <w:sz w:val="20"/>
                <w:szCs w:val="20"/>
              </w:rPr>
              <w:t>Specimen anatomical site</w:t>
            </w:r>
          </w:p>
          <w:p w14:paraId="40A20470" w14:textId="77777777" w:rsidR="00B51828" w:rsidRPr="00474B91" w:rsidRDefault="00B51828" w:rsidP="00B51828">
            <w:pPr>
              <w:pStyle w:val="ListParagraph"/>
              <w:numPr>
                <w:ilvl w:val="0"/>
                <w:numId w:val="15"/>
              </w:numPr>
              <w:spacing w:before="20" w:after="20"/>
              <w:rPr>
                <w:rFonts w:ascii="Arial Narrow" w:hAnsi="Arial Narrow"/>
                <w:sz w:val="20"/>
                <w:szCs w:val="20"/>
              </w:rPr>
            </w:pPr>
            <w:r>
              <w:rPr>
                <w:rFonts w:ascii="Arial Narrow" w:hAnsi="Arial Narrow"/>
                <w:sz w:val="20"/>
                <w:szCs w:val="20"/>
              </w:rPr>
              <w:t>Number of cases in which expert could not provide diagnosis</w:t>
            </w:r>
          </w:p>
        </w:tc>
      </w:tr>
      <w:tr w:rsidR="00B51828" w:rsidRPr="00E83D67" w14:paraId="1D992C48" w14:textId="77777777" w:rsidTr="002101D2">
        <w:tc>
          <w:tcPr>
            <w:tcW w:w="535" w:type="pct"/>
            <w:shd w:val="clear" w:color="auto" w:fill="BFBFBF" w:themeFill="background1" w:themeFillShade="BF"/>
          </w:tcPr>
          <w:p w14:paraId="3461BBF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BRAIN AND SPINAL CORD</w:t>
            </w:r>
          </w:p>
        </w:tc>
        <w:tc>
          <w:tcPr>
            <w:tcW w:w="799" w:type="pct"/>
            <w:shd w:val="clear" w:color="auto" w:fill="BFBFBF" w:themeFill="background1" w:themeFillShade="BF"/>
          </w:tcPr>
          <w:p w14:paraId="24750F6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91" w:type="pct"/>
            <w:shd w:val="clear" w:color="auto" w:fill="BFBFBF" w:themeFill="background1" w:themeFillShade="BF"/>
          </w:tcPr>
          <w:p w14:paraId="39DCDB5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644" w:type="pct"/>
            <w:shd w:val="clear" w:color="auto" w:fill="BFBFBF" w:themeFill="background1" w:themeFillShade="BF"/>
          </w:tcPr>
          <w:p w14:paraId="68D7EBF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937" w:type="pct"/>
            <w:shd w:val="clear" w:color="auto" w:fill="BFBFBF" w:themeFill="background1" w:themeFillShade="BF"/>
          </w:tcPr>
          <w:p w14:paraId="3E84BF5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455" w:type="pct"/>
            <w:shd w:val="clear" w:color="auto" w:fill="BFBFBF" w:themeFill="background1" w:themeFillShade="BF"/>
          </w:tcPr>
          <w:p w14:paraId="05AC7D0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039" w:type="pct"/>
            <w:shd w:val="clear" w:color="auto" w:fill="BFBFBF" w:themeFill="background1" w:themeFillShade="BF"/>
          </w:tcPr>
          <w:p w14:paraId="4545B0B7" w14:textId="77777777" w:rsidR="00B51828" w:rsidRPr="00FF0590"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E83D67" w14:paraId="57FD7405" w14:textId="77777777" w:rsidTr="002101D2">
        <w:tc>
          <w:tcPr>
            <w:tcW w:w="535" w:type="pct"/>
          </w:tcPr>
          <w:p w14:paraId="18448ACB"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Bruner 1997</w:t>
            </w:r>
          </w:p>
        </w:tc>
        <w:tc>
          <w:tcPr>
            <w:tcW w:w="799" w:type="pct"/>
          </w:tcPr>
          <w:p w14:paraId="188D4FE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Retrospective review of 500 consecutive brain and spinal cord biopsies referred to a neuropathology consultation service for review (referred patient cases) or EEO in 1995.</w:t>
            </w:r>
          </w:p>
          <w:p w14:paraId="003F6009" w14:textId="77777777" w:rsidR="00B51828" w:rsidRPr="009E401A" w:rsidRDefault="00B51828" w:rsidP="002101D2">
            <w:pPr>
              <w:spacing w:before="20" w:after="20"/>
              <w:ind w:left="0"/>
              <w:rPr>
                <w:rFonts w:ascii="Arial Narrow" w:hAnsi="Arial Narrow"/>
                <w:i/>
                <w:sz w:val="20"/>
                <w:szCs w:val="20"/>
              </w:rPr>
            </w:pPr>
            <w:r w:rsidRPr="009E401A">
              <w:rPr>
                <w:rFonts w:ascii="Arial Narrow" w:hAnsi="Arial Narrow"/>
                <w:i/>
                <w:sz w:val="20"/>
                <w:szCs w:val="20"/>
              </w:rPr>
              <w:t>United States</w:t>
            </w:r>
          </w:p>
        </w:tc>
        <w:tc>
          <w:tcPr>
            <w:tcW w:w="591" w:type="pct"/>
          </w:tcPr>
          <w:p w14:paraId="1A53EA3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Brain and spinal cord biopsies or resections of tumours or suspected tumours</w:t>
            </w:r>
          </w:p>
          <w:p w14:paraId="204C7176" w14:textId="77777777" w:rsidR="00B51828" w:rsidRPr="00B879A9"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N=500 cases</w:t>
            </w:r>
            <w:r>
              <w:rPr>
                <w:rFonts w:ascii="Arial Narrow" w:hAnsi="Arial Narrow"/>
                <w:sz w:val="20"/>
                <w:szCs w:val="20"/>
                <w:vertAlign w:val="superscript"/>
              </w:rPr>
              <w:t>a</w:t>
            </w:r>
          </w:p>
        </w:tc>
        <w:tc>
          <w:tcPr>
            <w:tcW w:w="644" w:type="pct"/>
          </w:tcPr>
          <w:p w14:paraId="2FA96FED"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937" w:type="pct"/>
          </w:tcPr>
          <w:p w14:paraId="12379BA9"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EEO provided by 3 faculty neuropathologists after conference review at a multihead microscope, from the Section of Neuropathology, Department of Pathology at the University of Texas M.D. Anderson Cancer Center. EEO requested by “pathologists or other attending physicians, such as surgeons, internists, or radiotherapists” (70.1%) or as part of protocol studies for second opinions with regard to therapy (29.9%). Additional special histopathologic studies conducted as required.</w:t>
            </w:r>
          </w:p>
        </w:tc>
        <w:tc>
          <w:tcPr>
            <w:tcW w:w="455" w:type="pct"/>
          </w:tcPr>
          <w:p w14:paraId="7A5B5D96"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1E22305E" w14:textId="77777777" w:rsidR="00B51828" w:rsidRPr="00B879A9" w:rsidRDefault="00B51828" w:rsidP="00B51828">
            <w:pPr>
              <w:pStyle w:val="ListParagraph"/>
              <w:numPr>
                <w:ilvl w:val="0"/>
                <w:numId w:val="25"/>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w:t>
            </w:r>
            <w:r>
              <w:rPr>
                <w:rFonts w:ascii="Arial Narrow" w:hAnsi="Arial Narrow"/>
                <w:sz w:val="20"/>
                <w:szCs w:val="20"/>
              </w:rPr>
              <w:t xml:space="preserve"> (no diagnosis/ </w:t>
            </w:r>
            <w:r w:rsidRPr="0001564A">
              <w:rPr>
                <w:rFonts w:ascii="Arial Narrow" w:hAnsi="Arial Narrow"/>
                <w:sz w:val="20"/>
                <w:szCs w:val="20"/>
              </w:rPr>
              <w:t>provisional diagnosis)</w:t>
            </w:r>
          </w:p>
          <w:p w14:paraId="20A636C7" w14:textId="77777777" w:rsidR="00B51828" w:rsidRPr="00474B91" w:rsidRDefault="00B51828" w:rsidP="00B51828">
            <w:pPr>
              <w:pStyle w:val="ListParagraph"/>
              <w:numPr>
                <w:ilvl w:val="0"/>
                <w:numId w:val="25"/>
              </w:numPr>
              <w:spacing w:before="20" w:after="20"/>
              <w:rPr>
                <w:rFonts w:ascii="Arial Narrow" w:hAnsi="Arial Narrow"/>
                <w:sz w:val="20"/>
                <w:szCs w:val="20"/>
              </w:rPr>
            </w:pPr>
            <w:r w:rsidRPr="00474B91">
              <w:rPr>
                <w:rFonts w:ascii="Arial Narrow" w:hAnsi="Arial Narrow"/>
                <w:sz w:val="20"/>
                <w:szCs w:val="20"/>
              </w:rPr>
              <w:t>Diagnostic accuracy (</w:t>
            </w:r>
            <w:r>
              <w:rPr>
                <w:rFonts w:ascii="Arial Narrow" w:hAnsi="Arial Narrow"/>
                <w:sz w:val="20"/>
                <w:szCs w:val="20"/>
              </w:rPr>
              <w:t xml:space="preserve">no discrepancy, minor discrepancy, total discrepancy) </w:t>
            </w:r>
          </w:p>
          <w:p w14:paraId="239045B7" w14:textId="77777777" w:rsidR="00B51828" w:rsidRDefault="00B51828" w:rsidP="00B51828">
            <w:pPr>
              <w:pStyle w:val="ListParagraph"/>
              <w:numPr>
                <w:ilvl w:val="0"/>
                <w:numId w:val="25"/>
              </w:numPr>
              <w:spacing w:before="20" w:after="20"/>
              <w:rPr>
                <w:rFonts w:ascii="Arial Narrow" w:hAnsi="Arial Narrow"/>
                <w:sz w:val="20"/>
                <w:szCs w:val="20"/>
              </w:rPr>
            </w:pPr>
            <w:r w:rsidRPr="00474B91">
              <w:rPr>
                <w:rFonts w:ascii="Arial Narrow" w:hAnsi="Arial Narrow"/>
                <w:sz w:val="20"/>
                <w:szCs w:val="20"/>
              </w:rPr>
              <w:t>Nature of major diagnostic discrepancies</w:t>
            </w:r>
          </w:p>
          <w:p w14:paraId="70CF33A7" w14:textId="77777777" w:rsidR="00B51828" w:rsidRPr="00474B91" w:rsidRDefault="00B51828" w:rsidP="00B51828">
            <w:pPr>
              <w:pStyle w:val="ListParagraph"/>
              <w:numPr>
                <w:ilvl w:val="0"/>
                <w:numId w:val="25"/>
              </w:numPr>
              <w:spacing w:before="20" w:after="20"/>
              <w:rPr>
                <w:rFonts w:ascii="Arial Narrow" w:hAnsi="Arial Narrow"/>
                <w:sz w:val="20"/>
                <w:szCs w:val="20"/>
              </w:rPr>
            </w:pPr>
            <w:r>
              <w:rPr>
                <w:rFonts w:ascii="Arial Narrow" w:hAnsi="Arial Narrow"/>
                <w:sz w:val="20"/>
                <w:szCs w:val="20"/>
              </w:rPr>
              <w:t>Initiation of therapy before expert opinion in cases that turned out to be major discrepancies</w:t>
            </w:r>
          </w:p>
        </w:tc>
      </w:tr>
      <w:tr w:rsidR="00B51828" w:rsidRPr="00E83D67" w14:paraId="48A9CF44" w14:textId="77777777" w:rsidTr="002101D2">
        <w:tc>
          <w:tcPr>
            <w:tcW w:w="535" w:type="pct"/>
            <w:shd w:val="clear" w:color="auto" w:fill="BFBFBF" w:themeFill="background1" w:themeFillShade="BF"/>
          </w:tcPr>
          <w:p w14:paraId="3158C274"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PROSTATE</w:t>
            </w:r>
          </w:p>
        </w:tc>
        <w:tc>
          <w:tcPr>
            <w:tcW w:w="799" w:type="pct"/>
            <w:shd w:val="clear" w:color="auto" w:fill="BFBFBF" w:themeFill="background1" w:themeFillShade="BF"/>
          </w:tcPr>
          <w:p w14:paraId="35289F6D"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591" w:type="pct"/>
            <w:shd w:val="clear" w:color="auto" w:fill="BFBFBF" w:themeFill="background1" w:themeFillShade="BF"/>
          </w:tcPr>
          <w:p w14:paraId="7278F6C8"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644" w:type="pct"/>
            <w:shd w:val="clear" w:color="auto" w:fill="BFBFBF" w:themeFill="background1" w:themeFillShade="BF"/>
          </w:tcPr>
          <w:p w14:paraId="25A03CDC"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937" w:type="pct"/>
            <w:shd w:val="clear" w:color="auto" w:fill="BFBFBF" w:themeFill="background1" w:themeFillShade="BF"/>
          </w:tcPr>
          <w:p w14:paraId="0F4B9479"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455" w:type="pct"/>
            <w:shd w:val="clear" w:color="auto" w:fill="BFBFBF" w:themeFill="background1" w:themeFillShade="BF"/>
          </w:tcPr>
          <w:p w14:paraId="618BA38C"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1039" w:type="pct"/>
            <w:shd w:val="clear" w:color="auto" w:fill="BFBFBF" w:themeFill="background1" w:themeFillShade="BF"/>
          </w:tcPr>
          <w:p w14:paraId="450E1789" w14:textId="77777777" w:rsidR="00B51828" w:rsidRPr="00FF0590" w:rsidRDefault="00B51828" w:rsidP="002101D2">
            <w:pPr>
              <w:keepNext/>
              <w:spacing w:before="20" w:after="20"/>
              <w:ind w:left="0"/>
              <w:rPr>
                <w:rFonts w:ascii="Arial Narrow" w:hAnsi="Arial Narrow"/>
                <w:sz w:val="20"/>
                <w:szCs w:val="20"/>
              </w:rPr>
            </w:pPr>
            <w:r>
              <w:rPr>
                <w:rFonts w:ascii="Arial Narrow" w:hAnsi="Arial Narrow"/>
                <w:sz w:val="20"/>
                <w:szCs w:val="20"/>
              </w:rPr>
              <w:t>-</w:t>
            </w:r>
          </w:p>
        </w:tc>
      </w:tr>
      <w:tr w:rsidR="00B51828" w:rsidRPr="00E83D67" w14:paraId="3C8705C2" w14:textId="77777777" w:rsidTr="002101D2">
        <w:tc>
          <w:tcPr>
            <w:tcW w:w="535" w:type="pct"/>
          </w:tcPr>
          <w:p w14:paraId="35813E2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Chan 2005</w:t>
            </w:r>
          </w:p>
        </w:tc>
        <w:tc>
          <w:tcPr>
            <w:tcW w:w="799" w:type="pct"/>
          </w:tcPr>
          <w:p w14:paraId="3A39CE2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Retrospective review of all prostate </w:t>
            </w:r>
            <w:r w:rsidRPr="007C5A45">
              <w:rPr>
                <w:rFonts w:ascii="Arial Narrow" w:hAnsi="Arial Narrow"/>
                <w:sz w:val="20"/>
                <w:szCs w:val="20"/>
              </w:rPr>
              <w:t xml:space="preserve">needle biopsies </w:t>
            </w:r>
            <w:r w:rsidRPr="007C5A45">
              <w:rPr>
                <w:rFonts w:ascii="Arial Narrow" w:hAnsi="Arial Narrow"/>
                <w:sz w:val="20"/>
                <w:szCs w:val="20"/>
              </w:rPr>
              <w:lastRenderedPageBreak/>
              <w:t>received for expert</w:t>
            </w:r>
            <w:r>
              <w:rPr>
                <w:rFonts w:ascii="Arial Narrow" w:hAnsi="Arial Narrow"/>
                <w:sz w:val="20"/>
                <w:szCs w:val="20"/>
              </w:rPr>
              <w:t xml:space="preserve"> consultation at the request of a patient or urologist over a 6-month period in 2001.</w:t>
            </w:r>
          </w:p>
          <w:p w14:paraId="56A5CD23" w14:textId="77777777" w:rsidR="00B51828" w:rsidRDefault="00B51828" w:rsidP="002101D2">
            <w:pPr>
              <w:spacing w:before="20" w:after="20"/>
              <w:ind w:left="0"/>
              <w:rPr>
                <w:rFonts w:ascii="Arial Narrow" w:hAnsi="Arial Narrow"/>
                <w:sz w:val="20"/>
                <w:szCs w:val="20"/>
              </w:rPr>
            </w:pPr>
            <w:r>
              <w:rPr>
                <w:rFonts w:ascii="Arial Narrow" w:hAnsi="Arial Narrow"/>
                <w:i/>
                <w:sz w:val="20"/>
                <w:szCs w:val="20"/>
              </w:rPr>
              <w:t>United States</w:t>
            </w:r>
            <w:r>
              <w:rPr>
                <w:rFonts w:ascii="Arial Narrow" w:hAnsi="Arial Narrow"/>
                <w:sz w:val="20"/>
                <w:szCs w:val="20"/>
              </w:rPr>
              <w:t xml:space="preserve"> </w:t>
            </w:r>
          </w:p>
        </w:tc>
        <w:tc>
          <w:tcPr>
            <w:tcW w:w="591" w:type="pct"/>
          </w:tcPr>
          <w:p w14:paraId="31BB88F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 xml:space="preserve">Prostate needle </w:t>
            </w:r>
            <w:r>
              <w:rPr>
                <w:rFonts w:ascii="Arial Narrow" w:hAnsi="Arial Narrow"/>
                <w:sz w:val="20"/>
                <w:szCs w:val="20"/>
              </w:rPr>
              <w:lastRenderedPageBreak/>
              <w:t>biopsy</w:t>
            </w:r>
          </w:p>
          <w:p w14:paraId="0281352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N=684 cases</w:t>
            </w:r>
          </w:p>
        </w:tc>
        <w:tc>
          <w:tcPr>
            <w:tcW w:w="644" w:type="pct"/>
          </w:tcPr>
          <w:p w14:paraId="31E019F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Initial diagnosis</w:t>
            </w:r>
          </w:p>
        </w:tc>
        <w:tc>
          <w:tcPr>
            <w:tcW w:w="937" w:type="pct"/>
          </w:tcPr>
          <w:p w14:paraId="7D4FFC0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EEO provided by an expert pathologist at John Hopkins </w:t>
            </w:r>
            <w:r>
              <w:rPr>
                <w:rFonts w:ascii="Arial Narrow" w:hAnsi="Arial Narrow"/>
                <w:sz w:val="20"/>
                <w:szCs w:val="20"/>
              </w:rPr>
              <w:lastRenderedPageBreak/>
              <w:t>Hospital. Additional high molecular weight cytokeratin staining conducted if not previously performed and if it would aid diagnosis.</w:t>
            </w:r>
          </w:p>
        </w:tc>
        <w:tc>
          <w:tcPr>
            <w:tcW w:w="455" w:type="pct"/>
          </w:tcPr>
          <w:p w14:paraId="00859D3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 xml:space="preserve">Initial </w:t>
            </w:r>
            <w:r>
              <w:rPr>
                <w:rFonts w:ascii="Arial Narrow" w:hAnsi="Arial Narrow"/>
                <w:sz w:val="20"/>
                <w:szCs w:val="20"/>
              </w:rPr>
              <w:lastRenderedPageBreak/>
              <w:t>diagnosis</w:t>
            </w:r>
          </w:p>
        </w:tc>
        <w:tc>
          <w:tcPr>
            <w:tcW w:w="1039" w:type="pct"/>
          </w:tcPr>
          <w:p w14:paraId="20EC6799" w14:textId="77777777" w:rsidR="00B51828" w:rsidRDefault="00B51828" w:rsidP="00B51828">
            <w:pPr>
              <w:pStyle w:val="ListParagraph"/>
              <w:numPr>
                <w:ilvl w:val="0"/>
                <w:numId w:val="26"/>
              </w:numPr>
              <w:spacing w:before="20" w:after="20"/>
              <w:rPr>
                <w:rFonts w:ascii="Arial Narrow" w:hAnsi="Arial Narrow"/>
                <w:sz w:val="20"/>
                <w:szCs w:val="20"/>
              </w:rPr>
            </w:pPr>
            <w:r>
              <w:rPr>
                <w:rFonts w:ascii="Arial Narrow" w:hAnsi="Arial Narrow"/>
                <w:sz w:val="20"/>
                <w:szCs w:val="20"/>
              </w:rPr>
              <w:lastRenderedPageBreak/>
              <w:t>Type of referral (patient or urologist-initiated)</w:t>
            </w:r>
          </w:p>
          <w:p w14:paraId="284F29A8" w14:textId="77777777" w:rsidR="00B51828" w:rsidRDefault="00B51828" w:rsidP="00B51828">
            <w:pPr>
              <w:pStyle w:val="ListParagraph"/>
              <w:numPr>
                <w:ilvl w:val="0"/>
                <w:numId w:val="26"/>
              </w:numPr>
              <w:spacing w:before="20" w:after="20"/>
              <w:rPr>
                <w:rFonts w:ascii="Arial Narrow" w:hAnsi="Arial Narrow"/>
                <w:sz w:val="20"/>
                <w:szCs w:val="20"/>
              </w:rPr>
            </w:pPr>
            <w:r>
              <w:rPr>
                <w:rFonts w:ascii="Arial Narrow" w:hAnsi="Arial Narrow"/>
                <w:sz w:val="20"/>
                <w:szCs w:val="20"/>
              </w:rPr>
              <w:lastRenderedPageBreak/>
              <w:t>Type of referring laboratory (</w:t>
            </w:r>
            <w:r w:rsidRPr="00474B91">
              <w:rPr>
                <w:rFonts w:ascii="Arial Narrow" w:hAnsi="Arial Narrow"/>
                <w:sz w:val="20"/>
                <w:szCs w:val="20"/>
              </w:rPr>
              <w:t>community hospitals, commercial laboratories, academic/teaching hospitals)</w:t>
            </w:r>
          </w:p>
          <w:p w14:paraId="7FFDE589" w14:textId="77777777" w:rsidR="00B51828" w:rsidRPr="00D60421" w:rsidRDefault="00B51828" w:rsidP="00B51828">
            <w:pPr>
              <w:pStyle w:val="ListParagraph"/>
              <w:numPr>
                <w:ilvl w:val="0"/>
                <w:numId w:val="26"/>
              </w:numPr>
              <w:spacing w:before="20" w:after="20"/>
              <w:rPr>
                <w:rFonts w:ascii="Arial Narrow" w:hAnsi="Arial Narrow"/>
                <w:sz w:val="20"/>
                <w:szCs w:val="20"/>
              </w:rPr>
            </w:pPr>
            <w:r w:rsidRPr="00D60421">
              <w:rPr>
                <w:rFonts w:ascii="Arial Narrow" w:hAnsi="Arial Narrow"/>
                <w:sz w:val="20"/>
                <w:szCs w:val="20"/>
              </w:rPr>
              <w:t>Original diagnosis (cancer, atypical HGPIN, benign)</w:t>
            </w:r>
          </w:p>
          <w:p w14:paraId="4A5BB69C" w14:textId="77777777" w:rsidR="00B51828" w:rsidRPr="00474B91" w:rsidRDefault="00B51828" w:rsidP="00B51828">
            <w:pPr>
              <w:pStyle w:val="ListParagraph"/>
              <w:numPr>
                <w:ilvl w:val="0"/>
                <w:numId w:val="26"/>
              </w:numPr>
              <w:spacing w:before="20" w:after="20"/>
              <w:rPr>
                <w:rFonts w:ascii="Arial Narrow" w:hAnsi="Arial Narrow"/>
                <w:sz w:val="20"/>
                <w:szCs w:val="20"/>
              </w:rPr>
            </w:pPr>
            <w:r w:rsidRPr="00474B91">
              <w:rPr>
                <w:rFonts w:ascii="Arial Narrow" w:hAnsi="Arial Narrow"/>
                <w:sz w:val="20"/>
                <w:szCs w:val="20"/>
              </w:rPr>
              <w:t>Change in diagnosis</w:t>
            </w:r>
          </w:p>
          <w:p w14:paraId="3B796E3E" w14:textId="77777777" w:rsidR="00B51828" w:rsidRPr="00D60421" w:rsidRDefault="00B51828" w:rsidP="00B51828">
            <w:pPr>
              <w:pStyle w:val="ListParagraph"/>
              <w:numPr>
                <w:ilvl w:val="0"/>
                <w:numId w:val="26"/>
              </w:numPr>
              <w:spacing w:before="20" w:after="20"/>
              <w:rPr>
                <w:rFonts w:ascii="Arial Narrow" w:hAnsi="Arial Narrow"/>
                <w:sz w:val="20"/>
                <w:szCs w:val="20"/>
              </w:rPr>
            </w:pPr>
            <w:r w:rsidRPr="00474B91">
              <w:rPr>
                <w:rFonts w:ascii="Arial Narrow" w:hAnsi="Arial Narrow"/>
                <w:sz w:val="20"/>
                <w:szCs w:val="20"/>
              </w:rPr>
              <w:t>Change in Gleason score</w:t>
            </w:r>
          </w:p>
        </w:tc>
      </w:tr>
      <w:tr w:rsidR="00B51828" w:rsidRPr="00E83D67" w14:paraId="2D11608D" w14:textId="77777777" w:rsidTr="002101D2">
        <w:tc>
          <w:tcPr>
            <w:tcW w:w="535" w:type="pct"/>
            <w:shd w:val="clear" w:color="auto" w:fill="BFBFBF" w:themeFill="background1" w:themeFillShade="BF"/>
          </w:tcPr>
          <w:p w14:paraId="22F4B70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LUNG</w:t>
            </w:r>
          </w:p>
        </w:tc>
        <w:tc>
          <w:tcPr>
            <w:tcW w:w="799" w:type="pct"/>
            <w:shd w:val="clear" w:color="auto" w:fill="BFBFBF" w:themeFill="background1" w:themeFillShade="BF"/>
          </w:tcPr>
          <w:p w14:paraId="211E28F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91" w:type="pct"/>
            <w:shd w:val="clear" w:color="auto" w:fill="BFBFBF" w:themeFill="background1" w:themeFillShade="BF"/>
          </w:tcPr>
          <w:p w14:paraId="1D163FA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644" w:type="pct"/>
            <w:shd w:val="clear" w:color="auto" w:fill="BFBFBF" w:themeFill="background1" w:themeFillShade="BF"/>
          </w:tcPr>
          <w:p w14:paraId="7994E52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937" w:type="pct"/>
            <w:shd w:val="clear" w:color="auto" w:fill="BFBFBF" w:themeFill="background1" w:themeFillShade="BF"/>
          </w:tcPr>
          <w:p w14:paraId="6027C9D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455" w:type="pct"/>
            <w:shd w:val="clear" w:color="auto" w:fill="BFBFBF" w:themeFill="background1" w:themeFillShade="BF"/>
          </w:tcPr>
          <w:p w14:paraId="7176C0E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039" w:type="pct"/>
            <w:shd w:val="clear" w:color="auto" w:fill="BFBFBF" w:themeFill="background1" w:themeFillShade="BF"/>
          </w:tcPr>
          <w:p w14:paraId="73D4280D" w14:textId="77777777" w:rsidR="00B51828" w:rsidRPr="00FF0590"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E83D67" w14:paraId="098D2497" w14:textId="77777777" w:rsidTr="002101D2">
        <w:tc>
          <w:tcPr>
            <w:tcW w:w="535" w:type="pct"/>
          </w:tcPr>
          <w:p w14:paraId="0EB1D55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Hutton Klein 2010</w:t>
            </w:r>
          </w:p>
        </w:tc>
        <w:tc>
          <w:tcPr>
            <w:tcW w:w="799" w:type="pct"/>
          </w:tcPr>
          <w:p w14:paraId="5753505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Prospective study of 100 consecutive lung biopsies referred to a pulmonary pathology consultation service by a pathologist or clinician over a 7-week period in 2008.</w:t>
            </w:r>
          </w:p>
          <w:p w14:paraId="323CECBF" w14:textId="77777777" w:rsidR="00B51828" w:rsidRDefault="00B51828" w:rsidP="002101D2">
            <w:pPr>
              <w:spacing w:before="20" w:after="20"/>
              <w:ind w:left="0"/>
              <w:rPr>
                <w:rFonts w:ascii="Arial Narrow" w:hAnsi="Arial Narrow"/>
                <w:i/>
                <w:sz w:val="20"/>
                <w:szCs w:val="20"/>
              </w:rPr>
            </w:pPr>
            <w:r w:rsidRPr="00B33D3E">
              <w:rPr>
                <w:rFonts w:ascii="Arial Narrow" w:hAnsi="Arial Narrow"/>
                <w:i/>
                <w:sz w:val="20"/>
                <w:szCs w:val="20"/>
              </w:rPr>
              <w:t>United States</w:t>
            </w:r>
          </w:p>
          <w:p w14:paraId="66533380" w14:textId="77777777" w:rsidR="00B51828" w:rsidRDefault="00B51828" w:rsidP="002101D2">
            <w:pPr>
              <w:spacing w:before="20" w:after="20"/>
              <w:ind w:left="0"/>
              <w:rPr>
                <w:rFonts w:ascii="Arial Narrow" w:hAnsi="Arial Narrow"/>
                <w:i/>
                <w:sz w:val="20"/>
                <w:szCs w:val="20"/>
              </w:rPr>
            </w:pPr>
          </w:p>
          <w:p w14:paraId="20EBA6B8" w14:textId="77777777" w:rsidR="00B51828" w:rsidRDefault="00B51828" w:rsidP="002101D2">
            <w:pPr>
              <w:spacing w:before="20" w:after="20"/>
              <w:ind w:left="0"/>
              <w:rPr>
                <w:rFonts w:ascii="Arial Narrow" w:hAnsi="Arial Narrow"/>
                <w:sz w:val="20"/>
                <w:szCs w:val="20"/>
              </w:rPr>
            </w:pPr>
          </w:p>
        </w:tc>
        <w:tc>
          <w:tcPr>
            <w:tcW w:w="591" w:type="pct"/>
          </w:tcPr>
          <w:p w14:paraId="0B67A5E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Granulomatous or giant cell reactions in the lung</w:t>
            </w:r>
          </w:p>
          <w:p w14:paraId="2255611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N=100 cases</w:t>
            </w:r>
            <w:r>
              <w:rPr>
                <w:rFonts w:ascii="Arial Narrow" w:hAnsi="Arial Narrow"/>
                <w:sz w:val="20"/>
                <w:szCs w:val="20"/>
                <w:vertAlign w:val="superscript"/>
              </w:rPr>
              <w:t>b</w:t>
            </w:r>
          </w:p>
        </w:tc>
        <w:tc>
          <w:tcPr>
            <w:tcW w:w="644" w:type="pct"/>
          </w:tcPr>
          <w:p w14:paraId="4079BF9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 or no diagnosis rendered</w:t>
            </w:r>
          </w:p>
        </w:tc>
        <w:tc>
          <w:tcPr>
            <w:tcW w:w="937" w:type="pct"/>
          </w:tcPr>
          <w:p w14:paraId="19B6D0D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EEO provided by one or more of three pulmonary pathologists at the Mayo Clinic Scottsdale Pulmonary Pathology Consult Service, using an algorithmic approach to diagnosis. EEO requested by pathologist (80%) or clinician (20%).</w:t>
            </w:r>
          </w:p>
        </w:tc>
        <w:tc>
          <w:tcPr>
            <w:tcW w:w="455" w:type="pct"/>
          </w:tcPr>
          <w:p w14:paraId="1577175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Initial diagnosis</w:t>
            </w:r>
          </w:p>
        </w:tc>
        <w:tc>
          <w:tcPr>
            <w:tcW w:w="1039" w:type="pct"/>
          </w:tcPr>
          <w:p w14:paraId="14C7E7EF" w14:textId="77777777" w:rsidR="00B51828" w:rsidRPr="002A3C56" w:rsidRDefault="00B51828" w:rsidP="00B51828">
            <w:pPr>
              <w:pStyle w:val="ListParagraph"/>
              <w:numPr>
                <w:ilvl w:val="0"/>
                <w:numId w:val="27"/>
              </w:numPr>
              <w:spacing w:before="20" w:after="20"/>
              <w:rPr>
                <w:rFonts w:ascii="Arial Narrow" w:hAnsi="Arial Narrow"/>
                <w:sz w:val="20"/>
                <w:szCs w:val="20"/>
              </w:rPr>
            </w:pPr>
            <w:r>
              <w:rPr>
                <w:rFonts w:ascii="Arial Narrow" w:hAnsi="Arial Narrow"/>
                <w:sz w:val="20"/>
                <w:szCs w:val="20"/>
              </w:rPr>
              <w:t>Nature</w:t>
            </w:r>
            <w:r w:rsidRPr="0001564A">
              <w:rPr>
                <w:rFonts w:ascii="Arial Narrow" w:hAnsi="Arial Narrow"/>
                <w:sz w:val="20"/>
                <w:szCs w:val="20"/>
              </w:rPr>
              <w:t xml:space="preserve"> of initial pathology opinion</w:t>
            </w:r>
            <w:r>
              <w:rPr>
                <w:rFonts w:ascii="Arial Narrow" w:hAnsi="Arial Narrow"/>
                <w:sz w:val="20"/>
                <w:szCs w:val="20"/>
              </w:rPr>
              <w:t xml:space="preserve"> (no diagnosis/</w:t>
            </w:r>
            <w:r w:rsidRPr="0001564A">
              <w:rPr>
                <w:rFonts w:ascii="Arial Narrow" w:hAnsi="Arial Narrow"/>
                <w:sz w:val="20"/>
                <w:szCs w:val="20"/>
              </w:rPr>
              <w:t>provisional diagnosis)</w:t>
            </w:r>
          </w:p>
          <w:p w14:paraId="5419888D" w14:textId="77777777" w:rsidR="00B51828" w:rsidRPr="0001564A" w:rsidRDefault="00B51828" w:rsidP="00B51828">
            <w:pPr>
              <w:pStyle w:val="ListParagraph"/>
              <w:numPr>
                <w:ilvl w:val="0"/>
                <w:numId w:val="27"/>
              </w:numPr>
              <w:spacing w:before="20" w:after="20"/>
              <w:rPr>
                <w:rFonts w:ascii="Arial Narrow" w:hAnsi="Arial Narrow"/>
                <w:sz w:val="20"/>
                <w:szCs w:val="20"/>
              </w:rPr>
            </w:pPr>
            <w:r w:rsidRPr="0001564A">
              <w:rPr>
                <w:rFonts w:ascii="Arial Narrow" w:hAnsi="Arial Narrow"/>
                <w:sz w:val="20"/>
                <w:szCs w:val="20"/>
              </w:rPr>
              <w:t>Diagnostic accuracy</w:t>
            </w:r>
            <w:r>
              <w:rPr>
                <w:rFonts w:ascii="Arial Narrow" w:hAnsi="Arial Narrow"/>
                <w:sz w:val="20"/>
                <w:szCs w:val="20"/>
              </w:rPr>
              <w:t xml:space="preserve"> (agreement/disagreement)</w:t>
            </w:r>
          </w:p>
          <w:p w14:paraId="7298630F" w14:textId="77777777" w:rsidR="00B51828" w:rsidRPr="0001564A" w:rsidRDefault="00B51828" w:rsidP="00B51828">
            <w:pPr>
              <w:pStyle w:val="ListParagraph"/>
              <w:numPr>
                <w:ilvl w:val="0"/>
                <w:numId w:val="27"/>
              </w:numPr>
              <w:spacing w:before="20" w:after="20"/>
              <w:rPr>
                <w:rFonts w:ascii="Arial Narrow" w:hAnsi="Arial Narrow"/>
                <w:sz w:val="20"/>
                <w:szCs w:val="20"/>
              </w:rPr>
            </w:pPr>
            <w:r w:rsidRPr="0001564A">
              <w:rPr>
                <w:rFonts w:ascii="Arial Narrow" w:hAnsi="Arial Narrow"/>
                <w:sz w:val="20"/>
                <w:szCs w:val="20"/>
              </w:rPr>
              <w:t>Nature of specimens (not reported separately for requests initiated by pathologist)</w:t>
            </w:r>
          </w:p>
          <w:p w14:paraId="5B1D2E7C" w14:textId="77777777" w:rsidR="00B51828" w:rsidRPr="00474B91" w:rsidRDefault="00B51828" w:rsidP="00B51828">
            <w:pPr>
              <w:pStyle w:val="ListParagraph"/>
              <w:numPr>
                <w:ilvl w:val="0"/>
                <w:numId w:val="27"/>
              </w:numPr>
              <w:spacing w:before="20" w:after="20"/>
              <w:rPr>
                <w:rFonts w:ascii="Arial Narrow" w:hAnsi="Arial Narrow"/>
                <w:sz w:val="20"/>
                <w:szCs w:val="20"/>
              </w:rPr>
            </w:pPr>
            <w:r w:rsidRPr="0001564A">
              <w:rPr>
                <w:rFonts w:ascii="Arial Narrow" w:hAnsi="Arial Narrow"/>
                <w:sz w:val="20"/>
                <w:szCs w:val="20"/>
              </w:rPr>
              <w:t>Clinical follow-up (not reported separately for requests initiated by pathologist)</w:t>
            </w:r>
          </w:p>
        </w:tc>
      </w:tr>
      <w:tr w:rsidR="00B51828" w:rsidRPr="00E83D67" w14:paraId="51F59BA5" w14:textId="77777777" w:rsidTr="002101D2">
        <w:tc>
          <w:tcPr>
            <w:tcW w:w="535" w:type="pct"/>
            <w:shd w:val="clear" w:color="auto" w:fill="BFBFBF" w:themeFill="background1" w:themeFillShade="BF"/>
          </w:tcPr>
          <w:p w14:paraId="06C16AA8" w14:textId="7E25924A" w:rsidR="00B51828" w:rsidRDefault="00BB6067" w:rsidP="002101D2">
            <w:pPr>
              <w:keepNext/>
              <w:spacing w:before="20" w:after="20"/>
              <w:ind w:left="0"/>
              <w:rPr>
                <w:rFonts w:ascii="Arial Narrow" w:hAnsi="Arial Narrow"/>
                <w:sz w:val="20"/>
                <w:szCs w:val="20"/>
              </w:rPr>
            </w:pPr>
            <w:r>
              <w:rPr>
                <w:rFonts w:ascii="Arial Narrow" w:hAnsi="Arial Narrow"/>
                <w:sz w:val="20"/>
                <w:szCs w:val="20"/>
              </w:rPr>
              <w:lastRenderedPageBreak/>
              <w:t xml:space="preserve">LABIAL </w:t>
            </w:r>
            <w:r w:rsidR="00B51828">
              <w:rPr>
                <w:rFonts w:ascii="Arial Narrow" w:hAnsi="Arial Narrow"/>
                <w:sz w:val="20"/>
                <w:szCs w:val="20"/>
              </w:rPr>
              <w:t>SALIVARY GLAND</w:t>
            </w:r>
          </w:p>
        </w:tc>
        <w:tc>
          <w:tcPr>
            <w:tcW w:w="799" w:type="pct"/>
            <w:shd w:val="clear" w:color="auto" w:fill="BFBFBF" w:themeFill="background1" w:themeFillShade="BF"/>
          </w:tcPr>
          <w:p w14:paraId="4525728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591" w:type="pct"/>
            <w:shd w:val="clear" w:color="auto" w:fill="BFBFBF" w:themeFill="background1" w:themeFillShade="BF"/>
          </w:tcPr>
          <w:p w14:paraId="48A80B39"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644" w:type="pct"/>
            <w:shd w:val="clear" w:color="auto" w:fill="BFBFBF" w:themeFill="background1" w:themeFillShade="BF"/>
          </w:tcPr>
          <w:p w14:paraId="71C3638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937" w:type="pct"/>
            <w:shd w:val="clear" w:color="auto" w:fill="BFBFBF" w:themeFill="background1" w:themeFillShade="BF"/>
          </w:tcPr>
          <w:p w14:paraId="6FCEC387"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455" w:type="pct"/>
            <w:shd w:val="clear" w:color="auto" w:fill="BFBFBF" w:themeFill="background1" w:themeFillShade="BF"/>
          </w:tcPr>
          <w:p w14:paraId="6A3011F1"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1039" w:type="pct"/>
            <w:shd w:val="clear" w:color="auto" w:fill="BFBFBF" w:themeFill="background1" w:themeFillShade="BF"/>
          </w:tcPr>
          <w:p w14:paraId="512D4D26" w14:textId="77777777" w:rsidR="00B51828" w:rsidRPr="00FF0590" w:rsidRDefault="00B51828" w:rsidP="002101D2">
            <w:pPr>
              <w:keepNext/>
              <w:spacing w:before="20" w:after="20"/>
              <w:ind w:left="0"/>
              <w:rPr>
                <w:rFonts w:ascii="Arial Narrow" w:hAnsi="Arial Narrow"/>
                <w:sz w:val="20"/>
                <w:szCs w:val="20"/>
              </w:rPr>
            </w:pPr>
            <w:r>
              <w:rPr>
                <w:rFonts w:ascii="Arial Narrow" w:hAnsi="Arial Narrow"/>
                <w:sz w:val="20"/>
                <w:szCs w:val="20"/>
              </w:rPr>
              <w:t>-</w:t>
            </w:r>
          </w:p>
        </w:tc>
      </w:tr>
      <w:tr w:rsidR="00B51828" w:rsidRPr="00E83D67" w14:paraId="3B5A7C91" w14:textId="77777777" w:rsidTr="002101D2">
        <w:tc>
          <w:tcPr>
            <w:tcW w:w="535" w:type="pct"/>
          </w:tcPr>
          <w:p w14:paraId="5660F7E9"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Vivino 2002</w:t>
            </w:r>
          </w:p>
        </w:tc>
        <w:tc>
          <w:tcPr>
            <w:tcW w:w="799" w:type="pct"/>
          </w:tcPr>
          <w:p w14:paraId="61137FDB"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 xml:space="preserve">Review of cases received for SO consultation for the classification of Sjögren’s syndrome (SS), an autoimmune exocrinopathy, between 1994 and 2000. Cases were submitted by institutions that largely lacked xerostomia clinics.  </w:t>
            </w:r>
          </w:p>
          <w:p w14:paraId="441CE912" w14:textId="77777777" w:rsidR="00B51828" w:rsidRPr="00462471" w:rsidRDefault="00B51828" w:rsidP="002101D2">
            <w:pPr>
              <w:keepNext/>
              <w:spacing w:before="20" w:after="20"/>
              <w:ind w:left="0"/>
              <w:rPr>
                <w:rFonts w:ascii="Arial Narrow" w:hAnsi="Arial Narrow"/>
                <w:i/>
                <w:sz w:val="20"/>
                <w:szCs w:val="20"/>
              </w:rPr>
            </w:pPr>
            <w:r>
              <w:rPr>
                <w:rFonts w:ascii="Arial Narrow" w:hAnsi="Arial Narrow"/>
                <w:i/>
                <w:sz w:val="20"/>
                <w:szCs w:val="20"/>
              </w:rPr>
              <w:t>United States</w:t>
            </w:r>
          </w:p>
        </w:tc>
        <w:tc>
          <w:tcPr>
            <w:tcW w:w="591" w:type="pct"/>
          </w:tcPr>
          <w:p w14:paraId="242642B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Labial salivary gland (LSG) biopsy</w:t>
            </w:r>
          </w:p>
          <w:p w14:paraId="6AD92A09"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N=60 cases</w:t>
            </w:r>
          </w:p>
          <w:p w14:paraId="282E7BC7" w14:textId="77777777" w:rsidR="00B51828" w:rsidRDefault="00B51828" w:rsidP="002101D2">
            <w:pPr>
              <w:keepNext/>
              <w:spacing w:before="20" w:after="20"/>
              <w:ind w:left="0"/>
              <w:rPr>
                <w:rFonts w:ascii="Arial Narrow" w:hAnsi="Arial Narrow"/>
                <w:sz w:val="20"/>
                <w:szCs w:val="20"/>
              </w:rPr>
            </w:pPr>
          </w:p>
        </w:tc>
        <w:tc>
          <w:tcPr>
            <w:tcW w:w="644" w:type="pct"/>
          </w:tcPr>
          <w:p w14:paraId="1A4F5956"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 of (or suspected) SS based on physical, serological and/or histological components</w:t>
            </w:r>
          </w:p>
        </w:tc>
        <w:tc>
          <w:tcPr>
            <w:tcW w:w="937" w:type="pct"/>
          </w:tcPr>
          <w:p w14:paraId="7122FC20"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Histopathological EEO provided by one or two pathologists from the Department of Pathology, Albert Einstein Medical Center, Philadelphia. SO was requested by the consulting rheumatologist due to clinical-pathologic discordance</w:t>
            </w:r>
            <w:r>
              <w:rPr>
                <w:rFonts w:ascii="Arial Narrow" w:hAnsi="Arial Narrow"/>
                <w:sz w:val="20"/>
                <w:szCs w:val="20"/>
                <w:vertAlign w:val="superscript"/>
              </w:rPr>
              <w:t>c</w:t>
            </w:r>
            <w:r>
              <w:rPr>
                <w:rFonts w:ascii="Arial Narrow" w:hAnsi="Arial Narrow"/>
                <w:sz w:val="20"/>
                <w:szCs w:val="20"/>
              </w:rPr>
              <w:t>. The reviewing pathologist(s) determined a focus score, which was used to categorise LSG biopsies as focal lymphocytic sialadenitis (FLS), characteristic of the salivary component of SS; chronic sialadenitis (CS)</w:t>
            </w:r>
            <w:r>
              <w:rPr>
                <w:rFonts w:ascii="Arial Narrow" w:hAnsi="Arial Narrow"/>
                <w:sz w:val="20"/>
                <w:szCs w:val="20"/>
                <w:vertAlign w:val="superscript"/>
              </w:rPr>
              <w:t>d</w:t>
            </w:r>
            <w:r>
              <w:rPr>
                <w:rFonts w:ascii="Arial Narrow" w:hAnsi="Arial Narrow"/>
                <w:sz w:val="20"/>
                <w:szCs w:val="20"/>
              </w:rPr>
              <w:t>; within normal limits (WNL); or indeterminate. Some biopsies had insufficient tissue area for expert review.</w:t>
            </w:r>
          </w:p>
        </w:tc>
        <w:tc>
          <w:tcPr>
            <w:tcW w:w="455" w:type="pct"/>
          </w:tcPr>
          <w:p w14:paraId="662F4731"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Initial diagnosis (histological)</w:t>
            </w:r>
          </w:p>
        </w:tc>
        <w:tc>
          <w:tcPr>
            <w:tcW w:w="1039" w:type="pct"/>
          </w:tcPr>
          <w:p w14:paraId="3ECB0E79" w14:textId="77777777" w:rsidR="00B51828" w:rsidRPr="00474B91" w:rsidRDefault="00B51828" w:rsidP="00B51828">
            <w:pPr>
              <w:pStyle w:val="ListParagraph"/>
              <w:keepNext/>
              <w:numPr>
                <w:ilvl w:val="0"/>
                <w:numId w:val="29"/>
              </w:numPr>
              <w:spacing w:before="20" w:after="20"/>
              <w:rPr>
                <w:rFonts w:ascii="Arial Narrow" w:hAnsi="Arial Narrow"/>
                <w:sz w:val="20"/>
                <w:szCs w:val="20"/>
              </w:rPr>
            </w:pPr>
            <w:r w:rsidRPr="00474B91">
              <w:rPr>
                <w:rFonts w:ascii="Arial Narrow" w:hAnsi="Arial Narrow"/>
                <w:sz w:val="20"/>
                <w:szCs w:val="20"/>
              </w:rPr>
              <w:t>Diagnostic accuracy</w:t>
            </w:r>
            <w:r>
              <w:rPr>
                <w:rFonts w:ascii="Arial Narrow" w:hAnsi="Arial Narrow"/>
                <w:sz w:val="20"/>
                <w:szCs w:val="20"/>
              </w:rPr>
              <w:t xml:space="preserve"> (disagreements/revisions)</w:t>
            </w:r>
          </w:p>
          <w:p w14:paraId="0EF71279" w14:textId="77777777" w:rsidR="00B51828" w:rsidRPr="00474B91" w:rsidRDefault="00B51828" w:rsidP="00B51828">
            <w:pPr>
              <w:pStyle w:val="ListParagraph"/>
              <w:keepNext/>
              <w:numPr>
                <w:ilvl w:val="0"/>
                <w:numId w:val="29"/>
              </w:numPr>
              <w:spacing w:before="20" w:after="20"/>
              <w:rPr>
                <w:rFonts w:ascii="Arial Narrow" w:hAnsi="Arial Narrow"/>
                <w:sz w:val="20"/>
                <w:szCs w:val="20"/>
              </w:rPr>
            </w:pPr>
            <w:r w:rsidRPr="00474B91">
              <w:rPr>
                <w:rFonts w:ascii="Arial Narrow" w:hAnsi="Arial Narrow"/>
                <w:sz w:val="20"/>
                <w:szCs w:val="20"/>
              </w:rPr>
              <w:t>Reason for misdiagnosis</w:t>
            </w:r>
          </w:p>
          <w:p w14:paraId="378C6F9E" w14:textId="77777777" w:rsidR="00B51828" w:rsidRPr="00474B91" w:rsidRDefault="00B51828" w:rsidP="00B51828">
            <w:pPr>
              <w:pStyle w:val="ListParagraph"/>
              <w:keepNext/>
              <w:numPr>
                <w:ilvl w:val="0"/>
                <w:numId w:val="29"/>
              </w:numPr>
              <w:spacing w:before="20" w:after="20"/>
              <w:rPr>
                <w:rFonts w:ascii="Arial Narrow" w:hAnsi="Arial Narrow"/>
                <w:sz w:val="20"/>
                <w:szCs w:val="20"/>
              </w:rPr>
            </w:pPr>
            <w:r w:rsidRPr="00474B91">
              <w:rPr>
                <w:rFonts w:ascii="Arial Narrow" w:hAnsi="Arial Narrow"/>
                <w:sz w:val="20"/>
                <w:szCs w:val="20"/>
              </w:rPr>
              <w:t>Diagnostic delay</w:t>
            </w:r>
          </w:p>
          <w:p w14:paraId="21A2DB10" w14:textId="77777777" w:rsidR="00B51828" w:rsidRPr="00474B91" w:rsidRDefault="00B51828" w:rsidP="00B51828">
            <w:pPr>
              <w:pStyle w:val="ListParagraph"/>
              <w:keepNext/>
              <w:numPr>
                <w:ilvl w:val="0"/>
                <w:numId w:val="29"/>
              </w:numPr>
              <w:spacing w:before="20" w:after="20"/>
              <w:rPr>
                <w:rFonts w:ascii="Arial Narrow" w:hAnsi="Arial Narrow"/>
                <w:sz w:val="20"/>
                <w:szCs w:val="20"/>
              </w:rPr>
            </w:pPr>
            <w:r w:rsidRPr="00474B91">
              <w:rPr>
                <w:rFonts w:ascii="Arial Narrow" w:hAnsi="Arial Narrow"/>
                <w:sz w:val="20"/>
                <w:szCs w:val="20"/>
              </w:rPr>
              <w:t>Technical and diagnostic aspects of biopsies (e.g. slides/case, glands/case, levels/case, glandular area, gross focus number, focus score)</w:t>
            </w:r>
          </w:p>
          <w:p w14:paraId="7FBAC668" w14:textId="77777777" w:rsidR="00B51828" w:rsidRDefault="00B51828" w:rsidP="002101D2">
            <w:pPr>
              <w:keepNext/>
              <w:spacing w:before="20" w:after="20"/>
              <w:ind w:left="0"/>
              <w:rPr>
                <w:rFonts w:ascii="Arial Narrow" w:hAnsi="Arial Narrow"/>
                <w:sz w:val="20"/>
                <w:szCs w:val="20"/>
              </w:rPr>
            </w:pPr>
          </w:p>
        </w:tc>
      </w:tr>
    </w:tbl>
    <w:p w14:paraId="19699906" w14:textId="77777777" w:rsidR="00B51828" w:rsidRDefault="00B51828" w:rsidP="002101D2">
      <w:pPr>
        <w:pStyle w:val="Tablefootnotes"/>
      </w:pPr>
      <w:r>
        <w:t xml:space="preserve">Abbreviations: </w:t>
      </w:r>
      <w:r w:rsidRPr="00B93026">
        <w:t>CS, chronic sialadenitis; EEO, external expert opinion; FLS, focal lymphocytic sialadenitis; HGPIN, high-grade prostatic intraepithelial neoplasia; IHC, immunohistochemistry; LSG, labial salivary gland; SO, second opinion; SS, Sjögren’s syndrome</w:t>
      </w:r>
      <w:r>
        <w:t>; WNL, within normal limits.</w:t>
      </w:r>
    </w:p>
    <w:p w14:paraId="03204690" w14:textId="77777777" w:rsidR="00B51828" w:rsidRDefault="00B51828" w:rsidP="002101D2">
      <w:pPr>
        <w:pStyle w:val="Tablefootnotes"/>
      </w:pPr>
      <w:r>
        <w:rPr>
          <w:vertAlign w:val="superscript"/>
        </w:rPr>
        <w:t>a</w:t>
      </w:r>
      <w:r>
        <w:t xml:space="preserve"> The study included a total of 500 cases: 284 “consultation-only” cases were submitted because of some doubt about the original diagnosis on the part of pathologists or other attending physicians (e.g. surgeons, internists, or radiotherapists) at an outside institution; 216 cases were reviewed after the patient was referred to the Texas M. D. Anderson Cancer Center for management.</w:t>
      </w:r>
    </w:p>
    <w:p w14:paraId="083FAB74" w14:textId="77777777" w:rsidR="00B51828" w:rsidRPr="00B879A9" w:rsidRDefault="00B51828" w:rsidP="002101D2">
      <w:pPr>
        <w:pStyle w:val="Tablefootnotes"/>
      </w:pPr>
      <w:r>
        <w:rPr>
          <w:vertAlign w:val="superscript"/>
        </w:rPr>
        <w:t>b</w:t>
      </w:r>
      <w:r>
        <w:t xml:space="preserve"> The study included a total of 100 cases. Eighty requests for expert opinion were initiated by the pathologist; 20 expert opinion requests were initiated by the clinician.</w:t>
      </w:r>
    </w:p>
    <w:p w14:paraId="0DA129E8" w14:textId="77777777" w:rsidR="00B51828" w:rsidRPr="008E1C2C" w:rsidRDefault="00B51828" w:rsidP="002101D2">
      <w:pPr>
        <w:pStyle w:val="Tablefootnotes"/>
      </w:pPr>
      <w:r>
        <w:rPr>
          <w:vertAlign w:val="superscript"/>
        </w:rPr>
        <w:t>c</w:t>
      </w:r>
      <w:r>
        <w:t xml:space="preserve"> The request may have originated from (1) diagnostic uncertainty in the cases’ histologic description or conclusions, (2) absence of marker autoantibodies, or (3) lack of objective evidence of dry eyes and/or dry mouth.</w:t>
      </w:r>
    </w:p>
    <w:p w14:paraId="7AD16C8E" w14:textId="77777777" w:rsidR="00B51828" w:rsidRPr="00130880" w:rsidRDefault="00B51828" w:rsidP="002101D2">
      <w:pPr>
        <w:pStyle w:val="Tablefootnotes"/>
      </w:pPr>
      <w:r>
        <w:rPr>
          <w:vertAlign w:val="superscript"/>
        </w:rPr>
        <w:t>d</w:t>
      </w:r>
      <w:r>
        <w:t xml:space="preserve"> Biopsy material showing both FLS and CS was classified as FLS.</w:t>
      </w:r>
    </w:p>
    <w:p w14:paraId="4F3E78E3" w14:textId="77777777" w:rsidR="00B51828" w:rsidRPr="00A428AC" w:rsidRDefault="00B51828" w:rsidP="002101D2"/>
    <w:p w14:paraId="2AB070E9" w14:textId="77777777" w:rsidR="00B51828" w:rsidRDefault="00B51828" w:rsidP="00B51828">
      <w:pPr>
        <w:pStyle w:val="Heading2"/>
        <w:numPr>
          <w:ilvl w:val="1"/>
          <w:numId w:val="1"/>
        </w:numPr>
        <w:sectPr w:rsidR="00B51828" w:rsidSect="002101D2">
          <w:pgSz w:w="16838" w:h="11906" w:orient="landscape" w:code="9"/>
          <w:pgMar w:top="1440" w:right="1440" w:bottom="1440" w:left="1440" w:header="680" w:footer="1021" w:gutter="0"/>
          <w:cols w:space="708"/>
          <w:docGrid w:linePitch="360"/>
        </w:sectPr>
      </w:pPr>
      <w:bookmarkStart w:id="124" w:name="_Ref384066830"/>
    </w:p>
    <w:p w14:paraId="4DE86952" w14:textId="77777777" w:rsidR="00B51828" w:rsidRDefault="00B51828" w:rsidP="00B51828">
      <w:pPr>
        <w:pStyle w:val="Heading2"/>
        <w:numPr>
          <w:ilvl w:val="1"/>
          <w:numId w:val="1"/>
        </w:numPr>
      </w:pPr>
      <w:bookmarkStart w:id="125" w:name="_Ref393726308"/>
      <w:bookmarkStart w:id="126" w:name="_Toc396211695"/>
      <w:r>
        <w:lastRenderedPageBreak/>
        <w:t>Outcome measures and analysis</w:t>
      </w:r>
      <w:bookmarkEnd w:id="124"/>
      <w:bookmarkEnd w:id="125"/>
      <w:bookmarkEnd w:id="126"/>
    </w:p>
    <w:p w14:paraId="681D3DFC" w14:textId="77777777" w:rsidR="00B51828" w:rsidRDefault="00B51828" w:rsidP="002101D2">
      <w:pPr>
        <w:spacing w:after="120"/>
      </w:pPr>
      <w:r>
        <w:t xml:space="preserve">The PPICO criteria in Section </w:t>
      </w:r>
      <w:r>
        <w:fldChar w:fldCharType="begin"/>
      </w:r>
      <w:r>
        <w:instrText xml:space="preserve"> REF _Ref395304000 \r \h  \* MERGEFORMAT </w:instrText>
      </w:r>
      <w:r>
        <w:fldChar w:fldCharType="separate"/>
      </w:r>
      <w:r w:rsidR="0044620B">
        <w:t>A.8</w:t>
      </w:r>
      <w:r>
        <w:fldChar w:fldCharType="end"/>
      </w:r>
      <w:r>
        <w:t xml:space="preserve"> lists the following outcomes for the assessment of second, expert opinion:</w:t>
      </w:r>
    </w:p>
    <w:p w14:paraId="44DFEC86" w14:textId="77777777" w:rsidR="00B51828" w:rsidRDefault="00B51828" w:rsidP="00B51828">
      <w:pPr>
        <w:pStyle w:val="ListParagraph"/>
        <w:numPr>
          <w:ilvl w:val="0"/>
          <w:numId w:val="58"/>
        </w:numPr>
      </w:pPr>
      <w:r>
        <w:t>Diagnostic accuracy (sensitivity, specificity, positive predictive value, negative predictive value, concordance data);</w:t>
      </w:r>
    </w:p>
    <w:p w14:paraId="5D81B3CF" w14:textId="77777777" w:rsidR="00B51828" w:rsidRDefault="00B51828" w:rsidP="00B51828">
      <w:pPr>
        <w:pStyle w:val="ListParagraph"/>
        <w:numPr>
          <w:ilvl w:val="0"/>
          <w:numId w:val="58"/>
        </w:numPr>
      </w:pPr>
      <w:r>
        <w:t>Change in management (rate of clinically relevant revisions of initial pathology opinions, change in clinical management (e.g. biopsy rates, additional test ordering, change in treatment options);</w:t>
      </w:r>
    </w:p>
    <w:p w14:paraId="53DBF1F3" w14:textId="77777777" w:rsidR="00B51828" w:rsidRDefault="00B51828" w:rsidP="00B51828">
      <w:pPr>
        <w:pStyle w:val="ListParagraph"/>
        <w:numPr>
          <w:ilvl w:val="0"/>
          <w:numId w:val="58"/>
        </w:numPr>
      </w:pPr>
      <w:r>
        <w:t>Safety (physical and psychological harms due to delay in diagnosis, incorrect diagnosis/interpretation, incorrect treatment, incorrect revision of diagnosis/ interpretation);</w:t>
      </w:r>
    </w:p>
    <w:p w14:paraId="37DDEABE" w14:textId="77777777" w:rsidR="00B51828" w:rsidRDefault="00B51828" w:rsidP="00B51828">
      <w:pPr>
        <w:pStyle w:val="ListParagraph"/>
        <w:numPr>
          <w:ilvl w:val="0"/>
          <w:numId w:val="58"/>
        </w:numPr>
      </w:pPr>
      <w:r>
        <w:t>Effectiveness (morbidity, mortality, quality of life); and</w:t>
      </w:r>
    </w:p>
    <w:p w14:paraId="57835157" w14:textId="77777777" w:rsidR="00B51828" w:rsidRDefault="00B51828" w:rsidP="00B51828">
      <w:pPr>
        <w:pStyle w:val="ListParagraph"/>
        <w:numPr>
          <w:ilvl w:val="0"/>
          <w:numId w:val="58"/>
        </w:numPr>
      </w:pPr>
      <w:r>
        <w:t>Cost-effectiveness (cost per clinically relevant change in diagnosis/interpretation).</w:t>
      </w:r>
    </w:p>
    <w:p w14:paraId="63D45A09" w14:textId="77777777" w:rsidR="00B51828" w:rsidRPr="008A214C" w:rsidRDefault="00B51828" w:rsidP="002101D2">
      <w:r>
        <w:fldChar w:fldCharType="begin"/>
      </w:r>
      <w:r>
        <w:instrText xml:space="preserve"> REF _Ref395304756 \h </w:instrText>
      </w:r>
      <w:r>
        <w:fldChar w:fldCharType="separate"/>
      </w:r>
      <w:r w:rsidR="0044620B">
        <w:t xml:space="preserve">Table </w:t>
      </w:r>
      <w:r w:rsidR="0044620B">
        <w:rPr>
          <w:noProof/>
        </w:rPr>
        <w:t>B.5</w:t>
      </w:r>
      <w:r w:rsidR="0044620B">
        <w:noBreakHyphen/>
      </w:r>
      <w:r w:rsidR="0044620B">
        <w:rPr>
          <w:noProof/>
        </w:rPr>
        <w:t>1</w:t>
      </w:r>
      <w:r>
        <w:fldChar w:fldCharType="end"/>
      </w:r>
      <w:r>
        <w:t xml:space="preserve"> (</w:t>
      </w:r>
      <w:r w:rsidRPr="00F71BB5">
        <w:rPr>
          <w:i/>
        </w:rPr>
        <w:t xml:space="preserve">Scenario </w:t>
      </w:r>
      <w:r w:rsidRPr="000D438A">
        <w:rPr>
          <w:i/>
        </w:rPr>
        <w:t>1</w:t>
      </w:r>
      <w:r>
        <w:t xml:space="preserve">) </w:t>
      </w:r>
      <w:r w:rsidRPr="000D438A">
        <w:t>and</w:t>
      </w:r>
      <w:r>
        <w:t xml:space="preserve"> </w:t>
      </w:r>
      <w:r>
        <w:fldChar w:fldCharType="begin"/>
      </w:r>
      <w:r>
        <w:instrText xml:space="preserve"> REF _Ref395169450 \h </w:instrText>
      </w:r>
      <w:r>
        <w:fldChar w:fldCharType="separate"/>
      </w:r>
      <w:r w:rsidR="0044620B">
        <w:t xml:space="preserve">Table </w:t>
      </w:r>
      <w:r w:rsidR="0044620B">
        <w:rPr>
          <w:noProof/>
        </w:rPr>
        <w:t>B.5</w:t>
      </w:r>
      <w:r w:rsidR="0044620B">
        <w:noBreakHyphen/>
      </w:r>
      <w:r w:rsidR="0044620B">
        <w:rPr>
          <w:noProof/>
        </w:rPr>
        <w:t>2</w:t>
      </w:r>
      <w:r>
        <w:fldChar w:fldCharType="end"/>
      </w:r>
      <w:r>
        <w:t xml:space="preserve"> (</w:t>
      </w:r>
      <w:r w:rsidRPr="00F71BB5">
        <w:rPr>
          <w:i/>
        </w:rPr>
        <w:t>Scenario 2</w:t>
      </w:r>
      <w:r>
        <w:t>) list the PPICO outcomes reported in each of the included studies. The cost-effectiveness outcome is addressed in Section D. All other outcomes are discussed below.</w:t>
      </w:r>
    </w:p>
    <w:p w14:paraId="648EE688" w14:textId="77777777" w:rsidR="00B51828" w:rsidRPr="00D84DE8" w:rsidRDefault="00B51828" w:rsidP="00B51828">
      <w:pPr>
        <w:pStyle w:val="Heading3"/>
        <w:numPr>
          <w:ilvl w:val="2"/>
          <w:numId w:val="1"/>
        </w:numPr>
      </w:pPr>
      <w:bookmarkStart w:id="127" w:name="_Ref395191245"/>
      <w:r>
        <w:t>Diagnostic accuracy</w:t>
      </w:r>
      <w:bookmarkEnd w:id="127"/>
    </w:p>
    <w:p w14:paraId="592ED263" w14:textId="1B8A93D8" w:rsidR="00B51828" w:rsidRDefault="00B51828" w:rsidP="002101D2">
      <w:bookmarkStart w:id="128" w:name="_Ref395196872"/>
      <w:r>
        <w:t xml:space="preserve">The majority of the studies included in </w:t>
      </w:r>
      <w:r>
        <w:fldChar w:fldCharType="begin"/>
      </w:r>
      <w:r>
        <w:instrText xml:space="preserve"> REF _Ref395167662 \r \h  \* MERGEFORMAT </w:instrText>
      </w:r>
      <w:r>
        <w:fldChar w:fldCharType="separate"/>
      </w:r>
      <w:r w:rsidR="0044620B">
        <w:t>Section B</w:t>
      </w:r>
      <w:r>
        <w:fldChar w:fldCharType="end"/>
      </w:r>
      <w:r>
        <w:t xml:space="preserve"> were undertaken to determine the diagnostic accuracy of </w:t>
      </w:r>
      <w:r w:rsidRPr="00DD5BBB">
        <w:rPr>
          <w:u w:val="single"/>
        </w:rPr>
        <w:t>initial</w:t>
      </w:r>
      <w:r>
        <w:t xml:space="preserve"> pathology opinions. In particular, the studies focus</w:t>
      </w:r>
      <w:r w:rsidR="005414B7">
        <w:t>sed</w:t>
      </w:r>
      <w:r>
        <w:t xml:space="preserve"> on complex pathology cases that are diagnostically challenging for general pathologists or cases in which the clinician has concerns about the accuracy or level of detail provided in the initial diagnosis. Such cases, which exhibit unusual features or come from rare disease types, are therefore more likely to be referred to expert pathologists. As such, the primary aim of the included studies was to quantify the proportion of cases referred to expert pathologists that resulted in a change in diagnosis. </w:t>
      </w:r>
    </w:p>
    <w:p w14:paraId="7449F7C7" w14:textId="77777777" w:rsidR="00B51828" w:rsidRDefault="00B51828" w:rsidP="002101D2">
      <w:r>
        <w:t xml:space="preserve">Diagnostic accuracy, which refers to the level of agreement between the initial and expert pathologists’ diagnoses, was usually reported as a proportion of concordant and/or discordant cases. At least one measure of diagnostic accuracy was reported in all of the included studies (see </w:t>
      </w:r>
      <w:r w:rsidRPr="008B7DFD">
        <w:fldChar w:fldCharType="begin"/>
      </w:r>
      <w:r w:rsidRPr="008B7DFD">
        <w:instrText xml:space="preserve"> REF _Ref395169436 \h </w:instrText>
      </w:r>
      <w:r>
        <w:instrText xml:space="preserve"> \* MERGEFORMAT </w:instrText>
      </w:r>
      <w:r w:rsidRPr="008B7DFD">
        <w:fldChar w:fldCharType="separate"/>
      </w:r>
      <w:r w:rsidR="0044620B">
        <w:t xml:space="preserve">Table </w:t>
      </w:r>
      <w:r w:rsidR="0044620B">
        <w:rPr>
          <w:noProof/>
        </w:rPr>
        <w:t>B.5</w:t>
      </w:r>
      <w:r w:rsidR="0044620B">
        <w:rPr>
          <w:noProof/>
        </w:rPr>
        <w:noBreakHyphen/>
        <w:t>1</w:t>
      </w:r>
      <w:r w:rsidRPr="008B7DFD">
        <w:fldChar w:fldCharType="end"/>
      </w:r>
      <w:r w:rsidRPr="008B7DFD">
        <w:t xml:space="preserve"> and </w:t>
      </w:r>
      <w:r w:rsidRPr="008B7DFD">
        <w:fldChar w:fldCharType="begin"/>
      </w:r>
      <w:r w:rsidRPr="008B7DFD">
        <w:instrText xml:space="preserve"> REF _Ref395169450 \h </w:instrText>
      </w:r>
      <w:r>
        <w:instrText xml:space="preserve"> \* MERGEFORMAT </w:instrText>
      </w:r>
      <w:r w:rsidRPr="008B7DFD">
        <w:fldChar w:fldCharType="separate"/>
      </w:r>
      <w:r w:rsidR="0044620B">
        <w:t xml:space="preserve">Table </w:t>
      </w:r>
      <w:r w:rsidR="0044620B">
        <w:rPr>
          <w:noProof/>
        </w:rPr>
        <w:t>B.5</w:t>
      </w:r>
      <w:r w:rsidR="0044620B">
        <w:rPr>
          <w:noProof/>
        </w:rPr>
        <w:noBreakHyphen/>
        <w:t>2</w:t>
      </w:r>
      <w:r w:rsidRPr="008B7DFD">
        <w:fldChar w:fldCharType="end"/>
      </w:r>
      <w:r>
        <w:t>). Most of the studies that reported concordance and/or discordance rates also categorised the discrepant cases into major or minor discrepancies. In general, minor discrepancies referred to differences in diagnosis that would have no or minimal impact on patient management. Cases in which the expert pathologist’s diagnosis led to a change in patient management were referred to as major discrepancies.</w:t>
      </w:r>
    </w:p>
    <w:bookmarkEnd w:id="128"/>
    <w:p w14:paraId="54B38900" w14:textId="77777777" w:rsidR="00B51828" w:rsidRDefault="00B51828" w:rsidP="002101D2"/>
    <w:p w14:paraId="069B9AA6" w14:textId="77777777" w:rsidR="00B51828" w:rsidRPr="00876A10" w:rsidRDefault="00B51828" w:rsidP="002101D2">
      <w:pPr>
        <w:sectPr w:rsidR="00B51828" w:rsidRPr="00876A10" w:rsidSect="002101D2">
          <w:footerReference w:type="default" r:id="rId22"/>
          <w:pgSz w:w="11906" w:h="16838" w:code="9"/>
          <w:pgMar w:top="1440" w:right="1440" w:bottom="1440" w:left="1440" w:header="680" w:footer="1021" w:gutter="0"/>
          <w:cols w:space="708"/>
          <w:docGrid w:linePitch="360"/>
        </w:sectPr>
      </w:pPr>
    </w:p>
    <w:p w14:paraId="1A887706" w14:textId="77777777" w:rsidR="00B51828" w:rsidRPr="00876A10" w:rsidRDefault="00B51828" w:rsidP="002101D2">
      <w:pPr>
        <w:pStyle w:val="Caption"/>
        <w:ind w:left="1406" w:hanging="1406"/>
      </w:pPr>
      <w:bookmarkStart w:id="129" w:name="_Ref395304756"/>
      <w:bookmarkStart w:id="130" w:name="_Ref395169436"/>
      <w:bookmarkStart w:id="131" w:name="_Toc396211741"/>
      <w:r>
        <w:lastRenderedPageBreak/>
        <w:t xml:space="preserve">Table </w:t>
      </w:r>
      <w:fldSimple w:instr=" STYLEREF 2 \s ">
        <w:r w:rsidR="0044620B">
          <w:rPr>
            <w:noProof/>
          </w:rPr>
          <w:t>B.5</w:t>
        </w:r>
      </w:fldSimple>
      <w:r>
        <w:noBreakHyphen/>
      </w:r>
      <w:fldSimple w:instr=" SEQ Table \* ARABIC \s 2 ">
        <w:r w:rsidR="0044620B">
          <w:rPr>
            <w:noProof/>
          </w:rPr>
          <w:t>1</w:t>
        </w:r>
      </w:fldSimple>
      <w:bookmarkEnd w:id="129"/>
      <w:bookmarkEnd w:id="130"/>
      <w:r>
        <w:rPr>
          <w:noProof/>
        </w:rPr>
        <w:tab/>
        <w:t xml:space="preserve">Matrix showing outcomes specified in the PPICO criteria that were reported in the </w:t>
      </w:r>
      <w:r>
        <w:rPr>
          <w:i/>
          <w:noProof/>
        </w:rPr>
        <w:t xml:space="preserve">Scenario 1 </w:t>
      </w:r>
      <w:r>
        <w:rPr>
          <w:noProof/>
        </w:rPr>
        <w:t>studies</w:t>
      </w:r>
      <w:bookmarkEnd w:id="131"/>
    </w:p>
    <w:tbl>
      <w:tblPr>
        <w:tblStyle w:val="TableGrid"/>
        <w:tblW w:w="0" w:type="auto"/>
        <w:jc w:val="center"/>
        <w:tblLayout w:type="fixed"/>
        <w:tblCellMar>
          <w:left w:w="57" w:type="dxa"/>
          <w:right w:w="57" w:type="dxa"/>
        </w:tblCellMar>
        <w:tblLook w:val="04A0" w:firstRow="1" w:lastRow="0" w:firstColumn="1" w:lastColumn="0" w:noHBand="0" w:noVBand="1"/>
        <w:tblCaption w:val="Matrix showing outcomes that were reported in the Scenario 1 studies"/>
        <w:tblDescription w:val="Matrix showing outcomes specified in the PPICO criteria that were reported in the Scenario 1 studies"/>
      </w:tblPr>
      <w:tblGrid>
        <w:gridCol w:w="3681"/>
        <w:gridCol w:w="1021"/>
        <w:gridCol w:w="1021"/>
        <w:gridCol w:w="1021"/>
        <w:gridCol w:w="1021"/>
        <w:gridCol w:w="1021"/>
        <w:gridCol w:w="1021"/>
        <w:gridCol w:w="1021"/>
        <w:gridCol w:w="1021"/>
        <w:gridCol w:w="1021"/>
        <w:gridCol w:w="1022"/>
      </w:tblGrid>
      <w:tr w:rsidR="00B51828" w14:paraId="07FDDCFD" w14:textId="77777777" w:rsidTr="00BB6067">
        <w:trPr>
          <w:tblHeader/>
          <w:jc w:val="center"/>
        </w:trPr>
        <w:tc>
          <w:tcPr>
            <w:tcW w:w="3681" w:type="dxa"/>
          </w:tcPr>
          <w:p w14:paraId="004AD4CF" w14:textId="77777777" w:rsidR="00B51828" w:rsidRPr="00A26BFC" w:rsidRDefault="00B51828" w:rsidP="002101D2">
            <w:pPr>
              <w:spacing w:before="20" w:after="20"/>
              <w:ind w:left="0"/>
              <w:rPr>
                <w:rFonts w:ascii="Arial Narrow" w:hAnsi="Arial Narrow"/>
                <w:b/>
                <w:sz w:val="20"/>
                <w:szCs w:val="20"/>
              </w:rPr>
            </w:pPr>
            <w:r>
              <w:rPr>
                <w:rFonts w:ascii="Arial Narrow" w:hAnsi="Arial Narrow"/>
                <w:b/>
                <w:sz w:val="20"/>
                <w:szCs w:val="20"/>
              </w:rPr>
              <w:t>Outcome</w:t>
            </w:r>
          </w:p>
        </w:tc>
        <w:tc>
          <w:tcPr>
            <w:tcW w:w="1021" w:type="dxa"/>
          </w:tcPr>
          <w:p w14:paraId="51D2C272"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Arbiser 2001</w:t>
            </w:r>
          </w:p>
        </w:tc>
        <w:tc>
          <w:tcPr>
            <w:tcW w:w="1021" w:type="dxa"/>
          </w:tcPr>
          <w:p w14:paraId="1D7A6091"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Cook 2001</w:t>
            </w:r>
          </w:p>
        </w:tc>
        <w:tc>
          <w:tcPr>
            <w:tcW w:w="1021" w:type="dxa"/>
          </w:tcPr>
          <w:p w14:paraId="7AD751AB"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Gaudi 2013</w:t>
            </w:r>
          </w:p>
        </w:tc>
        <w:tc>
          <w:tcPr>
            <w:tcW w:w="1021" w:type="dxa"/>
          </w:tcPr>
          <w:p w14:paraId="316519C3" w14:textId="77777777" w:rsidR="00B51828"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Hsu</w:t>
            </w:r>
          </w:p>
          <w:p w14:paraId="0E9A256F"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2010</w:t>
            </w:r>
          </w:p>
        </w:tc>
        <w:tc>
          <w:tcPr>
            <w:tcW w:w="1021" w:type="dxa"/>
          </w:tcPr>
          <w:p w14:paraId="4A9AD3C3"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Hutton Klein 2010</w:t>
            </w:r>
          </w:p>
        </w:tc>
        <w:tc>
          <w:tcPr>
            <w:tcW w:w="1021" w:type="dxa"/>
          </w:tcPr>
          <w:p w14:paraId="30BAC1C6"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Jones 2010</w:t>
            </w:r>
          </w:p>
        </w:tc>
        <w:tc>
          <w:tcPr>
            <w:tcW w:w="1021" w:type="dxa"/>
          </w:tcPr>
          <w:p w14:paraId="07A88BEB"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Ray-Coquard 2012</w:t>
            </w:r>
          </w:p>
        </w:tc>
        <w:tc>
          <w:tcPr>
            <w:tcW w:w="1021" w:type="dxa"/>
          </w:tcPr>
          <w:p w14:paraId="680C78AE"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Tavora 2009</w:t>
            </w:r>
          </w:p>
        </w:tc>
        <w:tc>
          <w:tcPr>
            <w:tcW w:w="1021" w:type="dxa"/>
          </w:tcPr>
          <w:p w14:paraId="417EA1E6"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Van Dijk 2008</w:t>
            </w:r>
          </w:p>
        </w:tc>
        <w:tc>
          <w:tcPr>
            <w:tcW w:w="1022" w:type="dxa"/>
          </w:tcPr>
          <w:p w14:paraId="3215C39B" w14:textId="77777777" w:rsidR="00B51828" w:rsidRPr="00A26BFC" w:rsidRDefault="00B51828" w:rsidP="002101D2">
            <w:pPr>
              <w:spacing w:before="20" w:after="20"/>
              <w:ind w:left="0"/>
              <w:jc w:val="center"/>
              <w:rPr>
                <w:rFonts w:ascii="Arial Narrow" w:hAnsi="Arial Narrow"/>
                <w:b/>
                <w:sz w:val="20"/>
                <w:szCs w:val="20"/>
              </w:rPr>
            </w:pPr>
            <w:r w:rsidRPr="00A26BFC">
              <w:rPr>
                <w:rFonts w:ascii="Arial Narrow" w:hAnsi="Arial Narrow"/>
                <w:b/>
                <w:sz w:val="20"/>
                <w:szCs w:val="20"/>
              </w:rPr>
              <w:t>Veenhuizen 1997</w:t>
            </w:r>
          </w:p>
        </w:tc>
      </w:tr>
      <w:tr w:rsidR="00B51828" w14:paraId="04E83FD7" w14:textId="77777777" w:rsidTr="002101D2">
        <w:trPr>
          <w:trHeight w:hRule="exact" w:val="284"/>
          <w:jc w:val="center"/>
        </w:trPr>
        <w:tc>
          <w:tcPr>
            <w:tcW w:w="3681" w:type="dxa"/>
            <w:shd w:val="clear" w:color="auto" w:fill="D0CECE" w:themeFill="background2" w:themeFillShade="E6"/>
          </w:tcPr>
          <w:p w14:paraId="31139AEC" w14:textId="77777777" w:rsidR="00B51828" w:rsidRPr="00A26BFC" w:rsidRDefault="00B51828" w:rsidP="002101D2">
            <w:pPr>
              <w:spacing w:before="20" w:after="20"/>
              <w:ind w:left="0"/>
              <w:rPr>
                <w:rFonts w:ascii="Arial Narrow" w:hAnsi="Arial Narrow"/>
                <w:b/>
                <w:sz w:val="20"/>
                <w:szCs w:val="20"/>
              </w:rPr>
            </w:pPr>
            <w:r w:rsidRPr="00A26BFC">
              <w:rPr>
                <w:rFonts w:ascii="Arial Narrow" w:hAnsi="Arial Narrow"/>
                <w:b/>
                <w:sz w:val="20"/>
                <w:szCs w:val="20"/>
              </w:rPr>
              <w:t>Safety</w:t>
            </w:r>
          </w:p>
        </w:tc>
        <w:tc>
          <w:tcPr>
            <w:tcW w:w="1021" w:type="dxa"/>
            <w:shd w:val="clear" w:color="auto" w:fill="D0CECE" w:themeFill="background2" w:themeFillShade="E6"/>
            <w:vAlign w:val="center"/>
          </w:tcPr>
          <w:p w14:paraId="582B0E60"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1" w:type="dxa"/>
            <w:shd w:val="clear" w:color="auto" w:fill="D0CECE" w:themeFill="background2" w:themeFillShade="E6"/>
            <w:vAlign w:val="center"/>
          </w:tcPr>
          <w:p w14:paraId="06D34D06"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1" w:type="dxa"/>
            <w:shd w:val="clear" w:color="auto" w:fill="D0CECE" w:themeFill="background2" w:themeFillShade="E6"/>
            <w:vAlign w:val="center"/>
          </w:tcPr>
          <w:p w14:paraId="733E91FA"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1" w:type="dxa"/>
            <w:shd w:val="clear" w:color="auto" w:fill="D0CECE" w:themeFill="background2" w:themeFillShade="E6"/>
            <w:vAlign w:val="center"/>
          </w:tcPr>
          <w:p w14:paraId="427329DE"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1" w:type="dxa"/>
            <w:shd w:val="clear" w:color="auto" w:fill="D0CECE" w:themeFill="background2" w:themeFillShade="E6"/>
            <w:vAlign w:val="center"/>
          </w:tcPr>
          <w:p w14:paraId="571A01D7"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1" w:type="dxa"/>
            <w:shd w:val="clear" w:color="auto" w:fill="D0CECE" w:themeFill="background2" w:themeFillShade="E6"/>
            <w:vAlign w:val="center"/>
          </w:tcPr>
          <w:p w14:paraId="1BC566EE"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1" w:type="dxa"/>
            <w:shd w:val="clear" w:color="auto" w:fill="D0CECE" w:themeFill="background2" w:themeFillShade="E6"/>
            <w:vAlign w:val="center"/>
          </w:tcPr>
          <w:p w14:paraId="7F0A796C"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1" w:type="dxa"/>
            <w:shd w:val="clear" w:color="auto" w:fill="D0CECE" w:themeFill="background2" w:themeFillShade="E6"/>
            <w:vAlign w:val="center"/>
          </w:tcPr>
          <w:p w14:paraId="4FE11094"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1" w:type="dxa"/>
            <w:shd w:val="clear" w:color="auto" w:fill="D0CECE" w:themeFill="background2" w:themeFillShade="E6"/>
            <w:vAlign w:val="center"/>
          </w:tcPr>
          <w:p w14:paraId="0845F0C9"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c>
          <w:tcPr>
            <w:tcW w:w="1022" w:type="dxa"/>
            <w:shd w:val="clear" w:color="auto" w:fill="D0CECE" w:themeFill="background2" w:themeFillShade="E6"/>
            <w:vAlign w:val="center"/>
          </w:tcPr>
          <w:p w14:paraId="7E32FB86" w14:textId="77777777" w:rsidR="00B51828" w:rsidRPr="00CC317D" w:rsidRDefault="00B51828" w:rsidP="002101D2">
            <w:pPr>
              <w:spacing w:before="20" w:after="20"/>
              <w:ind w:left="0"/>
              <w:jc w:val="center"/>
              <w:rPr>
                <w:rFonts w:ascii="Arial Narrow" w:hAnsi="Arial Narrow"/>
                <w:sz w:val="20"/>
                <w:szCs w:val="20"/>
              </w:rPr>
            </w:pPr>
            <w:r w:rsidRPr="00CC317D">
              <w:rPr>
                <w:rFonts w:ascii="Arial Narrow" w:hAnsi="Arial Narrow"/>
                <w:sz w:val="20"/>
                <w:szCs w:val="20"/>
              </w:rPr>
              <w:t>-</w:t>
            </w:r>
          </w:p>
        </w:tc>
      </w:tr>
      <w:tr w:rsidR="00B51828" w14:paraId="176F8662" w14:textId="77777777" w:rsidTr="002101D2">
        <w:trPr>
          <w:jc w:val="center"/>
        </w:trPr>
        <w:tc>
          <w:tcPr>
            <w:tcW w:w="3681" w:type="dxa"/>
          </w:tcPr>
          <w:p w14:paraId="5CE5CDD5" w14:textId="77777777" w:rsidR="00B51828" w:rsidRPr="00E15DBB" w:rsidRDefault="00B51828" w:rsidP="002101D2">
            <w:pPr>
              <w:spacing w:before="20" w:after="20"/>
              <w:ind w:left="0"/>
              <w:rPr>
                <w:rFonts w:ascii="Arial Narrow" w:hAnsi="Arial Narrow"/>
                <w:sz w:val="20"/>
                <w:szCs w:val="20"/>
              </w:rPr>
            </w:pPr>
            <w:r w:rsidRPr="00E15DBB">
              <w:rPr>
                <w:rFonts w:ascii="Arial Narrow" w:hAnsi="Arial Narrow"/>
                <w:sz w:val="20"/>
                <w:szCs w:val="20"/>
              </w:rPr>
              <w:t>Incorrect diagnosis/interpretation</w:t>
            </w:r>
          </w:p>
        </w:tc>
        <w:tc>
          <w:tcPr>
            <w:tcW w:w="1021" w:type="dxa"/>
            <w:vAlign w:val="center"/>
          </w:tcPr>
          <w:p w14:paraId="77163D1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B329DF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FE28A8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0EA5F86"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7A5F6DC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3A03137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30E30C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7271B10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0EA26ED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2" w:type="dxa"/>
            <w:vAlign w:val="center"/>
          </w:tcPr>
          <w:p w14:paraId="0882A7E4"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671BE175" w14:textId="77777777" w:rsidTr="002101D2">
        <w:trPr>
          <w:jc w:val="center"/>
        </w:trPr>
        <w:tc>
          <w:tcPr>
            <w:tcW w:w="3681" w:type="dxa"/>
          </w:tcPr>
          <w:p w14:paraId="2C832C0E" w14:textId="77777777" w:rsidR="00B51828" w:rsidRPr="00E15DBB" w:rsidRDefault="00B51828" w:rsidP="002101D2">
            <w:pPr>
              <w:spacing w:before="20" w:after="20"/>
              <w:ind w:left="0"/>
              <w:rPr>
                <w:rFonts w:ascii="Arial Narrow" w:hAnsi="Arial Narrow"/>
                <w:sz w:val="20"/>
                <w:szCs w:val="20"/>
              </w:rPr>
            </w:pPr>
            <w:r w:rsidRPr="00E15DBB">
              <w:rPr>
                <w:rFonts w:ascii="Arial Narrow" w:hAnsi="Arial Narrow"/>
                <w:sz w:val="20"/>
                <w:szCs w:val="20"/>
              </w:rPr>
              <w:t>Incorrect treatment</w:t>
            </w:r>
          </w:p>
        </w:tc>
        <w:tc>
          <w:tcPr>
            <w:tcW w:w="1021" w:type="dxa"/>
            <w:vAlign w:val="center"/>
          </w:tcPr>
          <w:p w14:paraId="3F3DCF61"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149A23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0E0F9FD"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1E328DE"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2A38AD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67122ACD"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3F00EC5D"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178893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835169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2" w:type="dxa"/>
            <w:vAlign w:val="center"/>
          </w:tcPr>
          <w:p w14:paraId="17B07241"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554C3BDF" w14:textId="77777777" w:rsidTr="002101D2">
        <w:trPr>
          <w:jc w:val="center"/>
        </w:trPr>
        <w:tc>
          <w:tcPr>
            <w:tcW w:w="3681" w:type="dxa"/>
          </w:tcPr>
          <w:p w14:paraId="33A52809" w14:textId="77777777" w:rsidR="00B51828" w:rsidRPr="00E15DBB" w:rsidRDefault="00B51828" w:rsidP="002101D2">
            <w:pPr>
              <w:spacing w:before="20" w:after="20"/>
              <w:ind w:left="0"/>
              <w:rPr>
                <w:rFonts w:ascii="Arial Narrow" w:hAnsi="Arial Narrow"/>
                <w:sz w:val="20"/>
                <w:szCs w:val="20"/>
              </w:rPr>
            </w:pPr>
            <w:r w:rsidRPr="00E15DBB">
              <w:rPr>
                <w:rFonts w:ascii="Arial Narrow" w:hAnsi="Arial Narrow"/>
                <w:sz w:val="20"/>
                <w:szCs w:val="20"/>
              </w:rPr>
              <w:t>Turnaround time</w:t>
            </w:r>
            <w:r>
              <w:rPr>
                <w:rFonts w:ascii="Arial Narrow" w:hAnsi="Arial Narrow"/>
                <w:sz w:val="20"/>
                <w:szCs w:val="20"/>
              </w:rPr>
              <w:t xml:space="preserve"> (i.e. </w:t>
            </w:r>
            <w:r w:rsidRPr="00E15DBB">
              <w:rPr>
                <w:rFonts w:ascii="Arial Narrow" w:hAnsi="Arial Narrow"/>
                <w:sz w:val="20"/>
                <w:szCs w:val="20"/>
              </w:rPr>
              <w:t>delay in diagnosis</w:t>
            </w:r>
            <w:r>
              <w:rPr>
                <w:rFonts w:ascii="Arial Narrow" w:hAnsi="Arial Narrow"/>
                <w:sz w:val="20"/>
                <w:szCs w:val="20"/>
              </w:rPr>
              <w:t>)</w:t>
            </w:r>
          </w:p>
        </w:tc>
        <w:tc>
          <w:tcPr>
            <w:tcW w:w="1021" w:type="dxa"/>
            <w:vAlign w:val="center"/>
          </w:tcPr>
          <w:p w14:paraId="61FDB5A3"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D2E1C48"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4CFFEFD7"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1A0E459"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6464EA9E"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0E89A9C2"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24242B4"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305DB51"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2BB89CB"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2" w:type="dxa"/>
            <w:vAlign w:val="center"/>
          </w:tcPr>
          <w:p w14:paraId="0FA202A5"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12C94C7B" w14:textId="77777777" w:rsidTr="002101D2">
        <w:trPr>
          <w:trHeight w:hRule="exact" w:val="284"/>
          <w:jc w:val="center"/>
        </w:trPr>
        <w:tc>
          <w:tcPr>
            <w:tcW w:w="3681" w:type="dxa"/>
            <w:shd w:val="clear" w:color="auto" w:fill="D0CECE" w:themeFill="background2" w:themeFillShade="E6"/>
          </w:tcPr>
          <w:p w14:paraId="68A1C23C" w14:textId="77777777" w:rsidR="00B51828" w:rsidRPr="00CC317D" w:rsidRDefault="00B51828" w:rsidP="002101D2">
            <w:pPr>
              <w:spacing w:before="20" w:after="20"/>
              <w:ind w:left="0"/>
              <w:rPr>
                <w:rFonts w:ascii="Arial Narrow" w:hAnsi="Arial Narrow"/>
                <w:b/>
                <w:sz w:val="20"/>
                <w:szCs w:val="20"/>
              </w:rPr>
            </w:pPr>
            <w:r w:rsidRPr="00CC317D">
              <w:rPr>
                <w:rFonts w:ascii="Arial Narrow" w:hAnsi="Arial Narrow"/>
                <w:b/>
                <w:sz w:val="20"/>
                <w:szCs w:val="20"/>
              </w:rPr>
              <w:t>Diagnostic accuracy</w:t>
            </w:r>
          </w:p>
        </w:tc>
        <w:tc>
          <w:tcPr>
            <w:tcW w:w="1021" w:type="dxa"/>
            <w:shd w:val="clear" w:color="auto" w:fill="D0CECE" w:themeFill="background2" w:themeFillShade="E6"/>
            <w:vAlign w:val="center"/>
          </w:tcPr>
          <w:p w14:paraId="20A56B0A"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0508200D"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23C235CB"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6C96608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6001BBD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3D90D65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787BA543"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3A7FFD7E"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5B2C91E1"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2" w:type="dxa"/>
            <w:shd w:val="clear" w:color="auto" w:fill="D0CECE" w:themeFill="background2" w:themeFillShade="E6"/>
            <w:vAlign w:val="center"/>
          </w:tcPr>
          <w:p w14:paraId="57E54D0A"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r>
      <w:tr w:rsidR="00B51828" w14:paraId="293726D7" w14:textId="77777777" w:rsidTr="002101D2">
        <w:trPr>
          <w:jc w:val="center"/>
        </w:trPr>
        <w:tc>
          <w:tcPr>
            <w:tcW w:w="3681" w:type="dxa"/>
          </w:tcPr>
          <w:p w14:paraId="4F87C7F9" w14:textId="77777777" w:rsidR="00B51828" w:rsidRPr="00CC317D" w:rsidRDefault="00B51828" w:rsidP="002101D2">
            <w:pPr>
              <w:spacing w:before="20" w:after="20"/>
              <w:ind w:left="0"/>
              <w:rPr>
                <w:rFonts w:ascii="Arial Narrow" w:hAnsi="Arial Narrow"/>
                <w:sz w:val="20"/>
                <w:szCs w:val="20"/>
              </w:rPr>
            </w:pPr>
            <w:r w:rsidRPr="00CC317D">
              <w:rPr>
                <w:rFonts w:ascii="Arial Narrow" w:hAnsi="Arial Narrow"/>
                <w:sz w:val="20"/>
                <w:szCs w:val="20"/>
              </w:rPr>
              <w:t>Concordance/discordance</w:t>
            </w:r>
            <w:r>
              <w:rPr>
                <w:rFonts w:ascii="Arial Narrow" w:hAnsi="Arial Narrow"/>
                <w:sz w:val="20"/>
                <w:szCs w:val="20"/>
              </w:rPr>
              <w:t>/minor discrepancies</w:t>
            </w:r>
          </w:p>
        </w:tc>
        <w:tc>
          <w:tcPr>
            <w:tcW w:w="1021" w:type="dxa"/>
            <w:vAlign w:val="center"/>
          </w:tcPr>
          <w:p w14:paraId="270F8BA0"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1A6C4FB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483C04F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41974282"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62DF59B4"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2D813E7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5246EAB2"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05A68BBB"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614B28F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2" w:type="dxa"/>
            <w:vAlign w:val="center"/>
          </w:tcPr>
          <w:p w14:paraId="1B6FC076"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r>
      <w:tr w:rsidR="00B51828" w14:paraId="6193502B" w14:textId="77777777" w:rsidTr="002101D2">
        <w:trPr>
          <w:trHeight w:hRule="exact" w:val="284"/>
          <w:jc w:val="center"/>
        </w:trPr>
        <w:tc>
          <w:tcPr>
            <w:tcW w:w="3681" w:type="dxa"/>
            <w:shd w:val="clear" w:color="auto" w:fill="D0CECE" w:themeFill="background2" w:themeFillShade="E6"/>
          </w:tcPr>
          <w:p w14:paraId="43D9D3E2" w14:textId="77777777" w:rsidR="00B51828" w:rsidRPr="00CC317D" w:rsidRDefault="00B51828" w:rsidP="002101D2">
            <w:pPr>
              <w:spacing w:before="20" w:after="20"/>
              <w:ind w:left="0"/>
              <w:rPr>
                <w:rFonts w:ascii="Arial Narrow" w:hAnsi="Arial Narrow"/>
                <w:b/>
                <w:sz w:val="20"/>
                <w:szCs w:val="20"/>
              </w:rPr>
            </w:pPr>
            <w:r>
              <w:rPr>
                <w:rFonts w:ascii="Arial Narrow" w:hAnsi="Arial Narrow"/>
                <w:b/>
                <w:sz w:val="20"/>
                <w:szCs w:val="20"/>
              </w:rPr>
              <w:t>Change in management</w:t>
            </w:r>
          </w:p>
        </w:tc>
        <w:tc>
          <w:tcPr>
            <w:tcW w:w="1021" w:type="dxa"/>
            <w:shd w:val="clear" w:color="auto" w:fill="D0CECE" w:themeFill="background2" w:themeFillShade="E6"/>
            <w:vAlign w:val="center"/>
          </w:tcPr>
          <w:p w14:paraId="16A24D6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6B80737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39DB3AA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2A670EF0"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4EB4CBFA"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090217E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305BC9D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4C5B1D8A"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5E890834"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2" w:type="dxa"/>
            <w:shd w:val="clear" w:color="auto" w:fill="D0CECE" w:themeFill="background2" w:themeFillShade="E6"/>
            <w:vAlign w:val="center"/>
          </w:tcPr>
          <w:p w14:paraId="4A0CA142"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r>
      <w:tr w:rsidR="00B51828" w14:paraId="3A8BE79D" w14:textId="77777777" w:rsidTr="002101D2">
        <w:trPr>
          <w:jc w:val="center"/>
        </w:trPr>
        <w:tc>
          <w:tcPr>
            <w:tcW w:w="3681" w:type="dxa"/>
          </w:tcPr>
          <w:p w14:paraId="6B7770BD" w14:textId="77777777" w:rsidR="00B51828" w:rsidRPr="00CC317D" w:rsidRDefault="00B51828" w:rsidP="002101D2">
            <w:pPr>
              <w:spacing w:before="20" w:after="20"/>
              <w:ind w:left="0"/>
              <w:rPr>
                <w:rFonts w:ascii="Arial Narrow" w:hAnsi="Arial Narrow"/>
                <w:sz w:val="20"/>
                <w:szCs w:val="20"/>
              </w:rPr>
            </w:pPr>
            <w:r>
              <w:rPr>
                <w:rFonts w:ascii="Arial Narrow" w:hAnsi="Arial Narrow"/>
                <w:sz w:val="20"/>
                <w:szCs w:val="20"/>
              </w:rPr>
              <w:t>Rate of clinically relevant revisions of initial pathology opinion (major discrepancy)</w:t>
            </w:r>
          </w:p>
        </w:tc>
        <w:tc>
          <w:tcPr>
            <w:tcW w:w="1021" w:type="dxa"/>
            <w:vAlign w:val="center"/>
          </w:tcPr>
          <w:p w14:paraId="602CEAC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3638F39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41E6EE3B"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534E349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7A452314"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95FB15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77247422"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4C882866"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1" w:type="dxa"/>
            <w:vAlign w:val="center"/>
          </w:tcPr>
          <w:p w14:paraId="1E82A833"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1022" w:type="dxa"/>
            <w:vAlign w:val="center"/>
          </w:tcPr>
          <w:p w14:paraId="157B6986"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r>
      <w:tr w:rsidR="00B51828" w14:paraId="2D57240A" w14:textId="77777777" w:rsidTr="002101D2">
        <w:trPr>
          <w:jc w:val="center"/>
        </w:trPr>
        <w:tc>
          <w:tcPr>
            <w:tcW w:w="3681" w:type="dxa"/>
          </w:tcPr>
          <w:p w14:paraId="244132C6" w14:textId="77777777" w:rsidR="00B51828" w:rsidRPr="00CC317D" w:rsidRDefault="00B51828" w:rsidP="002101D2">
            <w:pPr>
              <w:spacing w:before="20" w:after="20"/>
              <w:ind w:left="0"/>
              <w:rPr>
                <w:rFonts w:ascii="Arial Narrow" w:hAnsi="Arial Narrow"/>
                <w:sz w:val="20"/>
                <w:szCs w:val="20"/>
              </w:rPr>
            </w:pPr>
            <w:r>
              <w:rPr>
                <w:rFonts w:ascii="Arial Narrow" w:hAnsi="Arial Narrow"/>
                <w:sz w:val="20"/>
                <w:szCs w:val="20"/>
              </w:rPr>
              <w:t>Change in clinical management (e.g. biopsy rates, additional test ordering, change in treatment options)</w:t>
            </w:r>
          </w:p>
        </w:tc>
        <w:tc>
          <w:tcPr>
            <w:tcW w:w="1021" w:type="dxa"/>
            <w:vAlign w:val="center"/>
          </w:tcPr>
          <w:p w14:paraId="7445AD5E"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3018EE61"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77DC333"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3EB64BB3"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7282F980"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5AA9DC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D73EC4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033C4BD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3B364E1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2" w:type="dxa"/>
            <w:vAlign w:val="center"/>
          </w:tcPr>
          <w:p w14:paraId="2D5EEA81"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5735A13C" w14:textId="77777777" w:rsidTr="002101D2">
        <w:trPr>
          <w:trHeight w:hRule="exact" w:val="284"/>
          <w:jc w:val="center"/>
        </w:trPr>
        <w:tc>
          <w:tcPr>
            <w:tcW w:w="3681" w:type="dxa"/>
            <w:shd w:val="clear" w:color="auto" w:fill="D0CECE" w:themeFill="background2" w:themeFillShade="E6"/>
          </w:tcPr>
          <w:p w14:paraId="030E70EC" w14:textId="77777777" w:rsidR="00B51828" w:rsidRPr="00CC317D" w:rsidRDefault="00B51828" w:rsidP="002101D2">
            <w:pPr>
              <w:spacing w:before="20" w:after="20"/>
              <w:ind w:left="0"/>
              <w:rPr>
                <w:rFonts w:ascii="Arial Narrow" w:hAnsi="Arial Narrow"/>
                <w:b/>
                <w:sz w:val="20"/>
                <w:szCs w:val="20"/>
              </w:rPr>
            </w:pPr>
            <w:r>
              <w:rPr>
                <w:rFonts w:ascii="Arial Narrow" w:hAnsi="Arial Narrow"/>
                <w:b/>
                <w:sz w:val="20"/>
                <w:szCs w:val="20"/>
              </w:rPr>
              <w:t>Effectiveness</w:t>
            </w:r>
          </w:p>
        </w:tc>
        <w:tc>
          <w:tcPr>
            <w:tcW w:w="1021" w:type="dxa"/>
            <w:shd w:val="clear" w:color="auto" w:fill="D0CECE" w:themeFill="background2" w:themeFillShade="E6"/>
            <w:vAlign w:val="center"/>
          </w:tcPr>
          <w:p w14:paraId="5C0EC6AE"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3DE8DCDA"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296D674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652088C0"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2C2B2C2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0F49BE6B"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1B1AD814"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6FE03C7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087DCE0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2" w:type="dxa"/>
            <w:shd w:val="clear" w:color="auto" w:fill="D0CECE" w:themeFill="background2" w:themeFillShade="E6"/>
            <w:vAlign w:val="center"/>
          </w:tcPr>
          <w:p w14:paraId="5D566A3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r>
      <w:tr w:rsidR="00B51828" w14:paraId="4A0F9EEA" w14:textId="77777777" w:rsidTr="002101D2">
        <w:trPr>
          <w:jc w:val="center"/>
        </w:trPr>
        <w:tc>
          <w:tcPr>
            <w:tcW w:w="3681" w:type="dxa"/>
          </w:tcPr>
          <w:p w14:paraId="3F777228" w14:textId="77777777" w:rsidR="00B51828" w:rsidRPr="00CC317D" w:rsidRDefault="00B51828" w:rsidP="002101D2">
            <w:pPr>
              <w:spacing w:before="20" w:after="20"/>
              <w:ind w:left="0"/>
              <w:rPr>
                <w:rFonts w:ascii="Arial Narrow" w:hAnsi="Arial Narrow"/>
                <w:sz w:val="20"/>
                <w:szCs w:val="20"/>
              </w:rPr>
            </w:pPr>
            <w:r>
              <w:rPr>
                <w:rFonts w:ascii="Arial Narrow" w:hAnsi="Arial Narrow"/>
                <w:sz w:val="20"/>
                <w:szCs w:val="20"/>
              </w:rPr>
              <w:t>Morbidity</w:t>
            </w:r>
          </w:p>
        </w:tc>
        <w:tc>
          <w:tcPr>
            <w:tcW w:w="1021" w:type="dxa"/>
            <w:vAlign w:val="center"/>
          </w:tcPr>
          <w:p w14:paraId="64634FEE"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0FE50C6"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76DAAA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539742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829FD0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DDD7906"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4788F7B"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3025334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E2D2394"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2" w:type="dxa"/>
            <w:vAlign w:val="center"/>
          </w:tcPr>
          <w:p w14:paraId="44BAB71D"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5A3AE925" w14:textId="77777777" w:rsidTr="002101D2">
        <w:trPr>
          <w:jc w:val="center"/>
        </w:trPr>
        <w:tc>
          <w:tcPr>
            <w:tcW w:w="3681" w:type="dxa"/>
          </w:tcPr>
          <w:p w14:paraId="54504681" w14:textId="77777777" w:rsidR="00B51828" w:rsidRPr="00CC317D" w:rsidRDefault="00B51828" w:rsidP="002101D2">
            <w:pPr>
              <w:spacing w:before="20" w:after="20"/>
              <w:ind w:left="0"/>
              <w:rPr>
                <w:rFonts w:ascii="Arial Narrow" w:hAnsi="Arial Narrow"/>
                <w:sz w:val="20"/>
                <w:szCs w:val="20"/>
              </w:rPr>
            </w:pPr>
            <w:r>
              <w:rPr>
                <w:rFonts w:ascii="Arial Narrow" w:hAnsi="Arial Narrow"/>
                <w:sz w:val="20"/>
                <w:szCs w:val="20"/>
              </w:rPr>
              <w:t>Mortality</w:t>
            </w:r>
          </w:p>
        </w:tc>
        <w:tc>
          <w:tcPr>
            <w:tcW w:w="1021" w:type="dxa"/>
            <w:vAlign w:val="center"/>
          </w:tcPr>
          <w:p w14:paraId="26ADB85A"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7186275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2A01BDB"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359861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6C79D88D"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9757BE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B1F2F4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0666636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1005CBB"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2" w:type="dxa"/>
            <w:vAlign w:val="center"/>
          </w:tcPr>
          <w:p w14:paraId="25F24482"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2A20A2B3" w14:textId="77777777" w:rsidTr="002101D2">
        <w:trPr>
          <w:jc w:val="center"/>
        </w:trPr>
        <w:tc>
          <w:tcPr>
            <w:tcW w:w="3681" w:type="dxa"/>
          </w:tcPr>
          <w:p w14:paraId="210F19F1" w14:textId="77777777" w:rsidR="00B51828" w:rsidRPr="00CC317D" w:rsidRDefault="00B51828" w:rsidP="002101D2">
            <w:pPr>
              <w:spacing w:before="20" w:after="20"/>
              <w:ind w:left="0"/>
              <w:rPr>
                <w:rFonts w:ascii="Arial Narrow" w:hAnsi="Arial Narrow"/>
                <w:sz w:val="20"/>
                <w:szCs w:val="20"/>
              </w:rPr>
            </w:pPr>
            <w:r>
              <w:rPr>
                <w:rFonts w:ascii="Arial Narrow" w:hAnsi="Arial Narrow"/>
                <w:sz w:val="20"/>
                <w:szCs w:val="20"/>
              </w:rPr>
              <w:t>Quality of life</w:t>
            </w:r>
          </w:p>
        </w:tc>
        <w:tc>
          <w:tcPr>
            <w:tcW w:w="1021" w:type="dxa"/>
            <w:vAlign w:val="center"/>
          </w:tcPr>
          <w:p w14:paraId="5B6302CC"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006F3A8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6262962"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410E7F9A"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64420492"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3B635C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039B384"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0A8867A"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C3BC0A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2" w:type="dxa"/>
            <w:vAlign w:val="center"/>
          </w:tcPr>
          <w:p w14:paraId="0B5A815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09B7BB12" w14:textId="77777777" w:rsidTr="002101D2">
        <w:trPr>
          <w:trHeight w:hRule="exact" w:val="284"/>
          <w:jc w:val="center"/>
        </w:trPr>
        <w:tc>
          <w:tcPr>
            <w:tcW w:w="3681" w:type="dxa"/>
            <w:shd w:val="clear" w:color="auto" w:fill="D0CECE" w:themeFill="background2" w:themeFillShade="E6"/>
          </w:tcPr>
          <w:p w14:paraId="410E7A6E" w14:textId="77777777" w:rsidR="00B51828" w:rsidRPr="00CC317D" w:rsidRDefault="00B51828" w:rsidP="002101D2">
            <w:pPr>
              <w:spacing w:before="20" w:after="20"/>
              <w:ind w:left="0"/>
              <w:rPr>
                <w:rFonts w:ascii="Arial Narrow" w:hAnsi="Arial Narrow"/>
                <w:b/>
                <w:sz w:val="20"/>
                <w:szCs w:val="20"/>
              </w:rPr>
            </w:pPr>
            <w:r w:rsidRPr="00CC317D">
              <w:rPr>
                <w:rFonts w:ascii="Arial Narrow" w:hAnsi="Arial Narrow"/>
                <w:b/>
                <w:sz w:val="20"/>
                <w:szCs w:val="20"/>
              </w:rPr>
              <w:t>Cost-effectiveness</w:t>
            </w:r>
          </w:p>
        </w:tc>
        <w:tc>
          <w:tcPr>
            <w:tcW w:w="1021" w:type="dxa"/>
            <w:shd w:val="clear" w:color="auto" w:fill="D0CECE" w:themeFill="background2" w:themeFillShade="E6"/>
            <w:vAlign w:val="center"/>
          </w:tcPr>
          <w:p w14:paraId="637B99C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17C7AD5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62514C46"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63E814A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596E760F"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7DB3FA4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7C959E61"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12E9E3C1"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1" w:type="dxa"/>
            <w:shd w:val="clear" w:color="auto" w:fill="D0CECE" w:themeFill="background2" w:themeFillShade="E6"/>
            <w:vAlign w:val="center"/>
          </w:tcPr>
          <w:p w14:paraId="31D327F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1022" w:type="dxa"/>
            <w:shd w:val="clear" w:color="auto" w:fill="D0CECE" w:themeFill="background2" w:themeFillShade="E6"/>
            <w:vAlign w:val="center"/>
          </w:tcPr>
          <w:p w14:paraId="0CB1528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r>
      <w:tr w:rsidR="00B51828" w14:paraId="1DAC5FE7" w14:textId="77777777" w:rsidTr="002101D2">
        <w:trPr>
          <w:jc w:val="center"/>
        </w:trPr>
        <w:tc>
          <w:tcPr>
            <w:tcW w:w="3681" w:type="dxa"/>
          </w:tcPr>
          <w:p w14:paraId="68905397" w14:textId="77777777" w:rsidR="00B51828" w:rsidRPr="00CC317D" w:rsidRDefault="00B51828" w:rsidP="002101D2">
            <w:pPr>
              <w:spacing w:before="20" w:after="20"/>
              <w:ind w:left="0"/>
              <w:rPr>
                <w:rFonts w:ascii="Arial Narrow" w:hAnsi="Arial Narrow"/>
                <w:sz w:val="20"/>
                <w:szCs w:val="20"/>
              </w:rPr>
            </w:pPr>
            <w:r>
              <w:rPr>
                <w:rFonts w:ascii="Arial Narrow" w:hAnsi="Arial Narrow"/>
                <w:sz w:val="20"/>
                <w:szCs w:val="20"/>
              </w:rPr>
              <w:t>Cost per clinically relevant change in diagnosis/interpretation</w:t>
            </w:r>
          </w:p>
        </w:tc>
        <w:tc>
          <w:tcPr>
            <w:tcW w:w="1021" w:type="dxa"/>
            <w:vAlign w:val="center"/>
          </w:tcPr>
          <w:p w14:paraId="03E3AE96"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0AD6517"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270C10D4"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4EE56F5"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68AA27D"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5F8852B3"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0BD98D33"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340A8DC8"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1" w:type="dxa"/>
            <w:vAlign w:val="center"/>
          </w:tcPr>
          <w:p w14:paraId="13EE0A99"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1022" w:type="dxa"/>
            <w:vAlign w:val="center"/>
          </w:tcPr>
          <w:p w14:paraId="2E195A5D" w14:textId="77777777" w:rsidR="00B51828" w:rsidRPr="00CC317D"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bl>
    <w:p w14:paraId="78E7EAA5" w14:textId="77777777" w:rsidR="00B51828" w:rsidRDefault="00B51828" w:rsidP="002101D2">
      <w:pPr>
        <w:sectPr w:rsidR="00B51828" w:rsidSect="002101D2">
          <w:footerReference w:type="default" r:id="rId23"/>
          <w:pgSz w:w="16838" w:h="11906" w:orient="landscape" w:code="9"/>
          <w:pgMar w:top="1440" w:right="1440" w:bottom="1440" w:left="1440" w:header="680" w:footer="1021" w:gutter="0"/>
          <w:cols w:space="708"/>
          <w:docGrid w:linePitch="360"/>
        </w:sectPr>
      </w:pPr>
    </w:p>
    <w:p w14:paraId="7421B1F3" w14:textId="77777777" w:rsidR="00B51828" w:rsidRDefault="00B51828" w:rsidP="002101D2">
      <w:pPr>
        <w:pStyle w:val="Caption"/>
      </w:pPr>
      <w:bookmarkStart w:id="132" w:name="_Ref395169450"/>
      <w:bookmarkStart w:id="133" w:name="_Ref395301761"/>
      <w:bookmarkStart w:id="134" w:name="_Toc396211742"/>
      <w:r>
        <w:lastRenderedPageBreak/>
        <w:t xml:space="preserve">Table </w:t>
      </w:r>
      <w:fldSimple w:instr=" STYLEREF 2 \s ">
        <w:r w:rsidR="0044620B">
          <w:rPr>
            <w:noProof/>
          </w:rPr>
          <w:t>B.5</w:t>
        </w:r>
      </w:fldSimple>
      <w:r>
        <w:noBreakHyphen/>
      </w:r>
      <w:fldSimple w:instr=" SEQ Table \* ARABIC \s 2 ">
        <w:r w:rsidR="0044620B">
          <w:rPr>
            <w:noProof/>
          </w:rPr>
          <w:t>2</w:t>
        </w:r>
      </w:fldSimple>
      <w:bookmarkEnd w:id="132"/>
      <w:bookmarkEnd w:id="133"/>
      <w:r>
        <w:rPr>
          <w:noProof/>
        </w:rPr>
        <w:tab/>
        <w:t xml:space="preserve">Matrix showing outcomes specified in the PPICO criteria that were reported in the </w:t>
      </w:r>
      <w:r>
        <w:rPr>
          <w:i/>
          <w:noProof/>
        </w:rPr>
        <w:t xml:space="preserve">Scenario 2 </w:t>
      </w:r>
      <w:r>
        <w:rPr>
          <w:noProof/>
        </w:rPr>
        <w:t>studies</w:t>
      </w:r>
      <w:bookmarkEnd w:id="134"/>
    </w:p>
    <w:tbl>
      <w:tblPr>
        <w:tblStyle w:val="TableGrid"/>
        <w:tblW w:w="4745" w:type="pct"/>
        <w:tblInd w:w="704" w:type="dxa"/>
        <w:tblCellMar>
          <w:left w:w="57" w:type="dxa"/>
          <w:right w:w="57" w:type="dxa"/>
        </w:tblCellMar>
        <w:tblLook w:val="04A0" w:firstRow="1" w:lastRow="0" w:firstColumn="1" w:lastColumn="0" w:noHBand="0" w:noVBand="1"/>
        <w:tblCaption w:val="Matrix showing outcomes that were reported in the Scenario 2 studies"/>
        <w:tblDescription w:val="Matrix showing outcomes specified in the PPICO criteria that were reported in the Scenario 2 studies"/>
      </w:tblPr>
      <w:tblGrid>
        <w:gridCol w:w="3547"/>
        <w:gridCol w:w="1026"/>
        <w:gridCol w:w="1026"/>
        <w:gridCol w:w="1025"/>
        <w:gridCol w:w="1025"/>
        <w:gridCol w:w="1025"/>
      </w:tblGrid>
      <w:tr w:rsidR="00B51828" w:rsidRPr="00042ED0" w14:paraId="31864C33" w14:textId="77777777" w:rsidTr="002101D2">
        <w:trPr>
          <w:tblHeader/>
        </w:trPr>
        <w:tc>
          <w:tcPr>
            <w:tcW w:w="2044" w:type="pct"/>
          </w:tcPr>
          <w:p w14:paraId="4BB4BAC7" w14:textId="77777777" w:rsidR="00B51828" w:rsidRPr="00042ED0" w:rsidRDefault="00B51828" w:rsidP="002101D2">
            <w:pPr>
              <w:spacing w:before="20" w:after="20"/>
              <w:ind w:left="0"/>
              <w:rPr>
                <w:rFonts w:ascii="Arial Narrow" w:hAnsi="Arial Narrow"/>
                <w:b/>
                <w:sz w:val="20"/>
                <w:szCs w:val="20"/>
              </w:rPr>
            </w:pPr>
            <w:r>
              <w:rPr>
                <w:rFonts w:ascii="Arial Narrow" w:hAnsi="Arial Narrow"/>
                <w:b/>
                <w:sz w:val="20"/>
                <w:szCs w:val="20"/>
              </w:rPr>
              <w:t>Outcome</w:t>
            </w:r>
          </w:p>
        </w:tc>
        <w:tc>
          <w:tcPr>
            <w:tcW w:w="591" w:type="pct"/>
          </w:tcPr>
          <w:p w14:paraId="6F6E35BD" w14:textId="77777777" w:rsidR="00B51828" w:rsidRDefault="00B51828" w:rsidP="002101D2">
            <w:pPr>
              <w:spacing w:before="20" w:after="20"/>
              <w:ind w:left="0"/>
              <w:jc w:val="center"/>
              <w:rPr>
                <w:rFonts w:ascii="Arial Narrow" w:hAnsi="Arial Narrow"/>
                <w:b/>
                <w:sz w:val="20"/>
                <w:szCs w:val="20"/>
              </w:rPr>
            </w:pPr>
            <w:r>
              <w:rPr>
                <w:rFonts w:ascii="Arial Narrow" w:hAnsi="Arial Narrow"/>
                <w:b/>
                <w:sz w:val="20"/>
                <w:szCs w:val="20"/>
              </w:rPr>
              <w:t>Ahmed</w:t>
            </w:r>
          </w:p>
          <w:p w14:paraId="72107E81" w14:textId="77777777" w:rsidR="00B51828" w:rsidRPr="00042ED0" w:rsidRDefault="00B51828" w:rsidP="002101D2">
            <w:pPr>
              <w:spacing w:before="20" w:after="20"/>
              <w:ind w:left="0"/>
              <w:jc w:val="center"/>
              <w:rPr>
                <w:rFonts w:ascii="Arial Narrow" w:hAnsi="Arial Narrow"/>
                <w:b/>
                <w:sz w:val="20"/>
                <w:szCs w:val="20"/>
              </w:rPr>
            </w:pPr>
            <w:r>
              <w:rPr>
                <w:rFonts w:ascii="Arial Narrow" w:hAnsi="Arial Narrow"/>
                <w:b/>
                <w:sz w:val="20"/>
                <w:szCs w:val="20"/>
              </w:rPr>
              <w:t>2004</w:t>
            </w:r>
          </w:p>
        </w:tc>
        <w:tc>
          <w:tcPr>
            <w:tcW w:w="591" w:type="pct"/>
            <w:tcBorders>
              <w:left w:val="nil"/>
            </w:tcBorders>
          </w:tcPr>
          <w:p w14:paraId="7DD21BF6" w14:textId="77777777" w:rsidR="00B51828" w:rsidRDefault="00B51828" w:rsidP="002101D2">
            <w:pPr>
              <w:spacing w:before="20" w:after="20"/>
              <w:ind w:left="0"/>
              <w:jc w:val="center"/>
              <w:rPr>
                <w:rFonts w:ascii="Arial Narrow" w:hAnsi="Arial Narrow"/>
                <w:b/>
                <w:sz w:val="20"/>
                <w:szCs w:val="20"/>
              </w:rPr>
            </w:pPr>
            <w:r>
              <w:rPr>
                <w:rFonts w:ascii="Arial Narrow" w:hAnsi="Arial Narrow"/>
                <w:b/>
                <w:sz w:val="20"/>
                <w:szCs w:val="20"/>
              </w:rPr>
              <w:t>Bruner</w:t>
            </w:r>
          </w:p>
          <w:p w14:paraId="0087AB60" w14:textId="77777777" w:rsidR="00B51828" w:rsidRPr="00042ED0" w:rsidRDefault="00B51828" w:rsidP="002101D2">
            <w:pPr>
              <w:spacing w:before="20" w:after="20"/>
              <w:ind w:left="0"/>
              <w:jc w:val="center"/>
              <w:rPr>
                <w:rFonts w:ascii="Arial Narrow" w:hAnsi="Arial Narrow"/>
                <w:b/>
                <w:sz w:val="20"/>
                <w:szCs w:val="20"/>
              </w:rPr>
            </w:pPr>
            <w:r>
              <w:rPr>
                <w:rFonts w:ascii="Arial Narrow" w:hAnsi="Arial Narrow"/>
                <w:b/>
                <w:sz w:val="20"/>
                <w:szCs w:val="20"/>
              </w:rPr>
              <w:t>1997</w:t>
            </w:r>
          </w:p>
        </w:tc>
        <w:tc>
          <w:tcPr>
            <w:tcW w:w="591" w:type="pct"/>
            <w:tcBorders>
              <w:left w:val="nil"/>
            </w:tcBorders>
          </w:tcPr>
          <w:p w14:paraId="6FC630DA" w14:textId="77777777" w:rsidR="00B51828" w:rsidRDefault="00B51828" w:rsidP="002101D2">
            <w:pPr>
              <w:spacing w:before="20" w:after="20"/>
              <w:ind w:left="0"/>
              <w:jc w:val="center"/>
              <w:rPr>
                <w:rFonts w:ascii="Arial Narrow" w:hAnsi="Arial Narrow"/>
                <w:b/>
                <w:sz w:val="20"/>
                <w:szCs w:val="20"/>
              </w:rPr>
            </w:pPr>
            <w:r>
              <w:rPr>
                <w:rFonts w:ascii="Arial Narrow" w:hAnsi="Arial Narrow"/>
                <w:b/>
                <w:sz w:val="20"/>
                <w:szCs w:val="20"/>
              </w:rPr>
              <w:t>Chan</w:t>
            </w:r>
          </w:p>
          <w:p w14:paraId="214D1721" w14:textId="77777777" w:rsidR="00B51828" w:rsidRPr="00042ED0" w:rsidRDefault="00B51828" w:rsidP="002101D2">
            <w:pPr>
              <w:spacing w:before="20" w:after="20"/>
              <w:ind w:left="0"/>
              <w:jc w:val="center"/>
              <w:rPr>
                <w:rFonts w:ascii="Arial Narrow" w:hAnsi="Arial Narrow"/>
                <w:b/>
                <w:sz w:val="20"/>
                <w:szCs w:val="20"/>
              </w:rPr>
            </w:pPr>
            <w:r>
              <w:rPr>
                <w:rFonts w:ascii="Arial Narrow" w:hAnsi="Arial Narrow"/>
                <w:b/>
                <w:sz w:val="20"/>
                <w:szCs w:val="20"/>
              </w:rPr>
              <w:t>2005</w:t>
            </w:r>
          </w:p>
        </w:tc>
        <w:tc>
          <w:tcPr>
            <w:tcW w:w="591" w:type="pct"/>
            <w:tcBorders>
              <w:left w:val="nil"/>
            </w:tcBorders>
          </w:tcPr>
          <w:p w14:paraId="257D1CA4" w14:textId="77777777" w:rsidR="00B51828" w:rsidRPr="00042ED0" w:rsidRDefault="00B51828" w:rsidP="002101D2">
            <w:pPr>
              <w:spacing w:before="20" w:after="20"/>
              <w:ind w:left="0"/>
              <w:jc w:val="center"/>
              <w:rPr>
                <w:rFonts w:ascii="Arial Narrow" w:hAnsi="Arial Narrow"/>
                <w:b/>
                <w:sz w:val="20"/>
                <w:szCs w:val="20"/>
              </w:rPr>
            </w:pPr>
            <w:r>
              <w:rPr>
                <w:rFonts w:ascii="Arial Narrow" w:hAnsi="Arial Narrow"/>
                <w:b/>
                <w:sz w:val="20"/>
                <w:szCs w:val="20"/>
              </w:rPr>
              <w:t>Hutton Klein 2010</w:t>
            </w:r>
          </w:p>
        </w:tc>
        <w:tc>
          <w:tcPr>
            <w:tcW w:w="591" w:type="pct"/>
            <w:tcBorders>
              <w:left w:val="nil"/>
            </w:tcBorders>
          </w:tcPr>
          <w:p w14:paraId="4BC07646" w14:textId="77777777" w:rsidR="00B51828" w:rsidRPr="00042ED0" w:rsidRDefault="00B51828" w:rsidP="002101D2">
            <w:pPr>
              <w:spacing w:before="20" w:after="20"/>
              <w:ind w:left="0"/>
              <w:jc w:val="center"/>
              <w:rPr>
                <w:rFonts w:ascii="Arial Narrow" w:hAnsi="Arial Narrow"/>
                <w:b/>
                <w:sz w:val="20"/>
                <w:szCs w:val="20"/>
              </w:rPr>
            </w:pPr>
            <w:r>
              <w:rPr>
                <w:rFonts w:ascii="Arial Narrow" w:hAnsi="Arial Narrow"/>
                <w:b/>
                <w:sz w:val="20"/>
                <w:szCs w:val="20"/>
              </w:rPr>
              <w:t>Vivino 2002</w:t>
            </w:r>
          </w:p>
        </w:tc>
      </w:tr>
      <w:tr w:rsidR="00B51828" w14:paraId="3C9F8989" w14:textId="77777777" w:rsidTr="002101D2">
        <w:tc>
          <w:tcPr>
            <w:tcW w:w="2044" w:type="pct"/>
            <w:shd w:val="clear" w:color="auto" w:fill="D0CECE" w:themeFill="background2" w:themeFillShade="E6"/>
          </w:tcPr>
          <w:p w14:paraId="0826022B" w14:textId="77777777" w:rsidR="00B51828" w:rsidRPr="005B3176" w:rsidRDefault="00B51828" w:rsidP="002101D2">
            <w:pPr>
              <w:spacing w:before="20" w:after="20"/>
              <w:ind w:left="0"/>
              <w:rPr>
                <w:rFonts w:ascii="Arial Narrow" w:hAnsi="Arial Narrow"/>
                <w:b/>
                <w:sz w:val="20"/>
                <w:szCs w:val="20"/>
              </w:rPr>
            </w:pPr>
            <w:r w:rsidRPr="00A26BFC">
              <w:rPr>
                <w:rFonts w:ascii="Arial Narrow" w:hAnsi="Arial Narrow"/>
                <w:b/>
                <w:sz w:val="20"/>
                <w:szCs w:val="20"/>
              </w:rPr>
              <w:t>Safety</w:t>
            </w:r>
          </w:p>
        </w:tc>
        <w:tc>
          <w:tcPr>
            <w:tcW w:w="591" w:type="pct"/>
            <w:shd w:val="clear" w:color="auto" w:fill="D0CECE" w:themeFill="background2" w:themeFillShade="E6"/>
          </w:tcPr>
          <w:p w14:paraId="352DE398"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c>
          <w:tcPr>
            <w:tcW w:w="591" w:type="pct"/>
            <w:tcBorders>
              <w:left w:val="nil"/>
            </w:tcBorders>
            <w:shd w:val="clear" w:color="auto" w:fill="D0CECE" w:themeFill="background2" w:themeFillShade="E6"/>
          </w:tcPr>
          <w:p w14:paraId="3C810BFF"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3DB5FDF1"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09DBEB42"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54DCFB3F"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r>
      <w:tr w:rsidR="00B51828" w14:paraId="0E811671" w14:textId="77777777" w:rsidTr="002101D2">
        <w:tc>
          <w:tcPr>
            <w:tcW w:w="2044" w:type="pct"/>
            <w:shd w:val="clear" w:color="auto" w:fill="FFFFFF" w:themeFill="background1"/>
          </w:tcPr>
          <w:p w14:paraId="4F6C2AF4" w14:textId="77777777" w:rsidR="00B51828" w:rsidRPr="005B3176" w:rsidRDefault="00B51828" w:rsidP="002101D2">
            <w:pPr>
              <w:spacing w:before="20" w:after="20"/>
              <w:ind w:left="0"/>
              <w:rPr>
                <w:rFonts w:ascii="Arial Narrow" w:hAnsi="Arial Narrow"/>
                <w:b/>
                <w:sz w:val="20"/>
                <w:szCs w:val="20"/>
              </w:rPr>
            </w:pPr>
            <w:r>
              <w:rPr>
                <w:rFonts w:ascii="Arial Narrow" w:hAnsi="Arial Narrow"/>
                <w:sz w:val="20"/>
                <w:szCs w:val="20"/>
              </w:rPr>
              <w:t>I</w:t>
            </w:r>
            <w:r w:rsidRPr="00331F0F">
              <w:rPr>
                <w:rFonts w:ascii="Arial Narrow" w:hAnsi="Arial Narrow"/>
                <w:sz w:val="20"/>
                <w:szCs w:val="20"/>
              </w:rPr>
              <w:t>ncorrect diagnosis/interpretation</w:t>
            </w:r>
          </w:p>
        </w:tc>
        <w:tc>
          <w:tcPr>
            <w:tcW w:w="591" w:type="pct"/>
          </w:tcPr>
          <w:p w14:paraId="03B8B8D9"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60980704"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43520868"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3D196376"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591" w:type="pct"/>
            <w:tcBorders>
              <w:left w:val="nil"/>
            </w:tcBorders>
          </w:tcPr>
          <w:p w14:paraId="12096C01"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r>
      <w:tr w:rsidR="00B51828" w14:paraId="1347782C" w14:textId="77777777" w:rsidTr="002101D2">
        <w:tc>
          <w:tcPr>
            <w:tcW w:w="2044" w:type="pct"/>
          </w:tcPr>
          <w:p w14:paraId="0946A9BF" w14:textId="77777777" w:rsidR="00B51828" w:rsidRPr="005B3176" w:rsidRDefault="00B51828" w:rsidP="002101D2">
            <w:pPr>
              <w:spacing w:before="20" w:after="20"/>
              <w:ind w:left="0"/>
              <w:rPr>
                <w:rFonts w:ascii="Arial Narrow" w:hAnsi="Arial Narrow"/>
                <w:b/>
                <w:sz w:val="20"/>
                <w:szCs w:val="20"/>
              </w:rPr>
            </w:pPr>
            <w:r w:rsidRPr="00E15DBB">
              <w:rPr>
                <w:rFonts w:ascii="Arial Narrow" w:hAnsi="Arial Narrow"/>
                <w:sz w:val="20"/>
                <w:szCs w:val="20"/>
              </w:rPr>
              <w:t>Incorrect treatment</w:t>
            </w:r>
          </w:p>
        </w:tc>
        <w:tc>
          <w:tcPr>
            <w:tcW w:w="591" w:type="pct"/>
          </w:tcPr>
          <w:p w14:paraId="76EABCCE"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265A226C"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591" w:type="pct"/>
            <w:tcBorders>
              <w:left w:val="nil"/>
            </w:tcBorders>
          </w:tcPr>
          <w:p w14:paraId="6AE75F2D"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493B284D"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7D85DBA0"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71560E15" w14:textId="77777777" w:rsidTr="002101D2">
        <w:tc>
          <w:tcPr>
            <w:tcW w:w="2044" w:type="pct"/>
          </w:tcPr>
          <w:p w14:paraId="37D9EAF4" w14:textId="77777777" w:rsidR="00B51828" w:rsidRPr="005B3176" w:rsidRDefault="00B51828" w:rsidP="002101D2">
            <w:pPr>
              <w:spacing w:before="20" w:after="20"/>
              <w:ind w:left="0"/>
              <w:rPr>
                <w:rFonts w:ascii="Arial Narrow" w:hAnsi="Arial Narrow"/>
                <w:b/>
                <w:sz w:val="20"/>
                <w:szCs w:val="20"/>
              </w:rPr>
            </w:pPr>
            <w:r w:rsidRPr="00E15DBB">
              <w:rPr>
                <w:rFonts w:ascii="Arial Narrow" w:hAnsi="Arial Narrow"/>
                <w:sz w:val="20"/>
                <w:szCs w:val="20"/>
              </w:rPr>
              <w:t>Turnaround time</w:t>
            </w:r>
            <w:r>
              <w:rPr>
                <w:rFonts w:ascii="Arial Narrow" w:hAnsi="Arial Narrow"/>
                <w:sz w:val="20"/>
                <w:szCs w:val="20"/>
              </w:rPr>
              <w:t xml:space="preserve"> (i.e. </w:t>
            </w:r>
            <w:r w:rsidRPr="00E15DBB">
              <w:rPr>
                <w:rFonts w:ascii="Arial Narrow" w:hAnsi="Arial Narrow"/>
                <w:sz w:val="20"/>
                <w:szCs w:val="20"/>
              </w:rPr>
              <w:t>delay in diagnosis</w:t>
            </w:r>
            <w:r>
              <w:rPr>
                <w:rFonts w:ascii="Arial Narrow" w:hAnsi="Arial Narrow"/>
                <w:sz w:val="20"/>
                <w:szCs w:val="20"/>
              </w:rPr>
              <w:t>)</w:t>
            </w:r>
          </w:p>
        </w:tc>
        <w:tc>
          <w:tcPr>
            <w:tcW w:w="591" w:type="pct"/>
          </w:tcPr>
          <w:p w14:paraId="3E176A9B"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23619F97"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7334312E"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344F9CEF"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6D4453F7"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r>
      <w:tr w:rsidR="00B51828" w14:paraId="57BE27D5" w14:textId="77777777" w:rsidTr="002101D2">
        <w:tc>
          <w:tcPr>
            <w:tcW w:w="2044" w:type="pct"/>
            <w:shd w:val="clear" w:color="auto" w:fill="D0CECE" w:themeFill="background2" w:themeFillShade="E6"/>
          </w:tcPr>
          <w:p w14:paraId="0D673671" w14:textId="77777777" w:rsidR="00B51828" w:rsidRPr="005B3176" w:rsidRDefault="00B51828" w:rsidP="002101D2">
            <w:pPr>
              <w:spacing w:before="20" w:after="20"/>
              <w:ind w:left="0"/>
              <w:rPr>
                <w:rFonts w:ascii="Arial Narrow" w:hAnsi="Arial Narrow"/>
                <w:b/>
                <w:sz w:val="20"/>
                <w:szCs w:val="20"/>
              </w:rPr>
            </w:pPr>
            <w:r w:rsidRPr="00CC317D">
              <w:rPr>
                <w:rFonts w:ascii="Arial Narrow" w:hAnsi="Arial Narrow"/>
                <w:b/>
                <w:sz w:val="20"/>
                <w:szCs w:val="20"/>
              </w:rPr>
              <w:t>Diagnostic accuracy</w:t>
            </w:r>
          </w:p>
        </w:tc>
        <w:tc>
          <w:tcPr>
            <w:tcW w:w="591" w:type="pct"/>
            <w:shd w:val="clear" w:color="auto" w:fill="D0CECE" w:themeFill="background2" w:themeFillShade="E6"/>
          </w:tcPr>
          <w:p w14:paraId="4BA03570"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c>
          <w:tcPr>
            <w:tcW w:w="591" w:type="pct"/>
            <w:tcBorders>
              <w:left w:val="nil"/>
            </w:tcBorders>
            <w:shd w:val="clear" w:color="auto" w:fill="D0CECE" w:themeFill="background2" w:themeFillShade="E6"/>
          </w:tcPr>
          <w:p w14:paraId="5C2EDFDB"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0D4EAA0E"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1DDE983B"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7F82CB4C"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r>
      <w:tr w:rsidR="00B51828" w14:paraId="0FD74AD5" w14:textId="77777777" w:rsidTr="002101D2">
        <w:tc>
          <w:tcPr>
            <w:tcW w:w="2044" w:type="pct"/>
          </w:tcPr>
          <w:p w14:paraId="350AEEB8" w14:textId="77777777" w:rsidR="00B51828" w:rsidRPr="005B3176" w:rsidRDefault="00B51828" w:rsidP="002101D2">
            <w:pPr>
              <w:spacing w:before="20" w:after="20"/>
              <w:ind w:left="0"/>
              <w:rPr>
                <w:rFonts w:ascii="Arial Narrow" w:hAnsi="Arial Narrow"/>
                <w:b/>
                <w:sz w:val="20"/>
                <w:szCs w:val="20"/>
              </w:rPr>
            </w:pPr>
            <w:r w:rsidRPr="00CC317D">
              <w:rPr>
                <w:rFonts w:ascii="Arial Narrow" w:hAnsi="Arial Narrow"/>
                <w:sz w:val="20"/>
                <w:szCs w:val="20"/>
              </w:rPr>
              <w:t>Concordance/discordance</w:t>
            </w:r>
            <w:r>
              <w:rPr>
                <w:rFonts w:ascii="Arial Narrow" w:hAnsi="Arial Narrow"/>
                <w:sz w:val="20"/>
                <w:szCs w:val="20"/>
              </w:rPr>
              <w:t>/minor discrepancies</w:t>
            </w:r>
          </w:p>
        </w:tc>
        <w:tc>
          <w:tcPr>
            <w:tcW w:w="591" w:type="pct"/>
          </w:tcPr>
          <w:p w14:paraId="7F74E899"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sym w:font="Wingdings" w:char="F0FC"/>
            </w:r>
          </w:p>
        </w:tc>
        <w:tc>
          <w:tcPr>
            <w:tcW w:w="591" w:type="pct"/>
            <w:tcBorders>
              <w:left w:val="nil"/>
            </w:tcBorders>
          </w:tcPr>
          <w:p w14:paraId="430C3B08"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591" w:type="pct"/>
            <w:tcBorders>
              <w:left w:val="nil"/>
            </w:tcBorders>
          </w:tcPr>
          <w:p w14:paraId="474168B7"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591" w:type="pct"/>
            <w:tcBorders>
              <w:left w:val="nil"/>
            </w:tcBorders>
          </w:tcPr>
          <w:p w14:paraId="335B00E9"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591" w:type="pct"/>
            <w:tcBorders>
              <w:left w:val="nil"/>
            </w:tcBorders>
          </w:tcPr>
          <w:p w14:paraId="453EA89C"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r>
      <w:tr w:rsidR="00B51828" w14:paraId="5C6B099D" w14:textId="77777777" w:rsidTr="002101D2">
        <w:tc>
          <w:tcPr>
            <w:tcW w:w="2044" w:type="pct"/>
            <w:shd w:val="clear" w:color="auto" w:fill="D0CECE" w:themeFill="background2" w:themeFillShade="E6"/>
          </w:tcPr>
          <w:p w14:paraId="515E7EE8" w14:textId="77777777" w:rsidR="00B51828" w:rsidRPr="005B3176" w:rsidRDefault="00B51828" w:rsidP="002101D2">
            <w:pPr>
              <w:spacing w:before="20" w:after="20"/>
              <w:ind w:left="0"/>
              <w:rPr>
                <w:rFonts w:ascii="Arial Narrow" w:hAnsi="Arial Narrow"/>
                <w:b/>
                <w:sz w:val="20"/>
                <w:szCs w:val="20"/>
              </w:rPr>
            </w:pPr>
            <w:r>
              <w:rPr>
                <w:rFonts w:ascii="Arial Narrow" w:hAnsi="Arial Narrow"/>
                <w:b/>
                <w:sz w:val="20"/>
                <w:szCs w:val="20"/>
              </w:rPr>
              <w:t>Change in management</w:t>
            </w:r>
          </w:p>
        </w:tc>
        <w:tc>
          <w:tcPr>
            <w:tcW w:w="591" w:type="pct"/>
            <w:shd w:val="clear" w:color="auto" w:fill="D0CECE" w:themeFill="background2" w:themeFillShade="E6"/>
          </w:tcPr>
          <w:p w14:paraId="31376698"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c>
          <w:tcPr>
            <w:tcW w:w="591" w:type="pct"/>
            <w:tcBorders>
              <w:left w:val="nil"/>
            </w:tcBorders>
            <w:shd w:val="clear" w:color="auto" w:fill="D0CECE" w:themeFill="background2" w:themeFillShade="E6"/>
          </w:tcPr>
          <w:p w14:paraId="3567A6AB"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6471B29B"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78DDBEE5"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6DF1482E"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r>
      <w:tr w:rsidR="00B51828" w14:paraId="7B177A23" w14:textId="77777777" w:rsidTr="002101D2">
        <w:tc>
          <w:tcPr>
            <w:tcW w:w="2044" w:type="pct"/>
          </w:tcPr>
          <w:p w14:paraId="115CC473" w14:textId="77777777" w:rsidR="00B51828" w:rsidRPr="005B3176" w:rsidRDefault="00B51828" w:rsidP="002101D2">
            <w:pPr>
              <w:spacing w:before="20" w:after="20"/>
              <w:ind w:left="0"/>
              <w:rPr>
                <w:rFonts w:ascii="Arial Narrow" w:hAnsi="Arial Narrow"/>
                <w:b/>
                <w:sz w:val="20"/>
                <w:szCs w:val="20"/>
              </w:rPr>
            </w:pPr>
            <w:r>
              <w:rPr>
                <w:rFonts w:ascii="Arial Narrow" w:hAnsi="Arial Narrow"/>
                <w:sz w:val="20"/>
                <w:szCs w:val="20"/>
              </w:rPr>
              <w:t>Rate of clinically relevant revisions of initial pathology opinion (major discrepancy)</w:t>
            </w:r>
          </w:p>
        </w:tc>
        <w:tc>
          <w:tcPr>
            <w:tcW w:w="591" w:type="pct"/>
          </w:tcPr>
          <w:p w14:paraId="2EE91F49"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4061ED24"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591" w:type="pct"/>
            <w:tcBorders>
              <w:left w:val="nil"/>
            </w:tcBorders>
          </w:tcPr>
          <w:p w14:paraId="07D34BB5"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500C191F"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7B2CA734"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r>
      <w:tr w:rsidR="00B51828" w14:paraId="2D1D8207" w14:textId="77777777" w:rsidTr="002101D2">
        <w:tc>
          <w:tcPr>
            <w:tcW w:w="2044" w:type="pct"/>
          </w:tcPr>
          <w:p w14:paraId="4EB5817B" w14:textId="77777777" w:rsidR="00B51828" w:rsidRPr="005B3176" w:rsidRDefault="00B51828" w:rsidP="002101D2">
            <w:pPr>
              <w:spacing w:before="20" w:after="20"/>
              <w:ind w:left="0"/>
              <w:rPr>
                <w:rFonts w:ascii="Arial Narrow" w:hAnsi="Arial Narrow"/>
                <w:b/>
                <w:sz w:val="20"/>
                <w:szCs w:val="20"/>
              </w:rPr>
            </w:pPr>
            <w:r>
              <w:rPr>
                <w:rFonts w:ascii="Arial Narrow" w:hAnsi="Arial Narrow"/>
                <w:sz w:val="20"/>
                <w:szCs w:val="20"/>
              </w:rPr>
              <w:t>Change in clinical management (e.g. biopsy rates, additional test ordering, change in treatment options)</w:t>
            </w:r>
          </w:p>
        </w:tc>
        <w:tc>
          <w:tcPr>
            <w:tcW w:w="591" w:type="pct"/>
          </w:tcPr>
          <w:p w14:paraId="243533C3"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280F7EC8"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sym w:font="Wingdings" w:char="F0FC"/>
            </w:r>
          </w:p>
        </w:tc>
        <w:tc>
          <w:tcPr>
            <w:tcW w:w="591" w:type="pct"/>
            <w:tcBorders>
              <w:left w:val="nil"/>
            </w:tcBorders>
          </w:tcPr>
          <w:p w14:paraId="757F884F"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389D2DBE"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00F0B35C"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71CF328A" w14:textId="77777777" w:rsidTr="002101D2">
        <w:tc>
          <w:tcPr>
            <w:tcW w:w="2044" w:type="pct"/>
            <w:shd w:val="clear" w:color="auto" w:fill="D0CECE" w:themeFill="background2" w:themeFillShade="E6"/>
          </w:tcPr>
          <w:p w14:paraId="60120376" w14:textId="77777777" w:rsidR="00B51828" w:rsidRPr="00876A10" w:rsidRDefault="00B51828" w:rsidP="002101D2">
            <w:pPr>
              <w:spacing w:before="20" w:after="20"/>
              <w:ind w:left="0"/>
              <w:rPr>
                <w:rFonts w:ascii="Arial Narrow" w:hAnsi="Arial Narrow"/>
                <w:b/>
                <w:sz w:val="20"/>
                <w:szCs w:val="20"/>
              </w:rPr>
            </w:pPr>
            <w:r w:rsidRPr="00876A10">
              <w:rPr>
                <w:rFonts w:ascii="Arial Narrow" w:hAnsi="Arial Narrow"/>
                <w:b/>
                <w:sz w:val="20"/>
                <w:szCs w:val="20"/>
              </w:rPr>
              <w:t>Effectiveness</w:t>
            </w:r>
          </w:p>
        </w:tc>
        <w:tc>
          <w:tcPr>
            <w:tcW w:w="591" w:type="pct"/>
            <w:shd w:val="clear" w:color="auto" w:fill="D0CECE" w:themeFill="background2" w:themeFillShade="E6"/>
          </w:tcPr>
          <w:p w14:paraId="2E1B9EB2"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c>
          <w:tcPr>
            <w:tcW w:w="591" w:type="pct"/>
            <w:tcBorders>
              <w:left w:val="nil"/>
            </w:tcBorders>
            <w:shd w:val="clear" w:color="auto" w:fill="D0CECE" w:themeFill="background2" w:themeFillShade="E6"/>
          </w:tcPr>
          <w:p w14:paraId="74A3E622"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c>
          <w:tcPr>
            <w:tcW w:w="591" w:type="pct"/>
            <w:tcBorders>
              <w:left w:val="nil"/>
            </w:tcBorders>
            <w:shd w:val="clear" w:color="auto" w:fill="D0CECE" w:themeFill="background2" w:themeFillShade="E6"/>
          </w:tcPr>
          <w:p w14:paraId="4EC08D87"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c>
          <w:tcPr>
            <w:tcW w:w="591" w:type="pct"/>
            <w:tcBorders>
              <w:left w:val="nil"/>
            </w:tcBorders>
            <w:shd w:val="clear" w:color="auto" w:fill="D0CECE" w:themeFill="background2" w:themeFillShade="E6"/>
          </w:tcPr>
          <w:p w14:paraId="4C025287"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c>
          <w:tcPr>
            <w:tcW w:w="591" w:type="pct"/>
            <w:tcBorders>
              <w:left w:val="nil"/>
            </w:tcBorders>
            <w:shd w:val="clear" w:color="auto" w:fill="D0CECE" w:themeFill="background2" w:themeFillShade="E6"/>
          </w:tcPr>
          <w:p w14:paraId="1024E0C2"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r>
      <w:tr w:rsidR="00B51828" w14:paraId="7DBA9750" w14:textId="77777777" w:rsidTr="002101D2">
        <w:tc>
          <w:tcPr>
            <w:tcW w:w="2044" w:type="pct"/>
          </w:tcPr>
          <w:p w14:paraId="34D2BD96" w14:textId="77777777" w:rsidR="00B51828" w:rsidRPr="005B3176" w:rsidRDefault="00B51828" w:rsidP="002101D2">
            <w:pPr>
              <w:spacing w:before="20" w:after="20"/>
              <w:ind w:left="0"/>
              <w:rPr>
                <w:rFonts w:ascii="Arial Narrow" w:hAnsi="Arial Narrow"/>
                <w:b/>
                <w:sz w:val="20"/>
                <w:szCs w:val="20"/>
              </w:rPr>
            </w:pPr>
            <w:r>
              <w:rPr>
                <w:rFonts w:ascii="Arial Narrow" w:hAnsi="Arial Narrow"/>
                <w:sz w:val="20"/>
                <w:szCs w:val="20"/>
              </w:rPr>
              <w:t>Morbidity</w:t>
            </w:r>
          </w:p>
        </w:tc>
        <w:tc>
          <w:tcPr>
            <w:tcW w:w="591" w:type="pct"/>
          </w:tcPr>
          <w:p w14:paraId="13BFFB3C"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4715FB2C"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3151A0AD"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238DD096"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1287C5C3"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65AEF2A4" w14:textId="77777777" w:rsidTr="002101D2">
        <w:tc>
          <w:tcPr>
            <w:tcW w:w="2044" w:type="pct"/>
          </w:tcPr>
          <w:p w14:paraId="7A4BD138" w14:textId="77777777" w:rsidR="00B51828" w:rsidRPr="005B3176" w:rsidRDefault="00B51828" w:rsidP="002101D2">
            <w:pPr>
              <w:spacing w:before="20" w:after="20"/>
              <w:ind w:left="0"/>
              <w:rPr>
                <w:rFonts w:ascii="Arial Narrow" w:hAnsi="Arial Narrow"/>
                <w:b/>
                <w:sz w:val="20"/>
                <w:szCs w:val="20"/>
              </w:rPr>
            </w:pPr>
            <w:r>
              <w:rPr>
                <w:rFonts w:ascii="Arial Narrow" w:hAnsi="Arial Narrow"/>
                <w:sz w:val="20"/>
                <w:szCs w:val="20"/>
              </w:rPr>
              <w:t>Mortality</w:t>
            </w:r>
          </w:p>
        </w:tc>
        <w:tc>
          <w:tcPr>
            <w:tcW w:w="591" w:type="pct"/>
          </w:tcPr>
          <w:p w14:paraId="49A6469B"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0AEF8C7E"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22ED6BA2"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0946DFA0"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7EFDB252"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0F902AC9" w14:textId="77777777" w:rsidTr="002101D2">
        <w:tc>
          <w:tcPr>
            <w:tcW w:w="2044" w:type="pct"/>
          </w:tcPr>
          <w:p w14:paraId="039F6B5A" w14:textId="77777777" w:rsidR="00B51828" w:rsidRPr="005B3176" w:rsidRDefault="00B51828" w:rsidP="002101D2">
            <w:pPr>
              <w:spacing w:before="20" w:after="20"/>
              <w:ind w:left="0"/>
              <w:rPr>
                <w:rFonts w:ascii="Arial Narrow" w:hAnsi="Arial Narrow"/>
                <w:b/>
                <w:sz w:val="20"/>
                <w:szCs w:val="20"/>
              </w:rPr>
            </w:pPr>
            <w:r>
              <w:rPr>
                <w:rFonts w:ascii="Arial Narrow" w:hAnsi="Arial Narrow"/>
                <w:sz w:val="20"/>
                <w:szCs w:val="20"/>
              </w:rPr>
              <w:t>Quality of life</w:t>
            </w:r>
          </w:p>
        </w:tc>
        <w:tc>
          <w:tcPr>
            <w:tcW w:w="591" w:type="pct"/>
          </w:tcPr>
          <w:p w14:paraId="15E61325"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367935CE"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6311DEA0"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3F968235"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0C0DFC2E"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r w:rsidR="00B51828" w14:paraId="1F97D078" w14:textId="77777777" w:rsidTr="002101D2">
        <w:tc>
          <w:tcPr>
            <w:tcW w:w="2044" w:type="pct"/>
            <w:shd w:val="clear" w:color="auto" w:fill="D0CECE" w:themeFill="background2" w:themeFillShade="E6"/>
          </w:tcPr>
          <w:p w14:paraId="28C60BBB" w14:textId="77777777" w:rsidR="00B51828" w:rsidRPr="005B3176" w:rsidRDefault="00B51828" w:rsidP="002101D2">
            <w:pPr>
              <w:spacing w:before="20" w:after="20"/>
              <w:ind w:left="0"/>
              <w:rPr>
                <w:rFonts w:ascii="Arial Narrow" w:hAnsi="Arial Narrow"/>
                <w:b/>
                <w:sz w:val="20"/>
                <w:szCs w:val="20"/>
              </w:rPr>
            </w:pPr>
            <w:r w:rsidRPr="00CC317D">
              <w:rPr>
                <w:rFonts w:ascii="Arial Narrow" w:hAnsi="Arial Narrow"/>
                <w:b/>
                <w:sz w:val="20"/>
                <w:szCs w:val="20"/>
              </w:rPr>
              <w:t>Cost-effectiveness</w:t>
            </w:r>
          </w:p>
        </w:tc>
        <w:tc>
          <w:tcPr>
            <w:tcW w:w="591" w:type="pct"/>
            <w:shd w:val="clear" w:color="auto" w:fill="D0CECE" w:themeFill="background2" w:themeFillShade="E6"/>
          </w:tcPr>
          <w:p w14:paraId="50BCCCF0" w14:textId="77777777" w:rsidR="00B51828" w:rsidRPr="00876A10" w:rsidRDefault="00B51828" w:rsidP="002101D2">
            <w:pPr>
              <w:spacing w:before="20" w:after="20"/>
              <w:ind w:left="0"/>
              <w:jc w:val="center"/>
              <w:rPr>
                <w:rFonts w:ascii="Arial Narrow" w:hAnsi="Arial Narrow"/>
                <w:sz w:val="20"/>
                <w:szCs w:val="20"/>
              </w:rPr>
            </w:pPr>
            <w:r w:rsidRPr="00876A10">
              <w:rPr>
                <w:rFonts w:ascii="Arial Narrow" w:hAnsi="Arial Narrow"/>
                <w:sz w:val="20"/>
                <w:szCs w:val="20"/>
              </w:rPr>
              <w:t>-</w:t>
            </w:r>
          </w:p>
        </w:tc>
        <w:tc>
          <w:tcPr>
            <w:tcW w:w="591" w:type="pct"/>
            <w:tcBorders>
              <w:left w:val="nil"/>
            </w:tcBorders>
            <w:shd w:val="clear" w:color="auto" w:fill="D0CECE" w:themeFill="background2" w:themeFillShade="E6"/>
          </w:tcPr>
          <w:p w14:paraId="760F0261"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38DB325C"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4C27B549"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c>
          <w:tcPr>
            <w:tcW w:w="591" w:type="pct"/>
            <w:tcBorders>
              <w:left w:val="nil"/>
            </w:tcBorders>
            <w:shd w:val="clear" w:color="auto" w:fill="D0CECE" w:themeFill="background2" w:themeFillShade="E6"/>
          </w:tcPr>
          <w:p w14:paraId="2A627E66"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w:t>
            </w:r>
          </w:p>
        </w:tc>
      </w:tr>
      <w:tr w:rsidR="00B51828" w14:paraId="5BCEBE42" w14:textId="77777777" w:rsidTr="002101D2">
        <w:tc>
          <w:tcPr>
            <w:tcW w:w="2044" w:type="pct"/>
          </w:tcPr>
          <w:p w14:paraId="1E255507" w14:textId="77777777" w:rsidR="00B51828" w:rsidRPr="005B3176" w:rsidRDefault="00B51828" w:rsidP="002101D2">
            <w:pPr>
              <w:spacing w:before="20" w:after="20"/>
              <w:ind w:left="0"/>
              <w:rPr>
                <w:rFonts w:ascii="Arial Narrow" w:hAnsi="Arial Narrow"/>
                <w:b/>
                <w:sz w:val="20"/>
                <w:szCs w:val="20"/>
              </w:rPr>
            </w:pPr>
            <w:r>
              <w:rPr>
                <w:rFonts w:ascii="Arial Narrow" w:hAnsi="Arial Narrow"/>
                <w:sz w:val="20"/>
                <w:szCs w:val="20"/>
              </w:rPr>
              <w:t>Cost per clinically relevant change in diagnosis/interpretation</w:t>
            </w:r>
          </w:p>
        </w:tc>
        <w:tc>
          <w:tcPr>
            <w:tcW w:w="591" w:type="pct"/>
          </w:tcPr>
          <w:p w14:paraId="193BA152" w14:textId="77777777" w:rsidR="00B51828" w:rsidRPr="005B3176" w:rsidRDefault="00B51828" w:rsidP="002101D2">
            <w:pPr>
              <w:spacing w:before="20" w:after="20"/>
              <w:ind w:left="0"/>
              <w:jc w:val="center"/>
              <w:rPr>
                <w:rFonts w:ascii="Arial Narrow" w:hAnsi="Arial Narrow"/>
                <w:b/>
                <w:sz w:val="20"/>
                <w:szCs w:val="20"/>
              </w:rPr>
            </w:pPr>
            <w:r>
              <w:rPr>
                <w:rFonts w:ascii="Arial Narrow" w:hAnsi="Arial Narrow"/>
                <w:sz w:val="20"/>
                <w:szCs w:val="20"/>
              </w:rPr>
              <w:t>x</w:t>
            </w:r>
          </w:p>
        </w:tc>
        <w:tc>
          <w:tcPr>
            <w:tcW w:w="591" w:type="pct"/>
            <w:tcBorders>
              <w:left w:val="nil"/>
            </w:tcBorders>
          </w:tcPr>
          <w:p w14:paraId="1FA88DF9"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205B525D"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6A738982"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c>
          <w:tcPr>
            <w:tcW w:w="591" w:type="pct"/>
            <w:tcBorders>
              <w:left w:val="nil"/>
            </w:tcBorders>
          </w:tcPr>
          <w:p w14:paraId="6D6F2441" w14:textId="77777777" w:rsidR="00B51828" w:rsidRDefault="00B51828" w:rsidP="002101D2">
            <w:pPr>
              <w:spacing w:before="20" w:after="20"/>
              <w:ind w:left="0"/>
              <w:jc w:val="center"/>
              <w:rPr>
                <w:rFonts w:ascii="Arial Narrow" w:hAnsi="Arial Narrow"/>
                <w:sz w:val="20"/>
                <w:szCs w:val="20"/>
              </w:rPr>
            </w:pPr>
            <w:r>
              <w:rPr>
                <w:rFonts w:ascii="Arial Narrow" w:hAnsi="Arial Narrow"/>
                <w:sz w:val="20"/>
                <w:szCs w:val="20"/>
              </w:rPr>
              <w:t>x</w:t>
            </w:r>
          </w:p>
        </w:tc>
      </w:tr>
    </w:tbl>
    <w:p w14:paraId="2565D281" w14:textId="77777777" w:rsidR="00B51828" w:rsidRDefault="00B51828" w:rsidP="002101D2">
      <w:pPr>
        <w:tabs>
          <w:tab w:val="left" w:pos="2855"/>
        </w:tabs>
        <w:ind w:left="709"/>
      </w:pPr>
    </w:p>
    <w:p w14:paraId="4E496140" w14:textId="1A888F4C" w:rsidR="00B51828" w:rsidRDefault="00B51828" w:rsidP="00B51828">
      <w:pPr>
        <w:pStyle w:val="Heading3"/>
        <w:numPr>
          <w:ilvl w:val="2"/>
          <w:numId w:val="1"/>
        </w:numPr>
      </w:pPr>
      <w:bookmarkStart w:id="135" w:name="_Ref395343468"/>
      <w:bookmarkStart w:id="136" w:name="_Ref395170276"/>
      <w:bookmarkStart w:id="137" w:name="_Ref395177145"/>
      <w:r>
        <w:t>Clinically</w:t>
      </w:r>
      <w:r w:rsidR="0053670C">
        <w:t xml:space="preserve"> </w:t>
      </w:r>
      <w:r>
        <w:t>relevant change in diagnosis or interpretation</w:t>
      </w:r>
      <w:bookmarkEnd w:id="135"/>
    </w:p>
    <w:p w14:paraId="7024AB8A" w14:textId="69B54659" w:rsidR="00B51828" w:rsidRDefault="00B51828" w:rsidP="002101D2">
      <w:pPr>
        <w:tabs>
          <w:tab w:val="left" w:pos="2855"/>
        </w:tabs>
        <w:ind w:left="709"/>
      </w:pPr>
      <w:r>
        <w:t>For the most part, major discrepancies between the initial opinion and second, expert opinion are defined as being clinically</w:t>
      </w:r>
      <w:r w:rsidR="0053670C">
        <w:t xml:space="preserve"> </w:t>
      </w:r>
      <w:r>
        <w:t xml:space="preserve">relevant changes that would result in a </w:t>
      </w:r>
      <w:r w:rsidRPr="005E3057">
        <w:rPr>
          <w:szCs w:val="24"/>
        </w:rPr>
        <w:t xml:space="preserve">change in </w:t>
      </w:r>
      <w:r>
        <w:rPr>
          <w:szCs w:val="24"/>
        </w:rPr>
        <w:t xml:space="preserve">patient management </w:t>
      </w:r>
      <w:r>
        <w:t xml:space="preserve">(e.g. </w:t>
      </w:r>
      <w:r w:rsidRPr="00971F81">
        <w:t>biopsy rates, addition</w:t>
      </w:r>
      <w:r>
        <w:t>al test ordering, change in tre</w:t>
      </w:r>
      <w:r w:rsidRPr="00971F81">
        <w:t>atment options</w:t>
      </w:r>
      <w:r>
        <w:t>)</w:t>
      </w:r>
      <w:r>
        <w:rPr>
          <w:szCs w:val="24"/>
        </w:rPr>
        <w:t xml:space="preserve">. </w:t>
      </w:r>
      <w:r>
        <w:t xml:space="preserve">Importantly, the reported rate of clinically relevant revisions of initial pathology opinion (major discrepancy) is a surrogate for change in management. In the vast majority of cases within the included studies, input is actively sought to arrive at a definitive diagnosis and treatment is postponed until the expert opinion is received. However, this was not the case in at least one study </w:t>
      </w:r>
      <w:r>
        <w:rPr>
          <w:noProof/>
        </w:rPr>
        <w:t>(Bruner et al, 1997)</w:t>
      </w:r>
      <w:r>
        <w:t xml:space="preserve"> which reported whether or not the patients had received therapy before the final diagnosis had been received from the expert pathologist (see </w:t>
      </w:r>
      <w:r>
        <w:fldChar w:fldCharType="begin"/>
      </w:r>
      <w:r>
        <w:instrText xml:space="preserve"> REF _Ref395169450 \h </w:instrText>
      </w:r>
      <w:r>
        <w:fldChar w:fldCharType="separate"/>
      </w:r>
      <w:r w:rsidR="0044620B">
        <w:t xml:space="preserve">Table </w:t>
      </w:r>
      <w:r w:rsidR="0044620B">
        <w:rPr>
          <w:noProof/>
        </w:rPr>
        <w:t>B.5</w:t>
      </w:r>
      <w:r w:rsidR="0044620B">
        <w:noBreakHyphen/>
      </w:r>
      <w:r w:rsidR="0044620B">
        <w:rPr>
          <w:noProof/>
        </w:rPr>
        <w:t>2</w:t>
      </w:r>
      <w:r>
        <w:fldChar w:fldCharType="end"/>
      </w:r>
      <w:r>
        <w:t>).</w:t>
      </w:r>
    </w:p>
    <w:p w14:paraId="49D5BE6D" w14:textId="327E9551" w:rsidR="00B51828" w:rsidRPr="000E4330" w:rsidRDefault="00B51828" w:rsidP="002101D2">
      <w:r>
        <w:t>The rate of major discrepancies is a key outcome for the assessment and forms the basis of the economic evaluation, which is reported as</w:t>
      </w:r>
      <w:r w:rsidRPr="005E3057">
        <w:rPr>
          <w:szCs w:val="24"/>
        </w:rPr>
        <w:t xml:space="preserve"> cost per clinically</w:t>
      </w:r>
      <w:r w:rsidR="0053670C">
        <w:rPr>
          <w:szCs w:val="24"/>
        </w:rPr>
        <w:t xml:space="preserve"> </w:t>
      </w:r>
      <w:r w:rsidRPr="005E3057">
        <w:rPr>
          <w:szCs w:val="24"/>
        </w:rPr>
        <w:t>relevant change in diagnosis or interpretation</w:t>
      </w:r>
      <w:r>
        <w:rPr>
          <w:szCs w:val="24"/>
        </w:rPr>
        <w:t xml:space="preserve"> (see Section </w:t>
      </w:r>
      <w:r>
        <w:rPr>
          <w:szCs w:val="24"/>
        </w:rPr>
        <w:fldChar w:fldCharType="begin"/>
      </w:r>
      <w:r>
        <w:rPr>
          <w:szCs w:val="24"/>
        </w:rPr>
        <w:instrText xml:space="preserve"> REF _Ref393290940 \w \h  \* MERGEFORMAT </w:instrText>
      </w:r>
      <w:r>
        <w:rPr>
          <w:szCs w:val="24"/>
        </w:rPr>
      </w:r>
      <w:r>
        <w:rPr>
          <w:szCs w:val="24"/>
        </w:rPr>
        <w:fldChar w:fldCharType="separate"/>
      </w:r>
      <w:r w:rsidR="0044620B">
        <w:rPr>
          <w:szCs w:val="24"/>
        </w:rPr>
        <w:t>D.3.2</w:t>
      </w:r>
      <w:r>
        <w:rPr>
          <w:szCs w:val="24"/>
        </w:rPr>
        <w:fldChar w:fldCharType="end"/>
      </w:r>
      <w:r>
        <w:rPr>
          <w:szCs w:val="24"/>
        </w:rPr>
        <w:t>)</w:t>
      </w:r>
      <w:r>
        <w:t xml:space="preserve">. The definitions of major discrepancies, as reported in the included studies, are shown in </w:t>
      </w:r>
      <w:r>
        <w:fldChar w:fldCharType="begin"/>
      </w:r>
      <w:r>
        <w:instrText xml:space="preserve"> REF _Ref395344026 \h </w:instrText>
      </w:r>
      <w:r>
        <w:fldChar w:fldCharType="separate"/>
      </w:r>
      <w:r w:rsidR="0044620B">
        <w:t xml:space="preserve">Table </w:t>
      </w:r>
      <w:r w:rsidR="0044620B">
        <w:rPr>
          <w:noProof/>
        </w:rPr>
        <w:t>B.5</w:t>
      </w:r>
      <w:r w:rsidR="0044620B">
        <w:noBreakHyphen/>
      </w:r>
      <w:r w:rsidR="0044620B">
        <w:rPr>
          <w:noProof/>
        </w:rPr>
        <w:t>3</w:t>
      </w:r>
      <w:r>
        <w:fldChar w:fldCharType="end"/>
      </w:r>
      <w:r>
        <w:t>.</w:t>
      </w:r>
    </w:p>
    <w:p w14:paraId="27F727A7" w14:textId="77777777" w:rsidR="00B51828" w:rsidRDefault="00B51828" w:rsidP="002101D2">
      <w:pPr>
        <w:pStyle w:val="Caption"/>
      </w:pPr>
      <w:bookmarkStart w:id="138" w:name="_Ref395344026"/>
      <w:bookmarkStart w:id="139" w:name="_Toc396211743"/>
      <w:r>
        <w:lastRenderedPageBreak/>
        <w:t xml:space="preserve">Table </w:t>
      </w:r>
      <w:fldSimple w:instr=" STYLEREF 2 \s ">
        <w:r w:rsidR="0044620B">
          <w:rPr>
            <w:noProof/>
          </w:rPr>
          <w:t>B.5</w:t>
        </w:r>
      </w:fldSimple>
      <w:r>
        <w:noBreakHyphen/>
      </w:r>
      <w:fldSimple w:instr=" SEQ Table \* ARABIC \s 2 ">
        <w:r w:rsidR="0044620B">
          <w:rPr>
            <w:noProof/>
          </w:rPr>
          <w:t>3</w:t>
        </w:r>
      </w:fldSimple>
      <w:bookmarkEnd w:id="136"/>
      <w:bookmarkEnd w:id="137"/>
      <w:bookmarkEnd w:id="138"/>
      <w:r>
        <w:tab/>
        <w:t>Definitions of major discrepancies or an equivalent outcome – as reported in the included studies</w:t>
      </w:r>
      <w:bookmarkEnd w:id="139"/>
    </w:p>
    <w:tbl>
      <w:tblPr>
        <w:tblStyle w:val="TableGrid"/>
        <w:tblW w:w="4638" w:type="pct"/>
        <w:tblInd w:w="704" w:type="dxa"/>
        <w:tblLook w:val="04A0" w:firstRow="1" w:lastRow="0" w:firstColumn="1" w:lastColumn="0" w:noHBand="0" w:noVBand="1"/>
        <w:tblCaption w:val="Definitions of major discrepancies"/>
        <w:tblDescription w:val="Definitions of major discrepancies or an equivalent outcome – as reported in the included studies"/>
      </w:tblPr>
      <w:tblGrid>
        <w:gridCol w:w="1308"/>
        <w:gridCol w:w="7265"/>
      </w:tblGrid>
      <w:tr w:rsidR="00B51828" w14:paraId="2C37217B" w14:textId="77777777" w:rsidTr="002101D2">
        <w:trPr>
          <w:tblHeader/>
        </w:trPr>
        <w:tc>
          <w:tcPr>
            <w:tcW w:w="763" w:type="pct"/>
          </w:tcPr>
          <w:p w14:paraId="4FB8F328" w14:textId="77777777" w:rsidR="00B51828" w:rsidRPr="00042ED0" w:rsidRDefault="00B51828" w:rsidP="001B22C7">
            <w:pPr>
              <w:keepNext/>
              <w:spacing w:before="20" w:after="20"/>
              <w:ind w:left="0"/>
              <w:rPr>
                <w:rFonts w:ascii="Arial Narrow" w:hAnsi="Arial Narrow"/>
                <w:b/>
                <w:sz w:val="20"/>
                <w:szCs w:val="20"/>
              </w:rPr>
            </w:pPr>
            <w:r w:rsidRPr="00042ED0">
              <w:rPr>
                <w:rFonts w:ascii="Arial Narrow" w:hAnsi="Arial Narrow"/>
                <w:b/>
                <w:sz w:val="20"/>
                <w:szCs w:val="20"/>
              </w:rPr>
              <w:t>Study</w:t>
            </w:r>
          </w:p>
        </w:tc>
        <w:tc>
          <w:tcPr>
            <w:tcW w:w="4237" w:type="pct"/>
            <w:tcBorders>
              <w:left w:val="nil"/>
            </w:tcBorders>
          </w:tcPr>
          <w:p w14:paraId="055515EF" w14:textId="77777777" w:rsidR="00B51828" w:rsidRPr="00042ED0" w:rsidRDefault="00B51828" w:rsidP="001B22C7">
            <w:pPr>
              <w:keepNext/>
              <w:spacing w:before="20" w:after="20"/>
              <w:ind w:left="0"/>
              <w:rPr>
                <w:rFonts w:ascii="Arial Narrow" w:hAnsi="Arial Narrow"/>
                <w:b/>
                <w:sz w:val="20"/>
                <w:szCs w:val="20"/>
              </w:rPr>
            </w:pPr>
            <w:r>
              <w:rPr>
                <w:rFonts w:ascii="Arial Narrow" w:hAnsi="Arial Narrow"/>
                <w:b/>
                <w:sz w:val="20"/>
                <w:szCs w:val="20"/>
              </w:rPr>
              <w:t>Definition of major discrepancy</w:t>
            </w:r>
          </w:p>
        </w:tc>
      </w:tr>
      <w:tr w:rsidR="00B51828" w14:paraId="7AA823C2" w14:textId="77777777" w:rsidTr="002101D2">
        <w:tc>
          <w:tcPr>
            <w:tcW w:w="763" w:type="pct"/>
            <w:shd w:val="clear" w:color="auto" w:fill="BFBFBF" w:themeFill="background1" w:themeFillShade="BF"/>
          </w:tcPr>
          <w:p w14:paraId="5A0C333D" w14:textId="77777777" w:rsidR="00B51828" w:rsidRPr="009D6481" w:rsidRDefault="00B51828" w:rsidP="001B22C7">
            <w:pPr>
              <w:keepNext/>
              <w:spacing w:before="20" w:after="20"/>
              <w:ind w:left="0"/>
              <w:rPr>
                <w:rFonts w:ascii="Arial Narrow" w:hAnsi="Arial Narrow"/>
                <w:b/>
                <w:i/>
                <w:sz w:val="20"/>
                <w:szCs w:val="20"/>
              </w:rPr>
            </w:pPr>
            <w:r w:rsidRPr="009D6481">
              <w:rPr>
                <w:rFonts w:ascii="Arial Narrow" w:hAnsi="Arial Narrow"/>
                <w:b/>
                <w:i/>
                <w:sz w:val="20"/>
                <w:szCs w:val="20"/>
              </w:rPr>
              <w:t>Scenario 1</w:t>
            </w:r>
          </w:p>
        </w:tc>
        <w:tc>
          <w:tcPr>
            <w:tcW w:w="4237" w:type="pct"/>
            <w:tcBorders>
              <w:left w:val="nil"/>
            </w:tcBorders>
            <w:shd w:val="clear" w:color="auto" w:fill="BFBFBF" w:themeFill="background1" w:themeFillShade="BF"/>
          </w:tcPr>
          <w:p w14:paraId="211696E9"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w:t>
            </w:r>
          </w:p>
        </w:tc>
      </w:tr>
      <w:tr w:rsidR="00B51828" w14:paraId="0362F4E4" w14:textId="77777777" w:rsidTr="002101D2">
        <w:tc>
          <w:tcPr>
            <w:tcW w:w="763" w:type="pct"/>
          </w:tcPr>
          <w:p w14:paraId="1F70D5BF"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Arbiser 2001</w:t>
            </w:r>
          </w:p>
        </w:tc>
        <w:tc>
          <w:tcPr>
            <w:tcW w:w="4237" w:type="pct"/>
            <w:tcBorders>
              <w:left w:val="nil"/>
            </w:tcBorders>
          </w:tcPr>
          <w:p w14:paraId="46C4B510"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Changes in diagnosis that had a significant impact on therapy, such as distinguishing a reactive process from a sarcoma or significant mis-grading of a sarcoma (i.e. mis-grading by two grades in a three-tiered system).</w:t>
            </w:r>
          </w:p>
        </w:tc>
      </w:tr>
      <w:tr w:rsidR="00B51828" w14:paraId="17768708" w14:textId="77777777" w:rsidTr="002101D2">
        <w:tc>
          <w:tcPr>
            <w:tcW w:w="763" w:type="pct"/>
          </w:tcPr>
          <w:p w14:paraId="06598CA6"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Cook 2001</w:t>
            </w:r>
          </w:p>
        </w:tc>
        <w:tc>
          <w:tcPr>
            <w:tcW w:w="4237" w:type="pct"/>
            <w:tcBorders>
              <w:left w:val="nil"/>
            </w:tcBorders>
          </w:tcPr>
          <w:p w14:paraId="34756A29"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Benign-malignant or malignant-benign changes in diagnosis.</w:t>
            </w:r>
          </w:p>
        </w:tc>
      </w:tr>
      <w:tr w:rsidR="00B51828" w14:paraId="3825B72E" w14:textId="77777777" w:rsidTr="002101D2">
        <w:tc>
          <w:tcPr>
            <w:tcW w:w="763" w:type="pct"/>
          </w:tcPr>
          <w:p w14:paraId="3926F31B"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Gaudi 2013</w:t>
            </w:r>
          </w:p>
        </w:tc>
        <w:tc>
          <w:tcPr>
            <w:tcW w:w="4237" w:type="pct"/>
            <w:tcBorders>
              <w:left w:val="nil"/>
            </w:tcBorders>
          </w:tcPr>
          <w:p w14:paraId="26492B4D"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 xml:space="preserve">Changes that would affect patient treatment and result in an altered report, diagnosis, or both. </w:t>
            </w:r>
          </w:p>
          <w:p w14:paraId="600EF04E" w14:textId="77777777" w:rsidR="00B51828" w:rsidRPr="00862D64" w:rsidRDefault="00B51828" w:rsidP="001B22C7">
            <w:pPr>
              <w:keepNext/>
              <w:spacing w:before="20" w:after="20"/>
              <w:ind w:left="0"/>
              <w:rPr>
                <w:rFonts w:ascii="Arial Narrow" w:hAnsi="Arial Narrow"/>
                <w:i/>
                <w:sz w:val="20"/>
                <w:szCs w:val="20"/>
              </w:rPr>
            </w:pPr>
            <w:r w:rsidRPr="00862D64">
              <w:rPr>
                <w:rFonts w:ascii="Arial Narrow" w:hAnsi="Arial Narrow"/>
                <w:i/>
                <w:sz w:val="20"/>
                <w:szCs w:val="20"/>
              </w:rPr>
              <w:t xml:space="preserve">Note that a narrower definition of major discrepancy was adopted in most included studies. As such, the number of cases in Gaudi et al (2013) that underwent a benign-malignant or malignant-benign change has also been calculated using information in Table I, pg. 122.  </w:t>
            </w:r>
          </w:p>
        </w:tc>
      </w:tr>
      <w:tr w:rsidR="00B51828" w14:paraId="73877E5E" w14:textId="77777777" w:rsidTr="002101D2">
        <w:tc>
          <w:tcPr>
            <w:tcW w:w="763" w:type="pct"/>
          </w:tcPr>
          <w:p w14:paraId="19F12732"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Hsu 2010</w:t>
            </w:r>
          </w:p>
        </w:tc>
        <w:tc>
          <w:tcPr>
            <w:tcW w:w="4237" w:type="pct"/>
            <w:tcBorders>
              <w:left w:val="nil"/>
            </w:tcBorders>
          </w:tcPr>
          <w:p w14:paraId="53796794"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Benign-malignant or malignant-benign changes as well as changes between categories of malignancy.</w:t>
            </w:r>
          </w:p>
        </w:tc>
      </w:tr>
      <w:tr w:rsidR="00B51828" w14:paraId="28ECA056" w14:textId="77777777" w:rsidTr="002101D2">
        <w:tc>
          <w:tcPr>
            <w:tcW w:w="763" w:type="pct"/>
          </w:tcPr>
          <w:p w14:paraId="3007C1AD"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Jones 2010</w:t>
            </w:r>
          </w:p>
        </w:tc>
        <w:tc>
          <w:tcPr>
            <w:tcW w:w="4237" w:type="pct"/>
            <w:tcBorders>
              <w:left w:val="nil"/>
            </w:tcBorders>
          </w:tcPr>
          <w:p w14:paraId="349DE87C"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Changes in diagnosis that would significantly alter the evaluation plan, treatment and/or prognosis of the patient.</w:t>
            </w:r>
          </w:p>
        </w:tc>
      </w:tr>
      <w:tr w:rsidR="00B51828" w14:paraId="120CD901" w14:textId="77777777" w:rsidTr="002101D2">
        <w:tc>
          <w:tcPr>
            <w:tcW w:w="763" w:type="pct"/>
          </w:tcPr>
          <w:p w14:paraId="18CFBB11"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Ray-Coquard 2012</w:t>
            </w:r>
          </w:p>
        </w:tc>
        <w:tc>
          <w:tcPr>
            <w:tcW w:w="4237" w:type="pct"/>
            <w:tcBorders>
              <w:left w:val="nil"/>
            </w:tcBorders>
          </w:tcPr>
          <w:p w14:paraId="74483B03"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 xml:space="preserve">Major discrepancies were referred to as ‘zero agreement’. Zero agreement corresponded to cases where the initial diagnosis was benign and final diagnosis was sarcoma, or vice versa; sarcoma versus non-mesenchymal diagnosis (i.e. carcinoma, melanoma, lymphoma) or vice versa; or gastrointestinal stromal cancer (GIST) versus non-GIST. </w:t>
            </w:r>
          </w:p>
        </w:tc>
      </w:tr>
      <w:tr w:rsidR="00B51828" w14:paraId="1E58CFD1" w14:textId="77777777" w:rsidTr="002101D2">
        <w:tc>
          <w:tcPr>
            <w:tcW w:w="763" w:type="pct"/>
          </w:tcPr>
          <w:p w14:paraId="11EDB908"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Tavora 2009</w:t>
            </w:r>
          </w:p>
        </w:tc>
        <w:tc>
          <w:tcPr>
            <w:tcW w:w="4237" w:type="pct"/>
            <w:tcBorders>
              <w:left w:val="nil"/>
            </w:tcBorders>
          </w:tcPr>
          <w:p w14:paraId="67E02E30"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Cases initially diagnosed as an urothelial neoplasm that were found to be non-neoplastic upon review (i.e. malignant-benign changes).</w:t>
            </w:r>
          </w:p>
        </w:tc>
      </w:tr>
      <w:tr w:rsidR="00B51828" w14:paraId="66424152" w14:textId="77777777" w:rsidTr="002101D2">
        <w:tc>
          <w:tcPr>
            <w:tcW w:w="763" w:type="pct"/>
          </w:tcPr>
          <w:p w14:paraId="50293960"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van Dijk 2008</w:t>
            </w:r>
          </w:p>
        </w:tc>
        <w:tc>
          <w:tcPr>
            <w:tcW w:w="4237" w:type="pct"/>
            <w:tcBorders>
              <w:left w:val="nil"/>
            </w:tcBorders>
          </w:tcPr>
          <w:p w14:paraId="588AF768" w14:textId="73F6A5CB" w:rsidR="00B51828" w:rsidRDefault="00B51828" w:rsidP="001B22C7">
            <w:pPr>
              <w:keepNext/>
              <w:spacing w:before="20" w:after="20"/>
              <w:ind w:left="0"/>
              <w:rPr>
                <w:rFonts w:ascii="Arial Narrow" w:hAnsi="Arial Narrow"/>
                <w:sz w:val="20"/>
                <w:szCs w:val="20"/>
              </w:rPr>
            </w:pPr>
            <w:r>
              <w:rPr>
                <w:rFonts w:ascii="Arial Narrow" w:hAnsi="Arial Narrow"/>
                <w:sz w:val="20"/>
                <w:szCs w:val="20"/>
              </w:rPr>
              <w:t>Clinically</w:t>
            </w:r>
            <w:r w:rsidR="0053670C">
              <w:rPr>
                <w:rFonts w:ascii="Arial Narrow" w:hAnsi="Arial Narrow"/>
                <w:sz w:val="20"/>
                <w:szCs w:val="20"/>
              </w:rPr>
              <w:t xml:space="preserve"> </w:t>
            </w:r>
            <w:r>
              <w:rPr>
                <w:rFonts w:ascii="Arial Narrow" w:hAnsi="Arial Narrow"/>
                <w:sz w:val="20"/>
                <w:szCs w:val="20"/>
              </w:rPr>
              <w:t xml:space="preserve">relevant over-diagnosis or under-diagnosis, defined as cases that underwent a shift from malignant to benign or benign to malignant. </w:t>
            </w:r>
          </w:p>
        </w:tc>
      </w:tr>
      <w:tr w:rsidR="00B51828" w14:paraId="03243626" w14:textId="77777777" w:rsidTr="002101D2">
        <w:tc>
          <w:tcPr>
            <w:tcW w:w="763" w:type="pct"/>
          </w:tcPr>
          <w:p w14:paraId="16D0E040"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Veenhuizen 1997</w:t>
            </w:r>
          </w:p>
        </w:tc>
        <w:tc>
          <w:tcPr>
            <w:tcW w:w="4237" w:type="pct"/>
            <w:tcBorders>
              <w:left w:val="nil"/>
            </w:tcBorders>
          </w:tcPr>
          <w:p w14:paraId="6637BB95" w14:textId="77777777" w:rsidR="00B51828" w:rsidRPr="002657B4" w:rsidRDefault="00B51828" w:rsidP="001B22C7">
            <w:pPr>
              <w:keepNext/>
              <w:spacing w:before="20" w:after="20"/>
              <w:ind w:left="0"/>
              <w:rPr>
                <w:rFonts w:ascii="Arial Narrow" w:hAnsi="Arial Narrow"/>
                <w:sz w:val="20"/>
                <w:szCs w:val="20"/>
              </w:rPr>
            </w:pPr>
            <w:r>
              <w:rPr>
                <w:rFonts w:ascii="Arial Narrow" w:hAnsi="Arial Narrow"/>
                <w:sz w:val="20"/>
                <w:szCs w:val="20"/>
              </w:rPr>
              <w:t xml:space="preserve">The study reported clinically relevant over-diagnosis and under-diagnosis, rather than ‘major discrepancies’. Clinically relevant over-diagnosis referred to a change from malignant (e.g. invasive melanoma or suspected melanoma) to benign (e.g. common acquired naevus, Spitz naevus, special type of naevus, dysplastic naevus or melanoma </w:t>
            </w:r>
            <w:r>
              <w:rPr>
                <w:rFonts w:ascii="Arial Narrow" w:hAnsi="Arial Narrow"/>
                <w:i/>
                <w:sz w:val="20"/>
                <w:szCs w:val="20"/>
              </w:rPr>
              <w:t>in situ</w:t>
            </w:r>
            <w:r>
              <w:rPr>
                <w:rFonts w:ascii="Arial Narrow" w:hAnsi="Arial Narrow"/>
                <w:sz w:val="20"/>
                <w:szCs w:val="20"/>
              </w:rPr>
              <w:t>). Under-diagnosis referred to changes from benign to malignant.</w:t>
            </w:r>
          </w:p>
        </w:tc>
      </w:tr>
      <w:tr w:rsidR="00B51828" w14:paraId="7114E793" w14:textId="77777777" w:rsidTr="002101D2">
        <w:tc>
          <w:tcPr>
            <w:tcW w:w="763" w:type="pct"/>
            <w:shd w:val="clear" w:color="auto" w:fill="BFBFBF" w:themeFill="background1" w:themeFillShade="BF"/>
          </w:tcPr>
          <w:p w14:paraId="1F3DFC50" w14:textId="77777777" w:rsidR="00B51828" w:rsidRPr="009D6481" w:rsidRDefault="00B51828" w:rsidP="001B22C7">
            <w:pPr>
              <w:keepNext/>
              <w:spacing w:before="20" w:after="20"/>
              <w:ind w:left="0"/>
              <w:rPr>
                <w:rFonts w:ascii="Arial Narrow" w:hAnsi="Arial Narrow"/>
                <w:b/>
                <w:i/>
                <w:sz w:val="20"/>
                <w:szCs w:val="20"/>
              </w:rPr>
            </w:pPr>
            <w:r w:rsidRPr="009D6481">
              <w:rPr>
                <w:rFonts w:ascii="Arial Narrow" w:hAnsi="Arial Narrow"/>
                <w:b/>
                <w:i/>
                <w:sz w:val="20"/>
                <w:szCs w:val="20"/>
              </w:rPr>
              <w:t>Scenario 2</w:t>
            </w:r>
          </w:p>
        </w:tc>
        <w:tc>
          <w:tcPr>
            <w:tcW w:w="4237" w:type="pct"/>
            <w:tcBorders>
              <w:left w:val="nil"/>
            </w:tcBorders>
            <w:shd w:val="clear" w:color="auto" w:fill="BFBFBF" w:themeFill="background1" w:themeFillShade="BF"/>
          </w:tcPr>
          <w:p w14:paraId="28055EDC"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w:t>
            </w:r>
          </w:p>
        </w:tc>
      </w:tr>
      <w:tr w:rsidR="00B51828" w14:paraId="7E817E59" w14:textId="77777777" w:rsidTr="002101D2">
        <w:tc>
          <w:tcPr>
            <w:tcW w:w="763" w:type="pct"/>
          </w:tcPr>
          <w:p w14:paraId="4A04E172"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Bruner 1997</w:t>
            </w:r>
          </w:p>
        </w:tc>
        <w:tc>
          <w:tcPr>
            <w:tcW w:w="4237" w:type="pct"/>
            <w:tcBorders>
              <w:left w:val="nil"/>
            </w:tcBorders>
          </w:tcPr>
          <w:p w14:paraId="3849B3BF" w14:textId="77777777" w:rsidR="00B51828" w:rsidRDefault="00B51828" w:rsidP="001B22C7">
            <w:pPr>
              <w:keepNext/>
              <w:spacing w:before="20" w:after="20"/>
              <w:ind w:left="0"/>
              <w:rPr>
                <w:rFonts w:ascii="Arial Narrow" w:hAnsi="Arial Narrow"/>
                <w:sz w:val="20"/>
                <w:szCs w:val="20"/>
              </w:rPr>
            </w:pPr>
            <w:r>
              <w:rPr>
                <w:rFonts w:ascii="Arial Narrow" w:hAnsi="Arial Narrow"/>
                <w:sz w:val="20"/>
                <w:szCs w:val="20"/>
              </w:rPr>
              <w:t xml:space="preserve">Major discrepancies were defined as discrepancies that would have caused an immediate alteration in therapy, excessive increased cost in terms of patient quality of life or ineffective utilisation of resources, or potential for medical malpractice liability for the treating clinician. </w:t>
            </w:r>
          </w:p>
        </w:tc>
      </w:tr>
    </w:tbl>
    <w:p w14:paraId="48D925FA" w14:textId="77777777" w:rsidR="00B51828" w:rsidRDefault="00B51828" w:rsidP="002101D2">
      <w:pPr>
        <w:tabs>
          <w:tab w:val="left" w:pos="2855"/>
        </w:tabs>
        <w:ind w:left="709"/>
      </w:pPr>
    </w:p>
    <w:p w14:paraId="4D92B539" w14:textId="77777777" w:rsidR="00B51828" w:rsidRDefault="00B51828" w:rsidP="00B51828">
      <w:pPr>
        <w:pStyle w:val="Heading3"/>
        <w:numPr>
          <w:ilvl w:val="2"/>
          <w:numId w:val="1"/>
        </w:numPr>
      </w:pPr>
      <w:r>
        <w:t xml:space="preserve">Safety </w:t>
      </w:r>
    </w:p>
    <w:p w14:paraId="103F178A" w14:textId="77777777" w:rsidR="00B51828" w:rsidRDefault="00B51828" w:rsidP="002101D2">
      <w:pPr>
        <w:tabs>
          <w:tab w:val="left" w:pos="2855"/>
        </w:tabs>
        <w:ind w:left="709"/>
      </w:pPr>
      <w:r>
        <w:t>In the majority of studies, there is an implicit assumption that the second, expert opinion is correct, without sufficient follow-up to confirm whether this is indeed the case. Therefore, very limited data are available from the included studies regarding the safety outcomes outlined in the PPICO criteria, which include</w:t>
      </w:r>
      <w:r w:rsidRPr="006A4079">
        <w:t xml:space="preserve"> incorrect diagnosis/interpretation, incorrect revisions of diagnosis/interpretation and incorrect treatment (see </w:t>
      </w:r>
      <w:r w:rsidRPr="006A4079">
        <w:fldChar w:fldCharType="begin"/>
      </w:r>
      <w:r w:rsidRPr="006A4079">
        <w:instrText xml:space="preserve"> REF _Ref395169436 \h </w:instrText>
      </w:r>
      <w:r>
        <w:instrText xml:space="preserve"> \* MERGEFORMAT </w:instrText>
      </w:r>
      <w:r w:rsidRPr="006A4079">
        <w:fldChar w:fldCharType="separate"/>
      </w:r>
      <w:r w:rsidR="0044620B">
        <w:t xml:space="preserve">Table </w:t>
      </w:r>
      <w:r w:rsidR="0044620B">
        <w:rPr>
          <w:noProof/>
        </w:rPr>
        <w:t>B.5</w:t>
      </w:r>
      <w:r w:rsidR="0044620B">
        <w:rPr>
          <w:noProof/>
        </w:rPr>
        <w:noBreakHyphen/>
        <w:t>1</w:t>
      </w:r>
      <w:r w:rsidRPr="006A4079">
        <w:fldChar w:fldCharType="end"/>
      </w:r>
      <w:r w:rsidRPr="006A4079">
        <w:t xml:space="preserve"> and </w:t>
      </w:r>
      <w:r w:rsidRPr="006A4079">
        <w:fldChar w:fldCharType="begin"/>
      </w:r>
      <w:r w:rsidRPr="006A4079">
        <w:instrText xml:space="preserve"> REF _Ref395169450 \h </w:instrText>
      </w:r>
      <w:r>
        <w:instrText xml:space="preserve"> \* MERGEFORMAT </w:instrText>
      </w:r>
      <w:r w:rsidRPr="006A4079">
        <w:fldChar w:fldCharType="separate"/>
      </w:r>
      <w:r w:rsidR="0044620B">
        <w:t xml:space="preserve">Table </w:t>
      </w:r>
      <w:r w:rsidR="0044620B">
        <w:rPr>
          <w:noProof/>
        </w:rPr>
        <w:t>B.5</w:t>
      </w:r>
      <w:r w:rsidR="0044620B">
        <w:rPr>
          <w:noProof/>
        </w:rPr>
        <w:noBreakHyphen/>
        <w:t>2</w:t>
      </w:r>
      <w:r w:rsidRPr="006A4079">
        <w:fldChar w:fldCharType="end"/>
      </w:r>
      <w:r w:rsidRPr="006A4079">
        <w:t xml:space="preserve">). As mentioned in </w:t>
      </w:r>
      <w:r>
        <w:t xml:space="preserve">Section </w:t>
      </w:r>
      <w:r>
        <w:fldChar w:fldCharType="begin"/>
      </w:r>
      <w:r>
        <w:instrText xml:space="preserve"> REF _Ref395175064 \w \h </w:instrText>
      </w:r>
      <w:r>
        <w:fldChar w:fldCharType="separate"/>
      </w:r>
      <w:r w:rsidR="0044620B">
        <w:t>B.3.3</w:t>
      </w:r>
      <w:r>
        <w:fldChar w:fldCharType="end"/>
      </w:r>
      <w:r w:rsidRPr="006A4079">
        <w:t xml:space="preserve">, only two of the included studies provided </w:t>
      </w:r>
      <w:r>
        <w:t xml:space="preserve">any </w:t>
      </w:r>
      <w:r w:rsidRPr="006A4079">
        <w:t xml:space="preserve">patient follow-up information </w:t>
      </w:r>
      <w:r w:rsidRPr="006A4079">
        <w:rPr>
          <w:noProof/>
        </w:rPr>
        <w:t>(Hutton Klein et al, 2010; Tavora et al, 2009)</w:t>
      </w:r>
      <w:r w:rsidRPr="006A4079">
        <w:t>; however, Hutton Klein et al (2010) only obtained follow-up in cases where the second, expert opinion was not confident (i.e. a probable</w:t>
      </w:r>
      <w:r>
        <w:t xml:space="preserve"> or broad differential diagnosis was provided).  </w:t>
      </w:r>
    </w:p>
    <w:p w14:paraId="5F76B5B7" w14:textId="77777777" w:rsidR="00B51828" w:rsidRDefault="00B51828" w:rsidP="00B51828">
      <w:pPr>
        <w:pStyle w:val="Heading3"/>
        <w:numPr>
          <w:ilvl w:val="2"/>
          <w:numId w:val="1"/>
        </w:numPr>
      </w:pPr>
      <w:r>
        <w:t>Effectiveness</w:t>
      </w:r>
    </w:p>
    <w:p w14:paraId="68260A3D" w14:textId="77777777" w:rsidR="00B51828" w:rsidRDefault="00B51828" w:rsidP="002101D2">
      <w:r>
        <w:t xml:space="preserve">None of the included studies reported relevant effectiveness outcomes such as mortality, morbidity or quality of life (see </w:t>
      </w:r>
      <w:r>
        <w:fldChar w:fldCharType="begin"/>
      </w:r>
      <w:r>
        <w:instrText xml:space="preserve"> REF _Ref395169436 \h </w:instrText>
      </w:r>
      <w:r>
        <w:fldChar w:fldCharType="separate"/>
      </w:r>
      <w:r w:rsidR="0044620B">
        <w:t xml:space="preserve">Table </w:t>
      </w:r>
      <w:r w:rsidR="0044620B">
        <w:rPr>
          <w:noProof/>
        </w:rPr>
        <w:t>B.5</w:t>
      </w:r>
      <w:r w:rsidR="0044620B">
        <w:noBreakHyphen/>
      </w:r>
      <w:r w:rsidR="0044620B">
        <w:rPr>
          <w:noProof/>
        </w:rPr>
        <w:t>1</w:t>
      </w:r>
      <w:r>
        <w:fldChar w:fldCharType="end"/>
      </w:r>
      <w:r>
        <w:t xml:space="preserve"> and </w:t>
      </w:r>
      <w:r>
        <w:fldChar w:fldCharType="begin"/>
      </w:r>
      <w:r>
        <w:instrText xml:space="preserve"> REF _Ref395169450 \h </w:instrText>
      </w:r>
      <w:r>
        <w:fldChar w:fldCharType="separate"/>
      </w:r>
      <w:r w:rsidR="0044620B">
        <w:t xml:space="preserve">Table </w:t>
      </w:r>
      <w:r w:rsidR="0044620B">
        <w:rPr>
          <w:noProof/>
        </w:rPr>
        <w:t>B.5</w:t>
      </w:r>
      <w:r w:rsidR="0044620B">
        <w:noBreakHyphen/>
      </w:r>
      <w:r w:rsidR="0044620B">
        <w:rPr>
          <w:noProof/>
        </w:rPr>
        <w:t>2</w:t>
      </w:r>
      <w:r>
        <w:fldChar w:fldCharType="end"/>
      </w:r>
      <w:r>
        <w:t xml:space="preserve">). </w:t>
      </w:r>
    </w:p>
    <w:p w14:paraId="1663C16C" w14:textId="77777777" w:rsidR="00B51828" w:rsidRPr="00FA12EF" w:rsidRDefault="00B51828" w:rsidP="002101D2">
      <w:pPr>
        <w:sectPr w:rsidR="00B51828" w:rsidRPr="00FA12EF" w:rsidSect="002101D2">
          <w:footerReference w:type="default" r:id="rId24"/>
          <w:pgSz w:w="11906" w:h="16838" w:code="9"/>
          <w:pgMar w:top="1440" w:right="1440" w:bottom="1440" w:left="1440" w:header="680" w:footer="1021" w:gutter="0"/>
          <w:cols w:space="708"/>
          <w:docGrid w:linePitch="360"/>
        </w:sectPr>
      </w:pPr>
    </w:p>
    <w:p w14:paraId="0BFFF7FF" w14:textId="77777777" w:rsidR="00B51828" w:rsidRDefault="00B51828" w:rsidP="00B51828">
      <w:pPr>
        <w:pStyle w:val="Heading2"/>
        <w:numPr>
          <w:ilvl w:val="1"/>
          <w:numId w:val="1"/>
        </w:numPr>
      </w:pPr>
      <w:bookmarkStart w:id="140" w:name="_Ref384066847"/>
      <w:bookmarkStart w:id="141" w:name="_Toc396211696"/>
      <w:r>
        <w:lastRenderedPageBreak/>
        <w:t>Systematic overview of the results</w:t>
      </w:r>
      <w:bookmarkEnd w:id="140"/>
      <w:bookmarkEnd w:id="141"/>
    </w:p>
    <w:p w14:paraId="75D9A81B" w14:textId="77777777" w:rsidR="00B51828" w:rsidRDefault="00B51828" w:rsidP="002101D2">
      <w:r>
        <w:t xml:space="preserve">As discussed in Section </w:t>
      </w:r>
      <w:r>
        <w:fldChar w:fldCharType="begin"/>
      </w:r>
      <w:r>
        <w:instrText xml:space="preserve"> REF _Ref393786125 \w \h </w:instrText>
      </w:r>
      <w:r>
        <w:fldChar w:fldCharType="separate"/>
      </w:r>
      <w:r w:rsidR="0044620B">
        <w:t>A.2</w:t>
      </w:r>
      <w:r>
        <w:fldChar w:fldCharType="end"/>
      </w:r>
      <w:r>
        <w:t xml:space="preserve">, an initial pathology opinion may include: (i) no diagnostic interpretation; (ii) a differential diagnosis; or (iii) a provisional diagnosis. While the nature of the initial pathology opinion is not an outcome explicitly evaluated in the Assessment Report, the interpretation of certain outcomes requires consideration of whether or not a provisional diagnosis was provided by the initial pathologist. In particular, in circumstances where the initial pathologist acknowledges their limitations and does not provide a diagnosis, the expert opinion would not usually be regarded as a true diagnostic discrepancy, as it would technically be the first diagnosis upon which patient management decisions could be based. </w:t>
      </w:r>
    </w:p>
    <w:p w14:paraId="3A131609" w14:textId="77777777" w:rsidR="00B51828" w:rsidRPr="00343BCB" w:rsidRDefault="00B51828" w:rsidP="002101D2">
      <w:r>
        <w:t xml:space="preserve">The nature of the initial pathology opinions provided in the </w:t>
      </w:r>
      <w:r w:rsidRPr="00343BCB">
        <w:rPr>
          <w:i/>
        </w:rPr>
        <w:t>Scenario 1</w:t>
      </w:r>
      <w:r w:rsidRPr="00343BCB">
        <w:t xml:space="preserve"> </w:t>
      </w:r>
      <w:r>
        <w:t xml:space="preserve">and </w:t>
      </w:r>
      <w:r w:rsidRPr="00343BCB">
        <w:rPr>
          <w:i/>
        </w:rPr>
        <w:t>Scenario 2</w:t>
      </w:r>
      <w:r w:rsidRPr="00343BCB">
        <w:t xml:space="preserve"> </w:t>
      </w:r>
      <w:r>
        <w:t xml:space="preserve">studies (including the number and proportion of cases referred for second, expert opinion without an initial diagnosis) are shown in </w:t>
      </w:r>
      <w:r>
        <w:fldChar w:fldCharType="begin"/>
      </w:r>
      <w:r>
        <w:instrText xml:space="preserve"> REF _Ref395275774 \h  \* MERGEFORMAT </w:instrText>
      </w:r>
      <w:r>
        <w:fldChar w:fldCharType="separate"/>
      </w:r>
      <w:r w:rsidR="0044620B">
        <w:t>Table B.6</w:t>
      </w:r>
      <w:r w:rsidR="0044620B">
        <w:noBreakHyphen/>
        <w:t>1</w:t>
      </w:r>
      <w:r>
        <w:fldChar w:fldCharType="end"/>
      </w:r>
      <w:r>
        <w:t xml:space="preserve"> and </w:t>
      </w:r>
      <w:r>
        <w:fldChar w:fldCharType="begin"/>
      </w:r>
      <w:r>
        <w:instrText xml:space="preserve"> REF _Ref395344035 \h </w:instrText>
      </w:r>
      <w:r>
        <w:fldChar w:fldCharType="separate"/>
      </w:r>
      <w:r w:rsidR="0044620B">
        <w:t xml:space="preserve">Table </w:t>
      </w:r>
      <w:r w:rsidR="0044620B">
        <w:rPr>
          <w:noProof/>
        </w:rPr>
        <w:t>B.6</w:t>
      </w:r>
      <w:r w:rsidR="0044620B">
        <w:noBreakHyphen/>
      </w:r>
      <w:r w:rsidR="0044620B">
        <w:rPr>
          <w:noProof/>
        </w:rPr>
        <w:t>2</w:t>
      </w:r>
      <w:r>
        <w:fldChar w:fldCharType="end"/>
      </w:r>
      <w:r>
        <w:t xml:space="preserve">, respectively. The proportion of studies referred for expert opinion with no initial diagnosis varies substantially between studies from 0.3% in Hsu et al (2010), which included pathology specimens from any anatomical site, to 46.8% in Arbiser et al (2001), which included soft tissue lesions only. The large variation is likely to result from differences in the complexity of the tissue being studied, but could also be an artefact of the availability of funding for second, expert opinions, which may alter referral patterns. </w:t>
      </w:r>
    </w:p>
    <w:p w14:paraId="0941256C" w14:textId="77777777" w:rsidR="00B51828" w:rsidRDefault="00B51828" w:rsidP="002101D2">
      <w:r>
        <w:t xml:space="preserve">Importantly, there was also inconsistency between the studies regarding the way in which cases without an initial diagnosis were handled during the analysis of results. For example, some studies reported major discrepancies as a proportion of all cases, whereas other studies removed the number of cases with no initial diagnosis from the denominator. For consistency, the results shown throughout Section </w:t>
      </w:r>
      <w:r>
        <w:fldChar w:fldCharType="begin"/>
      </w:r>
      <w:r>
        <w:instrText xml:space="preserve"> REF _Ref384066847 \w \h </w:instrText>
      </w:r>
      <w:r>
        <w:fldChar w:fldCharType="separate"/>
      </w:r>
      <w:r w:rsidR="0044620B">
        <w:t>B.6</w:t>
      </w:r>
      <w:r>
        <w:fldChar w:fldCharType="end"/>
      </w:r>
      <w:r>
        <w:t xml:space="preserve"> were recalculated, where necessary, to reflect the latter approach. For example, the concordance rates shown in Section </w:t>
      </w:r>
      <w:r>
        <w:fldChar w:fldCharType="begin"/>
      </w:r>
      <w:r>
        <w:instrText xml:space="preserve"> REF _Ref395279331 \w \h </w:instrText>
      </w:r>
      <w:r>
        <w:fldChar w:fldCharType="separate"/>
      </w:r>
      <w:r w:rsidR="0044620B">
        <w:t>B.6.1</w:t>
      </w:r>
      <w:r>
        <w:fldChar w:fldCharType="end"/>
      </w:r>
      <w:r>
        <w:t xml:space="preserve"> reflect the proportion of concordant diagnoses out of those cases that had a provisional diagnosis. </w:t>
      </w:r>
    </w:p>
    <w:p w14:paraId="23456505" w14:textId="77777777" w:rsidR="00B51828" w:rsidRDefault="00B51828" w:rsidP="002101D2">
      <w:r>
        <w:t xml:space="preserve">The rationale behind omitting cases with no initial opinion from the results (particularly major discrepancy results, where major discrepancy is a surrogate for change in clinical management) is that it is not possible to determine what type of treatment (or other diagnostic techniques) would have been initiated in the absence of a second, expert opinion. </w:t>
      </w:r>
    </w:p>
    <w:p w14:paraId="384140EA" w14:textId="77777777" w:rsidR="00B51828" w:rsidRDefault="00B51828" w:rsidP="002101D2">
      <w:r>
        <w:t xml:space="preserve">Tables B.6-1 and Tables B.6-2 also provide information about the characteristics of corresponding expert pathology opinions. For example, 13 cases in the study by Cook et al (2001) were referred without an initial pathology opinion. Of those 13 cases, the expert pathologist was able to provide a confident diagnosis in four cases, a probable diagnosis in five cases and was unable to provide a diagnosis in four cases (see </w:t>
      </w:r>
      <w:r>
        <w:fldChar w:fldCharType="begin"/>
      </w:r>
      <w:r>
        <w:instrText xml:space="preserve"> REF _Ref395275774 \h </w:instrText>
      </w:r>
      <w:r>
        <w:fldChar w:fldCharType="separate"/>
      </w:r>
      <w:r w:rsidR="0044620B">
        <w:t xml:space="preserve">Table </w:t>
      </w:r>
      <w:r w:rsidR="0044620B">
        <w:rPr>
          <w:noProof/>
        </w:rPr>
        <w:t>B.6</w:t>
      </w:r>
      <w:r w:rsidR="0044620B">
        <w:noBreakHyphen/>
      </w:r>
      <w:r w:rsidR="0044620B">
        <w:rPr>
          <w:noProof/>
        </w:rPr>
        <w:t>1</w:t>
      </w:r>
      <w:r>
        <w:fldChar w:fldCharType="end"/>
      </w:r>
      <w:r>
        <w:t xml:space="preserve">). </w:t>
      </w:r>
    </w:p>
    <w:p w14:paraId="3A643184" w14:textId="77777777" w:rsidR="00B51828" w:rsidRDefault="00B51828" w:rsidP="002101D2"/>
    <w:p w14:paraId="30CC6CFF" w14:textId="77777777" w:rsidR="00B51828" w:rsidRDefault="00B51828" w:rsidP="002101D2">
      <w:pPr>
        <w:sectPr w:rsidR="00B51828" w:rsidSect="002101D2">
          <w:pgSz w:w="11906" w:h="16838" w:code="9"/>
          <w:pgMar w:top="1440" w:right="1440" w:bottom="1440" w:left="1440" w:header="680" w:footer="1021" w:gutter="0"/>
          <w:cols w:space="708"/>
          <w:docGrid w:linePitch="360"/>
        </w:sectPr>
      </w:pPr>
    </w:p>
    <w:p w14:paraId="2D7E3686" w14:textId="77777777" w:rsidR="00B51828" w:rsidRPr="0017743C" w:rsidRDefault="00B51828" w:rsidP="002101D2">
      <w:pPr>
        <w:pStyle w:val="Caption"/>
        <w:ind w:left="1406" w:hanging="1406"/>
        <w:rPr>
          <w:i/>
        </w:rPr>
      </w:pPr>
      <w:bookmarkStart w:id="142" w:name="_Ref395275774"/>
      <w:bookmarkStart w:id="143" w:name="_Toc395280220"/>
      <w:bookmarkStart w:id="144" w:name="_Toc396211744"/>
      <w:r>
        <w:lastRenderedPageBreak/>
        <w:t xml:space="preserve">Table </w:t>
      </w:r>
      <w:fldSimple w:instr=" STYLEREF 2 \s ">
        <w:r w:rsidR="0044620B">
          <w:rPr>
            <w:noProof/>
          </w:rPr>
          <w:t>B.6</w:t>
        </w:r>
      </w:fldSimple>
      <w:r>
        <w:noBreakHyphen/>
      </w:r>
      <w:fldSimple w:instr=" SEQ Table \* ARABIC \s 2 ">
        <w:r w:rsidR="0044620B">
          <w:rPr>
            <w:noProof/>
          </w:rPr>
          <w:t>1</w:t>
        </w:r>
      </w:fldSimple>
      <w:bookmarkEnd w:id="142"/>
      <w:r>
        <w:tab/>
        <w:t xml:space="preserve">Summary of the nature of initial and expert pathology opinions – </w:t>
      </w:r>
      <w:r>
        <w:rPr>
          <w:i/>
        </w:rPr>
        <w:t>Scenario 1</w:t>
      </w:r>
      <w:bookmarkEnd w:id="143"/>
      <w:r>
        <w:rPr>
          <w:i/>
        </w:rPr>
        <w:t xml:space="preserve"> studies</w:t>
      </w:r>
      <w:bookmarkEnd w:id="144"/>
    </w:p>
    <w:tbl>
      <w:tblPr>
        <w:tblStyle w:val="TableGrid"/>
        <w:tblW w:w="5000" w:type="pct"/>
        <w:tblLayout w:type="fixed"/>
        <w:tblLook w:val="04A0" w:firstRow="1" w:lastRow="0" w:firstColumn="1" w:lastColumn="0" w:noHBand="0" w:noVBand="1"/>
        <w:tblCaption w:val="The nature of initial and expert pathology opinions – Scenario 1 studies"/>
        <w:tblDescription w:val="Summary of the nature of initial and expert pathology opinions in Scenario 1 studies. For example, the proportion of initial pathologists who provided no initial opinion."/>
      </w:tblPr>
      <w:tblGrid>
        <w:gridCol w:w="1780"/>
        <w:gridCol w:w="1673"/>
        <w:gridCol w:w="3889"/>
        <w:gridCol w:w="1729"/>
        <w:gridCol w:w="3456"/>
        <w:gridCol w:w="1647"/>
      </w:tblGrid>
      <w:tr w:rsidR="00B51828" w:rsidRPr="00FD59F8" w14:paraId="6CF52EF1" w14:textId="77777777" w:rsidTr="002101D2">
        <w:trPr>
          <w:tblHeader/>
        </w:trPr>
        <w:tc>
          <w:tcPr>
            <w:tcW w:w="628" w:type="pct"/>
          </w:tcPr>
          <w:p w14:paraId="5DFE7BE2"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Study ID</w:t>
            </w:r>
          </w:p>
        </w:tc>
        <w:tc>
          <w:tcPr>
            <w:tcW w:w="590" w:type="pct"/>
          </w:tcPr>
          <w:p w14:paraId="06E378B4"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Population (N)</w:t>
            </w:r>
          </w:p>
        </w:tc>
        <w:tc>
          <w:tcPr>
            <w:tcW w:w="1372" w:type="pct"/>
          </w:tcPr>
          <w:p w14:paraId="5F9A3E92"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Initial pathology opinion</w:t>
            </w:r>
          </w:p>
        </w:tc>
        <w:tc>
          <w:tcPr>
            <w:tcW w:w="610" w:type="pct"/>
          </w:tcPr>
          <w:p w14:paraId="3B5F552F"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Results n/N (%)</w:t>
            </w:r>
          </w:p>
        </w:tc>
        <w:tc>
          <w:tcPr>
            <w:tcW w:w="1219" w:type="pct"/>
          </w:tcPr>
          <w:p w14:paraId="5353C65D"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Expert pathology opinion</w:t>
            </w:r>
          </w:p>
        </w:tc>
        <w:tc>
          <w:tcPr>
            <w:tcW w:w="581" w:type="pct"/>
          </w:tcPr>
          <w:p w14:paraId="4FEDB2E7"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Results n/N (%)</w:t>
            </w:r>
          </w:p>
        </w:tc>
      </w:tr>
      <w:tr w:rsidR="00B51828" w:rsidRPr="00FD59F8" w14:paraId="0E0A389A" w14:textId="77777777" w:rsidTr="002101D2">
        <w:tc>
          <w:tcPr>
            <w:tcW w:w="628" w:type="pct"/>
            <w:shd w:val="clear" w:color="auto" w:fill="BFBFBF" w:themeFill="background1" w:themeFillShade="BF"/>
          </w:tcPr>
          <w:p w14:paraId="1516CA64"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ALL SURGICAL PATHOLOGY</w:t>
            </w:r>
          </w:p>
        </w:tc>
        <w:tc>
          <w:tcPr>
            <w:tcW w:w="590" w:type="pct"/>
            <w:shd w:val="clear" w:color="auto" w:fill="BFBFBF" w:themeFill="background1" w:themeFillShade="BF"/>
          </w:tcPr>
          <w:p w14:paraId="265F151A"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1372" w:type="pct"/>
            <w:shd w:val="clear" w:color="auto" w:fill="BFBFBF" w:themeFill="background1" w:themeFillShade="BF"/>
          </w:tcPr>
          <w:p w14:paraId="28B957D2"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610" w:type="pct"/>
            <w:shd w:val="clear" w:color="auto" w:fill="BFBFBF" w:themeFill="background1" w:themeFillShade="BF"/>
          </w:tcPr>
          <w:p w14:paraId="696AD0CE"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1219" w:type="pct"/>
            <w:shd w:val="clear" w:color="auto" w:fill="BFBFBF" w:themeFill="background1" w:themeFillShade="BF"/>
          </w:tcPr>
          <w:p w14:paraId="41D94D8C"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581" w:type="pct"/>
            <w:shd w:val="clear" w:color="auto" w:fill="BFBFBF" w:themeFill="background1" w:themeFillShade="BF"/>
          </w:tcPr>
          <w:p w14:paraId="4880BE1D"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r>
      <w:tr w:rsidR="00B51828" w:rsidRPr="00FD59F8" w14:paraId="5300F8AB" w14:textId="77777777" w:rsidTr="002101D2">
        <w:tc>
          <w:tcPr>
            <w:tcW w:w="628" w:type="pct"/>
          </w:tcPr>
          <w:p w14:paraId="392A2C29"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Cook 2001</w:t>
            </w:r>
          </w:p>
        </w:tc>
        <w:tc>
          <w:tcPr>
            <w:tcW w:w="590" w:type="pct"/>
          </w:tcPr>
          <w:p w14:paraId="21ECEDEC"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All histopathology; any organ system</w:t>
            </w:r>
          </w:p>
          <w:p w14:paraId="19704616" w14:textId="77777777" w:rsidR="00B51828" w:rsidRPr="00FD59F8" w:rsidRDefault="00B51828" w:rsidP="002101D2">
            <w:pPr>
              <w:spacing w:before="20" w:after="20"/>
              <w:ind w:left="0"/>
              <w:rPr>
                <w:rFonts w:ascii="Arial Narrow" w:hAnsi="Arial Narrow"/>
                <w:sz w:val="20"/>
                <w:szCs w:val="20"/>
                <w:vertAlign w:val="superscript"/>
              </w:rPr>
            </w:pPr>
            <w:r w:rsidRPr="00FD59F8">
              <w:rPr>
                <w:rFonts w:ascii="Arial Narrow" w:hAnsi="Arial Narrow"/>
                <w:sz w:val="20"/>
                <w:szCs w:val="20"/>
              </w:rPr>
              <w:t>N=128 cases</w:t>
            </w:r>
            <w:r w:rsidRPr="00FD59F8">
              <w:rPr>
                <w:rFonts w:ascii="Arial Narrow" w:hAnsi="Arial Narrow"/>
                <w:sz w:val="20"/>
                <w:szCs w:val="20"/>
                <w:vertAlign w:val="superscript"/>
              </w:rPr>
              <w:t>a</w:t>
            </w:r>
          </w:p>
        </w:tc>
        <w:tc>
          <w:tcPr>
            <w:tcW w:w="1372" w:type="pct"/>
          </w:tcPr>
          <w:p w14:paraId="033D7B2F" w14:textId="77777777" w:rsidR="00B51828" w:rsidRPr="00FD59F8" w:rsidRDefault="00B51828" w:rsidP="002101D2">
            <w:pPr>
              <w:spacing w:before="20" w:after="0"/>
              <w:ind w:left="0"/>
              <w:rPr>
                <w:rFonts w:ascii="Arial Narrow" w:hAnsi="Arial Narrow"/>
                <w:sz w:val="20"/>
                <w:szCs w:val="20"/>
              </w:rPr>
            </w:pPr>
            <w:r w:rsidRPr="00FD59F8">
              <w:rPr>
                <w:rFonts w:ascii="Arial Narrow" w:hAnsi="Arial Narrow"/>
                <w:sz w:val="20"/>
                <w:szCs w:val="20"/>
              </w:rPr>
              <w:t>Cases with no initial diagnosis</w:t>
            </w:r>
          </w:p>
          <w:p w14:paraId="68AB6E99"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Cases with a differential diagnosis</w:t>
            </w:r>
          </w:p>
          <w:p w14:paraId="13BECA17"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Cases with a provisional diagnosis: pathologist-initiated expert opinion</w:t>
            </w:r>
          </w:p>
          <w:p w14:paraId="195B8B0E"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Cases with a provisional diagnosis: clinician-initiated expert opinion</w:t>
            </w:r>
          </w:p>
          <w:p w14:paraId="67F2627D" w14:textId="77777777" w:rsidR="00B51828" w:rsidRPr="00FD59F8" w:rsidRDefault="00B51828" w:rsidP="002101D2">
            <w:pPr>
              <w:spacing w:after="0"/>
              <w:ind w:left="0"/>
              <w:rPr>
                <w:rFonts w:ascii="Arial Narrow" w:hAnsi="Arial Narrow"/>
                <w:sz w:val="20"/>
                <w:szCs w:val="20"/>
                <w:vertAlign w:val="superscript"/>
              </w:rPr>
            </w:pPr>
            <w:r w:rsidRPr="00FD59F8">
              <w:rPr>
                <w:rFonts w:ascii="Arial Narrow" w:hAnsi="Arial Narrow"/>
                <w:sz w:val="20"/>
                <w:szCs w:val="20"/>
              </w:rPr>
              <w:t xml:space="preserve">Number of cases with a confident, final diagnosis prior to </w:t>
            </w:r>
            <w:r>
              <w:rPr>
                <w:rFonts w:ascii="Arial Narrow" w:hAnsi="Arial Narrow"/>
                <w:sz w:val="20"/>
                <w:szCs w:val="20"/>
              </w:rPr>
              <w:t>expert opinion</w:t>
            </w:r>
            <w:r w:rsidRPr="00FD59F8">
              <w:rPr>
                <w:rFonts w:ascii="Arial Narrow" w:hAnsi="Arial Narrow"/>
                <w:sz w:val="20"/>
                <w:szCs w:val="20"/>
                <w:vertAlign w:val="superscript"/>
              </w:rPr>
              <w:t>b</w:t>
            </w:r>
          </w:p>
        </w:tc>
        <w:tc>
          <w:tcPr>
            <w:tcW w:w="610" w:type="pct"/>
          </w:tcPr>
          <w:p w14:paraId="58B93D69" w14:textId="77777777" w:rsidR="00B51828" w:rsidRPr="00FD59F8" w:rsidRDefault="00B51828" w:rsidP="002101D2">
            <w:pPr>
              <w:spacing w:before="20" w:after="0"/>
              <w:ind w:left="0"/>
              <w:rPr>
                <w:rFonts w:ascii="Arial Narrow" w:hAnsi="Arial Narrow"/>
                <w:sz w:val="20"/>
                <w:szCs w:val="20"/>
              </w:rPr>
            </w:pPr>
            <w:r w:rsidRPr="00FD59F8">
              <w:rPr>
                <w:rFonts w:ascii="Arial Narrow" w:hAnsi="Arial Narrow"/>
                <w:sz w:val="20"/>
                <w:szCs w:val="20"/>
              </w:rPr>
              <w:t>13/116 (11.2%)</w:t>
            </w:r>
          </w:p>
          <w:p w14:paraId="5575C37A"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18/116 (15.5%)</w:t>
            </w:r>
          </w:p>
          <w:p w14:paraId="21D91376"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55/116 (47.4%)</w:t>
            </w:r>
          </w:p>
          <w:p w14:paraId="1FCC5E2D" w14:textId="77777777" w:rsidR="00B51828" w:rsidRPr="00FD59F8" w:rsidRDefault="00B51828" w:rsidP="002101D2">
            <w:pPr>
              <w:spacing w:after="0"/>
              <w:ind w:left="0"/>
              <w:rPr>
                <w:rFonts w:ascii="Arial Narrow" w:hAnsi="Arial Narrow"/>
                <w:sz w:val="20"/>
                <w:szCs w:val="20"/>
              </w:rPr>
            </w:pPr>
          </w:p>
          <w:p w14:paraId="7E45A2AF"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3/116 (2.6%)</w:t>
            </w:r>
          </w:p>
          <w:p w14:paraId="507F1892" w14:textId="77777777" w:rsidR="00B51828" w:rsidRPr="00FD59F8" w:rsidRDefault="00B51828" w:rsidP="002101D2">
            <w:pPr>
              <w:spacing w:after="0"/>
              <w:ind w:left="0"/>
              <w:rPr>
                <w:rFonts w:ascii="Arial Narrow" w:hAnsi="Arial Narrow"/>
                <w:sz w:val="20"/>
                <w:szCs w:val="20"/>
              </w:rPr>
            </w:pPr>
          </w:p>
          <w:p w14:paraId="36DE82C4"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27/116 (23.3%)</w:t>
            </w:r>
          </w:p>
          <w:p w14:paraId="114B57FF" w14:textId="77777777" w:rsidR="00B51828" w:rsidRPr="00FD59F8" w:rsidRDefault="00B51828" w:rsidP="002101D2">
            <w:pPr>
              <w:spacing w:before="20" w:after="20"/>
              <w:ind w:left="0"/>
              <w:rPr>
                <w:rFonts w:ascii="Arial Narrow" w:hAnsi="Arial Narrow"/>
                <w:sz w:val="20"/>
                <w:szCs w:val="20"/>
              </w:rPr>
            </w:pPr>
          </w:p>
        </w:tc>
        <w:tc>
          <w:tcPr>
            <w:tcW w:w="1219" w:type="pct"/>
          </w:tcPr>
          <w:p w14:paraId="127B8D5C" w14:textId="77777777" w:rsidR="00B51828" w:rsidRPr="00FD59F8" w:rsidRDefault="00B51828" w:rsidP="002101D2">
            <w:pPr>
              <w:spacing w:before="20" w:after="0"/>
              <w:ind w:left="0"/>
              <w:rPr>
                <w:rFonts w:ascii="Arial Narrow" w:hAnsi="Arial Narrow"/>
                <w:sz w:val="20"/>
                <w:szCs w:val="20"/>
              </w:rPr>
            </w:pPr>
            <w:r w:rsidRPr="00FD59F8">
              <w:rPr>
                <w:rFonts w:ascii="Arial Narrow" w:hAnsi="Arial Narrow"/>
                <w:sz w:val="20"/>
                <w:szCs w:val="20"/>
              </w:rPr>
              <w:t>Confident diagnosis made in cases with no initial diagnosis</w:t>
            </w:r>
          </w:p>
          <w:p w14:paraId="28EAACFC"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Probable diagnosis made in cases with no initial diagnosis</w:t>
            </w:r>
          </w:p>
          <w:p w14:paraId="4DFAF99E" w14:textId="77777777" w:rsidR="00B51828" w:rsidRDefault="00B51828" w:rsidP="002101D2">
            <w:pPr>
              <w:spacing w:after="0"/>
              <w:ind w:left="0"/>
              <w:rPr>
                <w:rFonts w:ascii="Arial Narrow" w:hAnsi="Arial Narrow"/>
                <w:sz w:val="20"/>
                <w:szCs w:val="20"/>
              </w:rPr>
            </w:pPr>
            <w:r w:rsidRPr="00FD59F8">
              <w:rPr>
                <w:rFonts w:ascii="Arial Narrow" w:hAnsi="Arial Narrow"/>
                <w:sz w:val="20"/>
                <w:szCs w:val="20"/>
              </w:rPr>
              <w:t>No diagnosis reached in cases with no initial diagnosis</w:t>
            </w:r>
          </w:p>
          <w:p w14:paraId="3046F379" w14:textId="77777777" w:rsidR="00B51828" w:rsidRPr="00FD59F8" w:rsidRDefault="00B51828" w:rsidP="002101D2">
            <w:pPr>
              <w:spacing w:after="0"/>
              <w:ind w:left="0"/>
              <w:rPr>
                <w:rFonts w:ascii="Arial Narrow" w:hAnsi="Arial Narrow"/>
                <w:sz w:val="20"/>
                <w:szCs w:val="20"/>
              </w:rPr>
            </w:pPr>
            <w:r>
              <w:rPr>
                <w:rFonts w:ascii="Arial Narrow" w:hAnsi="Arial Narrow"/>
                <w:sz w:val="20"/>
                <w:szCs w:val="20"/>
              </w:rPr>
              <w:t>Confident diagnosis by expert pathologist after initial differential diagnosis</w:t>
            </w:r>
          </w:p>
          <w:p w14:paraId="2CF730F7" w14:textId="77777777" w:rsidR="00B51828" w:rsidRPr="00FD59F8" w:rsidRDefault="00B51828" w:rsidP="002101D2">
            <w:pPr>
              <w:spacing w:after="20"/>
              <w:ind w:left="0"/>
              <w:rPr>
                <w:rFonts w:ascii="Arial Narrow" w:hAnsi="Arial Narrow"/>
                <w:sz w:val="20"/>
                <w:szCs w:val="20"/>
              </w:rPr>
            </w:pPr>
            <w:r w:rsidRPr="00FD59F8">
              <w:rPr>
                <w:rFonts w:ascii="Arial Narrow" w:hAnsi="Arial Narrow"/>
                <w:sz w:val="20"/>
                <w:szCs w:val="20"/>
              </w:rPr>
              <w:t>Provisional diagnosis altered or a confident diagnosis made where there was previously no definite diagnosis</w:t>
            </w:r>
          </w:p>
        </w:tc>
        <w:tc>
          <w:tcPr>
            <w:tcW w:w="581" w:type="pct"/>
          </w:tcPr>
          <w:p w14:paraId="221E3C90" w14:textId="77777777" w:rsidR="00B51828" w:rsidRPr="00FD59F8" w:rsidRDefault="00B51828" w:rsidP="002101D2">
            <w:pPr>
              <w:spacing w:before="20" w:after="0"/>
              <w:ind w:left="0"/>
              <w:rPr>
                <w:rFonts w:ascii="Arial Narrow" w:hAnsi="Arial Narrow"/>
                <w:sz w:val="20"/>
                <w:szCs w:val="20"/>
              </w:rPr>
            </w:pPr>
            <w:r w:rsidRPr="00FD59F8">
              <w:rPr>
                <w:rFonts w:ascii="Arial Narrow" w:hAnsi="Arial Narrow"/>
                <w:sz w:val="20"/>
                <w:szCs w:val="20"/>
              </w:rPr>
              <w:t>4/13 (30.8%)</w:t>
            </w:r>
          </w:p>
          <w:p w14:paraId="7D062911" w14:textId="77777777" w:rsidR="00B51828" w:rsidRPr="00FD59F8" w:rsidRDefault="00B51828" w:rsidP="002101D2">
            <w:pPr>
              <w:spacing w:after="0"/>
              <w:ind w:left="0"/>
              <w:rPr>
                <w:rFonts w:ascii="Arial Narrow" w:hAnsi="Arial Narrow"/>
                <w:sz w:val="20"/>
                <w:szCs w:val="20"/>
              </w:rPr>
            </w:pPr>
          </w:p>
          <w:p w14:paraId="70625953"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5/13 (38.5%)</w:t>
            </w:r>
          </w:p>
          <w:p w14:paraId="0809B194" w14:textId="77777777" w:rsidR="00B51828" w:rsidRPr="00FD59F8" w:rsidRDefault="00B51828" w:rsidP="002101D2">
            <w:pPr>
              <w:spacing w:after="0"/>
              <w:ind w:left="0"/>
              <w:rPr>
                <w:rFonts w:ascii="Arial Narrow" w:hAnsi="Arial Narrow"/>
                <w:sz w:val="20"/>
                <w:szCs w:val="20"/>
              </w:rPr>
            </w:pPr>
          </w:p>
          <w:p w14:paraId="76EE27F2" w14:textId="77777777" w:rsidR="00B51828" w:rsidRDefault="00B51828" w:rsidP="002101D2">
            <w:pPr>
              <w:spacing w:after="0"/>
              <w:ind w:left="0"/>
              <w:rPr>
                <w:rFonts w:ascii="Arial Narrow" w:hAnsi="Arial Narrow"/>
                <w:sz w:val="20"/>
                <w:szCs w:val="20"/>
              </w:rPr>
            </w:pPr>
            <w:r w:rsidRPr="00FD59F8">
              <w:rPr>
                <w:rFonts w:ascii="Arial Narrow" w:hAnsi="Arial Narrow"/>
                <w:sz w:val="20"/>
                <w:szCs w:val="20"/>
              </w:rPr>
              <w:t>4/13 (30.8%)</w:t>
            </w:r>
          </w:p>
          <w:p w14:paraId="297F5D0F" w14:textId="77777777" w:rsidR="00B51828" w:rsidRPr="00FD59F8" w:rsidRDefault="00B51828" w:rsidP="002101D2">
            <w:pPr>
              <w:spacing w:after="0"/>
              <w:ind w:left="0"/>
              <w:rPr>
                <w:rFonts w:ascii="Arial Narrow" w:hAnsi="Arial Narrow"/>
                <w:sz w:val="20"/>
                <w:szCs w:val="20"/>
              </w:rPr>
            </w:pPr>
          </w:p>
          <w:p w14:paraId="1621E2E4" w14:textId="77777777" w:rsidR="00B51828" w:rsidRDefault="00B51828" w:rsidP="002101D2">
            <w:pPr>
              <w:spacing w:after="0"/>
              <w:ind w:left="0"/>
              <w:rPr>
                <w:rFonts w:ascii="Arial Narrow" w:hAnsi="Arial Narrow"/>
                <w:sz w:val="20"/>
                <w:szCs w:val="20"/>
              </w:rPr>
            </w:pPr>
            <w:r>
              <w:rPr>
                <w:rFonts w:ascii="Arial Narrow" w:hAnsi="Arial Narrow"/>
                <w:sz w:val="20"/>
                <w:szCs w:val="20"/>
              </w:rPr>
              <w:t>15/18 (83.3%)</w:t>
            </w:r>
          </w:p>
          <w:p w14:paraId="2D0A0186" w14:textId="77777777" w:rsidR="00B51828" w:rsidRPr="00FD59F8" w:rsidRDefault="00B51828" w:rsidP="002101D2">
            <w:pPr>
              <w:spacing w:after="0"/>
              <w:ind w:left="0"/>
              <w:rPr>
                <w:rFonts w:ascii="Arial Narrow" w:hAnsi="Arial Narrow"/>
                <w:sz w:val="20"/>
                <w:szCs w:val="20"/>
              </w:rPr>
            </w:pPr>
          </w:p>
          <w:p w14:paraId="73E92A19"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36/89</w:t>
            </w:r>
            <w:r w:rsidRPr="00FD59F8">
              <w:rPr>
                <w:rFonts w:ascii="Arial Narrow" w:hAnsi="Arial Narrow"/>
                <w:sz w:val="20"/>
                <w:szCs w:val="20"/>
                <w:vertAlign w:val="superscript"/>
              </w:rPr>
              <w:t>c</w:t>
            </w:r>
            <w:r w:rsidRPr="00FD59F8">
              <w:rPr>
                <w:rFonts w:ascii="Arial Narrow" w:hAnsi="Arial Narrow"/>
                <w:sz w:val="20"/>
                <w:szCs w:val="20"/>
              </w:rPr>
              <w:t xml:space="preserve"> (40.4%)</w:t>
            </w:r>
          </w:p>
        </w:tc>
      </w:tr>
      <w:tr w:rsidR="00B51828" w:rsidRPr="00FD59F8" w14:paraId="624F6BDA" w14:textId="77777777" w:rsidTr="002101D2">
        <w:tc>
          <w:tcPr>
            <w:tcW w:w="628" w:type="pct"/>
          </w:tcPr>
          <w:p w14:paraId="67508E10"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Hsu 2010</w:t>
            </w:r>
          </w:p>
        </w:tc>
        <w:tc>
          <w:tcPr>
            <w:tcW w:w="590" w:type="pct"/>
          </w:tcPr>
          <w:p w14:paraId="1866E2C4"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Anatomic pathology; any organ system</w:t>
            </w:r>
          </w:p>
          <w:p w14:paraId="3E1642B5"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N=2686 cases</w:t>
            </w:r>
          </w:p>
        </w:tc>
        <w:tc>
          <w:tcPr>
            <w:tcW w:w="1372" w:type="pct"/>
          </w:tcPr>
          <w:p w14:paraId="7709FADC" w14:textId="77777777" w:rsidR="00B51828" w:rsidRPr="00FD59F8" w:rsidRDefault="00B51828" w:rsidP="002101D2">
            <w:pPr>
              <w:spacing w:before="20" w:after="0"/>
              <w:ind w:left="0"/>
              <w:rPr>
                <w:rFonts w:ascii="Arial Narrow" w:hAnsi="Arial Narrow"/>
                <w:sz w:val="20"/>
                <w:szCs w:val="20"/>
                <w:u w:val="single"/>
              </w:rPr>
            </w:pPr>
            <w:r w:rsidRPr="00FD59F8">
              <w:rPr>
                <w:rFonts w:ascii="Arial Narrow" w:hAnsi="Arial Narrow"/>
                <w:sz w:val="20"/>
                <w:szCs w:val="20"/>
              </w:rPr>
              <w:t>Cases with no initial diagnosis</w:t>
            </w:r>
          </w:p>
          <w:p w14:paraId="54E9B358"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Cases with a differential diagnosis</w:t>
            </w:r>
          </w:p>
          <w:p w14:paraId="249226B0" w14:textId="77777777" w:rsidR="00B51828" w:rsidRPr="00FD59F8" w:rsidRDefault="00B51828" w:rsidP="002101D2">
            <w:pPr>
              <w:spacing w:after="0"/>
              <w:ind w:left="0"/>
              <w:rPr>
                <w:rFonts w:ascii="Arial Narrow" w:hAnsi="Arial Narrow"/>
                <w:sz w:val="20"/>
                <w:szCs w:val="20"/>
              </w:rPr>
            </w:pPr>
            <w:r w:rsidRPr="00FD59F8">
              <w:rPr>
                <w:rFonts w:ascii="Arial Narrow" w:hAnsi="Arial Narrow"/>
                <w:sz w:val="20"/>
                <w:szCs w:val="20"/>
              </w:rPr>
              <w:t>Cases with a provisional diagnosis</w:t>
            </w:r>
          </w:p>
          <w:p w14:paraId="15E3011C" w14:textId="77777777" w:rsidR="00B51828" w:rsidRPr="00FD59F8" w:rsidRDefault="00B51828" w:rsidP="002101D2">
            <w:pPr>
              <w:spacing w:after="20"/>
              <w:ind w:left="0"/>
              <w:rPr>
                <w:rFonts w:ascii="Arial Narrow" w:hAnsi="Arial Narrow"/>
                <w:sz w:val="20"/>
                <w:szCs w:val="20"/>
              </w:rPr>
            </w:pPr>
            <w:r w:rsidRPr="00FD59F8">
              <w:rPr>
                <w:rFonts w:ascii="Arial Narrow" w:hAnsi="Arial Narrow"/>
                <w:sz w:val="20"/>
                <w:szCs w:val="20"/>
              </w:rPr>
              <w:t>Cases with a ‘specific’ provisional diagnosis</w:t>
            </w:r>
          </w:p>
        </w:tc>
        <w:tc>
          <w:tcPr>
            <w:tcW w:w="610" w:type="pct"/>
          </w:tcPr>
          <w:p w14:paraId="40AE5A7A" w14:textId="77777777" w:rsidR="00B51828" w:rsidRPr="00FD59F8" w:rsidRDefault="00B51828" w:rsidP="002101D2">
            <w:pPr>
              <w:keepNext/>
              <w:spacing w:before="20" w:after="0"/>
              <w:ind w:left="0"/>
              <w:rPr>
                <w:rFonts w:ascii="Arial Narrow" w:hAnsi="Arial Narrow"/>
                <w:sz w:val="20"/>
                <w:szCs w:val="20"/>
              </w:rPr>
            </w:pPr>
            <w:r w:rsidRPr="00FD59F8">
              <w:rPr>
                <w:rFonts w:ascii="Arial Narrow" w:hAnsi="Arial Narrow"/>
                <w:sz w:val="20"/>
                <w:szCs w:val="20"/>
              </w:rPr>
              <w:t>7/2686 (0.3%)</w:t>
            </w:r>
          </w:p>
          <w:p w14:paraId="7BD1C2D9" w14:textId="77777777" w:rsidR="00B51828" w:rsidRPr="00FD59F8" w:rsidRDefault="00B51828" w:rsidP="002101D2">
            <w:pPr>
              <w:keepNext/>
              <w:spacing w:after="0"/>
              <w:ind w:left="0"/>
              <w:rPr>
                <w:rFonts w:ascii="Arial Narrow" w:hAnsi="Arial Narrow"/>
                <w:sz w:val="20"/>
                <w:szCs w:val="20"/>
              </w:rPr>
            </w:pPr>
            <w:r w:rsidRPr="00FD59F8">
              <w:rPr>
                <w:rFonts w:ascii="Arial Narrow" w:hAnsi="Arial Narrow"/>
                <w:sz w:val="20"/>
                <w:szCs w:val="20"/>
              </w:rPr>
              <w:t>816/2686 (30.4%)</w:t>
            </w:r>
          </w:p>
          <w:p w14:paraId="392CF871" w14:textId="77777777" w:rsidR="00B51828" w:rsidRPr="00FD59F8" w:rsidRDefault="00B51828" w:rsidP="002101D2">
            <w:pPr>
              <w:keepNext/>
              <w:spacing w:after="0"/>
              <w:ind w:left="0"/>
              <w:rPr>
                <w:rFonts w:ascii="Arial Narrow" w:hAnsi="Arial Narrow"/>
                <w:sz w:val="20"/>
                <w:szCs w:val="20"/>
              </w:rPr>
            </w:pPr>
            <w:r w:rsidRPr="00FD59F8">
              <w:rPr>
                <w:rFonts w:ascii="Arial Narrow" w:hAnsi="Arial Narrow"/>
                <w:sz w:val="20"/>
                <w:szCs w:val="20"/>
              </w:rPr>
              <w:t>1863/2686 (69.4%)</w:t>
            </w:r>
          </w:p>
          <w:p w14:paraId="0D43D967" w14:textId="77777777" w:rsidR="00B51828" w:rsidRPr="00FD59F8" w:rsidRDefault="00B51828" w:rsidP="002101D2">
            <w:pPr>
              <w:keepNext/>
              <w:spacing w:after="20"/>
              <w:ind w:left="0"/>
              <w:rPr>
                <w:rFonts w:ascii="Arial Narrow" w:hAnsi="Arial Narrow"/>
                <w:sz w:val="20"/>
                <w:szCs w:val="20"/>
              </w:rPr>
            </w:pPr>
            <w:r w:rsidRPr="00FD59F8">
              <w:rPr>
                <w:rFonts w:ascii="Arial Narrow" w:hAnsi="Arial Narrow"/>
                <w:sz w:val="20"/>
                <w:szCs w:val="20"/>
              </w:rPr>
              <w:t>1670/2686 (62.2%)</w:t>
            </w:r>
          </w:p>
        </w:tc>
        <w:tc>
          <w:tcPr>
            <w:tcW w:w="1219" w:type="pct"/>
          </w:tcPr>
          <w:p w14:paraId="7EF7E96E"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NR</w:t>
            </w:r>
          </w:p>
        </w:tc>
        <w:tc>
          <w:tcPr>
            <w:tcW w:w="581" w:type="pct"/>
          </w:tcPr>
          <w:p w14:paraId="07C316D4"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NR</w:t>
            </w:r>
          </w:p>
        </w:tc>
      </w:tr>
      <w:tr w:rsidR="00B51828" w:rsidRPr="00FD59F8" w14:paraId="3A53DCA9" w14:textId="77777777" w:rsidTr="002101D2">
        <w:trPr>
          <w:trHeight w:val="64"/>
        </w:trPr>
        <w:tc>
          <w:tcPr>
            <w:tcW w:w="628" w:type="pct"/>
            <w:shd w:val="clear" w:color="auto" w:fill="BFBFBF" w:themeFill="background1" w:themeFillShade="BF"/>
          </w:tcPr>
          <w:p w14:paraId="1BE963D0"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SOFT TISSUE/</w:t>
            </w:r>
            <w:r>
              <w:rPr>
                <w:rFonts w:ascii="Arial Narrow" w:hAnsi="Arial Narrow"/>
                <w:sz w:val="20"/>
                <w:szCs w:val="20"/>
              </w:rPr>
              <w:t xml:space="preserve"> </w:t>
            </w:r>
            <w:r w:rsidRPr="00FD59F8">
              <w:rPr>
                <w:rFonts w:ascii="Arial Narrow" w:hAnsi="Arial Narrow"/>
                <w:sz w:val="20"/>
                <w:szCs w:val="20"/>
              </w:rPr>
              <w:t>SARCOMA</w:t>
            </w:r>
          </w:p>
        </w:tc>
        <w:tc>
          <w:tcPr>
            <w:tcW w:w="590" w:type="pct"/>
            <w:shd w:val="clear" w:color="auto" w:fill="BFBFBF" w:themeFill="background1" w:themeFillShade="BF"/>
          </w:tcPr>
          <w:p w14:paraId="63A6DF54"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1372" w:type="pct"/>
            <w:shd w:val="clear" w:color="auto" w:fill="BFBFBF" w:themeFill="background1" w:themeFillShade="BF"/>
          </w:tcPr>
          <w:p w14:paraId="13D27F45"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610" w:type="pct"/>
            <w:shd w:val="clear" w:color="auto" w:fill="BFBFBF" w:themeFill="background1" w:themeFillShade="BF"/>
          </w:tcPr>
          <w:p w14:paraId="0D69472C"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1219" w:type="pct"/>
            <w:shd w:val="clear" w:color="auto" w:fill="BFBFBF" w:themeFill="background1" w:themeFillShade="BF"/>
          </w:tcPr>
          <w:p w14:paraId="1ADC12F1"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581" w:type="pct"/>
            <w:shd w:val="clear" w:color="auto" w:fill="BFBFBF" w:themeFill="background1" w:themeFillShade="BF"/>
          </w:tcPr>
          <w:p w14:paraId="07CF649F"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r>
      <w:tr w:rsidR="00B51828" w:rsidRPr="00FD59F8" w14:paraId="0D425900" w14:textId="77777777" w:rsidTr="002101D2">
        <w:trPr>
          <w:trHeight w:val="64"/>
        </w:trPr>
        <w:tc>
          <w:tcPr>
            <w:tcW w:w="628" w:type="pct"/>
          </w:tcPr>
          <w:p w14:paraId="3E452260"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Arbiser 2001</w:t>
            </w:r>
          </w:p>
        </w:tc>
        <w:tc>
          <w:tcPr>
            <w:tcW w:w="590" w:type="pct"/>
          </w:tcPr>
          <w:p w14:paraId="7D4494B0"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 xml:space="preserve">Soft tissue lesions </w:t>
            </w:r>
          </w:p>
          <w:p w14:paraId="4B091FA5"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N=500 cases</w:t>
            </w:r>
          </w:p>
        </w:tc>
        <w:tc>
          <w:tcPr>
            <w:tcW w:w="1372" w:type="pct"/>
          </w:tcPr>
          <w:p w14:paraId="380FD296"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Cases with no initial diagnosis</w:t>
            </w:r>
          </w:p>
          <w:p w14:paraId="520E8F92"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Cases with a provisional diagnosis</w:t>
            </w:r>
          </w:p>
        </w:tc>
        <w:tc>
          <w:tcPr>
            <w:tcW w:w="610" w:type="pct"/>
          </w:tcPr>
          <w:p w14:paraId="13A6AE08"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234/500 (46.8%)</w:t>
            </w:r>
          </w:p>
          <w:p w14:paraId="7C6F2226"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266/500 (53.2%)</w:t>
            </w:r>
          </w:p>
        </w:tc>
        <w:tc>
          <w:tcPr>
            <w:tcW w:w="1219" w:type="pct"/>
            <w:shd w:val="clear" w:color="auto" w:fill="FFFFFF" w:themeFill="background1"/>
          </w:tcPr>
          <w:p w14:paraId="4E7E0351" w14:textId="77777777" w:rsidR="00B51828" w:rsidRPr="00FD59F8" w:rsidRDefault="00B51828" w:rsidP="002101D2">
            <w:pPr>
              <w:spacing w:before="20" w:after="20"/>
              <w:ind w:left="0"/>
              <w:rPr>
                <w:rFonts w:ascii="Arial Narrow" w:hAnsi="Arial Narrow"/>
                <w:sz w:val="20"/>
                <w:szCs w:val="20"/>
              </w:rPr>
            </w:pPr>
            <w:r>
              <w:rPr>
                <w:rFonts w:ascii="Arial Narrow" w:hAnsi="Arial Narrow"/>
                <w:sz w:val="20"/>
                <w:szCs w:val="20"/>
              </w:rPr>
              <w:t>NR</w:t>
            </w:r>
          </w:p>
        </w:tc>
        <w:tc>
          <w:tcPr>
            <w:tcW w:w="581" w:type="pct"/>
            <w:shd w:val="clear" w:color="auto" w:fill="FFFFFF" w:themeFill="background1"/>
          </w:tcPr>
          <w:p w14:paraId="53520979" w14:textId="77777777" w:rsidR="00B51828" w:rsidRPr="00FD59F8" w:rsidRDefault="00B51828" w:rsidP="002101D2">
            <w:pPr>
              <w:spacing w:before="20" w:after="20"/>
              <w:ind w:left="0"/>
              <w:rPr>
                <w:rFonts w:ascii="Arial Narrow" w:hAnsi="Arial Narrow"/>
                <w:sz w:val="20"/>
                <w:szCs w:val="20"/>
              </w:rPr>
            </w:pPr>
            <w:r>
              <w:rPr>
                <w:rFonts w:ascii="Arial Narrow" w:hAnsi="Arial Narrow"/>
                <w:sz w:val="20"/>
                <w:szCs w:val="20"/>
              </w:rPr>
              <w:t>NR</w:t>
            </w:r>
          </w:p>
        </w:tc>
      </w:tr>
      <w:tr w:rsidR="00B51828" w:rsidRPr="00FD59F8" w14:paraId="35A21D5C" w14:textId="77777777" w:rsidTr="002101D2">
        <w:trPr>
          <w:trHeight w:val="64"/>
        </w:trPr>
        <w:tc>
          <w:tcPr>
            <w:tcW w:w="628" w:type="pct"/>
          </w:tcPr>
          <w:p w14:paraId="455D1A02"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Ray-Coquard 2012</w:t>
            </w:r>
          </w:p>
        </w:tc>
        <w:tc>
          <w:tcPr>
            <w:tcW w:w="590" w:type="pct"/>
          </w:tcPr>
          <w:p w14:paraId="1FBBA3BB"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 xml:space="preserve">Soft tissue or visceral sarcoma </w:t>
            </w:r>
          </w:p>
          <w:p w14:paraId="7C851113" w14:textId="77777777" w:rsidR="00B51828" w:rsidRPr="00FD59F8" w:rsidRDefault="00B51828" w:rsidP="002101D2">
            <w:pPr>
              <w:spacing w:before="20" w:after="20"/>
              <w:ind w:left="0"/>
              <w:rPr>
                <w:rFonts w:ascii="Arial Narrow" w:hAnsi="Arial Narrow"/>
                <w:sz w:val="20"/>
                <w:szCs w:val="20"/>
                <w:vertAlign w:val="superscript"/>
              </w:rPr>
            </w:pPr>
            <w:r w:rsidRPr="00FD59F8">
              <w:rPr>
                <w:rFonts w:ascii="Arial Narrow" w:hAnsi="Arial Narrow"/>
                <w:sz w:val="20"/>
                <w:szCs w:val="20"/>
              </w:rPr>
              <w:t>N=1463 cases</w:t>
            </w:r>
            <w:r w:rsidRPr="00FD59F8">
              <w:rPr>
                <w:rFonts w:ascii="Arial Narrow" w:hAnsi="Arial Narrow"/>
                <w:sz w:val="20"/>
                <w:szCs w:val="20"/>
                <w:vertAlign w:val="superscript"/>
              </w:rPr>
              <w:t>d</w:t>
            </w:r>
          </w:p>
          <w:p w14:paraId="17ED056F" w14:textId="77777777" w:rsidR="00B51828" w:rsidRPr="00FD59F8" w:rsidRDefault="00B51828" w:rsidP="002101D2">
            <w:pPr>
              <w:spacing w:before="20" w:after="20"/>
              <w:ind w:left="0"/>
              <w:rPr>
                <w:rFonts w:ascii="Arial Narrow" w:hAnsi="Arial Narrow"/>
                <w:sz w:val="20"/>
                <w:szCs w:val="20"/>
              </w:rPr>
            </w:pPr>
          </w:p>
        </w:tc>
        <w:tc>
          <w:tcPr>
            <w:tcW w:w="1372" w:type="pct"/>
          </w:tcPr>
          <w:p w14:paraId="7AF62CCA" w14:textId="77777777" w:rsidR="00B51828" w:rsidRPr="00FD59F8" w:rsidRDefault="00B51828" w:rsidP="002101D2">
            <w:pPr>
              <w:spacing w:before="20" w:after="20"/>
              <w:ind w:left="0"/>
              <w:rPr>
                <w:rFonts w:ascii="Arial Narrow" w:hAnsi="Arial Narrow"/>
                <w:sz w:val="20"/>
                <w:szCs w:val="20"/>
                <w:u w:val="single"/>
              </w:rPr>
            </w:pPr>
            <w:r w:rsidRPr="00FD59F8">
              <w:rPr>
                <w:rFonts w:ascii="Arial Narrow" w:hAnsi="Arial Narrow"/>
                <w:sz w:val="20"/>
                <w:szCs w:val="20"/>
              </w:rPr>
              <w:t>Cases with a provisional diagnosis</w:t>
            </w:r>
          </w:p>
          <w:p w14:paraId="51214DCC" w14:textId="77777777" w:rsidR="00B51828" w:rsidRPr="00FD59F8" w:rsidRDefault="00B51828" w:rsidP="002101D2">
            <w:pPr>
              <w:spacing w:before="20" w:after="20"/>
              <w:ind w:left="0"/>
              <w:rPr>
                <w:rFonts w:ascii="Arial Narrow" w:hAnsi="Arial Narrow"/>
                <w:sz w:val="20"/>
                <w:szCs w:val="20"/>
                <w:u w:val="single"/>
              </w:rPr>
            </w:pPr>
          </w:p>
        </w:tc>
        <w:tc>
          <w:tcPr>
            <w:tcW w:w="610" w:type="pct"/>
          </w:tcPr>
          <w:p w14:paraId="05B2743D"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564/564 (100%)</w:t>
            </w:r>
          </w:p>
          <w:p w14:paraId="2A21F592" w14:textId="77777777" w:rsidR="00B51828" w:rsidRPr="00FD59F8" w:rsidRDefault="00B51828" w:rsidP="002101D2">
            <w:pPr>
              <w:spacing w:before="20" w:after="20"/>
              <w:ind w:left="0"/>
              <w:rPr>
                <w:rFonts w:ascii="Arial Narrow" w:hAnsi="Arial Narrow"/>
                <w:sz w:val="20"/>
                <w:szCs w:val="20"/>
              </w:rPr>
            </w:pPr>
          </w:p>
        </w:tc>
        <w:tc>
          <w:tcPr>
            <w:tcW w:w="1219" w:type="pct"/>
          </w:tcPr>
          <w:p w14:paraId="73D6985C" w14:textId="77777777" w:rsidR="00B51828" w:rsidRPr="0017743C" w:rsidRDefault="00B51828" w:rsidP="002101D2">
            <w:pPr>
              <w:spacing w:before="20" w:after="20"/>
              <w:ind w:left="0"/>
              <w:rPr>
                <w:rFonts w:ascii="Arial Narrow" w:hAnsi="Arial Narrow"/>
                <w:sz w:val="20"/>
                <w:szCs w:val="20"/>
              </w:rPr>
            </w:pPr>
            <w:r>
              <w:rPr>
                <w:rFonts w:ascii="Arial Narrow" w:hAnsi="Arial Narrow"/>
                <w:sz w:val="20"/>
                <w:szCs w:val="20"/>
              </w:rPr>
              <w:t>Expert pathologist provided a diagnosis</w:t>
            </w:r>
          </w:p>
        </w:tc>
        <w:tc>
          <w:tcPr>
            <w:tcW w:w="581" w:type="pct"/>
          </w:tcPr>
          <w:p w14:paraId="0A9FF5B7" w14:textId="77777777" w:rsidR="00B51828" w:rsidRPr="0017743C" w:rsidRDefault="00B51828" w:rsidP="002101D2">
            <w:pPr>
              <w:spacing w:before="20" w:after="20"/>
              <w:ind w:left="0"/>
              <w:rPr>
                <w:rFonts w:ascii="Arial Narrow" w:hAnsi="Arial Narrow"/>
                <w:sz w:val="20"/>
                <w:szCs w:val="20"/>
              </w:rPr>
            </w:pPr>
            <w:r w:rsidRPr="0017743C">
              <w:rPr>
                <w:rFonts w:ascii="Arial Narrow" w:hAnsi="Arial Narrow"/>
                <w:sz w:val="20"/>
                <w:szCs w:val="20"/>
              </w:rPr>
              <w:t>564/564 (100%)</w:t>
            </w:r>
          </w:p>
        </w:tc>
      </w:tr>
      <w:tr w:rsidR="00B51828" w:rsidRPr="00FD59F8" w14:paraId="6CFDCFEF" w14:textId="77777777" w:rsidTr="002101D2">
        <w:trPr>
          <w:trHeight w:val="64"/>
        </w:trPr>
        <w:tc>
          <w:tcPr>
            <w:tcW w:w="628" w:type="pct"/>
            <w:shd w:val="clear" w:color="auto" w:fill="BFBFBF" w:themeFill="background1" w:themeFillShade="BF"/>
          </w:tcPr>
          <w:p w14:paraId="274D2EE3"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DERMATOLOGY</w:t>
            </w:r>
          </w:p>
        </w:tc>
        <w:tc>
          <w:tcPr>
            <w:tcW w:w="590" w:type="pct"/>
            <w:shd w:val="clear" w:color="auto" w:fill="BFBFBF" w:themeFill="background1" w:themeFillShade="BF"/>
          </w:tcPr>
          <w:p w14:paraId="570C737C" w14:textId="77777777" w:rsidR="00B51828" w:rsidRPr="00FD59F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372" w:type="pct"/>
            <w:shd w:val="clear" w:color="auto" w:fill="BFBFBF" w:themeFill="background1" w:themeFillShade="BF"/>
          </w:tcPr>
          <w:p w14:paraId="13B73EA8" w14:textId="77777777" w:rsidR="00B51828" w:rsidRPr="004B38BD" w:rsidRDefault="00B51828" w:rsidP="002101D2">
            <w:pPr>
              <w:spacing w:before="20" w:after="20"/>
              <w:ind w:left="0"/>
              <w:rPr>
                <w:rFonts w:ascii="Arial Narrow" w:hAnsi="Arial Narrow"/>
                <w:sz w:val="20"/>
                <w:szCs w:val="20"/>
              </w:rPr>
            </w:pPr>
            <w:r w:rsidRPr="004B38BD">
              <w:rPr>
                <w:rFonts w:ascii="Arial Narrow" w:hAnsi="Arial Narrow"/>
                <w:sz w:val="20"/>
                <w:szCs w:val="20"/>
              </w:rPr>
              <w:t>-</w:t>
            </w:r>
          </w:p>
        </w:tc>
        <w:tc>
          <w:tcPr>
            <w:tcW w:w="610" w:type="pct"/>
            <w:shd w:val="clear" w:color="auto" w:fill="BFBFBF" w:themeFill="background1" w:themeFillShade="BF"/>
          </w:tcPr>
          <w:p w14:paraId="77EB6801" w14:textId="77777777" w:rsidR="00B51828" w:rsidRPr="00FD59F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219" w:type="pct"/>
            <w:shd w:val="clear" w:color="auto" w:fill="BFBFBF" w:themeFill="background1" w:themeFillShade="BF"/>
          </w:tcPr>
          <w:p w14:paraId="1D01D850" w14:textId="77777777" w:rsidR="00B51828" w:rsidRPr="00FD59F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581" w:type="pct"/>
            <w:shd w:val="clear" w:color="auto" w:fill="BFBFBF" w:themeFill="background1" w:themeFillShade="BF"/>
          </w:tcPr>
          <w:p w14:paraId="6AD448E8" w14:textId="77777777" w:rsidR="00B51828" w:rsidRPr="00FD59F8"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FD59F8" w14:paraId="4CACADE1" w14:textId="77777777" w:rsidTr="002101D2">
        <w:trPr>
          <w:trHeight w:val="64"/>
        </w:trPr>
        <w:tc>
          <w:tcPr>
            <w:tcW w:w="628" w:type="pct"/>
          </w:tcPr>
          <w:p w14:paraId="601EF424"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Gaudi 2013</w:t>
            </w:r>
          </w:p>
        </w:tc>
        <w:tc>
          <w:tcPr>
            <w:tcW w:w="590" w:type="pct"/>
          </w:tcPr>
          <w:p w14:paraId="1E88EDB6"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Dermatopathology</w:t>
            </w:r>
          </w:p>
          <w:p w14:paraId="0614106D"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N=405 cases</w:t>
            </w:r>
            <w:r w:rsidRPr="00FD59F8">
              <w:rPr>
                <w:rFonts w:ascii="Arial Narrow" w:hAnsi="Arial Narrow"/>
                <w:sz w:val="20"/>
                <w:szCs w:val="20"/>
                <w:vertAlign w:val="superscript"/>
              </w:rPr>
              <w:t>e</w:t>
            </w:r>
          </w:p>
        </w:tc>
        <w:tc>
          <w:tcPr>
            <w:tcW w:w="1372" w:type="pct"/>
          </w:tcPr>
          <w:p w14:paraId="4AC6C6A4" w14:textId="77777777" w:rsidR="00B51828" w:rsidRPr="00FD59F8" w:rsidRDefault="00B51828" w:rsidP="002101D2">
            <w:pPr>
              <w:spacing w:before="20" w:after="20"/>
              <w:ind w:left="0"/>
              <w:rPr>
                <w:rFonts w:ascii="Arial Narrow" w:hAnsi="Arial Narrow"/>
                <w:sz w:val="20"/>
                <w:szCs w:val="20"/>
                <w:u w:val="single"/>
              </w:rPr>
            </w:pPr>
            <w:r w:rsidRPr="00FD59F8">
              <w:rPr>
                <w:rFonts w:ascii="Arial Narrow" w:hAnsi="Arial Narrow"/>
                <w:sz w:val="20"/>
                <w:szCs w:val="20"/>
              </w:rPr>
              <w:t>Cases with no initial diagnosis</w:t>
            </w:r>
          </w:p>
          <w:p w14:paraId="46BF5F63"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Cases with a provisional diagnosis</w:t>
            </w:r>
          </w:p>
          <w:p w14:paraId="36BB42B1" w14:textId="77777777" w:rsidR="00B51828" w:rsidRPr="00FD59F8" w:rsidRDefault="00B51828" w:rsidP="002101D2">
            <w:pPr>
              <w:spacing w:before="20" w:after="20"/>
              <w:ind w:left="0"/>
              <w:rPr>
                <w:rFonts w:ascii="Arial Narrow" w:hAnsi="Arial Narrow"/>
                <w:sz w:val="20"/>
                <w:szCs w:val="20"/>
                <w:vertAlign w:val="superscript"/>
              </w:rPr>
            </w:pPr>
          </w:p>
        </w:tc>
        <w:tc>
          <w:tcPr>
            <w:tcW w:w="610" w:type="pct"/>
          </w:tcPr>
          <w:p w14:paraId="48FA3F17"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51/405 (12.6%)</w:t>
            </w:r>
          </w:p>
          <w:p w14:paraId="43533770"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354/405 (87.4%)</w:t>
            </w:r>
          </w:p>
        </w:tc>
        <w:tc>
          <w:tcPr>
            <w:tcW w:w="1219" w:type="pct"/>
            <w:shd w:val="clear" w:color="auto" w:fill="FFFFFF" w:themeFill="background1"/>
          </w:tcPr>
          <w:p w14:paraId="6A82949C"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NR</w:t>
            </w:r>
          </w:p>
        </w:tc>
        <w:tc>
          <w:tcPr>
            <w:tcW w:w="581" w:type="pct"/>
            <w:shd w:val="clear" w:color="auto" w:fill="FFFFFF" w:themeFill="background1"/>
          </w:tcPr>
          <w:p w14:paraId="2E8C051B"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NR</w:t>
            </w:r>
          </w:p>
        </w:tc>
      </w:tr>
      <w:tr w:rsidR="00B51828" w:rsidRPr="00FD59F8" w14:paraId="19F1153B" w14:textId="77777777" w:rsidTr="002101D2">
        <w:tc>
          <w:tcPr>
            <w:tcW w:w="628" w:type="pct"/>
          </w:tcPr>
          <w:p w14:paraId="17977F1C"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lastRenderedPageBreak/>
              <w:t>van Dijk 2008</w:t>
            </w:r>
          </w:p>
        </w:tc>
        <w:tc>
          <w:tcPr>
            <w:tcW w:w="590" w:type="pct"/>
          </w:tcPr>
          <w:p w14:paraId="29F41E01"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Cutaneous melanocytic lesions</w:t>
            </w:r>
          </w:p>
          <w:p w14:paraId="152FD51F"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 xml:space="preserve">N=1837 </w:t>
            </w:r>
          </w:p>
        </w:tc>
        <w:tc>
          <w:tcPr>
            <w:tcW w:w="1372" w:type="pct"/>
          </w:tcPr>
          <w:p w14:paraId="670FC80C" w14:textId="77777777" w:rsidR="00B51828" w:rsidRPr="00FD59F8" w:rsidRDefault="00B51828" w:rsidP="002101D2">
            <w:pPr>
              <w:keepNext/>
              <w:spacing w:before="20" w:after="20"/>
              <w:ind w:left="0"/>
              <w:rPr>
                <w:rFonts w:ascii="Arial Narrow" w:hAnsi="Arial Narrow"/>
                <w:sz w:val="20"/>
                <w:szCs w:val="20"/>
                <w:u w:val="single"/>
              </w:rPr>
            </w:pPr>
            <w:r w:rsidRPr="00FD59F8">
              <w:rPr>
                <w:rFonts w:ascii="Arial Narrow" w:hAnsi="Arial Narrow"/>
                <w:sz w:val="20"/>
                <w:szCs w:val="20"/>
              </w:rPr>
              <w:t>Cases with no initial diagnosis</w:t>
            </w:r>
          </w:p>
          <w:p w14:paraId="637A60A1"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Cases with a differential diagnosis</w:t>
            </w:r>
          </w:p>
          <w:p w14:paraId="68D9EC62"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Cases with a provisional diagnosis</w:t>
            </w:r>
          </w:p>
        </w:tc>
        <w:tc>
          <w:tcPr>
            <w:tcW w:w="610" w:type="pct"/>
          </w:tcPr>
          <w:p w14:paraId="0B4E5B06"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160/1837 (8.7%)</w:t>
            </w:r>
          </w:p>
          <w:p w14:paraId="5806AC7A"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435/1837 (23.7%)</w:t>
            </w:r>
          </w:p>
          <w:p w14:paraId="1313A01C"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1217/1837 (66.2%)</w:t>
            </w:r>
          </w:p>
          <w:p w14:paraId="72F21933" w14:textId="77777777" w:rsidR="00B51828" w:rsidRPr="00FD59F8" w:rsidRDefault="00B51828" w:rsidP="002101D2">
            <w:pPr>
              <w:keepNext/>
              <w:spacing w:before="20" w:after="20"/>
              <w:ind w:left="0"/>
              <w:rPr>
                <w:rFonts w:ascii="Arial Narrow" w:hAnsi="Arial Narrow"/>
                <w:sz w:val="20"/>
                <w:szCs w:val="20"/>
              </w:rPr>
            </w:pPr>
          </w:p>
        </w:tc>
        <w:tc>
          <w:tcPr>
            <w:tcW w:w="1219" w:type="pct"/>
          </w:tcPr>
          <w:p w14:paraId="4CBDC139" w14:textId="77777777" w:rsidR="00B51828" w:rsidRPr="00FD59F8" w:rsidRDefault="00B51828" w:rsidP="002101D2">
            <w:pPr>
              <w:keepNext/>
              <w:spacing w:before="20" w:after="0"/>
              <w:ind w:left="0"/>
              <w:rPr>
                <w:rFonts w:ascii="Arial Narrow" w:hAnsi="Arial Narrow"/>
                <w:sz w:val="20"/>
                <w:szCs w:val="20"/>
              </w:rPr>
            </w:pPr>
            <w:r w:rsidRPr="00FD59F8">
              <w:rPr>
                <w:rFonts w:ascii="Arial Narrow" w:hAnsi="Arial Narrow"/>
                <w:sz w:val="20"/>
                <w:szCs w:val="20"/>
              </w:rPr>
              <w:t>Expert pathology panel unable to provide specific diagnosis</w:t>
            </w:r>
          </w:p>
          <w:p w14:paraId="26AA7FC0" w14:textId="77777777" w:rsidR="00B51828" w:rsidRPr="00FD59F8" w:rsidRDefault="00B51828" w:rsidP="002101D2">
            <w:pPr>
              <w:keepNext/>
              <w:spacing w:after="0"/>
              <w:ind w:left="0"/>
              <w:rPr>
                <w:rFonts w:ascii="Arial Narrow" w:hAnsi="Arial Narrow"/>
                <w:sz w:val="20"/>
                <w:szCs w:val="20"/>
              </w:rPr>
            </w:pPr>
            <w:r w:rsidRPr="00FD59F8">
              <w:rPr>
                <w:rFonts w:ascii="Arial Narrow" w:hAnsi="Arial Narrow"/>
                <w:sz w:val="20"/>
                <w:szCs w:val="20"/>
              </w:rPr>
              <w:t>Expert pathology panel unable to provide specific diagnosis but able to provide a presumed working diagnosis</w:t>
            </w:r>
          </w:p>
          <w:p w14:paraId="75F3ACA2" w14:textId="77777777" w:rsidR="00B51828" w:rsidRPr="00FD59F8" w:rsidRDefault="00B51828" w:rsidP="002101D2">
            <w:pPr>
              <w:keepNext/>
              <w:spacing w:after="20"/>
              <w:ind w:left="0"/>
              <w:rPr>
                <w:rFonts w:ascii="Arial Narrow" w:hAnsi="Arial Narrow"/>
                <w:b/>
                <w:sz w:val="20"/>
                <w:szCs w:val="20"/>
              </w:rPr>
            </w:pPr>
            <w:r w:rsidRPr="00FD59F8">
              <w:rPr>
                <w:rFonts w:ascii="Arial Narrow" w:hAnsi="Arial Narrow"/>
                <w:sz w:val="20"/>
                <w:szCs w:val="20"/>
              </w:rPr>
              <w:t>Expert pathology panel unable to provide specific diagnosis but able to provide a presumed working diagnosis + advice for further diagnostic and/or therapeutic procedures</w:t>
            </w:r>
          </w:p>
        </w:tc>
        <w:tc>
          <w:tcPr>
            <w:tcW w:w="581" w:type="pct"/>
          </w:tcPr>
          <w:p w14:paraId="2032B26C" w14:textId="77777777" w:rsidR="00B51828" w:rsidRPr="00FD59F8" w:rsidRDefault="00B51828" w:rsidP="002101D2">
            <w:pPr>
              <w:keepNext/>
              <w:spacing w:before="20" w:after="0"/>
              <w:ind w:left="0"/>
              <w:rPr>
                <w:rFonts w:ascii="Arial Narrow" w:hAnsi="Arial Narrow"/>
                <w:sz w:val="20"/>
                <w:szCs w:val="20"/>
              </w:rPr>
            </w:pPr>
            <w:r w:rsidRPr="00FD59F8">
              <w:rPr>
                <w:rFonts w:ascii="Arial Narrow" w:hAnsi="Arial Narrow"/>
                <w:sz w:val="20"/>
                <w:szCs w:val="20"/>
              </w:rPr>
              <w:t>67/1837 (3.6%)</w:t>
            </w:r>
          </w:p>
          <w:p w14:paraId="53F39E8B" w14:textId="77777777" w:rsidR="00B51828" w:rsidRDefault="00B51828" w:rsidP="002101D2">
            <w:pPr>
              <w:keepNext/>
              <w:spacing w:after="0"/>
              <w:ind w:left="0"/>
              <w:rPr>
                <w:rFonts w:ascii="Arial Narrow" w:hAnsi="Arial Narrow"/>
                <w:sz w:val="20"/>
                <w:szCs w:val="20"/>
              </w:rPr>
            </w:pPr>
          </w:p>
          <w:p w14:paraId="44161502" w14:textId="77777777" w:rsidR="00B51828" w:rsidRPr="00FD59F8" w:rsidRDefault="00B51828" w:rsidP="002101D2">
            <w:pPr>
              <w:keepNext/>
              <w:spacing w:after="0"/>
              <w:ind w:left="0"/>
              <w:rPr>
                <w:rFonts w:ascii="Arial Narrow" w:hAnsi="Arial Narrow"/>
                <w:sz w:val="20"/>
                <w:szCs w:val="20"/>
              </w:rPr>
            </w:pPr>
            <w:r w:rsidRPr="00FD59F8">
              <w:rPr>
                <w:rFonts w:ascii="Arial Narrow" w:hAnsi="Arial Narrow"/>
                <w:sz w:val="20"/>
                <w:szCs w:val="20"/>
              </w:rPr>
              <w:t>42/1837 (2.3%)</w:t>
            </w:r>
          </w:p>
          <w:p w14:paraId="1E30D7C1" w14:textId="77777777" w:rsidR="00B51828" w:rsidRPr="00FD59F8" w:rsidRDefault="00B51828" w:rsidP="002101D2">
            <w:pPr>
              <w:keepNext/>
              <w:spacing w:after="0"/>
              <w:ind w:left="0"/>
              <w:rPr>
                <w:rFonts w:ascii="Arial Narrow" w:hAnsi="Arial Narrow"/>
                <w:sz w:val="20"/>
                <w:szCs w:val="20"/>
              </w:rPr>
            </w:pPr>
          </w:p>
          <w:p w14:paraId="52D1BB6A" w14:textId="77777777" w:rsidR="00B51828" w:rsidRPr="00FD59F8" w:rsidRDefault="00B51828" w:rsidP="002101D2">
            <w:pPr>
              <w:keepNext/>
              <w:spacing w:after="0"/>
              <w:ind w:left="0"/>
              <w:rPr>
                <w:rFonts w:ascii="Arial Narrow" w:hAnsi="Arial Narrow"/>
                <w:sz w:val="20"/>
                <w:szCs w:val="20"/>
              </w:rPr>
            </w:pPr>
          </w:p>
          <w:p w14:paraId="530FA31B" w14:textId="77777777" w:rsidR="00B51828" w:rsidRPr="00FD59F8" w:rsidRDefault="00B51828" w:rsidP="002101D2">
            <w:pPr>
              <w:keepNext/>
              <w:spacing w:after="20"/>
              <w:ind w:left="0"/>
              <w:rPr>
                <w:rFonts w:ascii="Arial Narrow" w:hAnsi="Arial Narrow"/>
                <w:b/>
                <w:sz w:val="20"/>
                <w:szCs w:val="20"/>
              </w:rPr>
            </w:pPr>
            <w:r w:rsidRPr="00FD59F8">
              <w:rPr>
                <w:rFonts w:ascii="Arial Narrow" w:hAnsi="Arial Narrow"/>
                <w:sz w:val="20"/>
                <w:szCs w:val="20"/>
              </w:rPr>
              <w:t>25/1837 (1.4%)</w:t>
            </w:r>
          </w:p>
        </w:tc>
      </w:tr>
      <w:tr w:rsidR="00B51828" w:rsidRPr="00FD59F8" w14:paraId="519996E1" w14:textId="77777777" w:rsidTr="002101D2">
        <w:tc>
          <w:tcPr>
            <w:tcW w:w="628" w:type="pct"/>
          </w:tcPr>
          <w:p w14:paraId="50C84AC7"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Veenhuizen 1997</w:t>
            </w:r>
          </w:p>
        </w:tc>
        <w:tc>
          <w:tcPr>
            <w:tcW w:w="590" w:type="pct"/>
          </w:tcPr>
          <w:p w14:paraId="2EE9A609"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Skin lesions</w:t>
            </w:r>
          </w:p>
          <w:p w14:paraId="549376C4"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N=1069</w:t>
            </w:r>
          </w:p>
        </w:tc>
        <w:tc>
          <w:tcPr>
            <w:tcW w:w="1372" w:type="pct"/>
          </w:tcPr>
          <w:p w14:paraId="384032B1" w14:textId="77777777" w:rsidR="00B51828" w:rsidRPr="00FD59F8" w:rsidRDefault="00B51828" w:rsidP="002101D2">
            <w:pPr>
              <w:keepNext/>
              <w:spacing w:before="20" w:after="20"/>
              <w:ind w:left="0"/>
              <w:rPr>
                <w:rFonts w:ascii="Arial Narrow" w:hAnsi="Arial Narrow"/>
                <w:sz w:val="20"/>
                <w:szCs w:val="20"/>
                <w:u w:val="single"/>
              </w:rPr>
            </w:pPr>
            <w:r w:rsidRPr="00FD59F8">
              <w:rPr>
                <w:rFonts w:ascii="Arial Narrow" w:hAnsi="Arial Narrow"/>
                <w:sz w:val="20"/>
                <w:szCs w:val="20"/>
              </w:rPr>
              <w:t>Cases with no initial diagnosis</w:t>
            </w:r>
          </w:p>
          <w:p w14:paraId="11E582F3"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Cases with a differential diagnosis</w:t>
            </w:r>
          </w:p>
          <w:p w14:paraId="2CDD652B"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Cases with a provisional diagnosis</w:t>
            </w:r>
          </w:p>
          <w:p w14:paraId="447EE1A3" w14:textId="77777777" w:rsidR="00B51828" w:rsidRPr="00FD59F8" w:rsidRDefault="00B51828" w:rsidP="002101D2">
            <w:pPr>
              <w:keepNext/>
              <w:spacing w:before="20" w:after="20"/>
              <w:ind w:left="0"/>
              <w:rPr>
                <w:rFonts w:ascii="Arial Narrow" w:hAnsi="Arial Narrow"/>
                <w:sz w:val="20"/>
                <w:szCs w:val="20"/>
              </w:rPr>
            </w:pPr>
          </w:p>
        </w:tc>
        <w:tc>
          <w:tcPr>
            <w:tcW w:w="610" w:type="pct"/>
          </w:tcPr>
          <w:p w14:paraId="52A2FAD6"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90/1069 (8.4%)</w:t>
            </w:r>
          </w:p>
          <w:p w14:paraId="517DCEAA" w14:textId="77777777" w:rsidR="00B51828" w:rsidRPr="00FD59F8" w:rsidRDefault="00B51828" w:rsidP="002101D2">
            <w:pPr>
              <w:keepNext/>
              <w:spacing w:before="20" w:after="20"/>
              <w:ind w:left="0"/>
              <w:rPr>
                <w:rFonts w:ascii="Arial Narrow" w:hAnsi="Arial Narrow"/>
                <w:sz w:val="20"/>
                <w:szCs w:val="20"/>
              </w:rPr>
            </w:pPr>
            <w:r w:rsidRPr="00FD59F8">
              <w:rPr>
                <w:rFonts w:ascii="Arial Narrow" w:hAnsi="Arial Narrow"/>
                <w:sz w:val="20"/>
                <w:szCs w:val="20"/>
              </w:rPr>
              <w:t>131/1069 (12.3%)</w:t>
            </w:r>
          </w:p>
          <w:p w14:paraId="626E3150" w14:textId="77777777" w:rsidR="00B51828" w:rsidRPr="00FD59F8" w:rsidRDefault="00B51828" w:rsidP="002101D2">
            <w:pPr>
              <w:keepNext/>
              <w:spacing w:before="20" w:after="20"/>
              <w:ind w:left="0"/>
              <w:rPr>
                <w:rFonts w:ascii="Arial Narrow" w:hAnsi="Arial Narrow"/>
                <w:sz w:val="20"/>
                <w:szCs w:val="20"/>
              </w:rPr>
            </w:pPr>
            <w:r>
              <w:rPr>
                <w:rFonts w:ascii="Arial Narrow" w:hAnsi="Arial Narrow"/>
                <w:sz w:val="20"/>
                <w:szCs w:val="20"/>
              </w:rPr>
              <w:t>798/1069 (74.6%)</w:t>
            </w:r>
          </w:p>
          <w:p w14:paraId="3866B6EF" w14:textId="77777777" w:rsidR="00B51828" w:rsidRPr="00FD59F8" w:rsidRDefault="00B51828" w:rsidP="002101D2">
            <w:pPr>
              <w:keepNext/>
              <w:spacing w:before="20" w:after="20"/>
              <w:ind w:left="0"/>
              <w:rPr>
                <w:rFonts w:ascii="Arial Narrow" w:hAnsi="Arial Narrow"/>
                <w:sz w:val="20"/>
                <w:szCs w:val="20"/>
              </w:rPr>
            </w:pPr>
          </w:p>
        </w:tc>
        <w:tc>
          <w:tcPr>
            <w:tcW w:w="1219" w:type="pct"/>
          </w:tcPr>
          <w:p w14:paraId="5784C5BD" w14:textId="77777777" w:rsidR="00B51828" w:rsidRPr="00FD59F8" w:rsidRDefault="00B51828" w:rsidP="002101D2">
            <w:pPr>
              <w:keepNext/>
              <w:spacing w:before="20" w:after="0"/>
              <w:ind w:left="0"/>
              <w:rPr>
                <w:rFonts w:ascii="Arial Narrow" w:hAnsi="Arial Narrow"/>
                <w:sz w:val="20"/>
                <w:szCs w:val="20"/>
              </w:rPr>
            </w:pPr>
            <w:r w:rsidRPr="00FD59F8">
              <w:rPr>
                <w:rFonts w:ascii="Arial Narrow" w:hAnsi="Arial Narrow"/>
                <w:sz w:val="20"/>
                <w:szCs w:val="20"/>
              </w:rPr>
              <w:t>Expert or expert pathology panel unable to provide a diagnosis</w:t>
            </w:r>
          </w:p>
          <w:p w14:paraId="1BA2D87A" w14:textId="77777777" w:rsidR="00B51828" w:rsidRPr="00FD59F8" w:rsidRDefault="00B51828" w:rsidP="002101D2">
            <w:pPr>
              <w:keepNext/>
              <w:spacing w:after="0"/>
              <w:ind w:left="0"/>
              <w:rPr>
                <w:rFonts w:ascii="Arial Narrow" w:hAnsi="Arial Narrow"/>
                <w:sz w:val="20"/>
                <w:szCs w:val="20"/>
              </w:rPr>
            </w:pPr>
            <w:r w:rsidRPr="00FD59F8">
              <w:rPr>
                <w:rFonts w:ascii="Arial Narrow" w:hAnsi="Arial Narrow"/>
                <w:sz w:val="20"/>
                <w:szCs w:val="20"/>
              </w:rPr>
              <w:t>Expert or expert pathology panel able to provide differential diagnosis</w:t>
            </w:r>
          </w:p>
          <w:p w14:paraId="51577A9D" w14:textId="77777777" w:rsidR="00B51828" w:rsidRPr="00FD59F8" w:rsidRDefault="00B51828" w:rsidP="002101D2">
            <w:pPr>
              <w:keepNext/>
              <w:spacing w:after="0"/>
              <w:ind w:left="0"/>
              <w:rPr>
                <w:rFonts w:ascii="Arial Narrow" w:hAnsi="Arial Narrow"/>
                <w:sz w:val="20"/>
                <w:szCs w:val="20"/>
              </w:rPr>
            </w:pPr>
            <w:r w:rsidRPr="00FD59F8">
              <w:rPr>
                <w:rFonts w:ascii="Arial Narrow" w:hAnsi="Arial Narrow"/>
                <w:sz w:val="20"/>
                <w:szCs w:val="20"/>
              </w:rPr>
              <w:t>Expert pathology panel provided unequivocal diagnosis in cases with no initial diagnosis</w:t>
            </w:r>
          </w:p>
          <w:p w14:paraId="2407BF04" w14:textId="77777777" w:rsidR="00B51828" w:rsidRPr="00FD59F8" w:rsidRDefault="00B51828" w:rsidP="002101D2">
            <w:pPr>
              <w:keepNext/>
              <w:spacing w:after="20"/>
              <w:ind w:left="0"/>
              <w:rPr>
                <w:rFonts w:ascii="Arial Narrow" w:hAnsi="Arial Narrow"/>
                <w:b/>
                <w:sz w:val="20"/>
                <w:szCs w:val="20"/>
              </w:rPr>
            </w:pPr>
            <w:r w:rsidRPr="00FD59F8">
              <w:rPr>
                <w:rFonts w:ascii="Arial Narrow" w:hAnsi="Arial Narrow"/>
                <w:sz w:val="20"/>
                <w:szCs w:val="20"/>
              </w:rPr>
              <w:t>Expert pathology panel provided unequivocal diagnosis in cases with initial differential diagnosis</w:t>
            </w:r>
          </w:p>
        </w:tc>
        <w:tc>
          <w:tcPr>
            <w:tcW w:w="581" w:type="pct"/>
          </w:tcPr>
          <w:p w14:paraId="5837B818" w14:textId="77777777" w:rsidR="00B51828" w:rsidRPr="00FD59F8" w:rsidRDefault="00B51828" w:rsidP="002101D2">
            <w:pPr>
              <w:keepNext/>
              <w:spacing w:before="20" w:after="0"/>
              <w:ind w:left="0"/>
              <w:rPr>
                <w:rFonts w:ascii="Arial Narrow" w:hAnsi="Arial Narrow"/>
                <w:sz w:val="20"/>
                <w:szCs w:val="20"/>
              </w:rPr>
            </w:pPr>
            <w:r w:rsidRPr="00FD59F8">
              <w:rPr>
                <w:rFonts w:ascii="Arial Narrow" w:hAnsi="Arial Narrow"/>
                <w:sz w:val="20"/>
                <w:szCs w:val="20"/>
              </w:rPr>
              <w:t>7/1069 (0.7%)</w:t>
            </w:r>
          </w:p>
          <w:p w14:paraId="6C9E6109" w14:textId="77777777" w:rsidR="00B51828" w:rsidRPr="00FD59F8" w:rsidRDefault="00B51828" w:rsidP="002101D2">
            <w:pPr>
              <w:keepNext/>
              <w:spacing w:after="0"/>
              <w:ind w:left="0"/>
              <w:rPr>
                <w:rFonts w:ascii="Arial Narrow" w:hAnsi="Arial Narrow"/>
                <w:sz w:val="20"/>
                <w:szCs w:val="20"/>
              </w:rPr>
            </w:pPr>
          </w:p>
          <w:p w14:paraId="12FD7AD4" w14:textId="77777777" w:rsidR="00B51828" w:rsidRPr="00FD59F8" w:rsidRDefault="00B51828" w:rsidP="002101D2">
            <w:pPr>
              <w:keepNext/>
              <w:spacing w:after="0"/>
              <w:ind w:left="0"/>
              <w:rPr>
                <w:rFonts w:ascii="Arial Narrow" w:hAnsi="Arial Narrow"/>
                <w:sz w:val="20"/>
                <w:szCs w:val="20"/>
              </w:rPr>
            </w:pPr>
            <w:r w:rsidRPr="00FD59F8">
              <w:rPr>
                <w:rFonts w:ascii="Arial Narrow" w:hAnsi="Arial Narrow"/>
                <w:sz w:val="20"/>
                <w:szCs w:val="20"/>
              </w:rPr>
              <w:t>23/1069 (2.2%)</w:t>
            </w:r>
          </w:p>
          <w:p w14:paraId="215DC181" w14:textId="77777777" w:rsidR="00B51828" w:rsidRPr="00FD59F8" w:rsidRDefault="00B51828" w:rsidP="002101D2">
            <w:pPr>
              <w:keepNext/>
              <w:spacing w:after="0"/>
              <w:ind w:left="0"/>
              <w:rPr>
                <w:rFonts w:ascii="Arial Narrow" w:hAnsi="Arial Narrow"/>
                <w:sz w:val="20"/>
                <w:szCs w:val="20"/>
              </w:rPr>
            </w:pPr>
          </w:p>
          <w:p w14:paraId="24D524F7" w14:textId="77777777" w:rsidR="00B51828" w:rsidRPr="00FD59F8" w:rsidRDefault="00B51828" w:rsidP="002101D2">
            <w:pPr>
              <w:keepNext/>
              <w:spacing w:after="0"/>
              <w:ind w:left="0"/>
              <w:rPr>
                <w:rFonts w:ascii="Arial Narrow" w:hAnsi="Arial Narrow"/>
                <w:sz w:val="20"/>
                <w:szCs w:val="20"/>
              </w:rPr>
            </w:pPr>
            <w:r w:rsidRPr="00FD59F8">
              <w:rPr>
                <w:rFonts w:ascii="Arial Narrow" w:hAnsi="Arial Narrow"/>
                <w:sz w:val="20"/>
                <w:szCs w:val="20"/>
              </w:rPr>
              <w:t>81/90 (90.0%)</w:t>
            </w:r>
          </w:p>
          <w:p w14:paraId="1FF7ECED" w14:textId="77777777" w:rsidR="00B51828" w:rsidRPr="00FD59F8" w:rsidRDefault="00B51828" w:rsidP="002101D2">
            <w:pPr>
              <w:keepNext/>
              <w:spacing w:after="0"/>
              <w:ind w:left="0"/>
              <w:rPr>
                <w:rFonts w:ascii="Arial Narrow" w:hAnsi="Arial Narrow"/>
                <w:sz w:val="20"/>
                <w:szCs w:val="20"/>
              </w:rPr>
            </w:pPr>
          </w:p>
          <w:p w14:paraId="054907BC" w14:textId="77777777" w:rsidR="00B51828" w:rsidRPr="00FD59F8" w:rsidRDefault="00B51828" w:rsidP="002101D2">
            <w:pPr>
              <w:keepNext/>
              <w:spacing w:after="0"/>
              <w:ind w:left="0"/>
              <w:rPr>
                <w:rFonts w:ascii="Arial Narrow" w:hAnsi="Arial Narrow"/>
                <w:sz w:val="20"/>
                <w:szCs w:val="20"/>
              </w:rPr>
            </w:pPr>
          </w:p>
          <w:p w14:paraId="5DBA5D49" w14:textId="77777777" w:rsidR="00B51828" w:rsidRPr="00FD59F8" w:rsidRDefault="00B51828" w:rsidP="002101D2">
            <w:pPr>
              <w:keepNext/>
              <w:spacing w:after="20"/>
              <w:ind w:left="0"/>
              <w:rPr>
                <w:rFonts w:ascii="Arial Narrow" w:hAnsi="Arial Narrow"/>
                <w:b/>
                <w:sz w:val="20"/>
                <w:szCs w:val="20"/>
              </w:rPr>
            </w:pPr>
            <w:r w:rsidRPr="00FD59F8">
              <w:rPr>
                <w:rFonts w:ascii="Arial Narrow" w:hAnsi="Arial Narrow"/>
                <w:sz w:val="20"/>
                <w:szCs w:val="20"/>
              </w:rPr>
              <w:t>122/131 (93.1%)</w:t>
            </w:r>
          </w:p>
        </w:tc>
      </w:tr>
      <w:tr w:rsidR="00B51828" w:rsidRPr="00FD59F8" w14:paraId="21E64736" w14:textId="77777777" w:rsidTr="002101D2">
        <w:tc>
          <w:tcPr>
            <w:tcW w:w="628" w:type="pct"/>
            <w:shd w:val="clear" w:color="auto" w:fill="BFBFBF" w:themeFill="background1" w:themeFillShade="BF"/>
          </w:tcPr>
          <w:p w14:paraId="0C3E1C05"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ORAL AND MAXILLOFACIAL</w:t>
            </w:r>
          </w:p>
        </w:tc>
        <w:tc>
          <w:tcPr>
            <w:tcW w:w="590" w:type="pct"/>
            <w:shd w:val="clear" w:color="auto" w:fill="BFBFBF" w:themeFill="background1" w:themeFillShade="BF"/>
          </w:tcPr>
          <w:p w14:paraId="45C59CF8"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1372" w:type="pct"/>
            <w:shd w:val="clear" w:color="auto" w:fill="BFBFBF" w:themeFill="background1" w:themeFillShade="BF"/>
          </w:tcPr>
          <w:p w14:paraId="4923B5ED"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w:t>
            </w:r>
          </w:p>
        </w:tc>
        <w:tc>
          <w:tcPr>
            <w:tcW w:w="610" w:type="pct"/>
            <w:shd w:val="clear" w:color="auto" w:fill="BFBFBF" w:themeFill="background1" w:themeFillShade="BF"/>
          </w:tcPr>
          <w:p w14:paraId="7A072B26"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w:t>
            </w:r>
          </w:p>
        </w:tc>
        <w:tc>
          <w:tcPr>
            <w:tcW w:w="1219" w:type="pct"/>
            <w:shd w:val="clear" w:color="auto" w:fill="BFBFBF" w:themeFill="background1" w:themeFillShade="BF"/>
          </w:tcPr>
          <w:p w14:paraId="000F39C9"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w:t>
            </w:r>
          </w:p>
        </w:tc>
        <w:tc>
          <w:tcPr>
            <w:tcW w:w="581" w:type="pct"/>
            <w:shd w:val="clear" w:color="auto" w:fill="BFBFBF" w:themeFill="background1" w:themeFillShade="BF"/>
          </w:tcPr>
          <w:p w14:paraId="63287390"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b/>
                <w:sz w:val="20"/>
                <w:szCs w:val="20"/>
              </w:rPr>
              <w:t>-</w:t>
            </w:r>
          </w:p>
        </w:tc>
      </w:tr>
      <w:tr w:rsidR="00B51828" w:rsidRPr="00FD59F8" w14:paraId="2F11CBA7" w14:textId="77777777" w:rsidTr="002101D2">
        <w:tc>
          <w:tcPr>
            <w:tcW w:w="628" w:type="pct"/>
          </w:tcPr>
          <w:p w14:paraId="1A46B950"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Jones 2010</w:t>
            </w:r>
          </w:p>
        </w:tc>
        <w:tc>
          <w:tcPr>
            <w:tcW w:w="590" w:type="pct"/>
          </w:tcPr>
          <w:p w14:paraId="263FEB9C"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Oral and maxillofacial pathology</w:t>
            </w:r>
          </w:p>
          <w:p w14:paraId="7D3E8653"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N=142 cases</w:t>
            </w:r>
          </w:p>
        </w:tc>
        <w:tc>
          <w:tcPr>
            <w:tcW w:w="1372" w:type="pct"/>
          </w:tcPr>
          <w:p w14:paraId="62B4295E"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Cases with no initial diagnosis</w:t>
            </w:r>
          </w:p>
          <w:p w14:paraId="34A3E7DF"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Cases with a provisional diagnosis</w:t>
            </w:r>
          </w:p>
        </w:tc>
        <w:tc>
          <w:tcPr>
            <w:tcW w:w="610" w:type="pct"/>
          </w:tcPr>
          <w:p w14:paraId="0F031EFF"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7/142 (4.9%)</w:t>
            </w:r>
          </w:p>
          <w:p w14:paraId="05C8CCF8"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135/142 (95.1%)</w:t>
            </w:r>
          </w:p>
        </w:tc>
        <w:tc>
          <w:tcPr>
            <w:tcW w:w="1219" w:type="pct"/>
            <w:shd w:val="clear" w:color="auto" w:fill="FFFFFF" w:themeFill="background1"/>
          </w:tcPr>
          <w:p w14:paraId="036BFFA5"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sz w:val="20"/>
                <w:szCs w:val="20"/>
              </w:rPr>
              <w:t>NR</w:t>
            </w:r>
          </w:p>
        </w:tc>
        <w:tc>
          <w:tcPr>
            <w:tcW w:w="581" w:type="pct"/>
            <w:shd w:val="clear" w:color="auto" w:fill="FFFFFF" w:themeFill="background1"/>
          </w:tcPr>
          <w:p w14:paraId="613AFD3C"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sz w:val="20"/>
                <w:szCs w:val="20"/>
              </w:rPr>
              <w:t>NR</w:t>
            </w:r>
          </w:p>
        </w:tc>
      </w:tr>
      <w:tr w:rsidR="00B51828" w:rsidRPr="00FD59F8" w14:paraId="13E46742" w14:textId="77777777" w:rsidTr="002101D2">
        <w:tc>
          <w:tcPr>
            <w:tcW w:w="628" w:type="pct"/>
            <w:shd w:val="clear" w:color="auto" w:fill="BFBFBF" w:themeFill="background1" w:themeFillShade="BF"/>
          </w:tcPr>
          <w:p w14:paraId="58BE8BE0"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UROTHELIAL</w:t>
            </w:r>
          </w:p>
        </w:tc>
        <w:tc>
          <w:tcPr>
            <w:tcW w:w="590" w:type="pct"/>
            <w:shd w:val="clear" w:color="auto" w:fill="BFBFBF" w:themeFill="background1" w:themeFillShade="BF"/>
          </w:tcPr>
          <w:p w14:paraId="2108F1C9" w14:textId="77777777" w:rsidR="00B51828" w:rsidRPr="00FD59F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372" w:type="pct"/>
            <w:shd w:val="clear" w:color="auto" w:fill="BFBFBF" w:themeFill="background1" w:themeFillShade="BF"/>
          </w:tcPr>
          <w:p w14:paraId="6F306496" w14:textId="77777777" w:rsidR="00B51828" w:rsidRPr="004B38BD" w:rsidRDefault="00B51828" w:rsidP="002101D2">
            <w:pPr>
              <w:spacing w:before="20" w:after="20"/>
              <w:ind w:left="0"/>
              <w:rPr>
                <w:rFonts w:ascii="Arial Narrow" w:hAnsi="Arial Narrow"/>
                <w:sz w:val="20"/>
                <w:szCs w:val="20"/>
              </w:rPr>
            </w:pPr>
            <w:r w:rsidRPr="004B38BD">
              <w:rPr>
                <w:rFonts w:ascii="Arial Narrow" w:hAnsi="Arial Narrow"/>
                <w:sz w:val="20"/>
                <w:szCs w:val="20"/>
              </w:rPr>
              <w:t>-</w:t>
            </w:r>
          </w:p>
        </w:tc>
        <w:tc>
          <w:tcPr>
            <w:tcW w:w="610" w:type="pct"/>
            <w:shd w:val="clear" w:color="auto" w:fill="BFBFBF" w:themeFill="background1" w:themeFillShade="BF"/>
          </w:tcPr>
          <w:p w14:paraId="2E8FD404" w14:textId="77777777" w:rsidR="00B51828" w:rsidRPr="00FD59F8" w:rsidRDefault="00B51828" w:rsidP="002101D2">
            <w:pPr>
              <w:spacing w:before="20" w:after="20"/>
              <w:ind w:left="0"/>
              <w:rPr>
                <w:rFonts w:ascii="Arial Narrow" w:hAnsi="Arial Narrow"/>
                <w:b/>
                <w:sz w:val="20"/>
                <w:szCs w:val="20"/>
              </w:rPr>
            </w:pPr>
            <w:r>
              <w:rPr>
                <w:rFonts w:ascii="Arial Narrow" w:hAnsi="Arial Narrow"/>
                <w:b/>
                <w:sz w:val="20"/>
                <w:szCs w:val="20"/>
              </w:rPr>
              <w:t>-</w:t>
            </w:r>
          </w:p>
        </w:tc>
        <w:tc>
          <w:tcPr>
            <w:tcW w:w="1219" w:type="pct"/>
            <w:shd w:val="clear" w:color="auto" w:fill="BFBFBF" w:themeFill="background1" w:themeFillShade="BF"/>
          </w:tcPr>
          <w:p w14:paraId="5EC56B4D" w14:textId="77777777" w:rsidR="00B51828" w:rsidRPr="00FD59F8" w:rsidRDefault="00B51828" w:rsidP="002101D2">
            <w:pPr>
              <w:spacing w:before="20" w:after="20"/>
              <w:ind w:left="0"/>
              <w:rPr>
                <w:rFonts w:ascii="Arial Narrow" w:hAnsi="Arial Narrow"/>
                <w:b/>
                <w:sz w:val="20"/>
                <w:szCs w:val="20"/>
              </w:rPr>
            </w:pPr>
            <w:r>
              <w:rPr>
                <w:rFonts w:ascii="Arial Narrow" w:hAnsi="Arial Narrow"/>
                <w:b/>
                <w:sz w:val="20"/>
                <w:szCs w:val="20"/>
              </w:rPr>
              <w:t>-</w:t>
            </w:r>
          </w:p>
        </w:tc>
        <w:tc>
          <w:tcPr>
            <w:tcW w:w="581" w:type="pct"/>
            <w:shd w:val="clear" w:color="auto" w:fill="BFBFBF" w:themeFill="background1" w:themeFillShade="BF"/>
          </w:tcPr>
          <w:p w14:paraId="56B25E9C" w14:textId="77777777" w:rsidR="00B51828" w:rsidRPr="00FD59F8" w:rsidRDefault="00B51828" w:rsidP="002101D2">
            <w:pPr>
              <w:spacing w:before="20" w:after="20"/>
              <w:ind w:left="0"/>
              <w:rPr>
                <w:rFonts w:ascii="Arial Narrow" w:hAnsi="Arial Narrow"/>
                <w:b/>
                <w:sz w:val="20"/>
                <w:szCs w:val="20"/>
              </w:rPr>
            </w:pPr>
            <w:r>
              <w:rPr>
                <w:rFonts w:ascii="Arial Narrow" w:hAnsi="Arial Narrow"/>
                <w:b/>
                <w:sz w:val="20"/>
                <w:szCs w:val="20"/>
              </w:rPr>
              <w:t>-</w:t>
            </w:r>
          </w:p>
        </w:tc>
      </w:tr>
      <w:tr w:rsidR="00B51828" w:rsidRPr="00FD59F8" w14:paraId="0C95394E" w14:textId="77777777" w:rsidTr="002101D2">
        <w:tc>
          <w:tcPr>
            <w:tcW w:w="628" w:type="pct"/>
          </w:tcPr>
          <w:p w14:paraId="3C5A079F"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Tavora 2009</w:t>
            </w:r>
          </w:p>
        </w:tc>
        <w:tc>
          <w:tcPr>
            <w:tcW w:w="590" w:type="pct"/>
          </w:tcPr>
          <w:p w14:paraId="64E344E3"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Urothelial lesions of the renal pelvis and mid-upper ureter</w:t>
            </w:r>
          </w:p>
          <w:p w14:paraId="7DD6A867"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N=76</w:t>
            </w:r>
          </w:p>
        </w:tc>
        <w:tc>
          <w:tcPr>
            <w:tcW w:w="1372" w:type="pct"/>
          </w:tcPr>
          <w:p w14:paraId="2F0785D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Cases with no initial diagnosis</w:t>
            </w:r>
          </w:p>
          <w:p w14:paraId="4EA707F0" w14:textId="77777777" w:rsidR="00B51828" w:rsidRPr="00FD59F8" w:rsidRDefault="00B51828" w:rsidP="002101D2">
            <w:pPr>
              <w:spacing w:before="20" w:after="20"/>
              <w:ind w:left="0"/>
              <w:rPr>
                <w:rFonts w:ascii="Arial Narrow" w:hAnsi="Arial Narrow"/>
                <w:sz w:val="20"/>
                <w:szCs w:val="20"/>
                <w:u w:val="single"/>
              </w:rPr>
            </w:pPr>
            <w:r w:rsidRPr="00FD59F8">
              <w:rPr>
                <w:rFonts w:ascii="Arial Narrow" w:hAnsi="Arial Narrow"/>
                <w:sz w:val="20"/>
                <w:szCs w:val="20"/>
              </w:rPr>
              <w:t>Cases with a provisional diagnosis</w:t>
            </w:r>
          </w:p>
          <w:p w14:paraId="78E852CF" w14:textId="77777777" w:rsidR="00B51828" w:rsidRPr="00FD59F8" w:rsidRDefault="00B51828" w:rsidP="002101D2">
            <w:pPr>
              <w:spacing w:before="20" w:after="20"/>
              <w:ind w:left="0"/>
              <w:rPr>
                <w:rFonts w:ascii="Arial Narrow" w:hAnsi="Arial Narrow"/>
                <w:sz w:val="20"/>
                <w:szCs w:val="20"/>
              </w:rPr>
            </w:pPr>
          </w:p>
        </w:tc>
        <w:tc>
          <w:tcPr>
            <w:tcW w:w="610" w:type="pct"/>
          </w:tcPr>
          <w:p w14:paraId="03BDBA2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0/76 (0%)</w:t>
            </w:r>
          </w:p>
          <w:p w14:paraId="209A18E5" w14:textId="77777777" w:rsidR="00B51828" w:rsidRPr="00FD59F8" w:rsidRDefault="00B51828" w:rsidP="002101D2">
            <w:pPr>
              <w:spacing w:before="20" w:after="20"/>
              <w:ind w:left="0"/>
              <w:rPr>
                <w:rFonts w:ascii="Arial Narrow" w:hAnsi="Arial Narrow"/>
                <w:sz w:val="20"/>
                <w:szCs w:val="20"/>
              </w:rPr>
            </w:pPr>
            <w:r w:rsidRPr="00FD59F8">
              <w:rPr>
                <w:rFonts w:ascii="Arial Narrow" w:hAnsi="Arial Narrow"/>
                <w:sz w:val="20"/>
                <w:szCs w:val="20"/>
              </w:rPr>
              <w:t>76/76 (100%)</w:t>
            </w:r>
          </w:p>
          <w:p w14:paraId="52B9D6AB" w14:textId="77777777" w:rsidR="00B51828" w:rsidRPr="00FD59F8" w:rsidRDefault="00B51828" w:rsidP="002101D2">
            <w:pPr>
              <w:spacing w:before="20" w:after="20"/>
              <w:ind w:left="0"/>
              <w:rPr>
                <w:rFonts w:ascii="Arial Narrow" w:hAnsi="Arial Narrow"/>
                <w:sz w:val="20"/>
                <w:szCs w:val="20"/>
              </w:rPr>
            </w:pPr>
          </w:p>
        </w:tc>
        <w:tc>
          <w:tcPr>
            <w:tcW w:w="1219" w:type="pct"/>
            <w:shd w:val="clear" w:color="auto" w:fill="FFFFFF" w:themeFill="background1"/>
          </w:tcPr>
          <w:p w14:paraId="3E6D30EB"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sz w:val="20"/>
                <w:szCs w:val="20"/>
              </w:rPr>
              <w:t>NR</w:t>
            </w:r>
          </w:p>
        </w:tc>
        <w:tc>
          <w:tcPr>
            <w:tcW w:w="581" w:type="pct"/>
            <w:shd w:val="clear" w:color="auto" w:fill="FFFFFF" w:themeFill="background1"/>
          </w:tcPr>
          <w:p w14:paraId="7DFA7631" w14:textId="77777777" w:rsidR="00B51828" w:rsidRPr="00FD59F8" w:rsidRDefault="00B51828" w:rsidP="002101D2">
            <w:pPr>
              <w:spacing w:before="20" w:after="20"/>
              <w:ind w:left="0"/>
              <w:rPr>
                <w:rFonts w:ascii="Arial Narrow" w:hAnsi="Arial Narrow"/>
                <w:b/>
                <w:sz w:val="20"/>
                <w:szCs w:val="20"/>
              </w:rPr>
            </w:pPr>
            <w:r w:rsidRPr="00FD59F8">
              <w:rPr>
                <w:rFonts w:ascii="Arial Narrow" w:hAnsi="Arial Narrow"/>
                <w:sz w:val="20"/>
                <w:szCs w:val="20"/>
              </w:rPr>
              <w:t>NR</w:t>
            </w:r>
          </w:p>
        </w:tc>
      </w:tr>
      <w:tr w:rsidR="00B51828" w:rsidRPr="00FD59F8" w14:paraId="79214320" w14:textId="77777777" w:rsidTr="002101D2">
        <w:tc>
          <w:tcPr>
            <w:tcW w:w="628" w:type="pct"/>
            <w:shd w:val="clear" w:color="auto" w:fill="BFBFBF" w:themeFill="background1" w:themeFillShade="BF"/>
          </w:tcPr>
          <w:p w14:paraId="53C4106B" w14:textId="77777777" w:rsidR="00B51828" w:rsidRPr="00FD59F8" w:rsidRDefault="00B51828" w:rsidP="002101D2">
            <w:pPr>
              <w:keepNext/>
              <w:spacing w:before="20" w:after="20"/>
              <w:ind w:left="0"/>
              <w:rPr>
                <w:rFonts w:ascii="Arial Narrow" w:hAnsi="Arial Narrow"/>
                <w:sz w:val="20"/>
                <w:szCs w:val="20"/>
              </w:rPr>
            </w:pPr>
            <w:r w:rsidRPr="003E51A5">
              <w:rPr>
                <w:rFonts w:ascii="Arial Narrow" w:hAnsi="Arial Narrow"/>
                <w:sz w:val="20"/>
                <w:szCs w:val="20"/>
              </w:rPr>
              <w:t>LUNG</w:t>
            </w:r>
          </w:p>
        </w:tc>
        <w:tc>
          <w:tcPr>
            <w:tcW w:w="590" w:type="pct"/>
            <w:shd w:val="clear" w:color="auto" w:fill="BFBFBF" w:themeFill="background1" w:themeFillShade="BF"/>
          </w:tcPr>
          <w:p w14:paraId="23B6C3B9" w14:textId="77777777" w:rsidR="00B51828" w:rsidRPr="00FD59F8" w:rsidRDefault="00B51828" w:rsidP="002101D2">
            <w:pPr>
              <w:keepNext/>
              <w:spacing w:before="20" w:after="20"/>
              <w:ind w:left="0"/>
              <w:rPr>
                <w:rFonts w:ascii="Arial Narrow" w:hAnsi="Arial Narrow"/>
                <w:sz w:val="20"/>
                <w:szCs w:val="20"/>
              </w:rPr>
            </w:pPr>
            <w:r w:rsidRPr="003E51A5">
              <w:rPr>
                <w:rFonts w:ascii="Arial Narrow" w:hAnsi="Arial Narrow"/>
                <w:sz w:val="20"/>
                <w:szCs w:val="20"/>
              </w:rPr>
              <w:t>-</w:t>
            </w:r>
          </w:p>
        </w:tc>
        <w:tc>
          <w:tcPr>
            <w:tcW w:w="1372" w:type="pct"/>
            <w:shd w:val="clear" w:color="auto" w:fill="BFBFBF" w:themeFill="background1" w:themeFillShade="BF"/>
          </w:tcPr>
          <w:p w14:paraId="357F446F" w14:textId="77777777" w:rsidR="00B51828" w:rsidRDefault="00B51828" w:rsidP="002101D2">
            <w:pPr>
              <w:keepNext/>
              <w:spacing w:before="20" w:after="20"/>
              <w:ind w:left="0"/>
              <w:rPr>
                <w:rFonts w:ascii="Arial Narrow" w:hAnsi="Arial Narrow"/>
                <w:sz w:val="20"/>
                <w:szCs w:val="20"/>
              </w:rPr>
            </w:pPr>
            <w:r w:rsidRPr="003E51A5">
              <w:rPr>
                <w:rFonts w:ascii="Arial Narrow" w:hAnsi="Arial Narrow"/>
                <w:sz w:val="20"/>
                <w:szCs w:val="20"/>
              </w:rPr>
              <w:t>-</w:t>
            </w:r>
          </w:p>
        </w:tc>
        <w:tc>
          <w:tcPr>
            <w:tcW w:w="610" w:type="pct"/>
            <w:shd w:val="clear" w:color="auto" w:fill="BFBFBF" w:themeFill="background1" w:themeFillShade="BF"/>
          </w:tcPr>
          <w:p w14:paraId="6E7120F3" w14:textId="77777777" w:rsidR="00B51828" w:rsidRDefault="00B51828" w:rsidP="002101D2">
            <w:pPr>
              <w:keepNext/>
              <w:spacing w:before="20" w:after="20"/>
              <w:ind w:left="0"/>
              <w:rPr>
                <w:rFonts w:ascii="Arial Narrow" w:hAnsi="Arial Narrow"/>
                <w:sz w:val="20"/>
                <w:szCs w:val="20"/>
              </w:rPr>
            </w:pPr>
            <w:r w:rsidRPr="003E51A5">
              <w:rPr>
                <w:rFonts w:ascii="Arial Narrow" w:hAnsi="Arial Narrow"/>
                <w:sz w:val="20"/>
                <w:szCs w:val="20"/>
              </w:rPr>
              <w:t>-</w:t>
            </w:r>
          </w:p>
        </w:tc>
        <w:tc>
          <w:tcPr>
            <w:tcW w:w="1219" w:type="pct"/>
            <w:shd w:val="clear" w:color="auto" w:fill="BFBFBF" w:themeFill="background1" w:themeFillShade="BF"/>
          </w:tcPr>
          <w:p w14:paraId="050A0730" w14:textId="77777777" w:rsidR="00B51828" w:rsidRPr="00FD59F8" w:rsidRDefault="00B51828" w:rsidP="002101D2">
            <w:pPr>
              <w:keepNext/>
              <w:spacing w:before="20" w:after="20"/>
              <w:ind w:left="0"/>
              <w:rPr>
                <w:rFonts w:ascii="Arial Narrow" w:hAnsi="Arial Narrow"/>
                <w:b/>
                <w:sz w:val="20"/>
                <w:szCs w:val="20"/>
              </w:rPr>
            </w:pPr>
            <w:r w:rsidRPr="0017743C">
              <w:rPr>
                <w:rFonts w:ascii="Arial Narrow" w:hAnsi="Arial Narrow"/>
                <w:sz w:val="20"/>
                <w:szCs w:val="20"/>
              </w:rPr>
              <w:t>-</w:t>
            </w:r>
          </w:p>
        </w:tc>
        <w:tc>
          <w:tcPr>
            <w:tcW w:w="581" w:type="pct"/>
            <w:shd w:val="clear" w:color="auto" w:fill="BFBFBF" w:themeFill="background1" w:themeFillShade="BF"/>
          </w:tcPr>
          <w:p w14:paraId="6CC2681E" w14:textId="77777777" w:rsidR="00B51828" w:rsidRPr="00FD59F8" w:rsidRDefault="00B51828" w:rsidP="002101D2">
            <w:pPr>
              <w:keepNext/>
              <w:spacing w:before="20" w:after="20"/>
              <w:ind w:left="0"/>
              <w:rPr>
                <w:rFonts w:ascii="Arial Narrow" w:hAnsi="Arial Narrow"/>
                <w:b/>
                <w:sz w:val="20"/>
                <w:szCs w:val="20"/>
              </w:rPr>
            </w:pPr>
            <w:r w:rsidRPr="0017743C">
              <w:rPr>
                <w:rFonts w:ascii="Arial Narrow" w:hAnsi="Arial Narrow"/>
                <w:sz w:val="20"/>
                <w:szCs w:val="20"/>
              </w:rPr>
              <w:t>-</w:t>
            </w:r>
          </w:p>
        </w:tc>
      </w:tr>
      <w:tr w:rsidR="00B51828" w:rsidRPr="00FD59F8" w14:paraId="1FD4FFAF" w14:textId="77777777" w:rsidTr="002101D2">
        <w:tc>
          <w:tcPr>
            <w:tcW w:w="628" w:type="pct"/>
          </w:tcPr>
          <w:p w14:paraId="0C192920" w14:textId="77777777" w:rsidR="00B51828" w:rsidRPr="00FD59F8" w:rsidRDefault="00B51828" w:rsidP="002101D2">
            <w:pPr>
              <w:spacing w:before="20" w:after="20"/>
              <w:ind w:left="0"/>
              <w:rPr>
                <w:rFonts w:ascii="Arial Narrow" w:hAnsi="Arial Narrow"/>
                <w:sz w:val="20"/>
                <w:szCs w:val="20"/>
              </w:rPr>
            </w:pPr>
            <w:r w:rsidRPr="003E51A5">
              <w:rPr>
                <w:rFonts w:ascii="Arial Narrow" w:hAnsi="Arial Narrow"/>
                <w:sz w:val="20"/>
                <w:szCs w:val="20"/>
              </w:rPr>
              <w:t>Hutton Klein 2010</w:t>
            </w:r>
          </w:p>
        </w:tc>
        <w:tc>
          <w:tcPr>
            <w:tcW w:w="590" w:type="pct"/>
          </w:tcPr>
          <w:p w14:paraId="3C4B65E6"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Granulomatous or giant cell reactions in the lung</w:t>
            </w:r>
          </w:p>
          <w:p w14:paraId="33910804" w14:textId="77777777" w:rsidR="00B51828" w:rsidRPr="00FD59F8" w:rsidRDefault="00B51828" w:rsidP="002101D2">
            <w:pPr>
              <w:spacing w:before="20" w:after="20"/>
              <w:ind w:left="0"/>
              <w:rPr>
                <w:rFonts w:ascii="Arial Narrow" w:hAnsi="Arial Narrow"/>
                <w:sz w:val="20"/>
                <w:szCs w:val="20"/>
              </w:rPr>
            </w:pPr>
            <w:r w:rsidRPr="003E51A5">
              <w:rPr>
                <w:rFonts w:ascii="Arial Narrow" w:hAnsi="Arial Narrow"/>
                <w:sz w:val="20"/>
                <w:szCs w:val="20"/>
              </w:rPr>
              <w:lastRenderedPageBreak/>
              <w:t>N=100 cases</w:t>
            </w:r>
            <w:r>
              <w:rPr>
                <w:rFonts w:ascii="Arial Narrow" w:hAnsi="Arial Narrow"/>
                <w:sz w:val="20"/>
                <w:szCs w:val="20"/>
                <w:vertAlign w:val="superscript"/>
              </w:rPr>
              <w:t>f</w:t>
            </w:r>
          </w:p>
        </w:tc>
        <w:tc>
          <w:tcPr>
            <w:tcW w:w="1372" w:type="pct"/>
          </w:tcPr>
          <w:p w14:paraId="5DED44AA"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lastRenderedPageBreak/>
              <w:t>Cases with n</w:t>
            </w:r>
            <w:r w:rsidRPr="003E51A5">
              <w:rPr>
                <w:rFonts w:ascii="Arial Narrow" w:hAnsi="Arial Narrow"/>
                <w:sz w:val="20"/>
                <w:szCs w:val="20"/>
              </w:rPr>
              <w:t>o initial diagnosis</w:t>
            </w:r>
          </w:p>
          <w:p w14:paraId="727004F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Cases with a provisional diagnosis</w:t>
            </w:r>
          </w:p>
        </w:tc>
        <w:tc>
          <w:tcPr>
            <w:tcW w:w="610" w:type="pct"/>
          </w:tcPr>
          <w:p w14:paraId="4E7BAEC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25/80 (31.3%)</w:t>
            </w:r>
          </w:p>
          <w:p w14:paraId="79ECFEE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55/80 (68.8%)</w:t>
            </w:r>
          </w:p>
        </w:tc>
        <w:tc>
          <w:tcPr>
            <w:tcW w:w="1219" w:type="pct"/>
            <w:shd w:val="clear" w:color="auto" w:fill="FFFFFF" w:themeFill="background1"/>
          </w:tcPr>
          <w:p w14:paraId="13FBD25E" w14:textId="77777777" w:rsidR="00B51828" w:rsidRDefault="00B51828" w:rsidP="002101D2">
            <w:pPr>
              <w:spacing w:before="20" w:after="0"/>
              <w:ind w:left="0"/>
              <w:rPr>
                <w:rFonts w:ascii="Arial Narrow" w:hAnsi="Arial Narrow"/>
                <w:sz w:val="20"/>
                <w:szCs w:val="20"/>
              </w:rPr>
            </w:pPr>
            <w:r>
              <w:rPr>
                <w:rFonts w:ascii="Arial Narrow" w:hAnsi="Arial Narrow"/>
                <w:sz w:val="20"/>
                <w:szCs w:val="20"/>
              </w:rPr>
              <w:t>Expert pathologist provided a confident diagnosis</w:t>
            </w:r>
          </w:p>
          <w:p w14:paraId="3EC209BC" w14:textId="77777777" w:rsidR="00B51828" w:rsidRDefault="00B51828" w:rsidP="002101D2">
            <w:pPr>
              <w:spacing w:after="0"/>
              <w:ind w:left="0"/>
              <w:rPr>
                <w:rFonts w:ascii="Arial Narrow" w:hAnsi="Arial Narrow"/>
                <w:sz w:val="20"/>
                <w:szCs w:val="20"/>
              </w:rPr>
            </w:pPr>
            <w:r>
              <w:rPr>
                <w:rFonts w:ascii="Arial Narrow" w:hAnsi="Arial Narrow"/>
                <w:sz w:val="20"/>
                <w:szCs w:val="20"/>
              </w:rPr>
              <w:t>Expert pathologist provided a probable (strongly favoured) diagnosis</w:t>
            </w:r>
          </w:p>
          <w:p w14:paraId="34FC43DE" w14:textId="77777777" w:rsidR="00B51828" w:rsidRPr="00FD59F8" w:rsidRDefault="00B51828" w:rsidP="002101D2">
            <w:pPr>
              <w:spacing w:after="20"/>
              <w:ind w:left="0"/>
              <w:rPr>
                <w:rFonts w:ascii="Arial Narrow" w:hAnsi="Arial Narrow"/>
                <w:b/>
                <w:sz w:val="20"/>
                <w:szCs w:val="20"/>
              </w:rPr>
            </w:pPr>
            <w:r>
              <w:rPr>
                <w:rFonts w:ascii="Arial Narrow" w:hAnsi="Arial Narrow"/>
                <w:sz w:val="20"/>
                <w:szCs w:val="20"/>
              </w:rPr>
              <w:lastRenderedPageBreak/>
              <w:t>Expert pathologist provided a differential diagnosis</w:t>
            </w:r>
          </w:p>
        </w:tc>
        <w:tc>
          <w:tcPr>
            <w:tcW w:w="581" w:type="pct"/>
            <w:shd w:val="clear" w:color="auto" w:fill="FFFFFF" w:themeFill="background1"/>
          </w:tcPr>
          <w:p w14:paraId="4CC47BEE" w14:textId="77777777" w:rsidR="00B51828" w:rsidRPr="006E6793" w:rsidRDefault="00B51828" w:rsidP="002101D2">
            <w:pPr>
              <w:spacing w:before="20" w:after="0"/>
              <w:ind w:left="0"/>
              <w:rPr>
                <w:rFonts w:ascii="Arial Narrow" w:hAnsi="Arial Narrow"/>
                <w:sz w:val="20"/>
                <w:szCs w:val="20"/>
                <w:vertAlign w:val="superscript"/>
              </w:rPr>
            </w:pPr>
            <w:r>
              <w:rPr>
                <w:rFonts w:ascii="Arial Narrow" w:hAnsi="Arial Narrow"/>
                <w:sz w:val="20"/>
                <w:szCs w:val="20"/>
              </w:rPr>
              <w:lastRenderedPageBreak/>
              <w:t>27/100 (27.0%)</w:t>
            </w:r>
            <w:r>
              <w:rPr>
                <w:rFonts w:ascii="Arial Narrow" w:hAnsi="Arial Narrow"/>
                <w:sz w:val="20"/>
                <w:szCs w:val="20"/>
                <w:vertAlign w:val="superscript"/>
              </w:rPr>
              <w:t>g</w:t>
            </w:r>
          </w:p>
          <w:p w14:paraId="28D342F6" w14:textId="77777777" w:rsidR="00B51828" w:rsidRDefault="00B51828" w:rsidP="002101D2">
            <w:pPr>
              <w:spacing w:after="0"/>
              <w:ind w:left="0"/>
              <w:rPr>
                <w:rFonts w:ascii="Arial Narrow" w:hAnsi="Arial Narrow"/>
                <w:sz w:val="20"/>
                <w:szCs w:val="20"/>
              </w:rPr>
            </w:pPr>
          </w:p>
          <w:p w14:paraId="4BBCA79D" w14:textId="77777777" w:rsidR="00B51828" w:rsidRPr="006E6793" w:rsidRDefault="00B51828" w:rsidP="002101D2">
            <w:pPr>
              <w:spacing w:after="0"/>
              <w:ind w:left="0"/>
              <w:rPr>
                <w:rFonts w:ascii="Arial Narrow" w:hAnsi="Arial Narrow"/>
                <w:sz w:val="20"/>
                <w:szCs w:val="20"/>
                <w:vertAlign w:val="superscript"/>
              </w:rPr>
            </w:pPr>
            <w:r>
              <w:rPr>
                <w:rFonts w:ascii="Arial Narrow" w:hAnsi="Arial Narrow"/>
                <w:sz w:val="20"/>
                <w:szCs w:val="20"/>
              </w:rPr>
              <w:t>34/100 (34.0%)</w:t>
            </w:r>
            <w:r>
              <w:rPr>
                <w:rFonts w:ascii="Arial Narrow" w:hAnsi="Arial Narrow"/>
                <w:sz w:val="20"/>
                <w:szCs w:val="20"/>
                <w:vertAlign w:val="superscript"/>
              </w:rPr>
              <w:t>g</w:t>
            </w:r>
          </w:p>
          <w:p w14:paraId="1F77207B" w14:textId="77777777" w:rsidR="00B51828" w:rsidRDefault="00B51828" w:rsidP="002101D2">
            <w:pPr>
              <w:spacing w:after="0"/>
              <w:ind w:left="0"/>
              <w:rPr>
                <w:rFonts w:ascii="Arial Narrow" w:hAnsi="Arial Narrow"/>
                <w:sz w:val="20"/>
                <w:szCs w:val="20"/>
              </w:rPr>
            </w:pPr>
          </w:p>
          <w:p w14:paraId="3825DE7C" w14:textId="77777777" w:rsidR="00B51828" w:rsidRPr="006E6793" w:rsidRDefault="00B51828" w:rsidP="002101D2">
            <w:pPr>
              <w:spacing w:after="20"/>
              <w:ind w:left="0"/>
              <w:rPr>
                <w:rFonts w:ascii="Arial Narrow" w:hAnsi="Arial Narrow"/>
                <w:b/>
                <w:sz w:val="20"/>
                <w:szCs w:val="20"/>
                <w:vertAlign w:val="superscript"/>
              </w:rPr>
            </w:pPr>
            <w:r>
              <w:rPr>
                <w:rFonts w:ascii="Arial Narrow" w:hAnsi="Arial Narrow"/>
                <w:sz w:val="20"/>
                <w:szCs w:val="20"/>
              </w:rPr>
              <w:lastRenderedPageBreak/>
              <w:t>39/100 (39.0%)</w:t>
            </w:r>
            <w:r>
              <w:rPr>
                <w:rFonts w:ascii="Arial Narrow" w:hAnsi="Arial Narrow"/>
                <w:sz w:val="20"/>
                <w:szCs w:val="20"/>
                <w:vertAlign w:val="superscript"/>
              </w:rPr>
              <w:t>g</w:t>
            </w:r>
          </w:p>
        </w:tc>
      </w:tr>
    </w:tbl>
    <w:p w14:paraId="49619EBC" w14:textId="77777777" w:rsidR="00B51828" w:rsidRPr="004B38BD" w:rsidRDefault="00B51828" w:rsidP="002101D2">
      <w:pPr>
        <w:spacing w:after="0" w:line="259" w:lineRule="auto"/>
        <w:ind w:left="0"/>
        <w:rPr>
          <w:rFonts w:ascii="Arial Narrow" w:hAnsi="Arial Narrow"/>
          <w:sz w:val="16"/>
          <w:szCs w:val="16"/>
        </w:rPr>
      </w:pPr>
      <w:r>
        <w:rPr>
          <w:rFonts w:ascii="Arial Narrow" w:hAnsi="Arial Narrow"/>
          <w:sz w:val="16"/>
          <w:szCs w:val="16"/>
        </w:rPr>
        <w:lastRenderedPageBreak/>
        <w:t>Abbreviations: NR, not reported.</w:t>
      </w:r>
    </w:p>
    <w:p w14:paraId="41137B0C" w14:textId="77777777" w:rsidR="00B51828" w:rsidRPr="00FD59F8" w:rsidRDefault="00B51828" w:rsidP="002101D2">
      <w:pPr>
        <w:spacing w:after="0" w:line="259" w:lineRule="auto"/>
        <w:ind w:left="0"/>
        <w:rPr>
          <w:rFonts w:ascii="Arial Narrow" w:hAnsi="Arial Narrow"/>
          <w:sz w:val="16"/>
          <w:szCs w:val="16"/>
        </w:rPr>
      </w:pPr>
      <w:r w:rsidRPr="00FD59F8">
        <w:rPr>
          <w:rFonts w:ascii="Arial Narrow" w:hAnsi="Arial Narrow"/>
          <w:sz w:val="16"/>
          <w:szCs w:val="16"/>
          <w:vertAlign w:val="superscript"/>
        </w:rPr>
        <w:t xml:space="preserve">a </w:t>
      </w:r>
      <w:r w:rsidRPr="00FD59F8">
        <w:rPr>
          <w:rFonts w:ascii="Arial Narrow" w:hAnsi="Arial Narrow"/>
          <w:sz w:val="16"/>
          <w:szCs w:val="16"/>
        </w:rPr>
        <w:t>Details of the initial pathology opinion were available in 116 cases (i.e. cases for which the original referring Consultant’s referral letter was found).</w:t>
      </w:r>
    </w:p>
    <w:p w14:paraId="236452A7" w14:textId="77777777" w:rsidR="00B51828" w:rsidRPr="00FD59F8" w:rsidRDefault="00B51828" w:rsidP="002101D2">
      <w:pPr>
        <w:spacing w:after="0" w:line="259" w:lineRule="auto"/>
        <w:ind w:left="0"/>
        <w:rPr>
          <w:rFonts w:ascii="Arial Narrow" w:hAnsi="Arial Narrow"/>
          <w:sz w:val="16"/>
          <w:szCs w:val="16"/>
        </w:rPr>
      </w:pPr>
      <w:r w:rsidRPr="00FD59F8">
        <w:rPr>
          <w:rFonts w:ascii="Arial Narrow" w:hAnsi="Arial Narrow"/>
          <w:sz w:val="16"/>
          <w:szCs w:val="16"/>
          <w:vertAlign w:val="superscript"/>
        </w:rPr>
        <w:t>b</w:t>
      </w:r>
      <w:r w:rsidRPr="00FD59F8">
        <w:rPr>
          <w:rFonts w:ascii="Arial Narrow" w:hAnsi="Arial Narrow"/>
          <w:sz w:val="16"/>
          <w:szCs w:val="16"/>
        </w:rPr>
        <w:t xml:space="preserve"> A diagnosis of malignant lymphoma had been made prior to referral. The expert was asked to provide further lymphoma classification and grading.</w:t>
      </w:r>
    </w:p>
    <w:p w14:paraId="5AC39B98" w14:textId="77777777" w:rsidR="00B51828" w:rsidRPr="00FD59F8" w:rsidRDefault="00B51828" w:rsidP="002101D2">
      <w:pPr>
        <w:spacing w:after="0" w:line="259" w:lineRule="auto"/>
        <w:ind w:left="0"/>
        <w:rPr>
          <w:rFonts w:ascii="Arial Narrow" w:hAnsi="Arial Narrow"/>
          <w:sz w:val="16"/>
          <w:szCs w:val="16"/>
        </w:rPr>
      </w:pPr>
      <w:r w:rsidRPr="00FD59F8">
        <w:rPr>
          <w:rFonts w:ascii="Arial Narrow" w:hAnsi="Arial Narrow"/>
          <w:sz w:val="16"/>
          <w:szCs w:val="16"/>
          <w:vertAlign w:val="superscript"/>
        </w:rPr>
        <w:t xml:space="preserve">c </w:t>
      </w:r>
      <w:r w:rsidRPr="00FD59F8">
        <w:rPr>
          <w:rFonts w:ascii="Arial Narrow" w:hAnsi="Arial Narrow"/>
          <w:sz w:val="16"/>
          <w:szCs w:val="16"/>
        </w:rPr>
        <w:t>The study reports 36/116 (31.0%). The denominator has been altered to remove 27 cases in which a diagnosis of malignant lymphoma had already been made and the case was only referred for further lymphoma classification and grading.</w:t>
      </w:r>
    </w:p>
    <w:p w14:paraId="1D3508A3" w14:textId="77777777" w:rsidR="00B51828" w:rsidRPr="00FD59F8" w:rsidRDefault="00B51828" w:rsidP="002101D2">
      <w:pPr>
        <w:tabs>
          <w:tab w:val="left" w:pos="990"/>
        </w:tabs>
        <w:spacing w:after="0" w:line="259" w:lineRule="auto"/>
        <w:ind w:left="0"/>
        <w:rPr>
          <w:rFonts w:ascii="Arial Narrow" w:hAnsi="Arial Narrow"/>
          <w:sz w:val="16"/>
          <w:szCs w:val="16"/>
        </w:rPr>
      </w:pPr>
      <w:r w:rsidRPr="00FD59F8">
        <w:rPr>
          <w:rFonts w:ascii="Arial Narrow" w:hAnsi="Arial Narrow"/>
          <w:sz w:val="16"/>
          <w:szCs w:val="16"/>
          <w:vertAlign w:val="superscript"/>
        </w:rPr>
        <w:t xml:space="preserve">d </w:t>
      </w:r>
      <w:r w:rsidRPr="00FD59F8">
        <w:rPr>
          <w:rFonts w:ascii="Arial Narrow" w:hAnsi="Arial Narrow"/>
          <w:sz w:val="16"/>
          <w:szCs w:val="16"/>
        </w:rPr>
        <w:t>The study included a total of 1463 cases: 564 cases were initially examined by a ‘non-expert’ pathologist who requested a second opinion to confirm the diagnosis; 899 cases were initially examined by a ‘non-expert’ pathologist who did not request confirmation of the diagnosis. The study referred to the latter group as the ‘systematic review’ or ‘control’ group.</w:t>
      </w:r>
    </w:p>
    <w:p w14:paraId="169916B4" w14:textId="3356A25D" w:rsidR="00B51828" w:rsidRDefault="00B51828" w:rsidP="002101D2">
      <w:pPr>
        <w:spacing w:after="0" w:line="259" w:lineRule="auto"/>
        <w:ind w:left="0"/>
        <w:rPr>
          <w:rFonts w:ascii="Arial Narrow" w:hAnsi="Arial Narrow"/>
          <w:sz w:val="16"/>
          <w:szCs w:val="16"/>
        </w:rPr>
      </w:pPr>
      <w:r w:rsidRPr="00FD59F8">
        <w:rPr>
          <w:rFonts w:ascii="Arial Narrow" w:hAnsi="Arial Narrow"/>
          <w:sz w:val="16"/>
          <w:szCs w:val="16"/>
          <w:vertAlign w:val="superscript"/>
        </w:rPr>
        <w:t xml:space="preserve">e  </w:t>
      </w:r>
      <w:r w:rsidRPr="00FD59F8">
        <w:rPr>
          <w:rFonts w:ascii="Arial Narrow" w:hAnsi="Arial Narrow"/>
          <w:sz w:val="16"/>
          <w:szCs w:val="16"/>
        </w:rPr>
        <w:t>404 out of 405 cases were relevant expert opinion cases, in which an outside pathologist sought an expert opinion. One case was a mandatory second review case, in which an expert opinion was required prior to definitive medical or surgical treatment</w:t>
      </w:r>
      <w:r w:rsidR="00525F10">
        <w:rPr>
          <w:rFonts w:ascii="Arial Narrow" w:hAnsi="Arial Narrow"/>
          <w:sz w:val="16"/>
          <w:szCs w:val="16"/>
        </w:rPr>
        <w:t>.</w:t>
      </w:r>
    </w:p>
    <w:p w14:paraId="0A08C7CB" w14:textId="77777777" w:rsidR="00B51828" w:rsidRDefault="00B51828" w:rsidP="002101D2">
      <w:pPr>
        <w:spacing w:after="0" w:line="259" w:lineRule="auto"/>
        <w:ind w:left="0"/>
        <w:rPr>
          <w:rFonts w:ascii="Arial Narrow" w:hAnsi="Arial Narrow"/>
          <w:sz w:val="16"/>
          <w:szCs w:val="16"/>
        </w:rPr>
      </w:pPr>
      <w:r>
        <w:rPr>
          <w:rFonts w:ascii="Arial Narrow" w:hAnsi="Arial Narrow"/>
          <w:sz w:val="16"/>
          <w:szCs w:val="16"/>
          <w:vertAlign w:val="superscript"/>
        </w:rPr>
        <w:t xml:space="preserve">f </w:t>
      </w:r>
      <w:r w:rsidRPr="003E51A5">
        <w:rPr>
          <w:rFonts w:ascii="Arial Narrow" w:hAnsi="Arial Narrow"/>
          <w:sz w:val="16"/>
          <w:szCs w:val="16"/>
        </w:rPr>
        <w:t>The study included a total of 100 cases: 80 requests for expert opinion were initiated by the pathologist; 20 expert opinion requests were initiated by the clinician.</w:t>
      </w:r>
    </w:p>
    <w:p w14:paraId="0DE56667" w14:textId="77777777" w:rsidR="00B51828" w:rsidRPr="006E6793" w:rsidRDefault="00B51828" w:rsidP="002101D2">
      <w:pPr>
        <w:spacing w:after="0" w:line="259" w:lineRule="auto"/>
        <w:ind w:left="0"/>
        <w:rPr>
          <w:rFonts w:ascii="Arial Narrow" w:hAnsi="Arial Narrow"/>
          <w:sz w:val="16"/>
          <w:szCs w:val="16"/>
        </w:rPr>
      </w:pPr>
      <w:r>
        <w:rPr>
          <w:rFonts w:ascii="Arial Narrow" w:hAnsi="Arial Narrow"/>
          <w:sz w:val="16"/>
          <w:szCs w:val="16"/>
          <w:vertAlign w:val="superscript"/>
        </w:rPr>
        <w:t xml:space="preserve">g </w:t>
      </w:r>
      <w:r>
        <w:rPr>
          <w:rFonts w:ascii="Arial Narrow" w:hAnsi="Arial Narrow"/>
          <w:sz w:val="16"/>
          <w:szCs w:val="16"/>
        </w:rPr>
        <w:t>The results were not provided separately according to pathologist/clinician-initiated referrals.</w:t>
      </w:r>
    </w:p>
    <w:p w14:paraId="349644FA" w14:textId="77777777" w:rsidR="00B51828" w:rsidRDefault="00B51828" w:rsidP="002101D2">
      <w:pPr>
        <w:spacing w:after="0" w:line="259" w:lineRule="auto"/>
        <w:ind w:left="0"/>
        <w:rPr>
          <w:rFonts w:ascii="Arial Narrow" w:hAnsi="Arial Narrow"/>
          <w:sz w:val="16"/>
          <w:szCs w:val="16"/>
        </w:rPr>
      </w:pPr>
    </w:p>
    <w:p w14:paraId="03E0F035" w14:textId="77777777" w:rsidR="00B51828" w:rsidRDefault="00B51828" w:rsidP="002101D2">
      <w:pPr>
        <w:spacing w:after="160" w:line="259" w:lineRule="auto"/>
        <w:ind w:left="0"/>
        <w:rPr>
          <w:rFonts w:ascii="Arial Narrow" w:hAnsi="Arial Narrow"/>
          <w:b/>
          <w:iCs/>
          <w:sz w:val="20"/>
          <w:szCs w:val="18"/>
        </w:rPr>
      </w:pPr>
      <w:bookmarkStart w:id="145" w:name="_Ref395276497"/>
      <w:r>
        <w:br w:type="page"/>
      </w:r>
    </w:p>
    <w:p w14:paraId="676BDC5F" w14:textId="77777777" w:rsidR="00B51828" w:rsidRDefault="00B51828" w:rsidP="002101D2">
      <w:pPr>
        <w:pStyle w:val="Caption"/>
        <w:ind w:left="1406" w:hanging="1406"/>
      </w:pPr>
      <w:bookmarkStart w:id="146" w:name="_Ref395344035"/>
      <w:bookmarkStart w:id="147" w:name="_Toc395280221"/>
      <w:bookmarkStart w:id="148" w:name="_Toc396211745"/>
      <w:bookmarkEnd w:id="145"/>
      <w:r>
        <w:lastRenderedPageBreak/>
        <w:t xml:space="preserve">Table </w:t>
      </w:r>
      <w:fldSimple w:instr=" STYLEREF 2 \s ">
        <w:r w:rsidR="0044620B">
          <w:rPr>
            <w:noProof/>
          </w:rPr>
          <w:t>B.6</w:t>
        </w:r>
      </w:fldSimple>
      <w:r>
        <w:noBreakHyphen/>
      </w:r>
      <w:fldSimple w:instr=" SEQ Table \* ARABIC \s 2 ">
        <w:r w:rsidR="0044620B">
          <w:rPr>
            <w:noProof/>
          </w:rPr>
          <w:t>2</w:t>
        </w:r>
      </w:fldSimple>
      <w:bookmarkEnd w:id="146"/>
      <w:r>
        <w:tab/>
        <w:t xml:space="preserve">Summary of the nature of initial and expert pathology opinions – </w:t>
      </w:r>
      <w:r>
        <w:rPr>
          <w:i/>
        </w:rPr>
        <w:t>Scenario 2</w:t>
      </w:r>
      <w:bookmarkEnd w:id="147"/>
      <w:r>
        <w:rPr>
          <w:i/>
        </w:rPr>
        <w:t xml:space="preserve"> studies</w:t>
      </w:r>
      <w:bookmarkEnd w:id="148"/>
    </w:p>
    <w:tbl>
      <w:tblPr>
        <w:tblStyle w:val="TableGrid11"/>
        <w:tblW w:w="5000" w:type="pct"/>
        <w:tblInd w:w="-5" w:type="dxa"/>
        <w:tblCellMar>
          <w:left w:w="57" w:type="dxa"/>
          <w:right w:w="57" w:type="dxa"/>
        </w:tblCellMar>
        <w:tblLook w:val="04A0" w:firstRow="1" w:lastRow="0" w:firstColumn="1" w:lastColumn="0" w:noHBand="0" w:noVBand="1"/>
        <w:tblCaption w:val="The nature of initial and expert pathology opinions – Scenario 2 studies"/>
        <w:tblDescription w:val="Summary of the nature of initial and expert pathology opinions in Scenario 2 studies. For example, the proportion of initial pathologists who provided no initial opinion."/>
      </w:tblPr>
      <w:tblGrid>
        <w:gridCol w:w="1900"/>
        <w:gridCol w:w="2631"/>
        <w:gridCol w:w="2924"/>
        <w:gridCol w:w="1753"/>
        <w:gridCol w:w="2660"/>
        <w:gridCol w:w="2204"/>
      </w:tblGrid>
      <w:tr w:rsidR="00B51828" w:rsidRPr="003E51A5" w14:paraId="5BC5DC4E" w14:textId="77777777" w:rsidTr="002101D2">
        <w:trPr>
          <w:tblHeader/>
        </w:trPr>
        <w:tc>
          <w:tcPr>
            <w:tcW w:w="675" w:type="pct"/>
          </w:tcPr>
          <w:p w14:paraId="2FF20E6A" w14:textId="77777777" w:rsidR="00B51828" w:rsidRPr="003E51A5" w:rsidRDefault="00B51828" w:rsidP="002101D2">
            <w:pPr>
              <w:spacing w:before="20" w:after="20"/>
              <w:ind w:left="0"/>
              <w:rPr>
                <w:rFonts w:ascii="Arial Narrow" w:hAnsi="Arial Narrow"/>
                <w:b/>
                <w:sz w:val="20"/>
                <w:szCs w:val="20"/>
              </w:rPr>
            </w:pPr>
            <w:r w:rsidRPr="003E51A5">
              <w:rPr>
                <w:rFonts w:ascii="Arial Narrow" w:hAnsi="Arial Narrow"/>
                <w:b/>
                <w:sz w:val="20"/>
                <w:szCs w:val="20"/>
              </w:rPr>
              <w:t>Study ID</w:t>
            </w:r>
          </w:p>
        </w:tc>
        <w:tc>
          <w:tcPr>
            <w:tcW w:w="935" w:type="pct"/>
          </w:tcPr>
          <w:p w14:paraId="741FD38B" w14:textId="77777777" w:rsidR="00B51828" w:rsidRPr="003E51A5" w:rsidRDefault="00B51828" w:rsidP="002101D2">
            <w:pPr>
              <w:spacing w:before="20" w:after="20"/>
              <w:ind w:left="0"/>
              <w:rPr>
                <w:rFonts w:ascii="Arial Narrow" w:hAnsi="Arial Narrow"/>
                <w:b/>
                <w:sz w:val="20"/>
                <w:szCs w:val="20"/>
              </w:rPr>
            </w:pPr>
            <w:r w:rsidRPr="003E51A5">
              <w:rPr>
                <w:rFonts w:ascii="Arial Narrow" w:hAnsi="Arial Narrow"/>
                <w:b/>
                <w:sz w:val="20"/>
                <w:szCs w:val="20"/>
              </w:rPr>
              <w:t>Population (N)</w:t>
            </w:r>
          </w:p>
        </w:tc>
        <w:tc>
          <w:tcPr>
            <w:tcW w:w="1039" w:type="pct"/>
          </w:tcPr>
          <w:p w14:paraId="04036FF0" w14:textId="77777777" w:rsidR="00B51828" w:rsidRPr="003E51A5" w:rsidRDefault="00B51828" w:rsidP="002101D2">
            <w:pPr>
              <w:spacing w:before="20" w:after="20"/>
              <w:ind w:left="0"/>
              <w:rPr>
                <w:rFonts w:ascii="Arial Narrow" w:hAnsi="Arial Narrow"/>
                <w:b/>
                <w:sz w:val="20"/>
                <w:szCs w:val="20"/>
              </w:rPr>
            </w:pPr>
            <w:r w:rsidRPr="003E51A5">
              <w:rPr>
                <w:rFonts w:ascii="Arial Narrow" w:hAnsi="Arial Narrow"/>
                <w:b/>
                <w:sz w:val="20"/>
                <w:szCs w:val="20"/>
              </w:rPr>
              <w:t>Outcome</w:t>
            </w:r>
          </w:p>
        </w:tc>
        <w:tc>
          <w:tcPr>
            <w:tcW w:w="623" w:type="pct"/>
          </w:tcPr>
          <w:p w14:paraId="12EA0828" w14:textId="77777777" w:rsidR="00B51828" w:rsidRPr="003E51A5" w:rsidRDefault="00B51828" w:rsidP="002101D2">
            <w:pPr>
              <w:spacing w:before="20" w:after="20"/>
              <w:ind w:left="0"/>
              <w:rPr>
                <w:rFonts w:ascii="Arial Narrow" w:hAnsi="Arial Narrow"/>
                <w:b/>
                <w:sz w:val="20"/>
                <w:szCs w:val="20"/>
              </w:rPr>
            </w:pPr>
            <w:r w:rsidRPr="003E51A5">
              <w:rPr>
                <w:rFonts w:ascii="Arial Narrow" w:hAnsi="Arial Narrow"/>
                <w:b/>
                <w:sz w:val="20"/>
                <w:szCs w:val="20"/>
              </w:rPr>
              <w:t>Results n/N (%)</w:t>
            </w:r>
          </w:p>
        </w:tc>
        <w:tc>
          <w:tcPr>
            <w:tcW w:w="945" w:type="pct"/>
          </w:tcPr>
          <w:p w14:paraId="3747A253" w14:textId="77777777" w:rsidR="00B51828" w:rsidRPr="003E51A5" w:rsidRDefault="00B51828" w:rsidP="002101D2">
            <w:pPr>
              <w:spacing w:before="20" w:after="20"/>
              <w:ind w:left="0"/>
              <w:rPr>
                <w:rFonts w:ascii="Arial Narrow" w:hAnsi="Arial Narrow"/>
                <w:b/>
                <w:sz w:val="20"/>
                <w:szCs w:val="20"/>
              </w:rPr>
            </w:pPr>
            <w:r w:rsidRPr="00FD59F8">
              <w:rPr>
                <w:rFonts w:ascii="Arial Narrow" w:hAnsi="Arial Narrow"/>
                <w:b/>
                <w:sz w:val="20"/>
                <w:szCs w:val="20"/>
              </w:rPr>
              <w:t>Expert pathology opinion</w:t>
            </w:r>
          </w:p>
        </w:tc>
        <w:tc>
          <w:tcPr>
            <w:tcW w:w="783" w:type="pct"/>
          </w:tcPr>
          <w:p w14:paraId="522B220B" w14:textId="77777777" w:rsidR="00B51828" w:rsidRPr="003E51A5" w:rsidRDefault="00B51828" w:rsidP="002101D2">
            <w:pPr>
              <w:spacing w:before="20" w:after="20"/>
              <w:ind w:left="0"/>
              <w:rPr>
                <w:rFonts w:ascii="Arial Narrow" w:hAnsi="Arial Narrow"/>
                <w:b/>
                <w:sz w:val="20"/>
                <w:szCs w:val="20"/>
              </w:rPr>
            </w:pPr>
            <w:r w:rsidRPr="00FD59F8">
              <w:rPr>
                <w:rFonts w:ascii="Arial Narrow" w:hAnsi="Arial Narrow"/>
                <w:b/>
                <w:sz w:val="20"/>
                <w:szCs w:val="20"/>
              </w:rPr>
              <w:t>Results n/N (%)</w:t>
            </w:r>
          </w:p>
        </w:tc>
      </w:tr>
      <w:tr w:rsidR="00B51828" w:rsidRPr="003E51A5" w14:paraId="4D69606C" w14:textId="77777777" w:rsidTr="002101D2">
        <w:tc>
          <w:tcPr>
            <w:tcW w:w="675" w:type="pct"/>
            <w:shd w:val="clear" w:color="auto" w:fill="BFBFBF" w:themeFill="background1" w:themeFillShade="BF"/>
          </w:tcPr>
          <w:p w14:paraId="50A19425"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ALL SURGICAL PATHOLOGY</w:t>
            </w:r>
          </w:p>
        </w:tc>
        <w:tc>
          <w:tcPr>
            <w:tcW w:w="935" w:type="pct"/>
            <w:shd w:val="clear" w:color="auto" w:fill="BFBFBF" w:themeFill="background1" w:themeFillShade="BF"/>
          </w:tcPr>
          <w:p w14:paraId="61BD3A4A"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1039" w:type="pct"/>
            <w:shd w:val="clear" w:color="auto" w:fill="BFBFBF" w:themeFill="background1" w:themeFillShade="BF"/>
          </w:tcPr>
          <w:p w14:paraId="33720379"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623" w:type="pct"/>
            <w:shd w:val="clear" w:color="auto" w:fill="BFBFBF" w:themeFill="background1" w:themeFillShade="BF"/>
          </w:tcPr>
          <w:p w14:paraId="37FC0396"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945" w:type="pct"/>
            <w:shd w:val="clear" w:color="auto" w:fill="BFBFBF" w:themeFill="background1" w:themeFillShade="BF"/>
          </w:tcPr>
          <w:p w14:paraId="5A226808"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783" w:type="pct"/>
            <w:shd w:val="clear" w:color="auto" w:fill="BFBFBF" w:themeFill="background1" w:themeFillShade="BF"/>
          </w:tcPr>
          <w:p w14:paraId="74FDF33D"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3E51A5" w14:paraId="2BAC4496" w14:textId="77777777" w:rsidTr="002101D2">
        <w:tc>
          <w:tcPr>
            <w:tcW w:w="675" w:type="pct"/>
          </w:tcPr>
          <w:p w14:paraId="5EA4F369"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Ahmed 2004</w:t>
            </w:r>
          </w:p>
        </w:tc>
        <w:tc>
          <w:tcPr>
            <w:tcW w:w="935" w:type="pct"/>
          </w:tcPr>
          <w:p w14:paraId="791AFDB9"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Surgical pathology; any organ system</w:t>
            </w:r>
          </w:p>
          <w:p w14:paraId="1B84A8B5"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N=381 cases</w:t>
            </w:r>
          </w:p>
        </w:tc>
        <w:tc>
          <w:tcPr>
            <w:tcW w:w="1039" w:type="pct"/>
          </w:tcPr>
          <w:p w14:paraId="4B48DD07"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Cases with n</w:t>
            </w:r>
            <w:r w:rsidRPr="003E51A5">
              <w:rPr>
                <w:rFonts w:ascii="Arial Narrow" w:hAnsi="Arial Narrow"/>
                <w:sz w:val="20"/>
                <w:szCs w:val="20"/>
              </w:rPr>
              <w:t>o initial diagnosis</w:t>
            </w:r>
          </w:p>
          <w:p w14:paraId="45543500"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Cases with a provisional diagnosis</w:t>
            </w:r>
          </w:p>
        </w:tc>
        <w:tc>
          <w:tcPr>
            <w:tcW w:w="623" w:type="pct"/>
          </w:tcPr>
          <w:p w14:paraId="4A822A93" w14:textId="77777777" w:rsidR="00B51828" w:rsidRDefault="00B51828" w:rsidP="002101D2">
            <w:pPr>
              <w:spacing w:before="20" w:after="20"/>
              <w:ind w:left="0"/>
              <w:rPr>
                <w:rFonts w:ascii="Arial Narrow" w:hAnsi="Arial Narrow"/>
                <w:sz w:val="20"/>
                <w:szCs w:val="20"/>
              </w:rPr>
            </w:pPr>
            <w:r w:rsidRPr="003E51A5">
              <w:rPr>
                <w:rFonts w:ascii="Arial Narrow" w:hAnsi="Arial Narrow"/>
                <w:sz w:val="20"/>
                <w:szCs w:val="20"/>
              </w:rPr>
              <w:t>45/381 (11.8%)</w:t>
            </w:r>
          </w:p>
          <w:p w14:paraId="7EA8209E"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336/381 (88.2%)</w:t>
            </w:r>
          </w:p>
        </w:tc>
        <w:tc>
          <w:tcPr>
            <w:tcW w:w="945" w:type="pct"/>
          </w:tcPr>
          <w:p w14:paraId="12F837BA" w14:textId="77777777" w:rsidR="00B51828" w:rsidRPr="0017743C" w:rsidRDefault="00B51828" w:rsidP="002101D2">
            <w:pPr>
              <w:spacing w:before="20" w:after="20"/>
              <w:ind w:left="0"/>
              <w:rPr>
                <w:rFonts w:ascii="Arial Narrow" w:hAnsi="Arial Narrow"/>
                <w:sz w:val="20"/>
                <w:szCs w:val="20"/>
              </w:rPr>
            </w:pPr>
            <w:r>
              <w:rPr>
                <w:rFonts w:ascii="Arial Narrow" w:hAnsi="Arial Narrow"/>
                <w:sz w:val="20"/>
                <w:szCs w:val="20"/>
              </w:rPr>
              <w:t>Expert pathologist unable to provide a diagnosis</w:t>
            </w:r>
          </w:p>
        </w:tc>
        <w:tc>
          <w:tcPr>
            <w:tcW w:w="783" w:type="pct"/>
          </w:tcPr>
          <w:p w14:paraId="577E8474" w14:textId="77777777" w:rsidR="00B51828" w:rsidRPr="0017743C" w:rsidRDefault="00B51828" w:rsidP="002101D2">
            <w:pPr>
              <w:spacing w:before="20" w:after="20"/>
              <w:ind w:left="0"/>
              <w:rPr>
                <w:rFonts w:ascii="Arial Narrow" w:hAnsi="Arial Narrow"/>
                <w:sz w:val="20"/>
                <w:szCs w:val="20"/>
              </w:rPr>
            </w:pPr>
            <w:r>
              <w:rPr>
                <w:rFonts w:ascii="Arial Narrow" w:hAnsi="Arial Narrow"/>
                <w:sz w:val="20"/>
                <w:szCs w:val="20"/>
              </w:rPr>
              <w:t>12/336 (3.6%)</w:t>
            </w:r>
          </w:p>
        </w:tc>
      </w:tr>
      <w:tr w:rsidR="00B51828" w:rsidRPr="003E51A5" w14:paraId="643553D9" w14:textId="77777777" w:rsidTr="002101D2">
        <w:tc>
          <w:tcPr>
            <w:tcW w:w="675" w:type="pct"/>
            <w:shd w:val="clear" w:color="auto" w:fill="BFBFBF" w:themeFill="background1" w:themeFillShade="BF"/>
          </w:tcPr>
          <w:p w14:paraId="0ACFFE4B"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BRAIN AND SPINAL CORD</w:t>
            </w:r>
          </w:p>
        </w:tc>
        <w:tc>
          <w:tcPr>
            <w:tcW w:w="935" w:type="pct"/>
            <w:shd w:val="clear" w:color="auto" w:fill="BFBFBF" w:themeFill="background1" w:themeFillShade="BF"/>
          </w:tcPr>
          <w:p w14:paraId="685B47E1"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039" w:type="pct"/>
            <w:shd w:val="clear" w:color="auto" w:fill="BFBFBF" w:themeFill="background1" w:themeFillShade="BF"/>
          </w:tcPr>
          <w:p w14:paraId="10E16B44"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623" w:type="pct"/>
            <w:shd w:val="clear" w:color="auto" w:fill="BFBFBF" w:themeFill="background1" w:themeFillShade="BF"/>
          </w:tcPr>
          <w:p w14:paraId="32DCD217"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945" w:type="pct"/>
            <w:shd w:val="clear" w:color="auto" w:fill="BFBFBF" w:themeFill="background1" w:themeFillShade="BF"/>
          </w:tcPr>
          <w:p w14:paraId="5C7493A5" w14:textId="77777777" w:rsidR="00B51828" w:rsidRPr="0017743C" w:rsidRDefault="00B51828" w:rsidP="002101D2">
            <w:pPr>
              <w:spacing w:before="20" w:after="20"/>
              <w:ind w:left="0"/>
              <w:rPr>
                <w:rFonts w:ascii="Arial Narrow" w:hAnsi="Arial Narrow"/>
                <w:sz w:val="20"/>
                <w:szCs w:val="20"/>
              </w:rPr>
            </w:pPr>
            <w:r w:rsidRPr="0017743C">
              <w:rPr>
                <w:rFonts w:ascii="Arial Narrow" w:hAnsi="Arial Narrow"/>
                <w:sz w:val="20"/>
                <w:szCs w:val="20"/>
              </w:rPr>
              <w:t>-</w:t>
            </w:r>
          </w:p>
        </w:tc>
        <w:tc>
          <w:tcPr>
            <w:tcW w:w="783" w:type="pct"/>
            <w:shd w:val="clear" w:color="auto" w:fill="BFBFBF" w:themeFill="background1" w:themeFillShade="BF"/>
          </w:tcPr>
          <w:p w14:paraId="7F51123B" w14:textId="77777777" w:rsidR="00B51828" w:rsidRPr="0017743C" w:rsidRDefault="00B51828" w:rsidP="002101D2">
            <w:pPr>
              <w:spacing w:before="20" w:after="20"/>
              <w:ind w:left="0"/>
              <w:rPr>
                <w:rFonts w:ascii="Arial Narrow" w:hAnsi="Arial Narrow"/>
                <w:sz w:val="20"/>
                <w:szCs w:val="20"/>
              </w:rPr>
            </w:pPr>
            <w:r w:rsidRPr="0017743C">
              <w:rPr>
                <w:rFonts w:ascii="Arial Narrow" w:hAnsi="Arial Narrow"/>
                <w:sz w:val="20"/>
                <w:szCs w:val="20"/>
              </w:rPr>
              <w:t>-</w:t>
            </w:r>
          </w:p>
        </w:tc>
      </w:tr>
      <w:tr w:rsidR="00B51828" w:rsidRPr="003E51A5" w14:paraId="36FE6488" w14:textId="77777777" w:rsidTr="002101D2">
        <w:tc>
          <w:tcPr>
            <w:tcW w:w="675" w:type="pct"/>
          </w:tcPr>
          <w:p w14:paraId="6CDE93C1"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Bruner 1997</w:t>
            </w:r>
          </w:p>
        </w:tc>
        <w:tc>
          <w:tcPr>
            <w:tcW w:w="935" w:type="pct"/>
          </w:tcPr>
          <w:p w14:paraId="31D750D8"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Brain and spinal cord biopsy for suspected neoplastic disease</w:t>
            </w:r>
          </w:p>
          <w:p w14:paraId="2C454084"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N=500 cases</w:t>
            </w:r>
            <w:r w:rsidRPr="003E51A5">
              <w:rPr>
                <w:rFonts w:ascii="Arial Narrow" w:hAnsi="Arial Narrow"/>
                <w:sz w:val="20"/>
                <w:szCs w:val="20"/>
                <w:vertAlign w:val="superscript"/>
              </w:rPr>
              <w:t>a</w:t>
            </w:r>
          </w:p>
        </w:tc>
        <w:tc>
          <w:tcPr>
            <w:tcW w:w="1039" w:type="pct"/>
          </w:tcPr>
          <w:p w14:paraId="77C8DDD1"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Cases with n</w:t>
            </w:r>
            <w:r w:rsidRPr="003E51A5">
              <w:rPr>
                <w:rFonts w:ascii="Arial Narrow" w:hAnsi="Arial Narrow"/>
                <w:sz w:val="20"/>
                <w:szCs w:val="20"/>
              </w:rPr>
              <w:t>o initial diagnosis</w:t>
            </w:r>
          </w:p>
          <w:p w14:paraId="6FF2A145"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Cases with a provisional diagnosis</w:t>
            </w:r>
          </w:p>
        </w:tc>
        <w:tc>
          <w:tcPr>
            <w:tcW w:w="623" w:type="pct"/>
          </w:tcPr>
          <w:p w14:paraId="4A21C821" w14:textId="77777777" w:rsidR="00B51828" w:rsidRDefault="00B51828" w:rsidP="002101D2">
            <w:pPr>
              <w:spacing w:before="20" w:after="20"/>
              <w:ind w:left="0"/>
              <w:rPr>
                <w:rFonts w:ascii="Arial Narrow" w:hAnsi="Arial Narrow"/>
                <w:sz w:val="20"/>
                <w:szCs w:val="20"/>
              </w:rPr>
            </w:pPr>
            <w:r w:rsidRPr="003E51A5">
              <w:rPr>
                <w:rFonts w:ascii="Arial Narrow" w:hAnsi="Arial Narrow"/>
                <w:sz w:val="20"/>
                <w:szCs w:val="20"/>
              </w:rPr>
              <w:t>23/284 (8.1%)</w:t>
            </w:r>
          </w:p>
          <w:p w14:paraId="0D0781C4"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261/284 (91.9%)</w:t>
            </w:r>
          </w:p>
        </w:tc>
        <w:tc>
          <w:tcPr>
            <w:tcW w:w="945" w:type="pct"/>
          </w:tcPr>
          <w:p w14:paraId="740A05A1" w14:textId="77777777" w:rsidR="00B51828" w:rsidRPr="0017743C" w:rsidRDefault="00B51828" w:rsidP="002101D2">
            <w:pPr>
              <w:spacing w:before="20" w:after="20"/>
              <w:ind w:left="0"/>
              <w:rPr>
                <w:rFonts w:ascii="Arial Narrow" w:hAnsi="Arial Narrow"/>
                <w:sz w:val="20"/>
                <w:szCs w:val="20"/>
              </w:rPr>
            </w:pPr>
            <w:r>
              <w:rPr>
                <w:rFonts w:ascii="Arial Narrow" w:hAnsi="Arial Narrow"/>
                <w:sz w:val="20"/>
                <w:szCs w:val="20"/>
              </w:rPr>
              <w:t>Expert pathologist provided a diagnosis</w:t>
            </w:r>
          </w:p>
        </w:tc>
        <w:tc>
          <w:tcPr>
            <w:tcW w:w="783" w:type="pct"/>
          </w:tcPr>
          <w:p w14:paraId="3F86F1FE" w14:textId="77777777" w:rsidR="00B51828" w:rsidRPr="0017743C" w:rsidRDefault="00B51828" w:rsidP="002101D2">
            <w:pPr>
              <w:spacing w:before="20" w:after="20"/>
              <w:ind w:left="0"/>
              <w:rPr>
                <w:rFonts w:ascii="Arial Narrow" w:hAnsi="Arial Narrow"/>
                <w:sz w:val="20"/>
                <w:szCs w:val="20"/>
              </w:rPr>
            </w:pPr>
            <w:r>
              <w:rPr>
                <w:rFonts w:ascii="Arial Narrow" w:hAnsi="Arial Narrow"/>
                <w:sz w:val="20"/>
                <w:szCs w:val="20"/>
              </w:rPr>
              <w:t>284</w:t>
            </w:r>
            <w:r w:rsidRPr="0017743C">
              <w:rPr>
                <w:rFonts w:ascii="Arial Narrow" w:hAnsi="Arial Narrow"/>
                <w:sz w:val="20"/>
                <w:szCs w:val="20"/>
              </w:rPr>
              <w:t>/</w:t>
            </w:r>
            <w:r>
              <w:rPr>
                <w:rFonts w:ascii="Arial Narrow" w:hAnsi="Arial Narrow"/>
                <w:sz w:val="20"/>
                <w:szCs w:val="20"/>
              </w:rPr>
              <w:t>284</w:t>
            </w:r>
            <w:r w:rsidRPr="0017743C">
              <w:rPr>
                <w:rFonts w:ascii="Arial Narrow" w:hAnsi="Arial Narrow"/>
                <w:sz w:val="20"/>
                <w:szCs w:val="20"/>
              </w:rPr>
              <w:t xml:space="preserve"> (100%)</w:t>
            </w:r>
          </w:p>
        </w:tc>
      </w:tr>
      <w:tr w:rsidR="00B51828" w:rsidRPr="003E51A5" w14:paraId="5FE260DA" w14:textId="77777777" w:rsidTr="002101D2">
        <w:tc>
          <w:tcPr>
            <w:tcW w:w="675" w:type="pct"/>
            <w:tcBorders>
              <w:bottom w:val="single" w:sz="4" w:space="0" w:color="auto"/>
            </w:tcBorders>
            <w:shd w:val="clear" w:color="auto" w:fill="BFBFBF" w:themeFill="background1" w:themeFillShade="BF"/>
          </w:tcPr>
          <w:p w14:paraId="58638547"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LUNG</w:t>
            </w:r>
          </w:p>
        </w:tc>
        <w:tc>
          <w:tcPr>
            <w:tcW w:w="935" w:type="pct"/>
            <w:shd w:val="clear" w:color="auto" w:fill="BFBFBF" w:themeFill="background1" w:themeFillShade="BF"/>
          </w:tcPr>
          <w:p w14:paraId="7CFCE6C1"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1039" w:type="pct"/>
            <w:tcBorders>
              <w:bottom w:val="single" w:sz="4" w:space="0" w:color="auto"/>
            </w:tcBorders>
            <w:shd w:val="clear" w:color="auto" w:fill="BFBFBF" w:themeFill="background1" w:themeFillShade="BF"/>
          </w:tcPr>
          <w:p w14:paraId="0D2D84E2"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623" w:type="pct"/>
            <w:tcBorders>
              <w:bottom w:val="single" w:sz="4" w:space="0" w:color="auto"/>
            </w:tcBorders>
            <w:shd w:val="clear" w:color="auto" w:fill="BFBFBF" w:themeFill="background1" w:themeFillShade="BF"/>
          </w:tcPr>
          <w:p w14:paraId="264F94DD"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945" w:type="pct"/>
            <w:tcBorders>
              <w:bottom w:val="single" w:sz="4" w:space="0" w:color="auto"/>
            </w:tcBorders>
            <w:shd w:val="clear" w:color="auto" w:fill="BFBFBF" w:themeFill="background1" w:themeFillShade="BF"/>
          </w:tcPr>
          <w:p w14:paraId="560EB60E" w14:textId="77777777" w:rsidR="00B51828" w:rsidRPr="0017743C" w:rsidRDefault="00B51828" w:rsidP="002101D2">
            <w:pPr>
              <w:spacing w:before="20" w:after="20"/>
              <w:ind w:left="0"/>
              <w:rPr>
                <w:rFonts w:ascii="Arial Narrow" w:hAnsi="Arial Narrow"/>
                <w:sz w:val="20"/>
                <w:szCs w:val="20"/>
              </w:rPr>
            </w:pPr>
            <w:r w:rsidRPr="0017743C">
              <w:rPr>
                <w:rFonts w:ascii="Arial Narrow" w:hAnsi="Arial Narrow"/>
                <w:sz w:val="20"/>
                <w:szCs w:val="20"/>
              </w:rPr>
              <w:t>-</w:t>
            </w:r>
          </w:p>
        </w:tc>
        <w:tc>
          <w:tcPr>
            <w:tcW w:w="783" w:type="pct"/>
            <w:tcBorders>
              <w:bottom w:val="single" w:sz="4" w:space="0" w:color="auto"/>
            </w:tcBorders>
            <w:shd w:val="clear" w:color="auto" w:fill="BFBFBF" w:themeFill="background1" w:themeFillShade="BF"/>
          </w:tcPr>
          <w:p w14:paraId="0D6B13C7" w14:textId="77777777" w:rsidR="00B51828" w:rsidRPr="0017743C" w:rsidRDefault="00B51828" w:rsidP="002101D2">
            <w:pPr>
              <w:spacing w:before="20" w:after="20"/>
              <w:ind w:left="0"/>
              <w:rPr>
                <w:rFonts w:ascii="Arial Narrow" w:hAnsi="Arial Narrow"/>
                <w:sz w:val="20"/>
                <w:szCs w:val="20"/>
              </w:rPr>
            </w:pPr>
            <w:r w:rsidRPr="0017743C">
              <w:rPr>
                <w:rFonts w:ascii="Arial Narrow" w:hAnsi="Arial Narrow"/>
                <w:sz w:val="20"/>
                <w:szCs w:val="20"/>
              </w:rPr>
              <w:t>-</w:t>
            </w:r>
          </w:p>
        </w:tc>
      </w:tr>
      <w:tr w:rsidR="00B51828" w:rsidRPr="003E51A5" w14:paraId="5E52B5C5" w14:textId="77777777" w:rsidTr="002101D2">
        <w:tc>
          <w:tcPr>
            <w:tcW w:w="675" w:type="pct"/>
            <w:tcBorders>
              <w:bottom w:val="single" w:sz="4" w:space="0" w:color="auto"/>
            </w:tcBorders>
          </w:tcPr>
          <w:p w14:paraId="0AAA87CE"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Hutton Klein 2010</w:t>
            </w:r>
          </w:p>
        </w:tc>
        <w:tc>
          <w:tcPr>
            <w:tcW w:w="935" w:type="pct"/>
          </w:tcPr>
          <w:p w14:paraId="4B289FEF"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Granulomatous or giant cell reactions in the lung</w:t>
            </w:r>
          </w:p>
          <w:p w14:paraId="708C7335"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N=100 cases</w:t>
            </w:r>
            <w:r w:rsidRPr="003E51A5">
              <w:rPr>
                <w:rFonts w:ascii="Arial Narrow" w:hAnsi="Arial Narrow"/>
                <w:sz w:val="20"/>
                <w:szCs w:val="20"/>
                <w:vertAlign w:val="superscript"/>
              </w:rPr>
              <w:t>b</w:t>
            </w:r>
          </w:p>
        </w:tc>
        <w:tc>
          <w:tcPr>
            <w:tcW w:w="1039" w:type="pct"/>
            <w:tcBorders>
              <w:bottom w:val="single" w:sz="4" w:space="0" w:color="auto"/>
            </w:tcBorders>
          </w:tcPr>
          <w:p w14:paraId="572C9AD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Cases with n</w:t>
            </w:r>
            <w:r w:rsidRPr="003E51A5">
              <w:rPr>
                <w:rFonts w:ascii="Arial Narrow" w:hAnsi="Arial Narrow"/>
                <w:sz w:val="20"/>
                <w:szCs w:val="20"/>
              </w:rPr>
              <w:t>o initial diagnosis</w:t>
            </w:r>
          </w:p>
          <w:p w14:paraId="653DC542"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Cases with a provisional diagnosis</w:t>
            </w:r>
          </w:p>
        </w:tc>
        <w:tc>
          <w:tcPr>
            <w:tcW w:w="623" w:type="pct"/>
            <w:tcBorders>
              <w:bottom w:val="single" w:sz="4" w:space="0" w:color="auto"/>
            </w:tcBorders>
          </w:tcPr>
          <w:p w14:paraId="0DC55EE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0/20 (0%)</w:t>
            </w:r>
          </w:p>
          <w:p w14:paraId="67D77DCA"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20/20 (100%)</w:t>
            </w:r>
          </w:p>
        </w:tc>
        <w:tc>
          <w:tcPr>
            <w:tcW w:w="945" w:type="pct"/>
            <w:tcBorders>
              <w:bottom w:val="single" w:sz="4" w:space="0" w:color="auto"/>
            </w:tcBorders>
          </w:tcPr>
          <w:p w14:paraId="5101AA77" w14:textId="77777777" w:rsidR="00B51828" w:rsidRDefault="00B51828" w:rsidP="002101D2">
            <w:pPr>
              <w:spacing w:before="20" w:after="0"/>
              <w:ind w:left="0"/>
              <w:rPr>
                <w:rFonts w:ascii="Arial Narrow" w:hAnsi="Arial Narrow"/>
                <w:sz w:val="20"/>
                <w:szCs w:val="20"/>
              </w:rPr>
            </w:pPr>
            <w:r>
              <w:rPr>
                <w:rFonts w:ascii="Arial Narrow" w:hAnsi="Arial Narrow"/>
                <w:sz w:val="20"/>
                <w:szCs w:val="20"/>
              </w:rPr>
              <w:t>Expert pathologist provided a confident diagnosis</w:t>
            </w:r>
          </w:p>
          <w:p w14:paraId="47F56947" w14:textId="77777777" w:rsidR="00B51828" w:rsidRDefault="00B51828" w:rsidP="002101D2">
            <w:pPr>
              <w:spacing w:after="0"/>
              <w:ind w:left="0"/>
              <w:rPr>
                <w:rFonts w:ascii="Arial Narrow" w:hAnsi="Arial Narrow"/>
                <w:sz w:val="20"/>
                <w:szCs w:val="20"/>
              </w:rPr>
            </w:pPr>
            <w:r>
              <w:rPr>
                <w:rFonts w:ascii="Arial Narrow" w:hAnsi="Arial Narrow"/>
                <w:sz w:val="20"/>
                <w:szCs w:val="20"/>
              </w:rPr>
              <w:t>Expert pathologist provided a probable (strongly favoured) diagnosis</w:t>
            </w:r>
          </w:p>
          <w:p w14:paraId="2CD49EAA" w14:textId="77777777" w:rsidR="00B51828" w:rsidRPr="0017743C" w:rsidRDefault="00B51828" w:rsidP="002101D2">
            <w:pPr>
              <w:spacing w:after="20"/>
              <w:ind w:left="0"/>
              <w:rPr>
                <w:rFonts w:ascii="Arial Narrow" w:hAnsi="Arial Narrow"/>
                <w:sz w:val="20"/>
                <w:szCs w:val="20"/>
              </w:rPr>
            </w:pPr>
            <w:r>
              <w:rPr>
                <w:rFonts w:ascii="Arial Narrow" w:hAnsi="Arial Narrow"/>
                <w:sz w:val="20"/>
                <w:szCs w:val="20"/>
              </w:rPr>
              <w:t>Expert pathologist provided a differential diagnosis</w:t>
            </w:r>
          </w:p>
        </w:tc>
        <w:tc>
          <w:tcPr>
            <w:tcW w:w="783" w:type="pct"/>
            <w:tcBorders>
              <w:bottom w:val="single" w:sz="4" w:space="0" w:color="auto"/>
            </w:tcBorders>
          </w:tcPr>
          <w:p w14:paraId="73D79960" w14:textId="77777777" w:rsidR="00B51828" w:rsidRPr="00EC36D8" w:rsidRDefault="00B51828" w:rsidP="002101D2">
            <w:pPr>
              <w:spacing w:before="20" w:after="0"/>
              <w:ind w:left="0"/>
              <w:rPr>
                <w:rFonts w:ascii="Arial Narrow" w:hAnsi="Arial Narrow"/>
                <w:sz w:val="20"/>
                <w:szCs w:val="20"/>
                <w:vertAlign w:val="superscript"/>
              </w:rPr>
            </w:pPr>
            <w:r>
              <w:rPr>
                <w:rFonts w:ascii="Arial Narrow" w:hAnsi="Arial Narrow"/>
                <w:sz w:val="20"/>
                <w:szCs w:val="20"/>
              </w:rPr>
              <w:t>27/100 (27.0%)</w:t>
            </w:r>
            <w:r>
              <w:rPr>
                <w:rFonts w:ascii="Arial Narrow" w:hAnsi="Arial Narrow"/>
                <w:sz w:val="20"/>
                <w:szCs w:val="20"/>
                <w:vertAlign w:val="superscript"/>
              </w:rPr>
              <w:t>c</w:t>
            </w:r>
          </w:p>
          <w:p w14:paraId="3123EBDD" w14:textId="77777777" w:rsidR="00B51828" w:rsidRDefault="00B51828" w:rsidP="002101D2">
            <w:pPr>
              <w:spacing w:after="0"/>
              <w:ind w:left="0"/>
              <w:rPr>
                <w:rFonts w:ascii="Arial Narrow" w:hAnsi="Arial Narrow"/>
                <w:sz w:val="20"/>
                <w:szCs w:val="20"/>
              </w:rPr>
            </w:pPr>
          </w:p>
          <w:p w14:paraId="4A1C5E04" w14:textId="77777777" w:rsidR="00B51828" w:rsidRPr="00EC36D8" w:rsidRDefault="00B51828" w:rsidP="002101D2">
            <w:pPr>
              <w:spacing w:after="0"/>
              <w:ind w:left="0"/>
              <w:rPr>
                <w:rFonts w:ascii="Arial Narrow" w:hAnsi="Arial Narrow"/>
                <w:sz w:val="20"/>
                <w:szCs w:val="20"/>
                <w:vertAlign w:val="superscript"/>
              </w:rPr>
            </w:pPr>
            <w:r>
              <w:rPr>
                <w:rFonts w:ascii="Arial Narrow" w:hAnsi="Arial Narrow"/>
                <w:sz w:val="20"/>
                <w:szCs w:val="20"/>
              </w:rPr>
              <w:t>34/100 (34.0%)</w:t>
            </w:r>
            <w:r>
              <w:rPr>
                <w:rFonts w:ascii="Arial Narrow" w:hAnsi="Arial Narrow"/>
                <w:sz w:val="20"/>
                <w:szCs w:val="20"/>
                <w:vertAlign w:val="superscript"/>
              </w:rPr>
              <w:t>c</w:t>
            </w:r>
          </w:p>
          <w:p w14:paraId="3D4FAC66" w14:textId="77777777" w:rsidR="00B51828" w:rsidRDefault="00B51828" w:rsidP="002101D2">
            <w:pPr>
              <w:spacing w:after="0"/>
              <w:ind w:left="0"/>
              <w:rPr>
                <w:rFonts w:ascii="Arial Narrow" w:hAnsi="Arial Narrow"/>
                <w:sz w:val="20"/>
                <w:szCs w:val="20"/>
              </w:rPr>
            </w:pPr>
          </w:p>
          <w:p w14:paraId="3495A2F1" w14:textId="77777777" w:rsidR="00B51828" w:rsidRDefault="00B51828" w:rsidP="002101D2">
            <w:pPr>
              <w:spacing w:after="0"/>
              <w:ind w:left="0"/>
              <w:rPr>
                <w:rFonts w:ascii="Arial Narrow" w:hAnsi="Arial Narrow"/>
                <w:sz w:val="20"/>
                <w:szCs w:val="20"/>
              </w:rPr>
            </w:pPr>
          </w:p>
          <w:p w14:paraId="6B98C1E1" w14:textId="77777777" w:rsidR="00B51828" w:rsidRPr="00EC36D8" w:rsidRDefault="00B51828" w:rsidP="002101D2">
            <w:pPr>
              <w:spacing w:after="20"/>
              <w:ind w:left="0"/>
              <w:rPr>
                <w:rFonts w:ascii="Arial Narrow" w:hAnsi="Arial Narrow"/>
                <w:sz w:val="20"/>
                <w:szCs w:val="20"/>
                <w:vertAlign w:val="superscript"/>
              </w:rPr>
            </w:pPr>
            <w:r>
              <w:rPr>
                <w:rFonts w:ascii="Arial Narrow" w:hAnsi="Arial Narrow"/>
                <w:sz w:val="20"/>
                <w:szCs w:val="20"/>
              </w:rPr>
              <w:t>39/100 (39.0%)</w:t>
            </w:r>
            <w:r>
              <w:rPr>
                <w:rFonts w:ascii="Arial Narrow" w:hAnsi="Arial Narrow"/>
                <w:sz w:val="20"/>
                <w:szCs w:val="20"/>
                <w:vertAlign w:val="superscript"/>
              </w:rPr>
              <w:t>c</w:t>
            </w:r>
          </w:p>
        </w:tc>
      </w:tr>
      <w:tr w:rsidR="00B51828" w:rsidRPr="003E51A5" w14:paraId="3CDA1486" w14:textId="77777777" w:rsidTr="002101D2">
        <w:trPr>
          <w:trHeight w:val="64"/>
        </w:trPr>
        <w:tc>
          <w:tcPr>
            <w:tcW w:w="675" w:type="pct"/>
            <w:shd w:val="clear" w:color="auto" w:fill="BFBFBF" w:themeFill="background1" w:themeFillShade="BF"/>
          </w:tcPr>
          <w:p w14:paraId="26142919"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LABIAL SALIVARY GLAND</w:t>
            </w:r>
          </w:p>
        </w:tc>
        <w:tc>
          <w:tcPr>
            <w:tcW w:w="935" w:type="pct"/>
            <w:shd w:val="clear" w:color="auto" w:fill="BFBFBF" w:themeFill="background1" w:themeFillShade="BF"/>
          </w:tcPr>
          <w:p w14:paraId="6E797873"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1039" w:type="pct"/>
            <w:shd w:val="clear" w:color="auto" w:fill="BFBFBF" w:themeFill="background1" w:themeFillShade="BF"/>
          </w:tcPr>
          <w:p w14:paraId="450EC1D9"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623" w:type="pct"/>
            <w:shd w:val="clear" w:color="auto" w:fill="BFBFBF" w:themeFill="background1" w:themeFillShade="BF"/>
          </w:tcPr>
          <w:p w14:paraId="622F753A"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w:t>
            </w:r>
          </w:p>
        </w:tc>
        <w:tc>
          <w:tcPr>
            <w:tcW w:w="945" w:type="pct"/>
            <w:shd w:val="clear" w:color="auto" w:fill="BFBFBF" w:themeFill="background1" w:themeFillShade="BF"/>
          </w:tcPr>
          <w:p w14:paraId="51B11247"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783" w:type="pct"/>
            <w:shd w:val="clear" w:color="auto" w:fill="BFBFBF" w:themeFill="background1" w:themeFillShade="BF"/>
          </w:tcPr>
          <w:p w14:paraId="11171054" w14:textId="77777777" w:rsidR="00B51828" w:rsidRPr="003E51A5" w:rsidRDefault="00B51828" w:rsidP="002101D2">
            <w:pPr>
              <w:spacing w:before="20" w:after="20"/>
              <w:ind w:left="0"/>
              <w:rPr>
                <w:rFonts w:ascii="Arial Narrow" w:hAnsi="Arial Narrow"/>
                <w:sz w:val="20"/>
                <w:szCs w:val="20"/>
              </w:rPr>
            </w:pPr>
            <w:r>
              <w:rPr>
                <w:rFonts w:ascii="Arial Narrow" w:hAnsi="Arial Narrow"/>
                <w:sz w:val="20"/>
                <w:szCs w:val="20"/>
              </w:rPr>
              <w:t>-</w:t>
            </w:r>
          </w:p>
        </w:tc>
      </w:tr>
      <w:tr w:rsidR="00B51828" w:rsidRPr="003E51A5" w14:paraId="2BF56C50" w14:textId="77777777" w:rsidTr="002101D2">
        <w:tc>
          <w:tcPr>
            <w:tcW w:w="675" w:type="pct"/>
          </w:tcPr>
          <w:p w14:paraId="15522064" w14:textId="77777777" w:rsidR="00B51828" w:rsidRPr="003E51A5" w:rsidRDefault="00B51828" w:rsidP="002101D2">
            <w:pPr>
              <w:spacing w:before="20" w:after="20"/>
              <w:ind w:left="0"/>
              <w:rPr>
                <w:rFonts w:ascii="Arial Narrow" w:hAnsi="Arial Narrow"/>
                <w:sz w:val="20"/>
                <w:szCs w:val="20"/>
              </w:rPr>
            </w:pPr>
            <w:r w:rsidRPr="003E51A5">
              <w:rPr>
                <w:rFonts w:ascii="Arial Narrow" w:hAnsi="Arial Narrow"/>
                <w:sz w:val="20"/>
                <w:szCs w:val="20"/>
              </w:rPr>
              <w:t>Vivino 2002</w:t>
            </w:r>
          </w:p>
        </w:tc>
        <w:tc>
          <w:tcPr>
            <w:tcW w:w="935" w:type="pct"/>
          </w:tcPr>
          <w:p w14:paraId="0AB1494A" w14:textId="74E03F4B" w:rsidR="00B51828" w:rsidRPr="003E51A5" w:rsidRDefault="008A4EDD" w:rsidP="002101D2">
            <w:pPr>
              <w:spacing w:before="20" w:after="20"/>
              <w:ind w:left="0"/>
              <w:rPr>
                <w:rFonts w:ascii="Arial Narrow" w:hAnsi="Arial Narrow"/>
                <w:sz w:val="20"/>
                <w:szCs w:val="20"/>
              </w:rPr>
            </w:pPr>
            <w:r>
              <w:rPr>
                <w:rFonts w:ascii="Arial Narrow" w:hAnsi="Arial Narrow"/>
                <w:sz w:val="20"/>
                <w:szCs w:val="20"/>
              </w:rPr>
              <w:t>LSG</w:t>
            </w:r>
            <w:r w:rsidR="00B51828" w:rsidRPr="003E51A5">
              <w:rPr>
                <w:rFonts w:ascii="Arial Narrow" w:hAnsi="Arial Narrow"/>
                <w:sz w:val="20"/>
                <w:szCs w:val="20"/>
              </w:rPr>
              <w:t xml:space="preserve"> biopsy for possible Sjögren’s syndrome</w:t>
            </w:r>
          </w:p>
          <w:p w14:paraId="4E554EC2" w14:textId="77777777" w:rsidR="00B51828" w:rsidRPr="003E51A5" w:rsidRDefault="00B51828" w:rsidP="002101D2">
            <w:pPr>
              <w:spacing w:before="20" w:after="20"/>
              <w:ind w:left="0"/>
              <w:rPr>
                <w:rFonts w:ascii="Arial Narrow" w:hAnsi="Arial Narrow"/>
                <w:sz w:val="20"/>
                <w:szCs w:val="20"/>
                <w:vertAlign w:val="superscript"/>
              </w:rPr>
            </w:pPr>
            <w:r w:rsidRPr="003E51A5">
              <w:rPr>
                <w:rFonts w:ascii="Arial Narrow" w:hAnsi="Arial Narrow"/>
                <w:sz w:val="20"/>
                <w:szCs w:val="20"/>
              </w:rPr>
              <w:t>N=60 cases</w:t>
            </w:r>
          </w:p>
        </w:tc>
        <w:tc>
          <w:tcPr>
            <w:tcW w:w="1039" w:type="pct"/>
          </w:tcPr>
          <w:p w14:paraId="39BB4F21" w14:textId="77777777" w:rsidR="00B51828" w:rsidRPr="00743B40"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Cases with n</w:t>
            </w:r>
            <w:r w:rsidRPr="003E51A5">
              <w:rPr>
                <w:rFonts w:ascii="Arial Narrow" w:hAnsi="Arial Narrow"/>
                <w:sz w:val="20"/>
                <w:szCs w:val="20"/>
              </w:rPr>
              <w:t>o initial diagnosis</w:t>
            </w:r>
            <w:r>
              <w:rPr>
                <w:rFonts w:ascii="Arial Narrow" w:hAnsi="Arial Narrow"/>
                <w:sz w:val="20"/>
                <w:szCs w:val="20"/>
                <w:vertAlign w:val="superscript"/>
              </w:rPr>
              <w:t>d</w:t>
            </w:r>
          </w:p>
          <w:p w14:paraId="61D778FB" w14:textId="77777777" w:rsidR="00B51828" w:rsidRPr="003E51A5"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Cases with a provisional diagnosis</w:t>
            </w:r>
          </w:p>
        </w:tc>
        <w:tc>
          <w:tcPr>
            <w:tcW w:w="623" w:type="pct"/>
          </w:tcPr>
          <w:p w14:paraId="224926C7" w14:textId="77777777" w:rsidR="00B51828" w:rsidRDefault="00B51828" w:rsidP="002101D2">
            <w:pPr>
              <w:spacing w:before="20" w:after="20"/>
              <w:ind w:left="0"/>
              <w:rPr>
                <w:rFonts w:ascii="Arial Narrow" w:hAnsi="Arial Narrow"/>
                <w:sz w:val="20"/>
                <w:szCs w:val="20"/>
                <w:vertAlign w:val="superscript"/>
              </w:rPr>
            </w:pPr>
            <w:r w:rsidRPr="003E51A5">
              <w:rPr>
                <w:rFonts w:ascii="Arial Narrow" w:hAnsi="Arial Narrow"/>
                <w:sz w:val="20"/>
                <w:szCs w:val="20"/>
              </w:rPr>
              <w:t>1/60 (1.7%)</w:t>
            </w:r>
          </w:p>
          <w:p w14:paraId="6B6161DA" w14:textId="77777777" w:rsidR="00B51828" w:rsidRPr="00743B40" w:rsidRDefault="00B51828" w:rsidP="002101D2">
            <w:pPr>
              <w:spacing w:before="20" w:after="20"/>
              <w:ind w:left="0"/>
              <w:rPr>
                <w:rFonts w:ascii="Arial Narrow" w:hAnsi="Arial Narrow"/>
                <w:sz w:val="20"/>
                <w:szCs w:val="20"/>
              </w:rPr>
            </w:pPr>
            <w:r>
              <w:rPr>
                <w:rFonts w:ascii="Arial Narrow" w:hAnsi="Arial Narrow"/>
                <w:sz w:val="20"/>
                <w:szCs w:val="20"/>
              </w:rPr>
              <w:t>59/60 (98.3%)</w:t>
            </w:r>
          </w:p>
        </w:tc>
        <w:tc>
          <w:tcPr>
            <w:tcW w:w="945" w:type="pct"/>
          </w:tcPr>
          <w:p w14:paraId="11F3E5EE" w14:textId="77777777" w:rsidR="00B51828" w:rsidRPr="00743B40"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Expert unable to provide diagnosis</w:t>
            </w:r>
            <w:r>
              <w:rPr>
                <w:rFonts w:ascii="Arial Narrow" w:hAnsi="Arial Narrow"/>
                <w:sz w:val="20"/>
                <w:szCs w:val="20"/>
                <w:vertAlign w:val="superscript"/>
              </w:rPr>
              <w:t>d</w:t>
            </w:r>
          </w:p>
        </w:tc>
        <w:tc>
          <w:tcPr>
            <w:tcW w:w="783" w:type="pct"/>
          </w:tcPr>
          <w:p w14:paraId="54C88725" w14:textId="77777777" w:rsidR="00B51828" w:rsidRPr="0017743C" w:rsidRDefault="00B51828" w:rsidP="002101D2">
            <w:pPr>
              <w:spacing w:before="20" w:after="20"/>
              <w:ind w:left="0"/>
              <w:rPr>
                <w:rFonts w:ascii="Arial Narrow" w:hAnsi="Arial Narrow"/>
                <w:sz w:val="20"/>
                <w:szCs w:val="20"/>
                <w:vertAlign w:val="superscript"/>
              </w:rPr>
            </w:pPr>
            <w:r w:rsidRPr="0017743C">
              <w:rPr>
                <w:rFonts w:ascii="Arial Narrow" w:hAnsi="Arial Narrow"/>
                <w:sz w:val="20"/>
                <w:szCs w:val="20"/>
              </w:rPr>
              <w:t>7/60</w:t>
            </w:r>
            <w:r>
              <w:rPr>
                <w:rFonts w:ascii="Arial Narrow" w:hAnsi="Arial Narrow"/>
                <w:sz w:val="20"/>
                <w:szCs w:val="20"/>
              </w:rPr>
              <w:t xml:space="preserve"> (11.7%)</w:t>
            </w:r>
            <w:r>
              <w:rPr>
                <w:rFonts w:ascii="Arial Narrow" w:hAnsi="Arial Narrow"/>
                <w:sz w:val="20"/>
                <w:szCs w:val="20"/>
                <w:vertAlign w:val="superscript"/>
              </w:rPr>
              <w:t>d</w:t>
            </w:r>
          </w:p>
        </w:tc>
      </w:tr>
    </w:tbl>
    <w:p w14:paraId="0148F2B0" w14:textId="25CEF027" w:rsidR="00B51828" w:rsidRPr="003E51A5" w:rsidRDefault="00B51828" w:rsidP="002101D2">
      <w:pPr>
        <w:spacing w:after="0" w:line="259" w:lineRule="auto"/>
        <w:ind w:left="0"/>
        <w:rPr>
          <w:rFonts w:ascii="Arial Narrow" w:hAnsi="Arial Narrow"/>
          <w:sz w:val="16"/>
          <w:szCs w:val="16"/>
        </w:rPr>
      </w:pPr>
      <w:r w:rsidRPr="003E51A5">
        <w:rPr>
          <w:rFonts w:ascii="Arial Narrow" w:hAnsi="Arial Narrow"/>
          <w:sz w:val="16"/>
          <w:szCs w:val="16"/>
        </w:rPr>
        <w:t xml:space="preserve">Abbreviation: </w:t>
      </w:r>
      <w:r w:rsidR="008A4EDD">
        <w:rPr>
          <w:rFonts w:ascii="Arial Narrow" w:hAnsi="Arial Narrow"/>
          <w:sz w:val="16"/>
          <w:szCs w:val="16"/>
        </w:rPr>
        <w:t>LSG, labial salivary gland</w:t>
      </w:r>
      <w:r w:rsidRPr="003E51A5">
        <w:rPr>
          <w:rFonts w:ascii="Arial Narrow" w:hAnsi="Arial Narrow"/>
          <w:sz w:val="16"/>
          <w:szCs w:val="16"/>
        </w:rPr>
        <w:t>.</w:t>
      </w:r>
    </w:p>
    <w:p w14:paraId="6692F133" w14:textId="77777777" w:rsidR="00B51828" w:rsidRPr="003E51A5" w:rsidRDefault="00B51828" w:rsidP="002101D2">
      <w:pPr>
        <w:spacing w:after="0" w:line="259" w:lineRule="auto"/>
        <w:ind w:left="0"/>
        <w:rPr>
          <w:rFonts w:ascii="Arial Narrow" w:hAnsi="Arial Narrow"/>
          <w:sz w:val="16"/>
          <w:szCs w:val="16"/>
        </w:rPr>
      </w:pPr>
      <w:r w:rsidRPr="003E51A5">
        <w:rPr>
          <w:rFonts w:ascii="Arial Narrow" w:hAnsi="Arial Narrow"/>
          <w:sz w:val="16"/>
          <w:szCs w:val="16"/>
          <w:vertAlign w:val="superscript"/>
        </w:rPr>
        <w:t>a</w:t>
      </w:r>
      <w:r w:rsidRPr="003E51A5">
        <w:rPr>
          <w:rFonts w:ascii="Arial Narrow" w:hAnsi="Arial Narrow"/>
          <w:sz w:val="16"/>
          <w:szCs w:val="16"/>
        </w:rPr>
        <w:t xml:space="preserve"> The study included a total of 500 cases: 284 “consultation-only” cases were submitted because of some doubt about the original diagnosis on the part of pathologists or other attending physicians (e.g. surgeons, internists, or radiotherapists) at an outside institution; 216 cases were reviewed after the patient was referred to the Texas M. D. Anderson Cancer Center for management.</w:t>
      </w:r>
    </w:p>
    <w:p w14:paraId="2E3C1243" w14:textId="77777777" w:rsidR="00B51828" w:rsidRDefault="00B51828" w:rsidP="002101D2">
      <w:pPr>
        <w:spacing w:after="0" w:line="259" w:lineRule="auto"/>
        <w:ind w:left="0"/>
        <w:rPr>
          <w:rFonts w:ascii="Arial Narrow" w:hAnsi="Arial Narrow"/>
          <w:sz w:val="16"/>
          <w:szCs w:val="16"/>
        </w:rPr>
      </w:pPr>
      <w:r w:rsidRPr="003E51A5">
        <w:rPr>
          <w:rFonts w:ascii="Arial Narrow" w:hAnsi="Arial Narrow"/>
          <w:sz w:val="16"/>
          <w:szCs w:val="16"/>
          <w:vertAlign w:val="superscript"/>
        </w:rPr>
        <w:t>b</w:t>
      </w:r>
      <w:r w:rsidRPr="003E51A5">
        <w:rPr>
          <w:rFonts w:ascii="Arial Narrow" w:hAnsi="Arial Narrow"/>
          <w:sz w:val="16"/>
          <w:szCs w:val="16"/>
        </w:rPr>
        <w:t xml:space="preserve"> The study included a total of 100 cases: 80 requests for expert opinion were initiated by the pathologist; 20 expert opinion requests were initiated by the clinician.</w:t>
      </w:r>
    </w:p>
    <w:p w14:paraId="51956663" w14:textId="77777777" w:rsidR="00B51828" w:rsidRDefault="00B51828" w:rsidP="002101D2">
      <w:pPr>
        <w:spacing w:after="0" w:line="259" w:lineRule="auto"/>
        <w:ind w:left="0"/>
        <w:rPr>
          <w:rFonts w:ascii="Arial Narrow" w:hAnsi="Arial Narrow"/>
          <w:sz w:val="16"/>
          <w:szCs w:val="16"/>
        </w:rPr>
      </w:pPr>
      <w:r>
        <w:rPr>
          <w:rFonts w:ascii="Arial Narrow" w:hAnsi="Arial Narrow"/>
          <w:sz w:val="16"/>
          <w:szCs w:val="16"/>
          <w:vertAlign w:val="superscript"/>
        </w:rPr>
        <w:t xml:space="preserve">c </w:t>
      </w:r>
      <w:r>
        <w:rPr>
          <w:rFonts w:ascii="Arial Narrow" w:hAnsi="Arial Narrow"/>
          <w:sz w:val="16"/>
          <w:szCs w:val="16"/>
        </w:rPr>
        <w:t>The results were not provided separately according to pathologist/clinician-initiated referrals.</w:t>
      </w:r>
    </w:p>
    <w:p w14:paraId="6B85B9D5" w14:textId="77777777" w:rsidR="00B51828" w:rsidRPr="000B4F5A" w:rsidRDefault="00B51828" w:rsidP="002101D2">
      <w:pPr>
        <w:spacing w:after="0" w:line="259" w:lineRule="auto"/>
        <w:ind w:left="0"/>
        <w:rPr>
          <w:rFonts w:ascii="Arial Narrow" w:hAnsi="Arial Narrow"/>
          <w:sz w:val="16"/>
          <w:szCs w:val="16"/>
        </w:rPr>
      </w:pPr>
      <w:r>
        <w:rPr>
          <w:rFonts w:ascii="Arial Narrow" w:hAnsi="Arial Narrow"/>
          <w:sz w:val="16"/>
          <w:szCs w:val="16"/>
          <w:vertAlign w:val="superscript"/>
        </w:rPr>
        <w:t>d</w:t>
      </w:r>
      <w:r w:rsidRPr="003E51A5">
        <w:rPr>
          <w:rFonts w:ascii="Arial Narrow" w:hAnsi="Arial Narrow"/>
          <w:sz w:val="16"/>
          <w:szCs w:val="16"/>
          <w:vertAlign w:val="superscript"/>
        </w:rPr>
        <w:t xml:space="preserve"> </w:t>
      </w:r>
      <w:r>
        <w:rPr>
          <w:rFonts w:ascii="Arial Narrow" w:hAnsi="Arial Narrow"/>
          <w:sz w:val="16"/>
          <w:szCs w:val="16"/>
        </w:rPr>
        <w:t>T</w:t>
      </w:r>
      <w:r w:rsidRPr="003E51A5">
        <w:rPr>
          <w:rFonts w:ascii="Arial Narrow" w:hAnsi="Arial Narrow"/>
          <w:sz w:val="16"/>
          <w:szCs w:val="16"/>
        </w:rPr>
        <w:t>he tissue biopsy was insufficient for diagnosis.</w:t>
      </w:r>
    </w:p>
    <w:p w14:paraId="0437005E" w14:textId="77777777" w:rsidR="00B51828" w:rsidRPr="00FD59F8" w:rsidRDefault="00B51828" w:rsidP="002101D2">
      <w:pPr>
        <w:spacing w:after="0" w:line="259" w:lineRule="auto"/>
        <w:ind w:left="0"/>
        <w:rPr>
          <w:rFonts w:ascii="Arial Narrow" w:hAnsi="Arial Narrow"/>
          <w:sz w:val="16"/>
          <w:szCs w:val="16"/>
        </w:rPr>
      </w:pPr>
    </w:p>
    <w:p w14:paraId="4D15BD7C" w14:textId="77777777" w:rsidR="00B51828" w:rsidRDefault="00B51828" w:rsidP="002101D2">
      <w:pPr>
        <w:sectPr w:rsidR="00B51828" w:rsidSect="002101D2">
          <w:footerReference w:type="default" r:id="rId25"/>
          <w:pgSz w:w="16838" w:h="11906" w:orient="landscape" w:code="9"/>
          <w:pgMar w:top="1440" w:right="1440" w:bottom="1440" w:left="1440" w:header="680" w:footer="1021" w:gutter="0"/>
          <w:cols w:space="708"/>
          <w:docGrid w:linePitch="360"/>
        </w:sectPr>
      </w:pPr>
    </w:p>
    <w:p w14:paraId="561325BF" w14:textId="77777777" w:rsidR="00B51828" w:rsidRDefault="00B51828" w:rsidP="00B51828">
      <w:pPr>
        <w:pStyle w:val="Heading3"/>
        <w:numPr>
          <w:ilvl w:val="2"/>
          <w:numId w:val="1"/>
        </w:numPr>
      </w:pPr>
      <w:bookmarkStart w:id="149" w:name="_Ref395279331"/>
      <w:r>
        <w:lastRenderedPageBreak/>
        <w:t>Diagnostic accuracy</w:t>
      </w:r>
      <w:bookmarkEnd w:id="149"/>
    </w:p>
    <w:p w14:paraId="379BF936" w14:textId="77777777" w:rsidR="00B51828" w:rsidRDefault="00B51828" w:rsidP="002101D2">
      <w:r>
        <w:t xml:space="preserve">As discussed in Section </w:t>
      </w:r>
      <w:r>
        <w:fldChar w:fldCharType="begin"/>
      </w:r>
      <w:r>
        <w:instrText xml:space="preserve"> REF _Ref395191245 \w \h </w:instrText>
      </w:r>
      <w:r>
        <w:fldChar w:fldCharType="separate"/>
      </w:r>
      <w:r w:rsidR="0044620B">
        <w:t>B.5.1</w:t>
      </w:r>
      <w:r>
        <w:fldChar w:fldCharType="end"/>
      </w:r>
      <w:r>
        <w:t xml:space="preserve">, the 10 </w:t>
      </w:r>
      <w:r>
        <w:rPr>
          <w:i/>
        </w:rPr>
        <w:t xml:space="preserve">Scenario 1 </w:t>
      </w:r>
      <w:r>
        <w:t>studies assessed diagnostic accuracy by comparing the initial pathology diagnosis (usually undertaken by a general, non-expert pathologist) with that of an expert pathologist. However, o</w:t>
      </w:r>
      <w:r w:rsidRPr="0043349B">
        <w:t>ne study (Tavora et al, 2009) did not provide concordance or discordance rates. The primary focus of the study was the number of major discrepancies; however, broader diagnostic accuracy results were not reported. The evidence from that study will therefore be discussed in</w:t>
      </w:r>
      <w:r>
        <w:t xml:space="preserve"> Section </w:t>
      </w:r>
      <w:r>
        <w:fldChar w:fldCharType="begin"/>
      </w:r>
      <w:r>
        <w:instrText xml:space="preserve"> REF _Ref395262749 \r \h </w:instrText>
      </w:r>
      <w:r>
        <w:fldChar w:fldCharType="separate"/>
      </w:r>
      <w:r w:rsidR="0044620B">
        <w:t>B.6.2</w:t>
      </w:r>
      <w:r>
        <w:fldChar w:fldCharType="end"/>
      </w:r>
      <w:r w:rsidRPr="0043349B">
        <w:t>.</w:t>
      </w:r>
    </w:p>
    <w:p w14:paraId="75B46AE0" w14:textId="2A93499E" w:rsidR="00B51828" w:rsidRDefault="00B51828" w:rsidP="002101D2">
      <w:r>
        <w:t xml:space="preserve">Five of the </w:t>
      </w:r>
      <w:r w:rsidRPr="0043349B">
        <w:rPr>
          <w:i/>
        </w:rPr>
        <w:t>Scenario 1</w:t>
      </w:r>
      <w:r>
        <w:t xml:space="preserve"> studies reported both concordance and discordance </w:t>
      </w:r>
      <w:r>
        <w:rPr>
          <w:noProof/>
        </w:rPr>
        <w:t>(Cook et al, 2001; Gaudi et al, 2013; Hsu et al, 2010; Hutton Klein et al, 2010; Ray-Coquard et al, 2012)</w:t>
      </w:r>
      <w:r>
        <w:t xml:space="preserve">, while others reported concordance data only </w:t>
      </w:r>
      <w:r>
        <w:rPr>
          <w:noProof/>
        </w:rPr>
        <w:t xml:space="preserve">(Arbiser et al, 2001; Jones and Jordan, 2010; </w:t>
      </w:r>
      <w:r w:rsidR="00525F10">
        <w:rPr>
          <w:noProof/>
        </w:rPr>
        <w:t>v</w:t>
      </w:r>
      <w:r>
        <w:rPr>
          <w:noProof/>
        </w:rPr>
        <w:t>an Dijk et al, 2008; Veenhuizen et al, 1997)</w:t>
      </w:r>
      <w:r>
        <w:t xml:space="preserve">. In the latter four studies, it is not necessarily correct to assume that non-concordant cases were completely discordant. It is possible that cases excluded from concordance results were assigned the same broad diagnostic category by the initial and expert pathologists and that the diagnoses differed only on specific details such as grade or subtype (which may or may not have therapeutic significance). As a result, some studies categorise diagnostic accuracy results into several subgroups including total concordance, partial concordance and complete discordance </w:t>
      </w:r>
      <w:r>
        <w:rPr>
          <w:noProof/>
        </w:rPr>
        <w:t>(Ray-Coquard et al, 2012)</w:t>
      </w:r>
      <w:r>
        <w:t>.</w:t>
      </w:r>
    </w:p>
    <w:p w14:paraId="2575008C" w14:textId="77777777" w:rsidR="00B51828" w:rsidRDefault="00B51828" w:rsidP="002101D2">
      <w:r>
        <w:t xml:space="preserve">While misdiagnosis by the initial pathologist is often the cause of discordance, some studies also report a number of discordant cases where the source was different reporting styles or classification systems used by the initial and expert pathologists </w:t>
      </w:r>
      <w:r>
        <w:rPr>
          <w:noProof/>
        </w:rPr>
        <w:t>(Gaudi et al, 2013)</w:t>
      </w:r>
      <w:r>
        <w:t>. Most studies did not specify whether diagnoses that used incomparable reporting styles were considered to be discordant or were simply excluded from the analysis.</w:t>
      </w:r>
    </w:p>
    <w:p w14:paraId="14A2C75D" w14:textId="77777777" w:rsidR="00B51828" w:rsidRDefault="00B51828" w:rsidP="002101D2">
      <w:r>
        <w:t xml:space="preserve">As a result of different interpretations and definitions of concordance and discordance, it is difficult to compare the measures of diagnostic accuracy across multiple studies. For example, the two </w:t>
      </w:r>
      <w:r>
        <w:rPr>
          <w:i/>
        </w:rPr>
        <w:t xml:space="preserve">Scenario 1 </w:t>
      </w:r>
      <w:r>
        <w:t xml:space="preserve">studies of all surgical pathology (Cook et al, 2001 and Hsu et al, 2010) reported concordance rates of 69.1% and 35.7%, respectively, which is likely to be due, in part, to different definitions of concordance (see </w:t>
      </w:r>
      <w:r>
        <w:fldChar w:fldCharType="begin"/>
      </w:r>
      <w:r>
        <w:instrText xml:space="preserve"> REF _Ref395193400 \h </w:instrText>
      </w:r>
      <w:r>
        <w:fldChar w:fldCharType="separate"/>
      </w:r>
      <w:r w:rsidR="0044620B">
        <w:t xml:space="preserve">Table </w:t>
      </w:r>
      <w:r w:rsidR="0044620B">
        <w:rPr>
          <w:noProof/>
        </w:rPr>
        <w:t>B.6</w:t>
      </w:r>
      <w:r w:rsidR="0044620B">
        <w:noBreakHyphen/>
      </w:r>
      <w:r w:rsidR="0044620B">
        <w:rPr>
          <w:noProof/>
        </w:rPr>
        <w:t>3</w:t>
      </w:r>
      <w:r>
        <w:fldChar w:fldCharType="end"/>
      </w:r>
      <w:r>
        <w:t xml:space="preserve">). </w:t>
      </w:r>
    </w:p>
    <w:p w14:paraId="43C6FFB8" w14:textId="77777777" w:rsidR="00B51828" w:rsidRDefault="00B51828" w:rsidP="002101D2">
      <w:r>
        <w:t xml:space="preserve">The broad nature of the conditions considered in the Assessment Report also adds to the variability of results between studies. For example, a concordance rate of 65.9% was reported in a study of oral and maxillofacial pathology </w:t>
      </w:r>
      <w:r>
        <w:rPr>
          <w:noProof/>
        </w:rPr>
        <w:t>(Jones and Jordan, 2010)</w:t>
      </w:r>
      <w:r>
        <w:t>, whereas a study of g</w:t>
      </w:r>
      <w:r w:rsidRPr="00361829">
        <w:t>ranulomatous or giant cell reactions in the lung</w:t>
      </w:r>
      <w:r>
        <w:t xml:space="preserve"> found that only 12.7% of initial pathologist and expert pathologist diagnoses were concordant </w:t>
      </w:r>
      <w:r>
        <w:rPr>
          <w:noProof/>
        </w:rPr>
        <w:t>(Hutton Klein et al, 2010)</w:t>
      </w:r>
      <w:r>
        <w:t xml:space="preserve">, see </w:t>
      </w:r>
      <w:r>
        <w:fldChar w:fldCharType="begin"/>
      </w:r>
      <w:r>
        <w:instrText xml:space="preserve"> REF _Ref395193400 \h </w:instrText>
      </w:r>
      <w:r>
        <w:fldChar w:fldCharType="separate"/>
      </w:r>
      <w:r w:rsidR="0044620B">
        <w:t xml:space="preserve">Table </w:t>
      </w:r>
      <w:r w:rsidR="0044620B">
        <w:rPr>
          <w:noProof/>
        </w:rPr>
        <w:t>B.6</w:t>
      </w:r>
      <w:r w:rsidR="0044620B">
        <w:noBreakHyphen/>
      </w:r>
      <w:r w:rsidR="0044620B">
        <w:rPr>
          <w:noProof/>
        </w:rPr>
        <w:t>3</w:t>
      </w:r>
      <w:r>
        <w:fldChar w:fldCharType="end"/>
      </w:r>
      <w:r>
        <w:t xml:space="preserve">. </w:t>
      </w:r>
    </w:p>
    <w:p w14:paraId="444D13E1" w14:textId="7D1CD0E0" w:rsidR="00B51828" w:rsidRDefault="00B51828" w:rsidP="002101D2">
      <w:r>
        <w:t xml:space="preserve">The five additional </w:t>
      </w:r>
      <w:r w:rsidRPr="00BC3B97">
        <w:rPr>
          <w:i/>
        </w:rPr>
        <w:t>Scenario 2</w:t>
      </w:r>
      <w:r w:rsidRPr="00BC3B97">
        <w:t xml:space="preserve"> </w:t>
      </w:r>
      <w:r>
        <w:t xml:space="preserve">studies all provided some information about concordance and/or discordance rates between the initial and expert pathology opinions. Similarly, the definitions of concordance and discordance significantly differed between studies and it was not possible to pool the results. </w:t>
      </w:r>
      <w:r>
        <w:fldChar w:fldCharType="begin"/>
      </w:r>
      <w:r>
        <w:instrText xml:space="preserve"> REF _Ref395343639 \h  \* MERGEFORMAT </w:instrText>
      </w:r>
      <w:r>
        <w:fldChar w:fldCharType="separate"/>
      </w:r>
      <w:r w:rsidR="0044620B">
        <w:t>Table B.6</w:t>
      </w:r>
      <w:r w:rsidR="0044620B">
        <w:noBreakHyphen/>
        <w:t>4</w:t>
      </w:r>
      <w:r>
        <w:fldChar w:fldCharType="end"/>
      </w:r>
      <w:r>
        <w:t xml:space="preserve"> shows that the only study that reported diagnostic accuracy based on all surgical pathology types reported 60.7% concordance and 35.7% discordance (Ahmed et al, 2004). The other studies, which focus</w:t>
      </w:r>
      <w:r w:rsidR="005414B7">
        <w:t>sed</w:t>
      </w:r>
      <w:r>
        <w:t xml:space="preserve"> on specific tissue types, had higher discordance rates: 41.1% for prostate needle biopsies (Chan and Epstein, 2005); 46.7% in brain and spinal cord biopsies (Bruner et al, 1997); 54.2% in labial salivary gland biopsies (Vivino et al, 2002); and 82.7% in granulomatous or giant cell reactions in the lung (Hutton Klein et al, 2010). Importantly, </w:t>
      </w:r>
      <w:r>
        <w:fldChar w:fldCharType="begin"/>
      </w:r>
      <w:r>
        <w:instrText xml:space="preserve"> REF _Ref395193400 \h  \* MERGEFORMAT </w:instrText>
      </w:r>
      <w:r>
        <w:fldChar w:fldCharType="separate"/>
      </w:r>
      <w:r w:rsidR="0044620B">
        <w:t>Table B.6</w:t>
      </w:r>
      <w:r w:rsidR="0044620B">
        <w:noBreakHyphen/>
        <w:t>3</w:t>
      </w:r>
      <w:r>
        <w:fldChar w:fldCharType="end"/>
      </w:r>
      <w:r>
        <w:t xml:space="preserve"> and </w:t>
      </w:r>
      <w:r>
        <w:fldChar w:fldCharType="begin"/>
      </w:r>
      <w:r>
        <w:instrText xml:space="preserve"> REF _Ref395343639 \h  \* MERGEFORMAT </w:instrText>
      </w:r>
      <w:r>
        <w:fldChar w:fldCharType="separate"/>
      </w:r>
      <w:r w:rsidR="0044620B">
        <w:t>Table B.6</w:t>
      </w:r>
      <w:r w:rsidR="0044620B">
        <w:noBreakHyphen/>
        <w:t>4</w:t>
      </w:r>
      <w:r>
        <w:fldChar w:fldCharType="end"/>
      </w:r>
      <w:r>
        <w:t xml:space="preserve"> show diagnostic accuracy results excluding cases without an initial (provisional) diagnosis.</w:t>
      </w:r>
    </w:p>
    <w:p w14:paraId="5C007701" w14:textId="77777777" w:rsidR="00B51828" w:rsidRDefault="00B51828" w:rsidP="002101D2">
      <w:pPr>
        <w:sectPr w:rsidR="00B51828" w:rsidSect="002101D2">
          <w:footerReference w:type="default" r:id="rId26"/>
          <w:pgSz w:w="11906" w:h="16838" w:code="9"/>
          <w:pgMar w:top="1440" w:right="1440" w:bottom="1440" w:left="1440" w:header="680" w:footer="1021" w:gutter="0"/>
          <w:cols w:space="708"/>
          <w:docGrid w:linePitch="360"/>
        </w:sectPr>
      </w:pPr>
    </w:p>
    <w:p w14:paraId="18E23A28" w14:textId="77777777" w:rsidR="00B51828" w:rsidRPr="00771992" w:rsidRDefault="00B51828" w:rsidP="002101D2">
      <w:pPr>
        <w:pStyle w:val="Caption"/>
        <w:ind w:left="0" w:firstLine="0"/>
      </w:pPr>
      <w:bookmarkStart w:id="150" w:name="_Ref395193400"/>
      <w:bookmarkStart w:id="151" w:name="_Toc395280222"/>
      <w:bookmarkStart w:id="152" w:name="_Toc396211746"/>
      <w:bookmarkStart w:id="153" w:name="_Ref393749910"/>
      <w:r>
        <w:lastRenderedPageBreak/>
        <w:t xml:space="preserve">Table </w:t>
      </w:r>
      <w:fldSimple w:instr=" STYLEREF 2 \s ">
        <w:r w:rsidR="0044620B">
          <w:rPr>
            <w:noProof/>
          </w:rPr>
          <w:t>B.6</w:t>
        </w:r>
      </w:fldSimple>
      <w:r>
        <w:noBreakHyphen/>
      </w:r>
      <w:r w:rsidR="0044620B">
        <w:fldChar w:fldCharType="begin"/>
      </w:r>
      <w:r w:rsidR="0044620B">
        <w:instrText xml:space="preserve"> SEQ Table \* ARABIC \s 2 </w:instrText>
      </w:r>
      <w:r w:rsidR="0044620B">
        <w:fldChar w:fldCharType="separate"/>
      </w:r>
      <w:r w:rsidR="0044620B">
        <w:rPr>
          <w:noProof/>
        </w:rPr>
        <w:t>3</w:t>
      </w:r>
      <w:r w:rsidR="0044620B">
        <w:rPr>
          <w:noProof/>
        </w:rPr>
        <w:fldChar w:fldCharType="end"/>
      </w:r>
      <w:bookmarkEnd w:id="150"/>
      <w:r>
        <w:tab/>
        <w:t xml:space="preserve">Diagnostic accuracy: level of concordance and/or discordance between initial and expert pathology opinion – </w:t>
      </w:r>
      <w:r w:rsidRPr="004A60EE">
        <w:rPr>
          <w:i/>
        </w:rPr>
        <w:t>Scenario 1</w:t>
      </w:r>
      <w:bookmarkEnd w:id="151"/>
      <w:r>
        <w:rPr>
          <w:i/>
        </w:rPr>
        <w:t xml:space="preserve"> studies</w:t>
      </w:r>
      <w:bookmarkEnd w:id="152"/>
    </w:p>
    <w:tbl>
      <w:tblPr>
        <w:tblStyle w:val="TableGrid2"/>
        <w:tblW w:w="5000" w:type="pct"/>
        <w:tblCellMar>
          <w:left w:w="57" w:type="dxa"/>
          <w:right w:w="57" w:type="dxa"/>
        </w:tblCellMar>
        <w:tblLook w:val="04A0" w:firstRow="1" w:lastRow="0" w:firstColumn="1" w:lastColumn="0" w:noHBand="0" w:noVBand="1"/>
        <w:tblCaption w:val="Diagnostic accuracy results in Scenario 1 studies"/>
        <w:tblDescription w:val="Diagnostic accuracy described as level of concordance and/or discordance between initial and expert pathology opinion – Scenario 1 studies"/>
      </w:tblPr>
      <w:tblGrid>
        <w:gridCol w:w="2581"/>
        <w:gridCol w:w="2443"/>
        <w:gridCol w:w="6462"/>
        <w:gridCol w:w="2586"/>
      </w:tblGrid>
      <w:tr w:rsidR="00B51828" w:rsidRPr="003E458A" w14:paraId="06074B75" w14:textId="77777777" w:rsidTr="002101D2">
        <w:trPr>
          <w:tblHeader/>
        </w:trPr>
        <w:tc>
          <w:tcPr>
            <w:tcW w:w="917" w:type="pct"/>
          </w:tcPr>
          <w:p w14:paraId="39DDCD60" w14:textId="77777777" w:rsidR="00B51828" w:rsidRPr="003E458A" w:rsidRDefault="00B51828" w:rsidP="002101D2">
            <w:pPr>
              <w:spacing w:before="20" w:after="20"/>
              <w:ind w:left="0"/>
              <w:rPr>
                <w:rFonts w:ascii="Arial Narrow" w:hAnsi="Arial Narrow"/>
                <w:b/>
                <w:sz w:val="20"/>
                <w:szCs w:val="20"/>
              </w:rPr>
            </w:pPr>
            <w:r w:rsidRPr="003E458A">
              <w:rPr>
                <w:rFonts w:ascii="Arial Narrow" w:hAnsi="Arial Narrow"/>
                <w:b/>
                <w:sz w:val="20"/>
                <w:szCs w:val="20"/>
              </w:rPr>
              <w:t>Study ID</w:t>
            </w:r>
          </w:p>
        </w:tc>
        <w:tc>
          <w:tcPr>
            <w:tcW w:w="868" w:type="pct"/>
          </w:tcPr>
          <w:p w14:paraId="0D1CA23C" w14:textId="77777777" w:rsidR="00B51828" w:rsidRPr="003E458A" w:rsidRDefault="00B51828" w:rsidP="002101D2">
            <w:pPr>
              <w:spacing w:before="20" w:after="20"/>
              <w:ind w:left="0"/>
              <w:rPr>
                <w:rFonts w:ascii="Arial Narrow" w:hAnsi="Arial Narrow"/>
                <w:b/>
                <w:sz w:val="20"/>
                <w:szCs w:val="20"/>
              </w:rPr>
            </w:pPr>
            <w:r w:rsidRPr="003E458A">
              <w:rPr>
                <w:rFonts w:ascii="Arial Narrow" w:hAnsi="Arial Narrow"/>
                <w:b/>
                <w:sz w:val="20"/>
                <w:szCs w:val="20"/>
              </w:rPr>
              <w:t>Population (N)</w:t>
            </w:r>
          </w:p>
        </w:tc>
        <w:tc>
          <w:tcPr>
            <w:tcW w:w="2296" w:type="pct"/>
          </w:tcPr>
          <w:p w14:paraId="1E88A0C8" w14:textId="77777777" w:rsidR="00B51828" w:rsidRPr="003E458A" w:rsidRDefault="00B51828" w:rsidP="002101D2">
            <w:pPr>
              <w:spacing w:before="20" w:after="20"/>
              <w:ind w:left="0"/>
              <w:rPr>
                <w:rFonts w:ascii="Arial Narrow" w:hAnsi="Arial Narrow"/>
                <w:b/>
                <w:sz w:val="20"/>
                <w:szCs w:val="20"/>
              </w:rPr>
            </w:pPr>
            <w:r w:rsidRPr="003E458A">
              <w:rPr>
                <w:rFonts w:ascii="Arial Narrow" w:hAnsi="Arial Narrow"/>
                <w:b/>
                <w:sz w:val="20"/>
                <w:szCs w:val="20"/>
              </w:rPr>
              <w:t>Outcome</w:t>
            </w:r>
          </w:p>
        </w:tc>
        <w:tc>
          <w:tcPr>
            <w:tcW w:w="919" w:type="pct"/>
          </w:tcPr>
          <w:p w14:paraId="7A8CC8FB" w14:textId="77777777" w:rsidR="00B51828" w:rsidRPr="003E458A" w:rsidRDefault="00B51828" w:rsidP="002101D2">
            <w:pPr>
              <w:spacing w:before="20" w:after="20"/>
              <w:ind w:left="0"/>
              <w:rPr>
                <w:rFonts w:ascii="Arial Narrow" w:hAnsi="Arial Narrow"/>
                <w:b/>
                <w:sz w:val="20"/>
                <w:szCs w:val="20"/>
              </w:rPr>
            </w:pPr>
            <w:r w:rsidRPr="003E458A">
              <w:rPr>
                <w:rFonts w:ascii="Arial Narrow" w:hAnsi="Arial Narrow"/>
                <w:b/>
                <w:sz w:val="20"/>
                <w:szCs w:val="20"/>
              </w:rPr>
              <w:t>Results n/N (%)</w:t>
            </w:r>
          </w:p>
        </w:tc>
      </w:tr>
      <w:tr w:rsidR="00B51828" w:rsidRPr="003E458A" w14:paraId="7DB11114" w14:textId="77777777" w:rsidTr="002101D2">
        <w:tc>
          <w:tcPr>
            <w:tcW w:w="917" w:type="pct"/>
            <w:shd w:val="clear" w:color="auto" w:fill="BFBFBF" w:themeFill="background1" w:themeFillShade="BF"/>
          </w:tcPr>
          <w:p w14:paraId="60E68E29"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ALL SURGICAL PATHOLOGY</w:t>
            </w:r>
          </w:p>
        </w:tc>
        <w:tc>
          <w:tcPr>
            <w:tcW w:w="868" w:type="pct"/>
            <w:shd w:val="clear" w:color="auto" w:fill="BFBFBF" w:themeFill="background1" w:themeFillShade="BF"/>
          </w:tcPr>
          <w:p w14:paraId="07E89FC0"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c>
          <w:tcPr>
            <w:tcW w:w="2296" w:type="pct"/>
            <w:shd w:val="clear" w:color="auto" w:fill="BFBFBF" w:themeFill="background1" w:themeFillShade="BF"/>
          </w:tcPr>
          <w:p w14:paraId="02454EF6"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c>
          <w:tcPr>
            <w:tcW w:w="919" w:type="pct"/>
            <w:shd w:val="clear" w:color="auto" w:fill="BFBFBF" w:themeFill="background1" w:themeFillShade="BF"/>
          </w:tcPr>
          <w:p w14:paraId="37F2EE69"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r>
      <w:tr w:rsidR="00B51828" w:rsidRPr="003E458A" w14:paraId="2A6C9E1D" w14:textId="77777777" w:rsidTr="002101D2">
        <w:tc>
          <w:tcPr>
            <w:tcW w:w="917" w:type="pct"/>
          </w:tcPr>
          <w:p w14:paraId="0CE9226E"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Cook 2001</w:t>
            </w:r>
          </w:p>
        </w:tc>
        <w:tc>
          <w:tcPr>
            <w:tcW w:w="868" w:type="pct"/>
          </w:tcPr>
          <w:p w14:paraId="66DA9AAB"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All histopathology; any organ system</w:t>
            </w:r>
          </w:p>
          <w:p w14:paraId="6B6C819D" w14:textId="77777777" w:rsidR="00B51828" w:rsidRPr="003E458A" w:rsidRDefault="00B51828" w:rsidP="002101D2">
            <w:pPr>
              <w:spacing w:before="20" w:after="20"/>
              <w:ind w:left="0"/>
              <w:rPr>
                <w:rFonts w:ascii="Arial Narrow" w:hAnsi="Arial Narrow"/>
                <w:sz w:val="20"/>
                <w:szCs w:val="20"/>
                <w:vertAlign w:val="superscript"/>
              </w:rPr>
            </w:pPr>
            <w:r w:rsidRPr="003E458A">
              <w:rPr>
                <w:rFonts w:ascii="Arial Narrow" w:hAnsi="Arial Narrow"/>
                <w:sz w:val="20"/>
                <w:szCs w:val="20"/>
              </w:rPr>
              <w:t>N=128 cases</w:t>
            </w:r>
            <w:r w:rsidRPr="003E458A">
              <w:rPr>
                <w:rFonts w:ascii="Arial Narrow" w:hAnsi="Arial Narrow"/>
                <w:sz w:val="20"/>
                <w:szCs w:val="20"/>
                <w:vertAlign w:val="superscript"/>
              </w:rPr>
              <w:t>a</w:t>
            </w:r>
          </w:p>
        </w:tc>
        <w:tc>
          <w:tcPr>
            <w:tcW w:w="2296" w:type="pct"/>
          </w:tcPr>
          <w:p w14:paraId="3CB548AA"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Concordant with provisional diagnosis</w:t>
            </w:r>
            <w:r>
              <w:rPr>
                <w:rFonts w:ascii="Arial Narrow" w:hAnsi="Arial Narrow"/>
                <w:sz w:val="20"/>
                <w:szCs w:val="20"/>
              </w:rPr>
              <w:t xml:space="preserve"> (pathologist-initiated EEO)</w:t>
            </w:r>
          </w:p>
          <w:p w14:paraId="11B17981" w14:textId="77777777" w:rsidR="00B51828" w:rsidRDefault="00B51828" w:rsidP="002101D2">
            <w:pPr>
              <w:spacing w:before="20" w:after="20"/>
              <w:ind w:left="0"/>
              <w:rPr>
                <w:rFonts w:ascii="Arial Narrow" w:hAnsi="Arial Narrow"/>
                <w:sz w:val="20"/>
                <w:szCs w:val="20"/>
              </w:rPr>
            </w:pPr>
            <w:r w:rsidRPr="003E458A">
              <w:rPr>
                <w:rFonts w:ascii="Arial Narrow" w:hAnsi="Arial Narrow"/>
                <w:sz w:val="20"/>
                <w:szCs w:val="20"/>
              </w:rPr>
              <w:t>Discordant with provisional diagnosis</w:t>
            </w:r>
            <w:r>
              <w:rPr>
                <w:rFonts w:ascii="Arial Narrow" w:hAnsi="Arial Narrow"/>
                <w:sz w:val="20"/>
                <w:szCs w:val="20"/>
              </w:rPr>
              <w:t xml:space="preserve"> (pathologist-initiated EEO)</w:t>
            </w:r>
          </w:p>
          <w:p w14:paraId="608EF1E0" w14:textId="77777777" w:rsidR="00B51828" w:rsidRPr="003E458A" w:rsidRDefault="00B51828" w:rsidP="002101D2">
            <w:pPr>
              <w:spacing w:before="20" w:after="20"/>
              <w:ind w:left="0"/>
              <w:rPr>
                <w:rFonts w:ascii="Arial Narrow" w:hAnsi="Arial Narrow"/>
                <w:sz w:val="20"/>
                <w:szCs w:val="20"/>
              </w:rPr>
            </w:pPr>
            <w:r>
              <w:rPr>
                <w:rFonts w:ascii="Arial Narrow" w:hAnsi="Arial Narrow"/>
                <w:sz w:val="20"/>
                <w:szCs w:val="20"/>
              </w:rPr>
              <w:t>Concordant with differential diagnosis</w:t>
            </w:r>
          </w:p>
          <w:p w14:paraId="66E1F810"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Concordant with provisional diagnosis</w:t>
            </w:r>
            <w:r>
              <w:rPr>
                <w:rFonts w:ascii="Arial Narrow" w:hAnsi="Arial Narrow"/>
                <w:sz w:val="20"/>
                <w:szCs w:val="20"/>
              </w:rPr>
              <w:t xml:space="preserve"> (clinician-initiated EEO)</w:t>
            </w:r>
          </w:p>
        </w:tc>
        <w:tc>
          <w:tcPr>
            <w:tcW w:w="919" w:type="pct"/>
          </w:tcPr>
          <w:p w14:paraId="05F667EA"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38/55 (69.1%)</w:t>
            </w:r>
          </w:p>
          <w:p w14:paraId="58FD374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17/55 (30.9%)</w:t>
            </w:r>
          </w:p>
          <w:p w14:paraId="053E6C46"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17/18 (94.4%)</w:t>
            </w:r>
          </w:p>
          <w:p w14:paraId="46CC65DD"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3/3 (100%)</w:t>
            </w:r>
          </w:p>
        </w:tc>
      </w:tr>
      <w:tr w:rsidR="00B51828" w:rsidRPr="003E458A" w14:paraId="79E1ED02" w14:textId="77777777" w:rsidTr="002101D2">
        <w:tc>
          <w:tcPr>
            <w:tcW w:w="917" w:type="pct"/>
          </w:tcPr>
          <w:p w14:paraId="23FA754F"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Hsu 2010</w:t>
            </w:r>
          </w:p>
        </w:tc>
        <w:tc>
          <w:tcPr>
            <w:tcW w:w="868" w:type="pct"/>
          </w:tcPr>
          <w:p w14:paraId="5A732912"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Anatomic pathology; any organ system</w:t>
            </w:r>
          </w:p>
          <w:p w14:paraId="0EFB7B6C"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N=2686 cases</w:t>
            </w:r>
          </w:p>
        </w:tc>
        <w:tc>
          <w:tcPr>
            <w:tcW w:w="2296" w:type="pct"/>
          </w:tcPr>
          <w:p w14:paraId="60BA9694"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Concordant with specific</w:t>
            </w:r>
            <w:r w:rsidRPr="003E458A">
              <w:rPr>
                <w:rFonts w:ascii="Arial Narrow" w:hAnsi="Arial Narrow"/>
                <w:sz w:val="20"/>
                <w:szCs w:val="20"/>
                <w:vertAlign w:val="superscript"/>
              </w:rPr>
              <w:t>b</w:t>
            </w:r>
            <w:r w:rsidRPr="003E458A">
              <w:rPr>
                <w:rFonts w:ascii="Arial Narrow" w:hAnsi="Arial Narrow"/>
                <w:sz w:val="20"/>
                <w:szCs w:val="20"/>
              </w:rPr>
              <w:t xml:space="preserve"> provisional diagnosis</w:t>
            </w:r>
          </w:p>
          <w:p w14:paraId="712F9C61"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Discordant with specific</w:t>
            </w:r>
            <w:r w:rsidRPr="003E458A">
              <w:rPr>
                <w:rFonts w:ascii="Arial Narrow" w:hAnsi="Arial Narrow"/>
                <w:sz w:val="20"/>
                <w:szCs w:val="20"/>
                <w:vertAlign w:val="superscript"/>
              </w:rPr>
              <w:t>b</w:t>
            </w:r>
            <w:r>
              <w:rPr>
                <w:rFonts w:ascii="Arial Narrow" w:hAnsi="Arial Narrow"/>
                <w:sz w:val="20"/>
                <w:szCs w:val="20"/>
              </w:rPr>
              <w:t xml:space="preserve"> provisional diagnosis</w:t>
            </w:r>
          </w:p>
        </w:tc>
        <w:tc>
          <w:tcPr>
            <w:tcW w:w="919" w:type="pct"/>
          </w:tcPr>
          <w:p w14:paraId="4A8F35AA"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596/1670 (35.7%)</w:t>
            </w:r>
          </w:p>
          <w:p w14:paraId="730AA17B" w14:textId="77777777" w:rsidR="00B51828" w:rsidRPr="003E458A" w:rsidRDefault="00B51828" w:rsidP="002101D2">
            <w:pPr>
              <w:keepNext/>
              <w:spacing w:before="20" w:after="20"/>
              <w:ind w:left="0"/>
              <w:rPr>
                <w:rFonts w:ascii="Arial Narrow" w:hAnsi="Arial Narrow"/>
                <w:sz w:val="20"/>
                <w:szCs w:val="20"/>
              </w:rPr>
            </w:pPr>
            <w:r>
              <w:rPr>
                <w:rFonts w:ascii="Arial Narrow" w:hAnsi="Arial Narrow"/>
                <w:sz w:val="20"/>
                <w:szCs w:val="20"/>
              </w:rPr>
              <w:t>1074/1670 (64.3%)</w:t>
            </w:r>
          </w:p>
        </w:tc>
      </w:tr>
      <w:tr w:rsidR="00B51828" w:rsidRPr="003E458A" w14:paraId="50DA5E96" w14:textId="77777777" w:rsidTr="002101D2">
        <w:trPr>
          <w:trHeight w:val="64"/>
        </w:trPr>
        <w:tc>
          <w:tcPr>
            <w:tcW w:w="917" w:type="pct"/>
            <w:shd w:val="clear" w:color="auto" w:fill="BFBFBF" w:themeFill="background1" w:themeFillShade="BF"/>
          </w:tcPr>
          <w:p w14:paraId="6B4E5358"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SOFT TISSUE/SARCOMA</w:t>
            </w:r>
          </w:p>
        </w:tc>
        <w:tc>
          <w:tcPr>
            <w:tcW w:w="868" w:type="pct"/>
            <w:shd w:val="clear" w:color="auto" w:fill="BFBFBF" w:themeFill="background1" w:themeFillShade="BF"/>
          </w:tcPr>
          <w:p w14:paraId="36E04D48"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c>
          <w:tcPr>
            <w:tcW w:w="2296" w:type="pct"/>
            <w:shd w:val="clear" w:color="auto" w:fill="BFBFBF" w:themeFill="background1" w:themeFillShade="BF"/>
          </w:tcPr>
          <w:p w14:paraId="560195CD"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c>
          <w:tcPr>
            <w:tcW w:w="919" w:type="pct"/>
            <w:shd w:val="clear" w:color="auto" w:fill="BFBFBF" w:themeFill="background1" w:themeFillShade="BF"/>
          </w:tcPr>
          <w:p w14:paraId="15DCC0BA"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r>
      <w:tr w:rsidR="00B51828" w:rsidRPr="003E458A" w14:paraId="34595C27" w14:textId="77777777" w:rsidTr="002101D2">
        <w:trPr>
          <w:trHeight w:val="64"/>
        </w:trPr>
        <w:tc>
          <w:tcPr>
            <w:tcW w:w="917" w:type="pct"/>
          </w:tcPr>
          <w:p w14:paraId="646B711D"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Arbiser 2001</w:t>
            </w:r>
          </w:p>
        </w:tc>
        <w:tc>
          <w:tcPr>
            <w:tcW w:w="868" w:type="pct"/>
          </w:tcPr>
          <w:p w14:paraId="08DF5076"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Soft tissue lesions</w:t>
            </w:r>
          </w:p>
          <w:p w14:paraId="7A1E7A0F"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N=500 cases</w:t>
            </w:r>
          </w:p>
        </w:tc>
        <w:tc>
          <w:tcPr>
            <w:tcW w:w="2296" w:type="pct"/>
          </w:tcPr>
          <w:p w14:paraId="7E3D7E51"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Essential concordance with provisional diagnosis</w:t>
            </w:r>
          </w:p>
        </w:tc>
        <w:tc>
          <w:tcPr>
            <w:tcW w:w="919" w:type="pct"/>
          </w:tcPr>
          <w:p w14:paraId="1823E6C9"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181/266 (68.0%)</w:t>
            </w:r>
          </w:p>
        </w:tc>
      </w:tr>
      <w:tr w:rsidR="00B51828" w:rsidRPr="003E458A" w14:paraId="31B14010" w14:textId="77777777" w:rsidTr="002101D2">
        <w:trPr>
          <w:trHeight w:val="64"/>
        </w:trPr>
        <w:tc>
          <w:tcPr>
            <w:tcW w:w="917" w:type="pct"/>
          </w:tcPr>
          <w:p w14:paraId="6331014F"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Ray-Coquard 2012</w:t>
            </w:r>
          </w:p>
        </w:tc>
        <w:tc>
          <w:tcPr>
            <w:tcW w:w="868" w:type="pct"/>
          </w:tcPr>
          <w:p w14:paraId="6A0C15EE"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 xml:space="preserve">Soft tissue or visceral sarcoma </w:t>
            </w:r>
          </w:p>
          <w:p w14:paraId="6CB22A51"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N=1463 cases</w:t>
            </w:r>
            <w:r w:rsidRPr="003E458A">
              <w:rPr>
                <w:rFonts w:ascii="Arial Narrow" w:hAnsi="Arial Narrow"/>
                <w:sz w:val="20"/>
                <w:szCs w:val="20"/>
                <w:vertAlign w:val="superscript"/>
              </w:rPr>
              <w:t>c</w:t>
            </w:r>
          </w:p>
        </w:tc>
        <w:tc>
          <w:tcPr>
            <w:tcW w:w="2296" w:type="pct"/>
          </w:tcPr>
          <w:p w14:paraId="0A0E63FC"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Full concordance with provisional diagnosis</w:t>
            </w:r>
          </w:p>
          <w:p w14:paraId="651E6614"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Partial concordance with provisional diagnosis</w:t>
            </w:r>
            <w:r w:rsidRPr="003E458A">
              <w:rPr>
                <w:rFonts w:ascii="Arial Narrow" w:hAnsi="Arial Narrow"/>
                <w:sz w:val="20"/>
                <w:szCs w:val="20"/>
                <w:vertAlign w:val="superscript"/>
              </w:rPr>
              <w:t>d</w:t>
            </w:r>
          </w:p>
          <w:p w14:paraId="5A3EFB8F"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Complete discordance</w:t>
            </w:r>
            <w:r w:rsidRPr="003E458A">
              <w:rPr>
                <w:rFonts w:ascii="Arial Narrow" w:hAnsi="Arial Narrow"/>
                <w:sz w:val="20"/>
                <w:szCs w:val="20"/>
                <w:vertAlign w:val="superscript"/>
              </w:rPr>
              <w:t>e</w:t>
            </w:r>
          </w:p>
          <w:p w14:paraId="3D45852D" w14:textId="77777777" w:rsidR="00B51828" w:rsidRPr="003E458A" w:rsidRDefault="00B51828" w:rsidP="002101D2">
            <w:pPr>
              <w:spacing w:before="20" w:after="20"/>
              <w:ind w:left="284"/>
              <w:rPr>
                <w:rFonts w:ascii="Arial Narrow" w:hAnsi="Arial Narrow"/>
                <w:i/>
                <w:sz w:val="20"/>
                <w:szCs w:val="20"/>
              </w:rPr>
            </w:pPr>
            <w:r w:rsidRPr="003E458A">
              <w:rPr>
                <w:rFonts w:ascii="Arial Narrow" w:hAnsi="Arial Narrow"/>
                <w:i/>
                <w:sz w:val="20"/>
                <w:szCs w:val="20"/>
              </w:rPr>
              <w:t>Type of discordance</w:t>
            </w:r>
            <w:r w:rsidRPr="003E458A">
              <w:rPr>
                <w:rFonts w:ascii="Arial Narrow" w:hAnsi="Arial Narrow"/>
                <w:i/>
                <w:sz w:val="20"/>
                <w:szCs w:val="20"/>
                <w:vertAlign w:val="superscript"/>
              </w:rPr>
              <w:t xml:space="preserve">f </w:t>
            </w:r>
            <w:r w:rsidRPr="003E458A">
              <w:rPr>
                <w:rFonts w:ascii="Arial Narrow" w:hAnsi="Arial Narrow"/>
                <w:i/>
                <w:sz w:val="20"/>
                <w:szCs w:val="20"/>
              </w:rPr>
              <w:t>(as a proportion of all cases with a provisional diagnosis):</w:t>
            </w:r>
          </w:p>
          <w:p w14:paraId="2F12DC3A" w14:textId="77777777" w:rsidR="00B51828" w:rsidRPr="003E458A" w:rsidRDefault="00B51828" w:rsidP="00B51828">
            <w:pPr>
              <w:numPr>
                <w:ilvl w:val="0"/>
                <w:numId w:val="37"/>
              </w:numPr>
              <w:spacing w:before="20" w:after="20"/>
              <w:contextualSpacing/>
              <w:rPr>
                <w:rFonts w:ascii="Arial Narrow" w:hAnsi="Arial Narrow"/>
                <w:sz w:val="20"/>
                <w:szCs w:val="20"/>
              </w:rPr>
            </w:pPr>
            <w:r w:rsidRPr="003E458A">
              <w:rPr>
                <w:rFonts w:ascii="Arial Narrow" w:hAnsi="Arial Narrow"/>
                <w:sz w:val="20"/>
                <w:szCs w:val="20"/>
              </w:rPr>
              <w:t>Subtype alone</w:t>
            </w:r>
          </w:p>
          <w:p w14:paraId="01975E7D" w14:textId="77777777" w:rsidR="00B51828" w:rsidRPr="003E458A" w:rsidRDefault="00B51828" w:rsidP="00B51828">
            <w:pPr>
              <w:numPr>
                <w:ilvl w:val="0"/>
                <w:numId w:val="37"/>
              </w:numPr>
              <w:spacing w:before="20" w:after="20"/>
              <w:contextualSpacing/>
              <w:rPr>
                <w:rFonts w:ascii="Arial Narrow" w:hAnsi="Arial Narrow"/>
                <w:sz w:val="20"/>
                <w:szCs w:val="20"/>
              </w:rPr>
            </w:pPr>
            <w:r w:rsidRPr="003E458A">
              <w:rPr>
                <w:rFonts w:ascii="Arial Narrow" w:hAnsi="Arial Narrow"/>
                <w:sz w:val="20"/>
                <w:szCs w:val="20"/>
              </w:rPr>
              <w:t>Grade alone</w:t>
            </w:r>
          </w:p>
          <w:p w14:paraId="2710847A" w14:textId="77777777" w:rsidR="00B51828" w:rsidRPr="003E458A" w:rsidRDefault="00B51828" w:rsidP="00B51828">
            <w:pPr>
              <w:numPr>
                <w:ilvl w:val="0"/>
                <w:numId w:val="37"/>
              </w:numPr>
              <w:spacing w:before="20" w:after="20"/>
              <w:contextualSpacing/>
              <w:rPr>
                <w:rFonts w:ascii="Arial Narrow" w:hAnsi="Arial Narrow"/>
                <w:sz w:val="20"/>
                <w:szCs w:val="20"/>
              </w:rPr>
            </w:pPr>
            <w:r w:rsidRPr="003E458A">
              <w:rPr>
                <w:rFonts w:ascii="Arial Narrow" w:hAnsi="Arial Narrow"/>
                <w:sz w:val="20"/>
                <w:szCs w:val="20"/>
              </w:rPr>
              <w:t>Histological type alone</w:t>
            </w:r>
          </w:p>
          <w:p w14:paraId="3FB71676" w14:textId="77777777" w:rsidR="00B51828" w:rsidRPr="003E458A" w:rsidRDefault="00B51828" w:rsidP="00B51828">
            <w:pPr>
              <w:numPr>
                <w:ilvl w:val="0"/>
                <w:numId w:val="37"/>
              </w:numPr>
              <w:spacing w:before="20" w:after="20"/>
              <w:contextualSpacing/>
              <w:rPr>
                <w:rFonts w:ascii="Arial Narrow" w:hAnsi="Arial Narrow"/>
                <w:sz w:val="20"/>
                <w:szCs w:val="20"/>
              </w:rPr>
            </w:pPr>
            <w:r w:rsidRPr="003E458A">
              <w:rPr>
                <w:rFonts w:ascii="Arial Narrow" w:hAnsi="Arial Narrow"/>
                <w:sz w:val="20"/>
                <w:szCs w:val="20"/>
              </w:rPr>
              <w:t>Grade and subtype</w:t>
            </w:r>
          </w:p>
          <w:p w14:paraId="6DE57F8C" w14:textId="77777777" w:rsidR="00B51828" w:rsidRPr="00C20666" w:rsidRDefault="00B51828" w:rsidP="00B51828">
            <w:pPr>
              <w:numPr>
                <w:ilvl w:val="0"/>
                <w:numId w:val="37"/>
              </w:numPr>
              <w:spacing w:before="20" w:after="20"/>
              <w:contextualSpacing/>
              <w:rPr>
                <w:rFonts w:ascii="Arial Narrow" w:hAnsi="Arial Narrow"/>
                <w:sz w:val="20"/>
                <w:szCs w:val="20"/>
              </w:rPr>
            </w:pPr>
            <w:r w:rsidRPr="003E458A">
              <w:rPr>
                <w:rFonts w:ascii="Arial Narrow" w:hAnsi="Arial Narrow"/>
                <w:sz w:val="20"/>
                <w:szCs w:val="20"/>
              </w:rPr>
              <w:t>Grade and histological type</w:t>
            </w:r>
          </w:p>
        </w:tc>
        <w:tc>
          <w:tcPr>
            <w:tcW w:w="919" w:type="pct"/>
          </w:tcPr>
          <w:p w14:paraId="185B1BBE"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230/564 (40.8%)</w:t>
            </w:r>
          </w:p>
          <w:p w14:paraId="7A44017D"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263/564 (46.6%)</w:t>
            </w:r>
          </w:p>
          <w:p w14:paraId="1DFA24D4"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71/564 (12.6%)</w:t>
            </w:r>
          </w:p>
          <w:p w14:paraId="20639BC7" w14:textId="77777777" w:rsidR="00B51828" w:rsidRPr="003E458A" w:rsidRDefault="00B51828" w:rsidP="002101D2">
            <w:pPr>
              <w:spacing w:before="20" w:after="20"/>
              <w:ind w:left="0"/>
              <w:rPr>
                <w:rFonts w:ascii="Arial Narrow" w:hAnsi="Arial Narrow"/>
                <w:sz w:val="20"/>
                <w:szCs w:val="20"/>
              </w:rPr>
            </w:pPr>
          </w:p>
          <w:p w14:paraId="285BF511"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11/564 (2.0%)</w:t>
            </w:r>
          </w:p>
          <w:p w14:paraId="6AD5437F"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104/564 (18.4%)</w:t>
            </w:r>
          </w:p>
          <w:p w14:paraId="128B536E"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89/564 (15.8%)</w:t>
            </w:r>
          </w:p>
          <w:p w14:paraId="060C52D8"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114/564 (20.2%)</w:t>
            </w:r>
          </w:p>
          <w:p w14:paraId="21D2DE92" w14:textId="77777777" w:rsidR="00B51828" w:rsidRPr="00C20666" w:rsidRDefault="00B51828" w:rsidP="002101D2">
            <w:pPr>
              <w:spacing w:before="20" w:after="20"/>
              <w:ind w:left="0"/>
              <w:rPr>
                <w:rFonts w:ascii="Arial Narrow" w:hAnsi="Arial Narrow"/>
                <w:sz w:val="20"/>
                <w:szCs w:val="20"/>
              </w:rPr>
            </w:pPr>
            <w:r>
              <w:rPr>
                <w:rFonts w:ascii="Arial Narrow" w:hAnsi="Arial Narrow"/>
                <w:sz w:val="20"/>
                <w:szCs w:val="20"/>
              </w:rPr>
              <w:t>16/564 (2.8%)</w:t>
            </w:r>
          </w:p>
        </w:tc>
      </w:tr>
      <w:tr w:rsidR="00B51828" w:rsidRPr="003E458A" w14:paraId="2AF5D22D" w14:textId="77777777" w:rsidTr="002101D2">
        <w:trPr>
          <w:trHeight w:val="64"/>
        </w:trPr>
        <w:tc>
          <w:tcPr>
            <w:tcW w:w="917" w:type="pct"/>
            <w:shd w:val="clear" w:color="auto" w:fill="BFBFBF" w:themeFill="background1" w:themeFillShade="BF"/>
          </w:tcPr>
          <w:p w14:paraId="77F3620D"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DERMATOLOGY</w:t>
            </w:r>
          </w:p>
        </w:tc>
        <w:tc>
          <w:tcPr>
            <w:tcW w:w="868" w:type="pct"/>
            <w:shd w:val="clear" w:color="auto" w:fill="BFBFBF" w:themeFill="background1" w:themeFillShade="BF"/>
          </w:tcPr>
          <w:p w14:paraId="4F058E6C"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w:t>
            </w:r>
          </w:p>
        </w:tc>
        <w:tc>
          <w:tcPr>
            <w:tcW w:w="2296" w:type="pct"/>
            <w:shd w:val="clear" w:color="auto" w:fill="BFBFBF" w:themeFill="background1" w:themeFillShade="BF"/>
          </w:tcPr>
          <w:p w14:paraId="2335AF43"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w:t>
            </w:r>
          </w:p>
        </w:tc>
        <w:tc>
          <w:tcPr>
            <w:tcW w:w="919" w:type="pct"/>
            <w:shd w:val="clear" w:color="auto" w:fill="BFBFBF" w:themeFill="background1" w:themeFillShade="BF"/>
          </w:tcPr>
          <w:p w14:paraId="5D9151A3"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w:t>
            </w:r>
          </w:p>
        </w:tc>
      </w:tr>
      <w:tr w:rsidR="00B51828" w:rsidRPr="003E458A" w14:paraId="0AD206D5" w14:textId="77777777" w:rsidTr="002101D2">
        <w:trPr>
          <w:trHeight w:val="64"/>
        </w:trPr>
        <w:tc>
          <w:tcPr>
            <w:tcW w:w="917" w:type="pct"/>
          </w:tcPr>
          <w:p w14:paraId="338CDAC5"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Gaudi 2013</w:t>
            </w:r>
          </w:p>
        </w:tc>
        <w:tc>
          <w:tcPr>
            <w:tcW w:w="868" w:type="pct"/>
          </w:tcPr>
          <w:p w14:paraId="3DB189EA"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Dermatopathology</w:t>
            </w:r>
          </w:p>
          <w:p w14:paraId="5F04A162"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N=405 cases</w:t>
            </w:r>
            <w:r w:rsidRPr="003E458A">
              <w:rPr>
                <w:rFonts w:ascii="Arial Narrow" w:hAnsi="Arial Narrow"/>
                <w:sz w:val="20"/>
                <w:szCs w:val="20"/>
                <w:vertAlign w:val="superscript"/>
              </w:rPr>
              <w:t>g</w:t>
            </w:r>
          </w:p>
        </w:tc>
        <w:tc>
          <w:tcPr>
            <w:tcW w:w="2296" w:type="pct"/>
          </w:tcPr>
          <w:p w14:paraId="4FB02277"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Concordant with provisional diagnosis</w:t>
            </w:r>
          </w:p>
          <w:p w14:paraId="3326FE5B"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Discordant with provisional diagnosis</w:t>
            </w:r>
          </w:p>
          <w:p w14:paraId="79F8BBB4"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 xml:space="preserve">Different reporting styles </w:t>
            </w:r>
          </w:p>
        </w:tc>
        <w:tc>
          <w:tcPr>
            <w:tcW w:w="919" w:type="pct"/>
          </w:tcPr>
          <w:p w14:paraId="5645CFA4"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128/354 (36.2%)</w:t>
            </w:r>
          </w:p>
          <w:p w14:paraId="4F3BAC1B"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212/354 (59.9%)</w:t>
            </w:r>
          </w:p>
          <w:p w14:paraId="3F46665E"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14/354 (4.0%)</w:t>
            </w:r>
          </w:p>
        </w:tc>
      </w:tr>
      <w:tr w:rsidR="00B51828" w:rsidRPr="003E458A" w14:paraId="24B3F82E" w14:textId="77777777" w:rsidTr="002101D2">
        <w:tc>
          <w:tcPr>
            <w:tcW w:w="917" w:type="pct"/>
          </w:tcPr>
          <w:p w14:paraId="365CD553"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van Dijk 2008</w:t>
            </w:r>
          </w:p>
        </w:tc>
        <w:tc>
          <w:tcPr>
            <w:tcW w:w="868" w:type="pct"/>
          </w:tcPr>
          <w:p w14:paraId="2270909E"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Cutaneous melanocytic lesions</w:t>
            </w:r>
          </w:p>
          <w:p w14:paraId="5368D178"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N=1837</w:t>
            </w:r>
          </w:p>
        </w:tc>
        <w:tc>
          <w:tcPr>
            <w:tcW w:w="2296" w:type="pct"/>
          </w:tcPr>
          <w:p w14:paraId="7738BAC9"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Concordant with provisional diagnosis</w:t>
            </w:r>
          </w:p>
        </w:tc>
        <w:tc>
          <w:tcPr>
            <w:tcW w:w="919" w:type="pct"/>
          </w:tcPr>
          <w:p w14:paraId="5662BB30"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545/1217 (</w:t>
            </w:r>
            <w:r>
              <w:rPr>
                <w:rFonts w:ascii="Arial Narrow" w:hAnsi="Arial Narrow"/>
                <w:sz w:val="20"/>
                <w:szCs w:val="20"/>
              </w:rPr>
              <w:t>44.8</w:t>
            </w:r>
            <w:r w:rsidRPr="003E458A">
              <w:rPr>
                <w:rFonts w:ascii="Arial Narrow" w:hAnsi="Arial Narrow"/>
                <w:sz w:val="20"/>
                <w:szCs w:val="20"/>
              </w:rPr>
              <w:t>%)</w:t>
            </w:r>
            <w:r w:rsidRPr="003E458A">
              <w:rPr>
                <w:rFonts w:ascii="Arial Narrow" w:hAnsi="Arial Narrow"/>
                <w:sz w:val="20"/>
                <w:szCs w:val="20"/>
              </w:rPr>
              <w:tab/>
            </w:r>
          </w:p>
        </w:tc>
      </w:tr>
      <w:tr w:rsidR="00B51828" w:rsidRPr="003E458A" w14:paraId="4FECF0BD" w14:textId="77777777" w:rsidTr="002101D2">
        <w:tc>
          <w:tcPr>
            <w:tcW w:w="917" w:type="pct"/>
          </w:tcPr>
          <w:p w14:paraId="2744CB16"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Veenhuizen 1997</w:t>
            </w:r>
          </w:p>
        </w:tc>
        <w:tc>
          <w:tcPr>
            <w:tcW w:w="868" w:type="pct"/>
          </w:tcPr>
          <w:p w14:paraId="152FE4AF"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Skin lesions</w:t>
            </w:r>
          </w:p>
          <w:p w14:paraId="6964D14F"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N=1069</w:t>
            </w:r>
          </w:p>
        </w:tc>
        <w:tc>
          <w:tcPr>
            <w:tcW w:w="2296" w:type="pct"/>
          </w:tcPr>
          <w:p w14:paraId="5BBEA554"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Concordant with provisional diagnosis (based on diagnostic category)</w:t>
            </w:r>
            <w:r w:rsidRPr="003E458A">
              <w:rPr>
                <w:rFonts w:ascii="Arial Narrow" w:hAnsi="Arial Narrow"/>
                <w:sz w:val="20"/>
                <w:szCs w:val="20"/>
                <w:vertAlign w:val="superscript"/>
              </w:rPr>
              <w:t>h</w:t>
            </w:r>
          </w:p>
          <w:p w14:paraId="3BD97B5B" w14:textId="77777777" w:rsidR="00B51828" w:rsidRPr="003E458A" w:rsidRDefault="00B51828" w:rsidP="002101D2">
            <w:pPr>
              <w:spacing w:before="20" w:after="20"/>
              <w:ind w:left="0"/>
              <w:rPr>
                <w:rFonts w:ascii="Arial Narrow" w:hAnsi="Arial Narrow"/>
                <w:sz w:val="20"/>
                <w:szCs w:val="20"/>
                <w:vertAlign w:val="superscript"/>
              </w:rPr>
            </w:pPr>
            <w:r w:rsidRPr="003E458A">
              <w:rPr>
                <w:rFonts w:ascii="Arial Narrow" w:hAnsi="Arial Narrow"/>
                <w:sz w:val="20"/>
                <w:szCs w:val="20"/>
              </w:rPr>
              <w:t>Concordant with provisional/differential diagnosis (based on diagnostic category)</w:t>
            </w:r>
            <w:r w:rsidRPr="003E458A">
              <w:rPr>
                <w:rFonts w:ascii="Arial Narrow" w:hAnsi="Arial Narrow"/>
                <w:sz w:val="20"/>
                <w:szCs w:val="20"/>
                <w:vertAlign w:val="superscript"/>
              </w:rPr>
              <w:t>h</w:t>
            </w:r>
          </w:p>
        </w:tc>
        <w:tc>
          <w:tcPr>
            <w:tcW w:w="919" w:type="pct"/>
          </w:tcPr>
          <w:p w14:paraId="215E24DB" w14:textId="77777777" w:rsidR="00B51828" w:rsidRPr="003E458A" w:rsidRDefault="00B51828" w:rsidP="002101D2">
            <w:pPr>
              <w:spacing w:before="20" w:after="20"/>
              <w:ind w:left="0"/>
              <w:rPr>
                <w:rFonts w:ascii="Arial Narrow" w:hAnsi="Arial Narrow"/>
                <w:sz w:val="20"/>
                <w:szCs w:val="20"/>
              </w:rPr>
            </w:pPr>
            <w:r>
              <w:rPr>
                <w:rFonts w:ascii="Arial Narrow" w:hAnsi="Arial Narrow"/>
                <w:sz w:val="20"/>
                <w:szCs w:val="20"/>
              </w:rPr>
              <w:t>554/848 (65.3%)</w:t>
            </w:r>
          </w:p>
          <w:p w14:paraId="33B8B462"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559/979 (57.1%)</w:t>
            </w:r>
          </w:p>
        </w:tc>
      </w:tr>
      <w:tr w:rsidR="00B51828" w:rsidRPr="003E458A" w14:paraId="5F744280" w14:textId="77777777" w:rsidTr="002101D2">
        <w:trPr>
          <w:trHeight w:val="64"/>
        </w:trPr>
        <w:tc>
          <w:tcPr>
            <w:tcW w:w="917" w:type="pct"/>
            <w:shd w:val="clear" w:color="auto" w:fill="BFBFBF" w:themeFill="background1" w:themeFillShade="BF"/>
          </w:tcPr>
          <w:p w14:paraId="4FDC5408"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ORAL AND MAXILLOFACIAL</w:t>
            </w:r>
          </w:p>
        </w:tc>
        <w:tc>
          <w:tcPr>
            <w:tcW w:w="868" w:type="pct"/>
            <w:shd w:val="clear" w:color="auto" w:fill="BFBFBF" w:themeFill="background1" w:themeFillShade="BF"/>
          </w:tcPr>
          <w:p w14:paraId="52909AC9"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w:t>
            </w:r>
          </w:p>
        </w:tc>
        <w:tc>
          <w:tcPr>
            <w:tcW w:w="2296" w:type="pct"/>
            <w:shd w:val="clear" w:color="auto" w:fill="BFBFBF" w:themeFill="background1" w:themeFillShade="BF"/>
          </w:tcPr>
          <w:p w14:paraId="108EEFBB"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w:t>
            </w:r>
          </w:p>
        </w:tc>
        <w:tc>
          <w:tcPr>
            <w:tcW w:w="919" w:type="pct"/>
            <w:shd w:val="clear" w:color="auto" w:fill="BFBFBF" w:themeFill="background1" w:themeFillShade="BF"/>
          </w:tcPr>
          <w:p w14:paraId="568FA330"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w:t>
            </w:r>
          </w:p>
        </w:tc>
      </w:tr>
      <w:tr w:rsidR="00B51828" w:rsidRPr="003E458A" w14:paraId="682871B7" w14:textId="77777777" w:rsidTr="002101D2">
        <w:trPr>
          <w:trHeight w:val="64"/>
        </w:trPr>
        <w:tc>
          <w:tcPr>
            <w:tcW w:w="917" w:type="pct"/>
          </w:tcPr>
          <w:p w14:paraId="0A280F15"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Jones 2010</w:t>
            </w:r>
          </w:p>
        </w:tc>
        <w:tc>
          <w:tcPr>
            <w:tcW w:w="868" w:type="pct"/>
          </w:tcPr>
          <w:p w14:paraId="3DD73F4B"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Oral and maxillofacial pathology</w:t>
            </w:r>
          </w:p>
          <w:p w14:paraId="05A3EF99"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N=142 cases</w:t>
            </w:r>
          </w:p>
        </w:tc>
        <w:tc>
          <w:tcPr>
            <w:tcW w:w="2296" w:type="pct"/>
          </w:tcPr>
          <w:p w14:paraId="7D2B81C4"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Concordant with provisional diagnosis</w:t>
            </w:r>
          </w:p>
        </w:tc>
        <w:tc>
          <w:tcPr>
            <w:tcW w:w="919" w:type="pct"/>
          </w:tcPr>
          <w:p w14:paraId="091E3D75" w14:textId="77777777" w:rsidR="00B51828" w:rsidRPr="003E458A" w:rsidRDefault="00B51828" w:rsidP="002101D2">
            <w:pPr>
              <w:keepNext/>
              <w:spacing w:before="20" w:after="20"/>
              <w:ind w:left="0"/>
              <w:rPr>
                <w:rFonts w:ascii="Arial Narrow" w:hAnsi="Arial Narrow"/>
                <w:sz w:val="20"/>
                <w:szCs w:val="20"/>
              </w:rPr>
            </w:pPr>
            <w:r w:rsidRPr="003E458A">
              <w:rPr>
                <w:rFonts w:ascii="Arial Narrow" w:hAnsi="Arial Narrow"/>
                <w:sz w:val="20"/>
                <w:szCs w:val="20"/>
              </w:rPr>
              <w:t>89/135 (65.9%)</w:t>
            </w:r>
          </w:p>
        </w:tc>
      </w:tr>
      <w:tr w:rsidR="00B51828" w:rsidRPr="003E458A" w14:paraId="54B29D5C" w14:textId="77777777" w:rsidTr="002101D2">
        <w:trPr>
          <w:trHeight w:val="64"/>
        </w:trPr>
        <w:tc>
          <w:tcPr>
            <w:tcW w:w="917" w:type="pct"/>
            <w:shd w:val="clear" w:color="auto" w:fill="BFBFBF" w:themeFill="background1" w:themeFillShade="BF"/>
          </w:tcPr>
          <w:p w14:paraId="729F6CDE"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LUNG</w:t>
            </w:r>
          </w:p>
        </w:tc>
        <w:tc>
          <w:tcPr>
            <w:tcW w:w="868" w:type="pct"/>
            <w:shd w:val="clear" w:color="auto" w:fill="BFBFBF" w:themeFill="background1" w:themeFillShade="BF"/>
          </w:tcPr>
          <w:p w14:paraId="6920765C"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c>
          <w:tcPr>
            <w:tcW w:w="2296" w:type="pct"/>
            <w:shd w:val="clear" w:color="auto" w:fill="BFBFBF" w:themeFill="background1" w:themeFillShade="BF"/>
          </w:tcPr>
          <w:p w14:paraId="1D698F0D"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c>
          <w:tcPr>
            <w:tcW w:w="919" w:type="pct"/>
            <w:shd w:val="clear" w:color="auto" w:fill="BFBFBF" w:themeFill="background1" w:themeFillShade="BF"/>
          </w:tcPr>
          <w:p w14:paraId="75A1A136"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w:t>
            </w:r>
          </w:p>
        </w:tc>
      </w:tr>
      <w:tr w:rsidR="00B51828" w:rsidRPr="003E458A" w14:paraId="35FC65BD" w14:textId="77777777" w:rsidTr="002101D2">
        <w:tc>
          <w:tcPr>
            <w:tcW w:w="917" w:type="pct"/>
          </w:tcPr>
          <w:p w14:paraId="634BBF4A"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lastRenderedPageBreak/>
              <w:t>Hutton Klein 2010</w:t>
            </w:r>
          </w:p>
        </w:tc>
        <w:tc>
          <w:tcPr>
            <w:tcW w:w="868" w:type="pct"/>
          </w:tcPr>
          <w:p w14:paraId="6BF67729"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Granulomatous or giant cell reactions in the lung</w:t>
            </w:r>
          </w:p>
          <w:p w14:paraId="694654B5" w14:textId="77777777" w:rsidR="00B51828" w:rsidRPr="003E458A" w:rsidRDefault="00B51828" w:rsidP="002101D2">
            <w:pPr>
              <w:spacing w:before="20" w:after="20"/>
              <w:ind w:left="0"/>
              <w:rPr>
                <w:rFonts w:ascii="Arial Narrow" w:hAnsi="Arial Narrow"/>
                <w:sz w:val="20"/>
                <w:szCs w:val="20"/>
                <w:vertAlign w:val="superscript"/>
              </w:rPr>
            </w:pPr>
            <w:r w:rsidRPr="003E458A">
              <w:rPr>
                <w:rFonts w:ascii="Arial Narrow" w:hAnsi="Arial Narrow"/>
                <w:sz w:val="20"/>
                <w:szCs w:val="20"/>
              </w:rPr>
              <w:t>N=100 cases</w:t>
            </w:r>
            <w:r w:rsidRPr="003E458A">
              <w:rPr>
                <w:rFonts w:ascii="Arial Narrow" w:hAnsi="Arial Narrow"/>
                <w:sz w:val="20"/>
                <w:szCs w:val="20"/>
                <w:vertAlign w:val="superscript"/>
              </w:rPr>
              <w:t>i</w:t>
            </w:r>
          </w:p>
        </w:tc>
        <w:tc>
          <w:tcPr>
            <w:tcW w:w="2296" w:type="pct"/>
          </w:tcPr>
          <w:p w14:paraId="4A2C847C"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Concordant with provisional diagnosis</w:t>
            </w:r>
            <w:r>
              <w:rPr>
                <w:rFonts w:ascii="Arial Narrow" w:hAnsi="Arial Narrow"/>
                <w:sz w:val="20"/>
                <w:szCs w:val="20"/>
              </w:rPr>
              <w:t xml:space="preserve"> – pathologist-initiated cases only</w:t>
            </w:r>
          </w:p>
          <w:p w14:paraId="28E375FF" w14:textId="77777777" w:rsidR="00B51828" w:rsidRPr="0033787B" w:rsidRDefault="00B51828" w:rsidP="002101D2">
            <w:pPr>
              <w:spacing w:before="20" w:after="20"/>
              <w:ind w:left="0"/>
              <w:rPr>
                <w:rFonts w:ascii="Arial Narrow" w:hAnsi="Arial Narrow"/>
                <w:sz w:val="20"/>
                <w:szCs w:val="20"/>
              </w:rPr>
            </w:pPr>
            <w:r w:rsidRPr="003E458A">
              <w:rPr>
                <w:rFonts w:ascii="Arial Narrow" w:hAnsi="Arial Narrow"/>
                <w:sz w:val="20"/>
                <w:szCs w:val="20"/>
              </w:rPr>
              <w:t>Discordant</w:t>
            </w:r>
            <w:r>
              <w:rPr>
                <w:rFonts w:ascii="Arial Narrow" w:hAnsi="Arial Narrow"/>
                <w:sz w:val="20"/>
                <w:szCs w:val="20"/>
                <w:vertAlign w:val="superscript"/>
              </w:rPr>
              <w:t>j</w:t>
            </w:r>
            <w:r w:rsidRPr="003E458A">
              <w:rPr>
                <w:rFonts w:ascii="Arial Narrow" w:hAnsi="Arial Narrow"/>
                <w:sz w:val="20"/>
                <w:szCs w:val="20"/>
              </w:rPr>
              <w:t xml:space="preserve"> with provisi</w:t>
            </w:r>
            <w:r>
              <w:rPr>
                <w:rFonts w:ascii="Arial Narrow" w:hAnsi="Arial Narrow"/>
                <w:sz w:val="20"/>
                <w:szCs w:val="20"/>
              </w:rPr>
              <w:t>onal diagnosis – pathologist-initiated cases only</w:t>
            </w:r>
          </w:p>
        </w:tc>
        <w:tc>
          <w:tcPr>
            <w:tcW w:w="919" w:type="pct"/>
          </w:tcPr>
          <w:p w14:paraId="39326F29"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7/55 (12.7%)</w:t>
            </w:r>
          </w:p>
          <w:p w14:paraId="5EDF4239" w14:textId="77777777" w:rsidR="00B51828" w:rsidRPr="003E458A" w:rsidRDefault="00B51828" w:rsidP="002101D2">
            <w:pPr>
              <w:spacing w:before="20" w:after="20"/>
              <w:ind w:left="0"/>
              <w:rPr>
                <w:rFonts w:ascii="Arial Narrow" w:hAnsi="Arial Narrow"/>
                <w:sz w:val="20"/>
                <w:szCs w:val="20"/>
              </w:rPr>
            </w:pPr>
            <w:r w:rsidRPr="003E458A">
              <w:rPr>
                <w:rFonts w:ascii="Arial Narrow" w:hAnsi="Arial Narrow"/>
                <w:sz w:val="20"/>
                <w:szCs w:val="20"/>
              </w:rPr>
              <w:t>48/55 (87.3%)</w:t>
            </w:r>
          </w:p>
        </w:tc>
      </w:tr>
    </w:tbl>
    <w:p w14:paraId="2ED7E61E" w14:textId="77777777" w:rsidR="00B51828" w:rsidRPr="003E458A" w:rsidRDefault="00B51828" w:rsidP="002101D2">
      <w:pPr>
        <w:spacing w:after="0" w:line="259" w:lineRule="auto"/>
        <w:ind w:left="0"/>
        <w:rPr>
          <w:rFonts w:ascii="Arial Narrow" w:hAnsi="Arial Narrow"/>
          <w:sz w:val="16"/>
          <w:szCs w:val="16"/>
        </w:rPr>
      </w:pPr>
      <w:r w:rsidRPr="003E458A">
        <w:rPr>
          <w:rFonts w:ascii="Arial Narrow" w:hAnsi="Arial Narrow"/>
          <w:sz w:val="16"/>
          <w:szCs w:val="16"/>
        </w:rPr>
        <w:t>Abbreviations: SO, second opinion.</w:t>
      </w:r>
    </w:p>
    <w:p w14:paraId="2BA3DA4D" w14:textId="77777777" w:rsidR="00B51828" w:rsidRPr="003E458A" w:rsidRDefault="00B51828" w:rsidP="002101D2">
      <w:pPr>
        <w:spacing w:after="0" w:line="259" w:lineRule="auto"/>
        <w:ind w:left="0"/>
        <w:rPr>
          <w:rFonts w:ascii="Arial Narrow" w:hAnsi="Arial Narrow"/>
          <w:sz w:val="16"/>
          <w:szCs w:val="16"/>
        </w:rPr>
      </w:pPr>
      <w:r w:rsidRPr="003E458A">
        <w:rPr>
          <w:rFonts w:ascii="Arial Narrow" w:hAnsi="Arial Narrow"/>
          <w:sz w:val="16"/>
          <w:szCs w:val="16"/>
          <w:vertAlign w:val="superscript"/>
        </w:rPr>
        <w:t xml:space="preserve">a </w:t>
      </w:r>
      <w:r w:rsidRPr="003E458A">
        <w:rPr>
          <w:rFonts w:ascii="Arial Narrow" w:hAnsi="Arial Narrow"/>
          <w:sz w:val="16"/>
          <w:szCs w:val="16"/>
        </w:rPr>
        <w:t xml:space="preserve">Details of the initial pathology opinion were available in 116 cases (i.e. cases for which the original referring Consultant’s referral letter was found). </w:t>
      </w:r>
    </w:p>
    <w:p w14:paraId="47FA87CD" w14:textId="77777777" w:rsidR="00B51828" w:rsidRPr="003E458A" w:rsidRDefault="00B51828" w:rsidP="002101D2">
      <w:pPr>
        <w:spacing w:after="0" w:line="259" w:lineRule="auto"/>
        <w:ind w:left="0"/>
        <w:rPr>
          <w:rFonts w:ascii="Arial Narrow" w:hAnsi="Arial Narrow"/>
          <w:sz w:val="16"/>
          <w:szCs w:val="16"/>
        </w:rPr>
      </w:pPr>
      <w:r w:rsidRPr="003E458A">
        <w:rPr>
          <w:rFonts w:ascii="Arial Narrow" w:hAnsi="Arial Narrow"/>
          <w:sz w:val="16"/>
          <w:szCs w:val="16"/>
          <w:vertAlign w:val="superscript"/>
        </w:rPr>
        <w:t>b</w:t>
      </w:r>
      <w:r w:rsidRPr="003E458A">
        <w:rPr>
          <w:rFonts w:ascii="Arial Narrow" w:hAnsi="Arial Narrow"/>
          <w:sz w:val="16"/>
          <w:szCs w:val="16"/>
        </w:rPr>
        <w:t xml:space="preserve"> Of the total cases received for consultation, 1863 had a single tentative diagnosis (i.e. not a differential diagnosis or no initial diagnosis). Of those 1863 cases, 1670 had a ‘specific’ tentative diagnosis (i.e. precise terminology, including an indication of benignancy or malignancy).</w:t>
      </w:r>
    </w:p>
    <w:p w14:paraId="7138966A" w14:textId="77777777" w:rsidR="00B51828" w:rsidRPr="003E458A" w:rsidRDefault="00B51828" w:rsidP="002101D2">
      <w:pPr>
        <w:spacing w:after="0" w:line="259" w:lineRule="auto"/>
        <w:ind w:left="0"/>
        <w:rPr>
          <w:rFonts w:ascii="Arial Narrow" w:hAnsi="Arial Narrow"/>
          <w:sz w:val="16"/>
          <w:szCs w:val="16"/>
        </w:rPr>
      </w:pPr>
      <w:r w:rsidRPr="003E458A">
        <w:rPr>
          <w:rFonts w:ascii="Arial Narrow" w:hAnsi="Arial Narrow"/>
          <w:sz w:val="16"/>
          <w:szCs w:val="16"/>
          <w:vertAlign w:val="superscript"/>
        </w:rPr>
        <w:t xml:space="preserve">c </w:t>
      </w:r>
      <w:r w:rsidRPr="003E458A">
        <w:rPr>
          <w:rFonts w:ascii="Arial Narrow" w:hAnsi="Arial Narrow"/>
          <w:sz w:val="16"/>
          <w:szCs w:val="16"/>
        </w:rPr>
        <w:t>The study included a total of 1463 cases: 564 cases were initially examined by a ‘non-expert’ pathologist who requested a second opinion to confirm the diagnosis; 899 cases were initially examined by a ‘non-expert’ pathologist who did not request confirmation of the diagnosis. The study referred to the latter group as the ‘systematic review’ or ‘control’ group.</w:t>
      </w:r>
    </w:p>
    <w:p w14:paraId="22EF63A2" w14:textId="77777777" w:rsidR="00B51828" w:rsidRPr="003E458A" w:rsidRDefault="00B51828" w:rsidP="002101D2">
      <w:pPr>
        <w:spacing w:after="0" w:line="259" w:lineRule="auto"/>
        <w:ind w:left="0"/>
        <w:rPr>
          <w:rFonts w:ascii="Arial Narrow" w:hAnsi="Arial Narrow"/>
          <w:sz w:val="16"/>
          <w:szCs w:val="16"/>
        </w:rPr>
      </w:pPr>
      <w:r w:rsidRPr="003E458A">
        <w:rPr>
          <w:rFonts w:ascii="Arial Narrow" w:hAnsi="Arial Narrow"/>
          <w:sz w:val="16"/>
          <w:szCs w:val="16"/>
          <w:vertAlign w:val="superscript"/>
        </w:rPr>
        <w:t xml:space="preserve">d </w:t>
      </w:r>
      <w:r w:rsidRPr="003E458A">
        <w:rPr>
          <w:rFonts w:ascii="Arial Narrow" w:hAnsi="Arial Narrow"/>
          <w:sz w:val="16"/>
          <w:szCs w:val="16"/>
        </w:rPr>
        <w:t xml:space="preserve">Identical diagnosis of connective tumour but different grade or histological subtype. </w:t>
      </w:r>
    </w:p>
    <w:p w14:paraId="54CE12E5" w14:textId="77777777" w:rsidR="00B51828" w:rsidRPr="003E458A" w:rsidRDefault="00B51828" w:rsidP="002101D2">
      <w:pPr>
        <w:tabs>
          <w:tab w:val="left" w:pos="990"/>
        </w:tabs>
        <w:spacing w:after="0" w:line="259" w:lineRule="auto"/>
        <w:ind w:left="0"/>
        <w:rPr>
          <w:rFonts w:ascii="Arial Narrow" w:hAnsi="Arial Narrow"/>
          <w:sz w:val="16"/>
          <w:szCs w:val="16"/>
        </w:rPr>
      </w:pPr>
      <w:r w:rsidRPr="003E458A">
        <w:rPr>
          <w:rFonts w:ascii="Arial Narrow" w:hAnsi="Arial Narrow"/>
          <w:sz w:val="16"/>
          <w:szCs w:val="16"/>
          <w:vertAlign w:val="superscript"/>
        </w:rPr>
        <w:t>e</w:t>
      </w:r>
      <w:r w:rsidRPr="003E458A">
        <w:rPr>
          <w:rFonts w:ascii="Arial Narrow" w:hAnsi="Arial Narrow"/>
          <w:sz w:val="16"/>
          <w:szCs w:val="16"/>
        </w:rPr>
        <w:t xml:space="preserve"> Change in benign versus malignant, different histological type or invalidation of the diagnosis of sarcoma.</w:t>
      </w:r>
    </w:p>
    <w:p w14:paraId="00B7BB41" w14:textId="77777777" w:rsidR="00B51828" w:rsidRPr="003E458A" w:rsidRDefault="00B51828" w:rsidP="002101D2">
      <w:pPr>
        <w:tabs>
          <w:tab w:val="left" w:pos="990"/>
        </w:tabs>
        <w:spacing w:after="0" w:line="259" w:lineRule="auto"/>
        <w:ind w:left="0"/>
        <w:rPr>
          <w:rFonts w:ascii="Arial Narrow" w:hAnsi="Arial Narrow"/>
          <w:sz w:val="16"/>
          <w:szCs w:val="16"/>
        </w:rPr>
      </w:pPr>
      <w:r w:rsidRPr="003E458A">
        <w:rPr>
          <w:rFonts w:ascii="Arial Narrow" w:hAnsi="Arial Narrow"/>
          <w:sz w:val="16"/>
          <w:szCs w:val="16"/>
          <w:vertAlign w:val="superscript"/>
        </w:rPr>
        <w:t xml:space="preserve">f </w:t>
      </w:r>
      <w:r w:rsidRPr="003E458A">
        <w:rPr>
          <w:rFonts w:ascii="Arial Narrow" w:hAnsi="Arial Narrow"/>
          <w:sz w:val="16"/>
          <w:szCs w:val="16"/>
        </w:rPr>
        <w:t>Breakdown includes all discordant cases, including 263 partially concordant cases and 71 completely discordant cases.</w:t>
      </w:r>
    </w:p>
    <w:p w14:paraId="23975AD9" w14:textId="77777777" w:rsidR="00B51828" w:rsidRPr="003E458A" w:rsidRDefault="00B51828" w:rsidP="002101D2">
      <w:pPr>
        <w:spacing w:after="0" w:line="259" w:lineRule="auto"/>
        <w:ind w:left="0"/>
        <w:rPr>
          <w:rFonts w:ascii="Arial Narrow" w:hAnsi="Arial Narrow"/>
          <w:sz w:val="16"/>
          <w:szCs w:val="16"/>
        </w:rPr>
      </w:pPr>
      <w:r w:rsidRPr="003E458A">
        <w:rPr>
          <w:rFonts w:ascii="Arial Narrow" w:hAnsi="Arial Narrow"/>
          <w:sz w:val="16"/>
          <w:szCs w:val="16"/>
          <w:vertAlign w:val="superscript"/>
        </w:rPr>
        <w:t xml:space="preserve">g </w:t>
      </w:r>
      <w:r w:rsidRPr="003E458A">
        <w:rPr>
          <w:rFonts w:ascii="Arial Narrow" w:hAnsi="Arial Narrow"/>
          <w:sz w:val="16"/>
          <w:szCs w:val="16"/>
        </w:rPr>
        <w:t xml:space="preserve">404 out of 405 cases were relevant expert opinion cases, in which an outside pathologist sought an expert opinion. One case was a mandatory second review case, in which an expert opinion was required prior to definitive medical or surgical treatment. </w:t>
      </w:r>
    </w:p>
    <w:p w14:paraId="0084ED16" w14:textId="77777777" w:rsidR="00B51828" w:rsidRPr="003E458A" w:rsidRDefault="00B51828" w:rsidP="002101D2">
      <w:pPr>
        <w:tabs>
          <w:tab w:val="left" w:pos="990"/>
        </w:tabs>
        <w:spacing w:after="0" w:line="259" w:lineRule="auto"/>
        <w:ind w:left="0"/>
        <w:rPr>
          <w:rFonts w:ascii="Arial Narrow" w:hAnsi="Arial Narrow"/>
          <w:sz w:val="16"/>
          <w:szCs w:val="16"/>
        </w:rPr>
      </w:pPr>
      <w:r w:rsidRPr="003E458A">
        <w:rPr>
          <w:rFonts w:ascii="Arial Narrow" w:hAnsi="Arial Narrow"/>
          <w:sz w:val="16"/>
          <w:szCs w:val="16"/>
          <w:vertAlign w:val="superscript"/>
        </w:rPr>
        <w:t>h</w:t>
      </w:r>
      <w:r>
        <w:rPr>
          <w:rFonts w:ascii="Arial Narrow" w:hAnsi="Arial Narrow"/>
          <w:sz w:val="16"/>
          <w:szCs w:val="16"/>
          <w:vertAlign w:val="superscript"/>
        </w:rPr>
        <w:t xml:space="preserve"> </w:t>
      </w:r>
      <w:r w:rsidRPr="003E458A">
        <w:rPr>
          <w:rFonts w:ascii="Arial Narrow" w:hAnsi="Arial Narrow"/>
          <w:sz w:val="16"/>
          <w:szCs w:val="16"/>
        </w:rPr>
        <w:t xml:space="preserve">The paper summarised concordance based on specific diagnosis and also broader diagnostic categories. Results presented above are based on concordance within the broader diagnostic categories which included: (i) invasive melanoma; (ii) suspected melanoma; (iii) differential diagnosis; (iv) benign (common acquired naevus, Spitz naevus, other special types of naevus), dysplastic naevus or melanoma </w:t>
      </w:r>
      <w:r w:rsidRPr="003E458A">
        <w:rPr>
          <w:rFonts w:ascii="Arial Narrow" w:hAnsi="Arial Narrow"/>
          <w:i/>
          <w:sz w:val="16"/>
          <w:szCs w:val="16"/>
        </w:rPr>
        <w:t>in situ</w:t>
      </w:r>
      <w:r w:rsidRPr="003E458A">
        <w:rPr>
          <w:rFonts w:ascii="Arial Narrow" w:hAnsi="Arial Narrow"/>
          <w:sz w:val="16"/>
          <w:szCs w:val="16"/>
        </w:rPr>
        <w:t xml:space="preserve">; and (v) Other. This outcome was not reported in the paper but was calculated using information in Tables III and IV, pg. 269-70. </w:t>
      </w:r>
    </w:p>
    <w:p w14:paraId="06881117" w14:textId="77777777" w:rsidR="00B51828" w:rsidRDefault="00B51828" w:rsidP="002101D2">
      <w:pPr>
        <w:tabs>
          <w:tab w:val="left" w:pos="990"/>
        </w:tabs>
        <w:spacing w:after="0" w:line="259" w:lineRule="auto"/>
        <w:ind w:left="0"/>
        <w:rPr>
          <w:rFonts w:ascii="Arial Narrow" w:hAnsi="Arial Narrow"/>
          <w:sz w:val="16"/>
          <w:szCs w:val="16"/>
        </w:rPr>
      </w:pPr>
      <w:r w:rsidRPr="003E458A">
        <w:rPr>
          <w:rFonts w:ascii="Arial Narrow" w:hAnsi="Arial Narrow"/>
          <w:sz w:val="16"/>
          <w:szCs w:val="16"/>
          <w:vertAlign w:val="superscript"/>
        </w:rPr>
        <w:t>i</w:t>
      </w:r>
      <w:r w:rsidRPr="003E458A">
        <w:rPr>
          <w:rFonts w:ascii="Arial Narrow" w:hAnsi="Arial Narrow"/>
          <w:sz w:val="16"/>
          <w:szCs w:val="16"/>
        </w:rPr>
        <w:t xml:space="preserve"> The study included a total of 100 cases: 80 requests for expert opinion were initiated by the pathologist; 20 expert opinion requests were initiated by the clinician.</w:t>
      </w:r>
    </w:p>
    <w:p w14:paraId="2D046202" w14:textId="77777777" w:rsidR="00B51828" w:rsidRPr="00BB6DC1" w:rsidRDefault="00B51828" w:rsidP="002101D2">
      <w:pPr>
        <w:tabs>
          <w:tab w:val="left" w:pos="990"/>
        </w:tabs>
        <w:spacing w:after="0" w:line="259" w:lineRule="auto"/>
        <w:ind w:left="0"/>
        <w:rPr>
          <w:rFonts w:ascii="Arial Narrow" w:hAnsi="Arial Narrow"/>
          <w:sz w:val="16"/>
          <w:szCs w:val="16"/>
        </w:rPr>
      </w:pPr>
      <w:r>
        <w:rPr>
          <w:rFonts w:ascii="Arial Narrow" w:hAnsi="Arial Narrow"/>
          <w:sz w:val="16"/>
          <w:szCs w:val="16"/>
          <w:vertAlign w:val="superscript"/>
        </w:rPr>
        <w:t>j</w:t>
      </w:r>
      <w:r>
        <w:rPr>
          <w:rFonts w:ascii="Arial Narrow" w:hAnsi="Arial Narrow"/>
          <w:sz w:val="16"/>
          <w:szCs w:val="16"/>
        </w:rPr>
        <w:t xml:space="preserve"> </w:t>
      </w:r>
      <w:r w:rsidRPr="00523376">
        <w:rPr>
          <w:rFonts w:ascii="Arial Narrow" w:hAnsi="Arial Narrow"/>
          <w:sz w:val="16"/>
          <w:szCs w:val="16"/>
        </w:rPr>
        <w:t>Refers to a disagreement between the expert and outside pathologists’ diagnoses. Discordance refers to outright disagreement, a narrowing of the differential diagnosis to one being strongly favoured by the expert, or the differential diagnosis being expanded by the expert.</w:t>
      </w:r>
    </w:p>
    <w:p w14:paraId="1C30A85D" w14:textId="77777777" w:rsidR="00B51828" w:rsidRDefault="00B51828">
      <w:pPr>
        <w:spacing w:after="160" w:line="259" w:lineRule="auto"/>
        <w:ind w:left="0"/>
        <w:rPr>
          <w:rFonts w:ascii="Arial Narrow" w:hAnsi="Arial Narrow"/>
          <w:b/>
          <w:iCs/>
          <w:sz w:val="20"/>
          <w:szCs w:val="18"/>
        </w:rPr>
      </w:pPr>
      <w:bookmarkStart w:id="154" w:name="_Ref395196661"/>
      <w:bookmarkStart w:id="155" w:name="_Toc395280223"/>
      <w:r>
        <w:br w:type="page"/>
      </w:r>
    </w:p>
    <w:p w14:paraId="11B7A81E" w14:textId="77777777" w:rsidR="00B51828" w:rsidRDefault="00B51828" w:rsidP="002101D2">
      <w:pPr>
        <w:pStyle w:val="Caption"/>
        <w:ind w:left="1406" w:hanging="1406"/>
      </w:pPr>
      <w:bookmarkStart w:id="156" w:name="_Ref395343639"/>
      <w:bookmarkStart w:id="157" w:name="_Toc396211747"/>
      <w:bookmarkEnd w:id="154"/>
      <w:r>
        <w:lastRenderedPageBreak/>
        <w:t xml:space="preserve">Table </w:t>
      </w:r>
      <w:fldSimple w:instr=" STYLEREF 2 \s ">
        <w:r w:rsidR="0044620B">
          <w:rPr>
            <w:noProof/>
          </w:rPr>
          <w:t>B.6</w:t>
        </w:r>
      </w:fldSimple>
      <w:r>
        <w:noBreakHyphen/>
      </w:r>
      <w:r w:rsidR="0044620B">
        <w:fldChar w:fldCharType="begin"/>
      </w:r>
      <w:r w:rsidR="0044620B">
        <w:instrText xml:space="preserve"> SEQ Table \* ARABIC \s 2 </w:instrText>
      </w:r>
      <w:r w:rsidR="0044620B">
        <w:fldChar w:fldCharType="separate"/>
      </w:r>
      <w:r w:rsidR="0044620B">
        <w:rPr>
          <w:noProof/>
        </w:rPr>
        <w:t>4</w:t>
      </w:r>
      <w:r w:rsidR="0044620B">
        <w:rPr>
          <w:noProof/>
        </w:rPr>
        <w:fldChar w:fldCharType="end"/>
      </w:r>
      <w:bookmarkEnd w:id="156"/>
      <w:r>
        <w:tab/>
        <w:t xml:space="preserve">Diagnostic accuracy: level of concordance and/or discordance between initial and expert pathology opinion – </w:t>
      </w:r>
      <w:r w:rsidRPr="004A60EE">
        <w:rPr>
          <w:i/>
        </w:rPr>
        <w:t>Scenario 2</w:t>
      </w:r>
      <w:bookmarkEnd w:id="155"/>
      <w:r>
        <w:rPr>
          <w:i/>
        </w:rPr>
        <w:t xml:space="preserve"> studies</w:t>
      </w:r>
      <w:bookmarkEnd w:id="157"/>
    </w:p>
    <w:tbl>
      <w:tblPr>
        <w:tblStyle w:val="TableGrid3"/>
        <w:tblW w:w="5000" w:type="pct"/>
        <w:tblCellMar>
          <w:left w:w="57" w:type="dxa"/>
          <w:right w:w="57" w:type="dxa"/>
        </w:tblCellMar>
        <w:tblLook w:val="04A0" w:firstRow="1" w:lastRow="0" w:firstColumn="1" w:lastColumn="0" w:noHBand="0" w:noVBand="1"/>
        <w:tblCaption w:val="Diagnostic accuracy results in Scenario 2 studies"/>
        <w:tblDescription w:val="Diagnostic accuracy described as level of concordance and/or discordance between initial and expert pathology opinion – Scenario 2 studies"/>
      </w:tblPr>
      <w:tblGrid>
        <w:gridCol w:w="2580"/>
        <w:gridCol w:w="3448"/>
        <w:gridCol w:w="5314"/>
        <w:gridCol w:w="2730"/>
      </w:tblGrid>
      <w:tr w:rsidR="00B51828" w:rsidRPr="00523376" w14:paraId="2FEDBC0A" w14:textId="77777777" w:rsidTr="002101D2">
        <w:trPr>
          <w:tblHeader/>
        </w:trPr>
        <w:tc>
          <w:tcPr>
            <w:tcW w:w="917" w:type="pct"/>
          </w:tcPr>
          <w:p w14:paraId="4DB94071" w14:textId="77777777" w:rsidR="00B51828" w:rsidRPr="00523376" w:rsidRDefault="00B51828" w:rsidP="002101D2">
            <w:pPr>
              <w:spacing w:before="20" w:after="20"/>
              <w:ind w:left="0"/>
              <w:rPr>
                <w:rFonts w:ascii="Arial Narrow" w:hAnsi="Arial Narrow"/>
                <w:b/>
                <w:sz w:val="20"/>
                <w:szCs w:val="20"/>
              </w:rPr>
            </w:pPr>
            <w:r w:rsidRPr="00523376">
              <w:rPr>
                <w:rFonts w:ascii="Arial Narrow" w:hAnsi="Arial Narrow"/>
                <w:b/>
                <w:sz w:val="20"/>
                <w:szCs w:val="20"/>
              </w:rPr>
              <w:t>Study ID</w:t>
            </w:r>
          </w:p>
        </w:tc>
        <w:tc>
          <w:tcPr>
            <w:tcW w:w="1225" w:type="pct"/>
          </w:tcPr>
          <w:p w14:paraId="56EA1C12" w14:textId="77777777" w:rsidR="00B51828" w:rsidRPr="00523376" w:rsidRDefault="00B51828" w:rsidP="002101D2">
            <w:pPr>
              <w:spacing w:before="20" w:after="20"/>
              <w:ind w:left="0"/>
              <w:rPr>
                <w:rFonts w:ascii="Arial Narrow" w:hAnsi="Arial Narrow"/>
                <w:b/>
                <w:sz w:val="20"/>
                <w:szCs w:val="20"/>
              </w:rPr>
            </w:pPr>
            <w:r w:rsidRPr="00523376">
              <w:rPr>
                <w:rFonts w:ascii="Arial Narrow" w:hAnsi="Arial Narrow"/>
                <w:b/>
                <w:sz w:val="20"/>
                <w:szCs w:val="20"/>
              </w:rPr>
              <w:t>Population (N)</w:t>
            </w:r>
          </w:p>
        </w:tc>
        <w:tc>
          <w:tcPr>
            <w:tcW w:w="1888" w:type="pct"/>
          </w:tcPr>
          <w:p w14:paraId="6E43C364" w14:textId="77777777" w:rsidR="00B51828" w:rsidRPr="00523376" w:rsidRDefault="00B51828" w:rsidP="002101D2">
            <w:pPr>
              <w:spacing w:before="20" w:after="20"/>
              <w:ind w:left="0"/>
              <w:rPr>
                <w:rFonts w:ascii="Arial Narrow" w:hAnsi="Arial Narrow"/>
                <w:b/>
                <w:sz w:val="20"/>
                <w:szCs w:val="20"/>
              </w:rPr>
            </w:pPr>
            <w:r w:rsidRPr="00523376">
              <w:rPr>
                <w:rFonts w:ascii="Arial Narrow" w:hAnsi="Arial Narrow"/>
                <w:b/>
                <w:sz w:val="20"/>
                <w:szCs w:val="20"/>
              </w:rPr>
              <w:t>Outcome</w:t>
            </w:r>
          </w:p>
        </w:tc>
        <w:tc>
          <w:tcPr>
            <w:tcW w:w="970" w:type="pct"/>
          </w:tcPr>
          <w:p w14:paraId="38ABBFE6" w14:textId="77777777" w:rsidR="00B51828" w:rsidRPr="00523376" w:rsidRDefault="00B51828" w:rsidP="002101D2">
            <w:pPr>
              <w:spacing w:before="20" w:after="20"/>
              <w:ind w:left="0"/>
              <w:rPr>
                <w:rFonts w:ascii="Arial Narrow" w:hAnsi="Arial Narrow"/>
                <w:b/>
                <w:sz w:val="20"/>
                <w:szCs w:val="20"/>
              </w:rPr>
            </w:pPr>
            <w:r w:rsidRPr="00523376">
              <w:rPr>
                <w:rFonts w:ascii="Arial Narrow" w:hAnsi="Arial Narrow"/>
                <w:b/>
                <w:sz w:val="20"/>
                <w:szCs w:val="20"/>
              </w:rPr>
              <w:t>Results n/N (%)</w:t>
            </w:r>
          </w:p>
        </w:tc>
      </w:tr>
      <w:tr w:rsidR="00B51828" w:rsidRPr="00523376" w14:paraId="67508AB4" w14:textId="77777777" w:rsidTr="002101D2">
        <w:tc>
          <w:tcPr>
            <w:tcW w:w="917" w:type="pct"/>
            <w:shd w:val="clear" w:color="auto" w:fill="BFBFBF" w:themeFill="background1" w:themeFillShade="BF"/>
          </w:tcPr>
          <w:p w14:paraId="4E538B2C"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ALL SURGICAL PATHOLOGY</w:t>
            </w:r>
          </w:p>
        </w:tc>
        <w:tc>
          <w:tcPr>
            <w:tcW w:w="1225" w:type="pct"/>
            <w:shd w:val="clear" w:color="auto" w:fill="BFBFBF" w:themeFill="background1" w:themeFillShade="BF"/>
          </w:tcPr>
          <w:p w14:paraId="760EF205"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c>
          <w:tcPr>
            <w:tcW w:w="1888" w:type="pct"/>
            <w:shd w:val="clear" w:color="auto" w:fill="BFBFBF" w:themeFill="background1" w:themeFillShade="BF"/>
          </w:tcPr>
          <w:p w14:paraId="36679E42"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c>
          <w:tcPr>
            <w:tcW w:w="970" w:type="pct"/>
            <w:shd w:val="clear" w:color="auto" w:fill="BFBFBF" w:themeFill="background1" w:themeFillShade="BF"/>
          </w:tcPr>
          <w:p w14:paraId="402F07F1"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r>
      <w:tr w:rsidR="00B51828" w:rsidRPr="00523376" w14:paraId="73D478CB" w14:textId="77777777" w:rsidTr="002101D2">
        <w:tc>
          <w:tcPr>
            <w:tcW w:w="917" w:type="pct"/>
          </w:tcPr>
          <w:p w14:paraId="17E619A6"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Ahmed 2004</w:t>
            </w:r>
          </w:p>
        </w:tc>
        <w:tc>
          <w:tcPr>
            <w:tcW w:w="1225" w:type="pct"/>
          </w:tcPr>
          <w:p w14:paraId="7172AB40"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Surgical pathology; any organ system</w:t>
            </w:r>
          </w:p>
          <w:p w14:paraId="5720AE0F" w14:textId="77777777" w:rsidR="00B51828" w:rsidRPr="00523376" w:rsidRDefault="00B51828" w:rsidP="002101D2">
            <w:pPr>
              <w:spacing w:before="20" w:after="20"/>
              <w:ind w:left="0"/>
              <w:rPr>
                <w:rFonts w:ascii="Arial Narrow" w:hAnsi="Arial Narrow"/>
                <w:sz w:val="20"/>
                <w:szCs w:val="20"/>
                <w:vertAlign w:val="superscript"/>
              </w:rPr>
            </w:pPr>
            <w:r w:rsidRPr="00523376">
              <w:rPr>
                <w:rFonts w:ascii="Arial Narrow" w:hAnsi="Arial Narrow"/>
                <w:sz w:val="20"/>
                <w:szCs w:val="20"/>
              </w:rPr>
              <w:t>N=381 cases</w:t>
            </w:r>
          </w:p>
        </w:tc>
        <w:tc>
          <w:tcPr>
            <w:tcW w:w="1888" w:type="pct"/>
          </w:tcPr>
          <w:p w14:paraId="1BC26060"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Concordant with provisional diagnosis</w:t>
            </w:r>
          </w:p>
          <w:p w14:paraId="0AF7FE12"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Discordant with provisional diagnosis</w:t>
            </w:r>
          </w:p>
          <w:p w14:paraId="66DABF0B" w14:textId="77777777" w:rsidR="00B51828" w:rsidRPr="00523376" w:rsidRDefault="00B51828" w:rsidP="002101D2">
            <w:pPr>
              <w:spacing w:before="20" w:after="20"/>
              <w:ind w:left="284"/>
              <w:rPr>
                <w:rFonts w:ascii="Arial Narrow" w:hAnsi="Arial Narrow"/>
                <w:i/>
                <w:sz w:val="20"/>
                <w:szCs w:val="20"/>
              </w:rPr>
            </w:pPr>
            <w:r w:rsidRPr="00523376">
              <w:rPr>
                <w:rFonts w:ascii="Arial Narrow" w:hAnsi="Arial Narrow"/>
                <w:i/>
                <w:sz w:val="20"/>
                <w:szCs w:val="20"/>
              </w:rPr>
              <w:t>Discordant cases by tissue origin</w:t>
            </w:r>
            <w:r w:rsidRPr="00523376">
              <w:rPr>
                <w:rFonts w:ascii="Arial Narrow" w:hAnsi="Arial Narrow"/>
                <w:i/>
                <w:sz w:val="20"/>
                <w:szCs w:val="20"/>
                <w:vertAlign w:val="superscript"/>
              </w:rPr>
              <w:t>a</w:t>
            </w:r>
            <w:r w:rsidRPr="00523376">
              <w:rPr>
                <w:rFonts w:ascii="Arial Narrow" w:hAnsi="Arial Narrow"/>
                <w:i/>
                <w:sz w:val="20"/>
                <w:szCs w:val="20"/>
              </w:rPr>
              <w:t>:</w:t>
            </w:r>
          </w:p>
          <w:p w14:paraId="70E00646" w14:textId="77777777" w:rsidR="00B51828" w:rsidRPr="00523376" w:rsidRDefault="00B51828" w:rsidP="00B51828">
            <w:pPr>
              <w:numPr>
                <w:ilvl w:val="0"/>
                <w:numId w:val="38"/>
              </w:numPr>
              <w:spacing w:before="20" w:after="20"/>
              <w:contextualSpacing/>
              <w:rPr>
                <w:rFonts w:ascii="Arial Narrow" w:hAnsi="Arial Narrow"/>
                <w:sz w:val="20"/>
                <w:szCs w:val="20"/>
              </w:rPr>
            </w:pPr>
            <w:r w:rsidRPr="00523376">
              <w:rPr>
                <w:rFonts w:ascii="Arial Narrow" w:hAnsi="Arial Narrow"/>
                <w:sz w:val="20"/>
                <w:szCs w:val="20"/>
              </w:rPr>
              <w:t>Bone and joint</w:t>
            </w:r>
          </w:p>
          <w:p w14:paraId="5D5DA03E" w14:textId="77777777" w:rsidR="00B51828" w:rsidRPr="00523376" w:rsidRDefault="00B51828" w:rsidP="00B51828">
            <w:pPr>
              <w:numPr>
                <w:ilvl w:val="0"/>
                <w:numId w:val="38"/>
              </w:numPr>
              <w:spacing w:before="20" w:after="20"/>
              <w:contextualSpacing/>
              <w:rPr>
                <w:rFonts w:ascii="Arial Narrow" w:hAnsi="Arial Narrow"/>
                <w:sz w:val="20"/>
                <w:szCs w:val="20"/>
              </w:rPr>
            </w:pPr>
            <w:r w:rsidRPr="00523376">
              <w:rPr>
                <w:rFonts w:ascii="Arial Narrow" w:hAnsi="Arial Narrow"/>
                <w:sz w:val="20"/>
                <w:szCs w:val="20"/>
              </w:rPr>
              <w:t>Female genital tract</w:t>
            </w:r>
          </w:p>
          <w:p w14:paraId="6BD94B41" w14:textId="77777777" w:rsidR="00B51828" w:rsidRPr="00523376" w:rsidRDefault="00B51828" w:rsidP="00B51828">
            <w:pPr>
              <w:numPr>
                <w:ilvl w:val="0"/>
                <w:numId w:val="38"/>
              </w:numPr>
              <w:spacing w:before="20" w:after="20"/>
              <w:contextualSpacing/>
              <w:rPr>
                <w:rFonts w:ascii="Arial Narrow" w:hAnsi="Arial Narrow"/>
                <w:sz w:val="20"/>
                <w:szCs w:val="20"/>
              </w:rPr>
            </w:pPr>
            <w:r w:rsidRPr="00523376">
              <w:rPr>
                <w:rFonts w:ascii="Arial Narrow" w:hAnsi="Arial Narrow"/>
                <w:sz w:val="20"/>
                <w:szCs w:val="20"/>
              </w:rPr>
              <w:t>Male genital tract</w:t>
            </w:r>
          </w:p>
          <w:p w14:paraId="0A28E990" w14:textId="77777777" w:rsidR="00B51828" w:rsidRPr="00523376" w:rsidRDefault="00B51828" w:rsidP="00B51828">
            <w:pPr>
              <w:numPr>
                <w:ilvl w:val="0"/>
                <w:numId w:val="38"/>
              </w:numPr>
              <w:spacing w:before="20" w:after="20"/>
              <w:contextualSpacing/>
              <w:rPr>
                <w:rFonts w:ascii="Arial Narrow" w:hAnsi="Arial Narrow"/>
                <w:sz w:val="20"/>
                <w:szCs w:val="20"/>
              </w:rPr>
            </w:pPr>
            <w:r w:rsidRPr="00523376">
              <w:rPr>
                <w:rFonts w:ascii="Arial Narrow" w:hAnsi="Arial Narrow"/>
                <w:sz w:val="20"/>
                <w:szCs w:val="20"/>
              </w:rPr>
              <w:t>Lymph node</w:t>
            </w:r>
          </w:p>
          <w:p w14:paraId="5E94F0FC" w14:textId="77777777" w:rsidR="00B51828" w:rsidRPr="00523376" w:rsidRDefault="00B51828" w:rsidP="00B51828">
            <w:pPr>
              <w:numPr>
                <w:ilvl w:val="0"/>
                <w:numId w:val="38"/>
              </w:numPr>
              <w:spacing w:before="20" w:after="20"/>
              <w:contextualSpacing/>
              <w:rPr>
                <w:rFonts w:ascii="Arial Narrow" w:hAnsi="Arial Narrow"/>
                <w:sz w:val="20"/>
                <w:szCs w:val="20"/>
              </w:rPr>
            </w:pPr>
            <w:r w:rsidRPr="00523376">
              <w:rPr>
                <w:rFonts w:ascii="Arial Narrow" w:hAnsi="Arial Narrow"/>
                <w:sz w:val="20"/>
                <w:szCs w:val="20"/>
              </w:rPr>
              <w:t>Skin</w:t>
            </w:r>
          </w:p>
          <w:p w14:paraId="12EDCBD1" w14:textId="77777777" w:rsidR="00B51828" w:rsidRPr="00523376" w:rsidRDefault="00B51828" w:rsidP="00B51828">
            <w:pPr>
              <w:numPr>
                <w:ilvl w:val="0"/>
                <w:numId w:val="38"/>
              </w:numPr>
              <w:spacing w:before="20" w:after="20"/>
              <w:contextualSpacing/>
              <w:rPr>
                <w:rFonts w:ascii="Arial Narrow" w:hAnsi="Arial Narrow"/>
                <w:sz w:val="20"/>
                <w:szCs w:val="20"/>
              </w:rPr>
            </w:pPr>
            <w:r w:rsidRPr="00523376">
              <w:rPr>
                <w:rFonts w:ascii="Arial Narrow" w:hAnsi="Arial Narrow"/>
                <w:sz w:val="20"/>
                <w:szCs w:val="20"/>
              </w:rPr>
              <w:t>Head and neck</w:t>
            </w:r>
          </w:p>
          <w:p w14:paraId="47B0C35A" w14:textId="77777777" w:rsidR="00B51828" w:rsidRPr="00523376" w:rsidRDefault="00B51828" w:rsidP="00B51828">
            <w:pPr>
              <w:numPr>
                <w:ilvl w:val="0"/>
                <w:numId w:val="38"/>
              </w:numPr>
              <w:spacing w:before="20" w:after="20"/>
              <w:contextualSpacing/>
              <w:rPr>
                <w:rFonts w:ascii="Arial Narrow" w:hAnsi="Arial Narrow"/>
                <w:sz w:val="20"/>
                <w:szCs w:val="20"/>
              </w:rPr>
            </w:pPr>
            <w:r w:rsidRPr="00523376">
              <w:rPr>
                <w:rFonts w:ascii="Arial Narrow" w:hAnsi="Arial Narrow"/>
                <w:sz w:val="20"/>
                <w:szCs w:val="20"/>
              </w:rPr>
              <w:t>Gastrointestinal</w:t>
            </w:r>
          </w:p>
        </w:tc>
        <w:tc>
          <w:tcPr>
            <w:tcW w:w="970" w:type="pct"/>
          </w:tcPr>
          <w:p w14:paraId="634336E6"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204/336 (60.7%)</w:t>
            </w:r>
          </w:p>
          <w:p w14:paraId="249E0247"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120/336 (35.7%)</w:t>
            </w:r>
          </w:p>
          <w:p w14:paraId="5CCA26C6" w14:textId="77777777" w:rsidR="00B51828" w:rsidRPr="00523376" w:rsidRDefault="00B51828" w:rsidP="002101D2">
            <w:pPr>
              <w:spacing w:before="20" w:after="20"/>
              <w:ind w:left="0"/>
              <w:rPr>
                <w:rFonts w:ascii="Arial Narrow" w:hAnsi="Arial Narrow"/>
                <w:sz w:val="20"/>
                <w:szCs w:val="20"/>
              </w:rPr>
            </w:pPr>
          </w:p>
          <w:p w14:paraId="523E509F"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11/30 (36.7%)</w:t>
            </w:r>
          </w:p>
          <w:p w14:paraId="3BA7C3AC"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5/27 (18.5%)</w:t>
            </w:r>
          </w:p>
          <w:p w14:paraId="2E0A6425"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5/13 (38.5%)</w:t>
            </w:r>
          </w:p>
          <w:p w14:paraId="5FB09DEE"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22/72 (30.6%)</w:t>
            </w:r>
          </w:p>
          <w:p w14:paraId="15A7A009"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35/65 (53.8%)</w:t>
            </w:r>
          </w:p>
          <w:p w14:paraId="5AB33450"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12/27 (44.4%)</w:t>
            </w:r>
          </w:p>
          <w:p w14:paraId="27EAC000"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17/52 (32.7%)</w:t>
            </w:r>
          </w:p>
        </w:tc>
      </w:tr>
      <w:tr w:rsidR="00B51828" w:rsidRPr="00523376" w14:paraId="2C6D5383" w14:textId="77777777" w:rsidTr="002101D2">
        <w:trPr>
          <w:trHeight w:val="64"/>
        </w:trPr>
        <w:tc>
          <w:tcPr>
            <w:tcW w:w="917" w:type="pct"/>
            <w:shd w:val="clear" w:color="auto" w:fill="BFBFBF" w:themeFill="background1" w:themeFillShade="BF"/>
          </w:tcPr>
          <w:p w14:paraId="392AF7D0"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BRAIN AND SPINAL CORD</w:t>
            </w:r>
          </w:p>
        </w:tc>
        <w:tc>
          <w:tcPr>
            <w:tcW w:w="1225" w:type="pct"/>
            <w:shd w:val="clear" w:color="auto" w:fill="BFBFBF" w:themeFill="background1" w:themeFillShade="BF"/>
          </w:tcPr>
          <w:p w14:paraId="4071A7FA"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c>
          <w:tcPr>
            <w:tcW w:w="1888" w:type="pct"/>
            <w:shd w:val="clear" w:color="auto" w:fill="BFBFBF" w:themeFill="background1" w:themeFillShade="BF"/>
          </w:tcPr>
          <w:p w14:paraId="6345EB40"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c>
          <w:tcPr>
            <w:tcW w:w="970" w:type="pct"/>
            <w:shd w:val="clear" w:color="auto" w:fill="BFBFBF" w:themeFill="background1" w:themeFillShade="BF"/>
          </w:tcPr>
          <w:p w14:paraId="0C5ED064"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r>
      <w:tr w:rsidR="00B51828" w:rsidRPr="00523376" w14:paraId="0A81DD4C" w14:textId="77777777" w:rsidTr="002101D2">
        <w:trPr>
          <w:trHeight w:val="64"/>
        </w:trPr>
        <w:tc>
          <w:tcPr>
            <w:tcW w:w="917" w:type="pct"/>
          </w:tcPr>
          <w:p w14:paraId="7929917E"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Bruner 1997</w:t>
            </w:r>
          </w:p>
        </w:tc>
        <w:tc>
          <w:tcPr>
            <w:tcW w:w="1225" w:type="pct"/>
          </w:tcPr>
          <w:p w14:paraId="4ABF84DC"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Brain and spinal cord biopsy for suspected neoplastic disease</w:t>
            </w:r>
          </w:p>
          <w:p w14:paraId="3058CFF4"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N=500 cases</w:t>
            </w:r>
            <w:r w:rsidRPr="00523376">
              <w:rPr>
                <w:rFonts w:ascii="Arial Narrow" w:hAnsi="Arial Narrow"/>
                <w:sz w:val="20"/>
                <w:szCs w:val="20"/>
                <w:vertAlign w:val="superscript"/>
              </w:rPr>
              <w:t>b</w:t>
            </w:r>
          </w:p>
        </w:tc>
        <w:tc>
          <w:tcPr>
            <w:tcW w:w="1888" w:type="pct"/>
          </w:tcPr>
          <w:p w14:paraId="5A2E89EC"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Concordant with provisional diagnosis</w:t>
            </w:r>
          </w:p>
          <w:p w14:paraId="466E0B1C" w14:textId="77777777" w:rsidR="00B51828" w:rsidRPr="00523376" w:rsidRDefault="00B51828" w:rsidP="002101D2">
            <w:pPr>
              <w:spacing w:before="20" w:after="20"/>
              <w:ind w:left="0"/>
              <w:rPr>
                <w:rFonts w:ascii="Arial Narrow" w:hAnsi="Arial Narrow"/>
                <w:sz w:val="20"/>
                <w:szCs w:val="20"/>
              </w:rPr>
            </w:pPr>
            <w:r>
              <w:rPr>
                <w:rFonts w:ascii="Arial Narrow" w:hAnsi="Arial Narrow"/>
                <w:sz w:val="20"/>
                <w:szCs w:val="20"/>
              </w:rPr>
              <w:t>D</w:t>
            </w:r>
            <w:r w:rsidRPr="00523376">
              <w:rPr>
                <w:rFonts w:ascii="Arial Narrow" w:hAnsi="Arial Narrow"/>
                <w:sz w:val="20"/>
                <w:szCs w:val="20"/>
              </w:rPr>
              <w:t>iscordant with provisional diagnosis</w:t>
            </w:r>
          </w:p>
        </w:tc>
        <w:tc>
          <w:tcPr>
            <w:tcW w:w="970" w:type="pct"/>
          </w:tcPr>
          <w:p w14:paraId="06AD0BFD"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139/261 (53.3%)</w:t>
            </w:r>
          </w:p>
          <w:p w14:paraId="37B1A215"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122/261 (46.7%)</w:t>
            </w:r>
          </w:p>
          <w:p w14:paraId="34A3C9CF" w14:textId="77777777" w:rsidR="00B51828" w:rsidRPr="00523376" w:rsidRDefault="00B51828" w:rsidP="002101D2">
            <w:pPr>
              <w:spacing w:before="20" w:after="20"/>
              <w:ind w:left="0"/>
              <w:rPr>
                <w:rFonts w:ascii="Arial Narrow" w:hAnsi="Arial Narrow"/>
                <w:sz w:val="20"/>
                <w:szCs w:val="20"/>
              </w:rPr>
            </w:pPr>
          </w:p>
        </w:tc>
      </w:tr>
      <w:tr w:rsidR="00B51828" w:rsidRPr="00523376" w14:paraId="0FEBE4B0" w14:textId="77777777" w:rsidTr="002101D2">
        <w:trPr>
          <w:trHeight w:val="64"/>
        </w:trPr>
        <w:tc>
          <w:tcPr>
            <w:tcW w:w="917" w:type="pct"/>
            <w:shd w:val="clear" w:color="auto" w:fill="BFBFBF" w:themeFill="background1" w:themeFillShade="BF"/>
          </w:tcPr>
          <w:p w14:paraId="331370F2"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PROSTATE</w:t>
            </w:r>
          </w:p>
        </w:tc>
        <w:tc>
          <w:tcPr>
            <w:tcW w:w="1225" w:type="pct"/>
            <w:shd w:val="clear" w:color="auto" w:fill="BFBFBF" w:themeFill="background1" w:themeFillShade="BF"/>
          </w:tcPr>
          <w:p w14:paraId="0BE0C092"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c>
          <w:tcPr>
            <w:tcW w:w="1888" w:type="pct"/>
            <w:shd w:val="clear" w:color="auto" w:fill="BFBFBF" w:themeFill="background1" w:themeFillShade="BF"/>
          </w:tcPr>
          <w:p w14:paraId="48484D8C"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c>
          <w:tcPr>
            <w:tcW w:w="970" w:type="pct"/>
            <w:shd w:val="clear" w:color="auto" w:fill="BFBFBF" w:themeFill="background1" w:themeFillShade="BF"/>
          </w:tcPr>
          <w:p w14:paraId="18D3C9A8"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r>
      <w:tr w:rsidR="00B51828" w:rsidRPr="00523376" w14:paraId="6EFBD03D" w14:textId="77777777" w:rsidTr="002101D2">
        <w:tc>
          <w:tcPr>
            <w:tcW w:w="917" w:type="pct"/>
          </w:tcPr>
          <w:p w14:paraId="67B0DF52"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Chan 2005</w:t>
            </w:r>
          </w:p>
        </w:tc>
        <w:tc>
          <w:tcPr>
            <w:tcW w:w="1225" w:type="pct"/>
          </w:tcPr>
          <w:p w14:paraId="07742D27"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Prostate needle biopsy</w:t>
            </w:r>
          </w:p>
          <w:p w14:paraId="0EF4D4E9" w14:textId="77777777" w:rsidR="00B51828" w:rsidRPr="00523376" w:rsidRDefault="00B51828" w:rsidP="002101D2">
            <w:pPr>
              <w:spacing w:before="20" w:after="20"/>
              <w:ind w:left="0"/>
              <w:rPr>
                <w:rFonts w:ascii="Arial Narrow" w:hAnsi="Arial Narrow"/>
                <w:sz w:val="20"/>
                <w:szCs w:val="20"/>
                <w:vertAlign w:val="superscript"/>
              </w:rPr>
            </w:pPr>
            <w:r w:rsidRPr="00523376">
              <w:rPr>
                <w:rFonts w:ascii="Arial Narrow" w:hAnsi="Arial Narrow"/>
                <w:sz w:val="20"/>
                <w:szCs w:val="20"/>
              </w:rPr>
              <w:t>N=684</w:t>
            </w:r>
          </w:p>
        </w:tc>
        <w:tc>
          <w:tcPr>
            <w:tcW w:w="1888" w:type="pct"/>
          </w:tcPr>
          <w:p w14:paraId="6198BAC5"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Discordant with provisional diagnosis</w:t>
            </w:r>
            <w:r w:rsidRPr="00D1638A">
              <w:rPr>
                <w:rFonts w:ascii="Arial Narrow" w:hAnsi="Arial Narrow"/>
                <w:sz w:val="20"/>
                <w:szCs w:val="20"/>
                <w:vertAlign w:val="superscript"/>
              </w:rPr>
              <w:t>c</w:t>
            </w:r>
          </w:p>
        </w:tc>
        <w:tc>
          <w:tcPr>
            <w:tcW w:w="970" w:type="pct"/>
          </w:tcPr>
          <w:p w14:paraId="3B420663"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181/437 (41.4%)</w:t>
            </w:r>
          </w:p>
        </w:tc>
      </w:tr>
      <w:tr w:rsidR="00B51828" w:rsidRPr="00523376" w14:paraId="766E96D9" w14:textId="77777777" w:rsidTr="002101D2">
        <w:tc>
          <w:tcPr>
            <w:tcW w:w="917" w:type="pct"/>
            <w:shd w:val="clear" w:color="auto" w:fill="BFBFBF" w:themeFill="background1" w:themeFillShade="BF"/>
          </w:tcPr>
          <w:p w14:paraId="4D70B0EA"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LUNG</w:t>
            </w:r>
          </w:p>
        </w:tc>
        <w:tc>
          <w:tcPr>
            <w:tcW w:w="1225" w:type="pct"/>
            <w:shd w:val="clear" w:color="auto" w:fill="BFBFBF" w:themeFill="background1" w:themeFillShade="BF"/>
          </w:tcPr>
          <w:p w14:paraId="773FEB7A"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c>
          <w:tcPr>
            <w:tcW w:w="1888" w:type="pct"/>
            <w:shd w:val="clear" w:color="auto" w:fill="BFBFBF" w:themeFill="background1" w:themeFillShade="BF"/>
          </w:tcPr>
          <w:p w14:paraId="6A39ABCB"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c>
          <w:tcPr>
            <w:tcW w:w="970" w:type="pct"/>
            <w:shd w:val="clear" w:color="auto" w:fill="BFBFBF" w:themeFill="background1" w:themeFillShade="BF"/>
          </w:tcPr>
          <w:p w14:paraId="418069FB"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w:t>
            </w:r>
          </w:p>
        </w:tc>
      </w:tr>
      <w:tr w:rsidR="00B51828" w:rsidRPr="00523376" w14:paraId="1F60C44E" w14:textId="77777777" w:rsidTr="002101D2">
        <w:tc>
          <w:tcPr>
            <w:tcW w:w="917" w:type="pct"/>
          </w:tcPr>
          <w:p w14:paraId="0B9E0CC7"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Hutton Klein 2010</w:t>
            </w:r>
          </w:p>
        </w:tc>
        <w:tc>
          <w:tcPr>
            <w:tcW w:w="1225" w:type="pct"/>
          </w:tcPr>
          <w:p w14:paraId="495CF134"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Granulomatous or giant cell reactions in the lung</w:t>
            </w:r>
          </w:p>
          <w:p w14:paraId="0D9E399A" w14:textId="77777777" w:rsidR="00B51828" w:rsidRPr="00523376" w:rsidRDefault="00B51828" w:rsidP="002101D2">
            <w:pPr>
              <w:spacing w:before="20" w:after="20"/>
              <w:ind w:left="0"/>
              <w:rPr>
                <w:rFonts w:ascii="Arial Narrow" w:hAnsi="Arial Narrow"/>
                <w:sz w:val="20"/>
                <w:szCs w:val="20"/>
                <w:vertAlign w:val="superscript"/>
              </w:rPr>
            </w:pPr>
            <w:r w:rsidRPr="00523376">
              <w:rPr>
                <w:rFonts w:ascii="Arial Narrow" w:hAnsi="Arial Narrow"/>
                <w:sz w:val="20"/>
                <w:szCs w:val="20"/>
              </w:rPr>
              <w:t>N=100 cases</w:t>
            </w:r>
            <w:r w:rsidRPr="00523376">
              <w:rPr>
                <w:rFonts w:ascii="Arial Narrow" w:hAnsi="Arial Narrow"/>
                <w:sz w:val="20"/>
                <w:szCs w:val="20"/>
                <w:vertAlign w:val="superscript"/>
              </w:rPr>
              <w:t>d</w:t>
            </w:r>
          </w:p>
        </w:tc>
        <w:tc>
          <w:tcPr>
            <w:tcW w:w="1888" w:type="pct"/>
          </w:tcPr>
          <w:p w14:paraId="0A14770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Concordant with provisional diagnosis – clinician-initiated cases only</w:t>
            </w:r>
          </w:p>
          <w:p w14:paraId="4E271638" w14:textId="77777777" w:rsidR="00B51828" w:rsidRPr="00C20666" w:rsidRDefault="00B51828" w:rsidP="002101D2">
            <w:pPr>
              <w:spacing w:before="20" w:after="20"/>
              <w:ind w:left="0"/>
              <w:rPr>
                <w:rFonts w:ascii="Arial Narrow" w:hAnsi="Arial Narrow"/>
                <w:sz w:val="20"/>
                <w:szCs w:val="20"/>
              </w:rPr>
            </w:pPr>
            <w:r>
              <w:rPr>
                <w:rFonts w:ascii="Arial Narrow" w:hAnsi="Arial Narrow"/>
                <w:sz w:val="20"/>
                <w:szCs w:val="20"/>
              </w:rPr>
              <w:t>Discordant</w:t>
            </w:r>
            <w:r w:rsidRPr="00523376">
              <w:rPr>
                <w:rFonts w:ascii="Arial Narrow" w:hAnsi="Arial Narrow"/>
                <w:sz w:val="20"/>
                <w:szCs w:val="20"/>
                <w:vertAlign w:val="superscript"/>
              </w:rPr>
              <w:t>e</w:t>
            </w:r>
            <w:r>
              <w:rPr>
                <w:rFonts w:ascii="Arial Narrow" w:hAnsi="Arial Narrow"/>
                <w:sz w:val="20"/>
                <w:szCs w:val="20"/>
              </w:rPr>
              <w:t xml:space="preserve"> with provisional diagnosis – clinician-initiated cases only</w:t>
            </w:r>
          </w:p>
        </w:tc>
        <w:tc>
          <w:tcPr>
            <w:tcW w:w="970" w:type="pct"/>
          </w:tcPr>
          <w:p w14:paraId="4C8C318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6/20 (30.0%)</w:t>
            </w:r>
          </w:p>
          <w:p w14:paraId="39557B1C"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14/20 (70.0%)</w:t>
            </w:r>
          </w:p>
        </w:tc>
      </w:tr>
      <w:tr w:rsidR="00B51828" w:rsidRPr="00523376" w14:paraId="63D1B32E" w14:textId="77777777" w:rsidTr="002101D2">
        <w:tc>
          <w:tcPr>
            <w:tcW w:w="917" w:type="pct"/>
            <w:shd w:val="clear" w:color="auto" w:fill="BFBFBF" w:themeFill="background1" w:themeFillShade="BF"/>
          </w:tcPr>
          <w:p w14:paraId="5E57A3B9" w14:textId="77777777" w:rsidR="00B51828" w:rsidRPr="00523376" w:rsidRDefault="00B51828" w:rsidP="002101D2">
            <w:pPr>
              <w:keepNext/>
              <w:spacing w:before="20" w:after="20"/>
              <w:ind w:left="0"/>
              <w:rPr>
                <w:rFonts w:ascii="Arial Narrow" w:hAnsi="Arial Narrow"/>
                <w:sz w:val="20"/>
                <w:szCs w:val="20"/>
              </w:rPr>
            </w:pPr>
            <w:r w:rsidRPr="00523376">
              <w:rPr>
                <w:rFonts w:ascii="Arial Narrow" w:hAnsi="Arial Narrow"/>
                <w:sz w:val="20"/>
                <w:szCs w:val="20"/>
              </w:rPr>
              <w:t>LABIAL SALIVARY GLAND</w:t>
            </w:r>
          </w:p>
        </w:tc>
        <w:tc>
          <w:tcPr>
            <w:tcW w:w="1225" w:type="pct"/>
            <w:shd w:val="clear" w:color="auto" w:fill="BFBFBF" w:themeFill="background1" w:themeFillShade="BF"/>
          </w:tcPr>
          <w:p w14:paraId="6330E3AB" w14:textId="77777777" w:rsidR="00B51828" w:rsidRPr="00523376" w:rsidRDefault="00B51828" w:rsidP="002101D2">
            <w:pPr>
              <w:keepNext/>
              <w:spacing w:before="20" w:after="20"/>
              <w:ind w:left="0"/>
              <w:rPr>
                <w:rFonts w:ascii="Arial Narrow" w:hAnsi="Arial Narrow"/>
                <w:sz w:val="20"/>
                <w:szCs w:val="20"/>
              </w:rPr>
            </w:pPr>
            <w:r w:rsidRPr="00523376">
              <w:rPr>
                <w:rFonts w:ascii="Arial Narrow" w:hAnsi="Arial Narrow"/>
                <w:sz w:val="20"/>
                <w:szCs w:val="20"/>
              </w:rPr>
              <w:t>-</w:t>
            </w:r>
          </w:p>
        </w:tc>
        <w:tc>
          <w:tcPr>
            <w:tcW w:w="1888" w:type="pct"/>
            <w:shd w:val="clear" w:color="auto" w:fill="BFBFBF" w:themeFill="background1" w:themeFillShade="BF"/>
          </w:tcPr>
          <w:p w14:paraId="659B13CD" w14:textId="77777777" w:rsidR="00B51828" w:rsidRPr="00523376" w:rsidRDefault="00B51828" w:rsidP="002101D2">
            <w:pPr>
              <w:keepNext/>
              <w:spacing w:before="20" w:after="20"/>
              <w:ind w:left="0"/>
              <w:rPr>
                <w:rFonts w:ascii="Arial Narrow" w:hAnsi="Arial Narrow"/>
                <w:sz w:val="20"/>
                <w:szCs w:val="20"/>
              </w:rPr>
            </w:pPr>
            <w:r w:rsidRPr="00523376">
              <w:rPr>
                <w:rFonts w:ascii="Arial Narrow" w:hAnsi="Arial Narrow"/>
                <w:sz w:val="20"/>
                <w:szCs w:val="20"/>
              </w:rPr>
              <w:t>-</w:t>
            </w:r>
          </w:p>
        </w:tc>
        <w:tc>
          <w:tcPr>
            <w:tcW w:w="970" w:type="pct"/>
            <w:shd w:val="clear" w:color="auto" w:fill="BFBFBF" w:themeFill="background1" w:themeFillShade="BF"/>
          </w:tcPr>
          <w:p w14:paraId="095382E8" w14:textId="77777777" w:rsidR="00B51828" w:rsidRPr="00523376" w:rsidRDefault="00B51828" w:rsidP="002101D2">
            <w:pPr>
              <w:keepNext/>
              <w:spacing w:before="20" w:after="20"/>
              <w:ind w:left="0"/>
              <w:rPr>
                <w:rFonts w:ascii="Arial Narrow" w:hAnsi="Arial Narrow"/>
                <w:sz w:val="20"/>
                <w:szCs w:val="20"/>
              </w:rPr>
            </w:pPr>
            <w:r w:rsidRPr="00523376">
              <w:rPr>
                <w:rFonts w:ascii="Arial Narrow" w:hAnsi="Arial Narrow"/>
                <w:sz w:val="20"/>
                <w:szCs w:val="20"/>
              </w:rPr>
              <w:t>-</w:t>
            </w:r>
          </w:p>
        </w:tc>
      </w:tr>
      <w:tr w:rsidR="00B51828" w:rsidRPr="00523376" w14:paraId="601506DE" w14:textId="77777777" w:rsidTr="002101D2">
        <w:tc>
          <w:tcPr>
            <w:tcW w:w="917" w:type="pct"/>
          </w:tcPr>
          <w:p w14:paraId="7ED3CEB0"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Vivino 2002</w:t>
            </w:r>
          </w:p>
        </w:tc>
        <w:tc>
          <w:tcPr>
            <w:tcW w:w="1225" w:type="pct"/>
          </w:tcPr>
          <w:p w14:paraId="1EAD341E" w14:textId="02475612"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LSG biopsy for possible Sjögren’s syndrome</w:t>
            </w:r>
          </w:p>
          <w:p w14:paraId="75B5383D"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N=60 cases</w:t>
            </w:r>
          </w:p>
        </w:tc>
        <w:tc>
          <w:tcPr>
            <w:tcW w:w="1888" w:type="pct"/>
          </w:tcPr>
          <w:p w14:paraId="443B7817"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Discordant with provisional diagnosis (“diagnostic revision”)</w:t>
            </w:r>
          </w:p>
        </w:tc>
        <w:tc>
          <w:tcPr>
            <w:tcW w:w="970" w:type="pct"/>
          </w:tcPr>
          <w:p w14:paraId="387AF4FB" w14:textId="77777777" w:rsidR="00B51828" w:rsidRPr="00523376" w:rsidRDefault="00B51828" w:rsidP="002101D2">
            <w:pPr>
              <w:spacing w:before="20" w:after="20"/>
              <w:ind w:left="0"/>
              <w:rPr>
                <w:rFonts w:ascii="Arial Narrow" w:hAnsi="Arial Narrow"/>
                <w:sz w:val="20"/>
                <w:szCs w:val="20"/>
              </w:rPr>
            </w:pPr>
            <w:r w:rsidRPr="00523376">
              <w:rPr>
                <w:rFonts w:ascii="Arial Narrow" w:hAnsi="Arial Narrow"/>
                <w:sz w:val="20"/>
                <w:szCs w:val="20"/>
              </w:rPr>
              <w:t>32/59</w:t>
            </w:r>
            <w:r w:rsidRPr="00523376">
              <w:rPr>
                <w:rFonts w:ascii="Arial Narrow" w:hAnsi="Arial Narrow"/>
                <w:sz w:val="20"/>
                <w:szCs w:val="20"/>
                <w:vertAlign w:val="superscript"/>
              </w:rPr>
              <w:t>f</w:t>
            </w:r>
            <w:r w:rsidRPr="00523376">
              <w:rPr>
                <w:rFonts w:ascii="Arial Narrow" w:hAnsi="Arial Narrow"/>
                <w:sz w:val="20"/>
                <w:szCs w:val="20"/>
              </w:rPr>
              <w:t xml:space="preserve"> (54.2%)</w:t>
            </w:r>
          </w:p>
        </w:tc>
      </w:tr>
    </w:tbl>
    <w:p w14:paraId="21B549A4" w14:textId="77777777" w:rsidR="00B51828" w:rsidRPr="00523376" w:rsidRDefault="00B51828" w:rsidP="002101D2">
      <w:pPr>
        <w:tabs>
          <w:tab w:val="left" w:pos="990"/>
        </w:tabs>
        <w:spacing w:after="0" w:line="259" w:lineRule="auto"/>
        <w:ind w:left="0"/>
        <w:rPr>
          <w:rFonts w:ascii="Arial Narrow" w:hAnsi="Arial Narrow"/>
          <w:sz w:val="16"/>
          <w:szCs w:val="16"/>
        </w:rPr>
      </w:pPr>
      <w:r w:rsidRPr="00523376">
        <w:rPr>
          <w:rFonts w:ascii="Arial Narrow" w:hAnsi="Arial Narrow"/>
          <w:sz w:val="16"/>
          <w:szCs w:val="16"/>
          <w:vertAlign w:val="superscript"/>
        </w:rPr>
        <w:t xml:space="preserve">a </w:t>
      </w:r>
      <w:r w:rsidRPr="00523376">
        <w:rPr>
          <w:rFonts w:ascii="Arial Narrow" w:hAnsi="Arial Narrow"/>
          <w:sz w:val="16"/>
          <w:szCs w:val="16"/>
        </w:rPr>
        <w:t>This information was not reported for all tissue types.</w:t>
      </w:r>
    </w:p>
    <w:p w14:paraId="42D6EDFF" w14:textId="77777777" w:rsidR="00B51828" w:rsidRPr="00523376" w:rsidRDefault="00B51828" w:rsidP="002101D2">
      <w:pPr>
        <w:tabs>
          <w:tab w:val="left" w:pos="990"/>
        </w:tabs>
        <w:spacing w:after="0" w:line="259" w:lineRule="auto"/>
        <w:ind w:left="0"/>
        <w:rPr>
          <w:rFonts w:ascii="Arial Narrow" w:hAnsi="Arial Narrow"/>
          <w:sz w:val="16"/>
          <w:szCs w:val="16"/>
          <w:vertAlign w:val="superscript"/>
        </w:rPr>
      </w:pPr>
      <w:r w:rsidRPr="00523376">
        <w:rPr>
          <w:rFonts w:ascii="Arial Narrow" w:hAnsi="Arial Narrow"/>
          <w:sz w:val="16"/>
          <w:szCs w:val="16"/>
          <w:vertAlign w:val="superscript"/>
        </w:rPr>
        <w:t xml:space="preserve">b </w:t>
      </w:r>
      <w:r w:rsidRPr="00523376">
        <w:rPr>
          <w:rFonts w:ascii="Arial Narrow" w:hAnsi="Arial Narrow"/>
          <w:sz w:val="16"/>
          <w:szCs w:val="16"/>
        </w:rPr>
        <w:t>The study included a total of 500 cases: 284 “consultation-only” cases were submitted because of some doubt about the original diagnosis on the part of pathologists or other attending physicians (e.g. surgeons, internists, or radiotherapists) at an outside institution; 216 cases were reviewed after the patient was referred to the Texas M. D. Anderson Cancer Center for management.</w:t>
      </w:r>
    </w:p>
    <w:p w14:paraId="4A752C2C" w14:textId="079D44F7" w:rsidR="00B51828" w:rsidRPr="00523376" w:rsidRDefault="00B51828" w:rsidP="002101D2">
      <w:pPr>
        <w:tabs>
          <w:tab w:val="left" w:pos="990"/>
        </w:tabs>
        <w:spacing w:after="0" w:line="259" w:lineRule="auto"/>
        <w:ind w:left="0"/>
        <w:rPr>
          <w:rFonts w:ascii="Arial Narrow" w:hAnsi="Arial Narrow"/>
          <w:sz w:val="16"/>
          <w:szCs w:val="16"/>
        </w:rPr>
      </w:pPr>
      <w:r w:rsidRPr="00523376">
        <w:rPr>
          <w:rFonts w:ascii="Arial Narrow" w:hAnsi="Arial Narrow"/>
          <w:sz w:val="16"/>
          <w:szCs w:val="16"/>
          <w:vertAlign w:val="superscript"/>
        </w:rPr>
        <w:t>c</w:t>
      </w:r>
      <w:r w:rsidRPr="00523376">
        <w:rPr>
          <w:rFonts w:ascii="Arial Narrow" w:hAnsi="Arial Narrow"/>
          <w:sz w:val="16"/>
          <w:szCs w:val="16"/>
        </w:rPr>
        <w:t xml:space="preserve"> The study included cases sent at the request of the patient or urologist. This outcome includes the sub</w:t>
      </w:r>
      <w:r w:rsidR="005414B7">
        <w:rPr>
          <w:rFonts w:ascii="Arial Narrow" w:hAnsi="Arial Narrow"/>
          <w:sz w:val="16"/>
          <w:szCs w:val="16"/>
        </w:rPr>
        <w:t>set</w:t>
      </w:r>
      <w:r w:rsidRPr="00523376">
        <w:rPr>
          <w:rFonts w:ascii="Arial Narrow" w:hAnsi="Arial Narrow"/>
          <w:sz w:val="16"/>
          <w:szCs w:val="16"/>
        </w:rPr>
        <w:t xml:space="preserve"> of urologist-referred cases only.</w:t>
      </w:r>
    </w:p>
    <w:p w14:paraId="0C2C7A57" w14:textId="77777777" w:rsidR="00B51828" w:rsidRPr="00523376" w:rsidRDefault="00B51828" w:rsidP="002101D2">
      <w:pPr>
        <w:tabs>
          <w:tab w:val="left" w:pos="990"/>
        </w:tabs>
        <w:spacing w:after="0" w:line="259" w:lineRule="auto"/>
        <w:ind w:left="0"/>
        <w:rPr>
          <w:rFonts w:ascii="Arial Narrow" w:hAnsi="Arial Narrow"/>
          <w:sz w:val="16"/>
          <w:szCs w:val="16"/>
          <w:vertAlign w:val="superscript"/>
        </w:rPr>
      </w:pPr>
      <w:r w:rsidRPr="00523376">
        <w:rPr>
          <w:rFonts w:ascii="Arial Narrow" w:hAnsi="Arial Narrow"/>
          <w:sz w:val="16"/>
          <w:szCs w:val="16"/>
          <w:vertAlign w:val="superscript"/>
        </w:rPr>
        <w:t xml:space="preserve">d </w:t>
      </w:r>
      <w:r w:rsidRPr="00523376">
        <w:rPr>
          <w:rFonts w:ascii="Arial Narrow" w:hAnsi="Arial Narrow"/>
          <w:sz w:val="16"/>
          <w:szCs w:val="16"/>
        </w:rPr>
        <w:t>The study included a total of 100 cases: 80 requests for expert opinion were initiated by the pathologist; 20 expert opinion requests were initiated by the clinician.</w:t>
      </w:r>
    </w:p>
    <w:p w14:paraId="215E13BB" w14:textId="77777777" w:rsidR="00B51828" w:rsidRPr="00523376" w:rsidRDefault="00B51828" w:rsidP="002101D2">
      <w:pPr>
        <w:tabs>
          <w:tab w:val="left" w:pos="990"/>
        </w:tabs>
        <w:spacing w:after="0" w:line="259" w:lineRule="auto"/>
        <w:ind w:left="0"/>
        <w:rPr>
          <w:rFonts w:ascii="Arial Narrow" w:hAnsi="Arial Narrow"/>
          <w:sz w:val="16"/>
          <w:szCs w:val="16"/>
        </w:rPr>
      </w:pPr>
      <w:r w:rsidRPr="00523376">
        <w:rPr>
          <w:rFonts w:ascii="Arial Narrow" w:hAnsi="Arial Narrow"/>
          <w:sz w:val="16"/>
          <w:szCs w:val="16"/>
          <w:vertAlign w:val="superscript"/>
        </w:rPr>
        <w:t>e</w:t>
      </w:r>
      <w:r w:rsidRPr="00523376">
        <w:rPr>
          <w:rFonts w:ascii="Arial Narrow" w:hAnsi="Arial Narrow"/>
          <w:sz w:val="16"/>
          <w:szCs w:val="16"/>
        </w:rPr>
        <w:t xml:space="preserve"> Refers to a disagreement between the expert and outside pathologists’ diagnoses. Discordance refers to outright disagreement, a narrowing of the differential diagnosis to one being strongly favoured by the expert, or the differential diagnosis being expanded by the expert.</w:t>
      </w:r>
    </w:p>
    <w:p w14:paraId="3127A249" w14:textId="1D9F8BE0" w:rsidR="00B51828" w:rsidRPr="003825E2" w:rsidRDefault="00B51828" w:rsidP="002101D2">
      <w:pPr>
        <w:pStyle w:val="Caption"/>
        <w:spacing w:before="0" w:after="0" w:line="259" w:lineRule="auto"/>
        <w:ind w:left="0" w:firstLine="0"/>
        <w:rPr>
          <w:b w:val="0"/>
        </w:rPr>
      </w:pPr>
      <w:r w:rsidRPr="003825E2">
        <w:rPr>
          <w:b w:val="0"/>
          <w:sz w:val="16"/>
          <w:szCs w:val="16"/>
          <w:vertAlign w:val="superscript"/>
        </w:rPr>
        <w:t>f</w:t>
      </w:r>
      <w:r w:rsidRPr="003825E2">
        <w:rPr>
          <w:b w:val="0"/>
          <w:sz w:val="16"/>
          <w:szCs w:val="16"/>
        </w:rPr>
        <w:t xml:space="preserve"> Paper reported 32/60. The denominator has been altered for consistency with other studies – the one case without a provisional diagnosis has been removed</w:t>
      </w:r>
      <w:r w:rsidR="00525F10">
        <w:rPr>
          <w:b w:val="0"/>
          <w:sz w:val="16"/>
          <w:szCs w:val="16"/>
        </w:rPr>
        <w:t>.</w:t>
      </w:r>
    </w:p>
    <w:bookmarkEnd w:id="153"/>
    <w:p w14:paraId="58898A95" w14:textId="77777777" w:rsidR="00B51828" w:rsidRDefault="00B51828" w:rsidP="002101D2">
      <w:pPr>
        <w:spacing w:after="0" w:line="259" w:lineRule="auto"/>
        <w:ind w:left="0"/>
        <w:rPr>
          <w:rFonts w:ascii="Arial Narrow" w:hAnsi="Arial Narrow"/>
          <w:sz w:val="16"/>
          <w:szCs w:val="16"/>
        </w:rPr>
        <w:sectPr w:rsidR="00B51828" w:rsidSect="002101D2">
          <w:footerReference w:type="default" r:id="rId27"/>
          <w:pgSz w:w="16838" w:h="11906" w:orient="landscape" w:code="9"/>
          <w:pgMar w:top="1440" w:right="1440" w:bottom="1440" w:left="1440" w:header="680" w:footer="1021" w:gutter="0"/>
          <w:cols w:space="708"/>
          <w:docGrid w:linePitch="360"/>
        </w:sectPr>
      </w:pPr>
    </w:p>
    <w:p w14:paraId="2F965B95" w14:textId="0EFE6AAC" w:rsidR="00B51828" w:rsidRDefault="00B51828" w:rsidP="00B51828">
      <w:pPr>
        <w:pStyle w:val="Heading3"/>
        <w:numPr>
          <w:ilvl w:val="2"/>
          <w:numId w:val="1"/>
        </w:numPr>
      </w:pPr>
      <w:bookmarkStart w:id="158" w:name="_Ref395188697"/>
      <w:bookmarkStart w:id="159" w:name="_Ref395262749"/>
      <w:r>
        <w:lastRenderedPageBreak/>
        <w:t>Clinically</w:t>
      </w:r>
      <w:r w:rsidR="0053670C">
        <w:t xml:space="preserve"> </w:t>
      </w:r>
      <w:r>
        <w:t>relevant change in diagnosis or interpretation</w:t>
      </w:r>
      <w:bookmarkEnd w:id="158"/>
      <w:bookmarkEnd w:id="159"/>
    </w:p>
    <w:p w14:paraId="36443AB9" w14:textId="1B9D93E9" w:rsidR="00B51828" w:rsidRDefault="00B51828" w:rsidP="002101D2">
      <w:r w:rsidRPr="00691159">
        <w:t xml:space="preserve">As discussed in Section </w:t>
      </w:r>
      <w:r w:rsidRPr="00691159">
        <w:fldChar w:fldCharType="begin"/>
      </w:r>
      <w:r w:rsidRPr="00691159">
        <w:instrText xml:space="preserve"> REF _Ref395191245 \w \h  \* MERGEFORMAT </w:instrText>
      </w:r>
      <w:r w:rsidRPr="00691159">
        <w:fldChar w:fldCharType="separate"/>
      </w:r>
      <w:r w:rsidR="0044620B">
        <w:t>B.5.1</w:t>
      </w:r>
      <w:r w:rsidRPr="00691159">
        <w:fldChar w:fldCharType="end"/>
      </w:r>
      <w:r w:rsidRPr="00691159">
        <w:t>, discordant or discrepant cases can be categorised into major and minor discrepancies. While the rate of minor discrepancies is therefore an important measure of diagnostic accuracy, it has little value in terms of clinically</w:t>
      </w:r>
      <w:r w:rsidR="0053670C">
        <w:t xml:space="preserve"> </w:t>
      </w:r>
      <w:r w:rsidRPr="00691159">
        <w:t>relevant changes in diagnosis. As such, the minor discrepancy results from the included studies are presented in Appendix 4.</w:t>
      </w:r>
      <w:r>
        <w:t xml:space="preserve">  </w:t>
      </w:r>
    </w:p>
    <w:p w14:paraId="728D8BA5" w14:textId="7EC8B08A" w:rsidR="00B51828" w:rsidRDefault="00B51828" w:rsidP="002101D2">
      <w:r>
        <w:t xml:space="preserve">As discussed in Section </w:t>
      </w:r>
      <w:r>
        <w:fldChar w:fldCharType="begin"/>
      </w:r>
      <w:r>
        <w:instrText xml:space="preserve"> REF _Ref395343468 \r \h </w:instrText>
      </w:r>
      <w:r>
        <w:fldChar w:fldCharType="separate"/>
      </w:r>
      <w:r w:rsidR="0044620B">
        <w:t>B.5.2</w:t>
      </w:r>
      <w:r>
        <w:fldChar w:fldCharType="end"/>
      </w:r>
      <w:r>
        <w:t>, the majority of the included studies used the terminology ‘major discrepancy’ to refer to clinically</w:t>
      </w:r>
      <w:r w:rsidR="0053670C">
        <w:t xml:space="preserve"> </w:t>
      </w:r>
      <w:r>
        <w:t xml:space="preserve">relevant changes in diagnosis that would result in a change in patient management. It could therefore be argued that the rate of major discrepancies represents the best available evidence from the current body of literature to determine the value of second, expert opinions. </w:t>
      </w:r>
    </w:p>
    <w:p w14:paraId="3B331AE0" w14:textId="08FDDF43" w:rsidR="00B51828" w:rsidRDefault="00B51828" w:rsidP="002101D2">
      <w:r>
        <w:t xml:space="preserve">Like overall discordance (or discrepancy) rates, there was substantial variation in the proportion of major discrepancies across the included studies, as shown in </w:t>
      </w:r>
      <w:r>
        <w:fldChar w:fldCharType="begin"/>
      </w:r>
      <w:r>
        <w:instrText xml:space="preserve"> REF _Ref395256161 \h </w:instrText>
      </w:r>
      <w:r>
        <w:fldChar w:fldCharType="separate"/>
      </w:r>
      <w:r w:rsidR="0044620B">
        <w:t xml:space="preserve">Table </w:t>
      </w:r>
      <w:r w:rsidR="0044620B">
        <w:rPr>
          <w:noProof/>
        </w:rPr>
        <w:t>B.6</w:t>
      </w:r>
      <w:r w:rsidR="0044620B">
        <w:noBreakHyphen/>
      </w:r>
      <w:r w:rsidR="0044620B">
        <w:rPr>
          <w:noProof/>
        </w:rPr>
        <w:t>5</w:t>
      </w:r>
      <w:r>
        <w:fldChar w:fldCharType="end"/>
      </w:r>
      <w:r>
        <w:t xml:space="preserve"> and </w:t>
      </w:r>
      <w:r>
        <w:fldChar w:fldCharType="begin"/>
      </w:r>
      <w:r>
        <w:instrText xml:space="preserve"> REF _Ref395353173 \h </w:instrText>
      </w:r>
      <w:r>
        <w:fldChar w:fldCharType="separate"/>
      </w:r>
      <w:r w:rsidR="0044620B">
        <w:t xml:space="preserve">Table </w:t>
      </w:r>
      <w:r w:rsidR="0044620B">
        <w:rPr>
          <w:noProof/>
        </w:rPr>
        <w:t>B.6</w:t>
      </w:r>
      <w:r w:rsidR="0044620B">
        <w:noBreakHyphen/>
      </w:r>
      <w:r w:rsidR="0044620B">
        <w:rPr>
          <w:noProof/>
        </w:rPr>
        <w:t>6</w:t>
      </w:r>
      <w:r>
        <w:fldChar w:fldCharType="end"/>
      </w:r>
      <w:r>
        <w:t xml:space="preserve">. Of the </w:t>
      </w:r>
      <w:r>
        <w:rPr>
          <w:i/>
        </w:rPr>
        <w:t xml:space="preserve">Scenario 1 </w:t>
      </w:r>
      <w:r>
        <w:t xml:space="preserve">studies, the highest proportion of major discrepancies was 26.5% from a study of cutaneous melanocytic lesions </w:t>
      </w:r>
      <w:r>
        <w:rPr>
          <w:noProof/>
        </w:rPr>
        <w:t>(</w:t>
      </w:r>
      <w:r w:rsidR="00525F10">
        <w:rPr>
          <w:noProof/>
        </w:rPr>
        <w:t>v</w:t>
      </w:r>
      <w:r>
        <w:rPr>
          <w:noProof/>
        </w:rPr>
        <w:t>an Dijk et al, 2008)</w:t>
      </w:r>
      <w:r>
        <w:t xml:space="preserve">. Similarly, 23.2% of skin lesions sent for expert review resulted in a change from malignant to benign or vice versa </w:t>
      </w:r>
      <w:r>
        <w:rPr>
          <w:noProof/>
        </w:rPr>
        <w:t>(Veenhuizen et al, 1997)</w:t>
      </w:r>
      <w:r>
        <w:t xml:space="preserve"> and 24.4% of cases in a sarcoma study resulted in major discrepancies </w:t>
      </w:r>
      <w:r>
        <w:rPr>
          <w:noProof/>
        </w:rPr>
        <w:t>(Arbiser et al, 2001)</w:t>
      </w:r>
      <w:r>
        <w:t xml:space="preserve">. In contrast, a study of urothelial lesions </w:t>
      </w:r>
      <w:r>
        <w:rPr>
          <w:noProof/>
        </w:rPr>
        <w:t>(Tavora et al, 2009)</w:t>
      </w:r>
      <w:r>
        <w:t xml:space="preserve"> reported a major discrepancy rate of only 9.2% and one of the studies of all surgical pathology </w:t>
      </w:r>
      <w:r>
        <w:rPr>
          <w:noProof/>
        </w:rPr>
        <w:t>(Hsu et al, 2010)</w:t>
      </w:r>
      <w:r>
        <w:t xml:space="preserve"> found major discrepancies in only 12.3% of cases, indicating that major discrepancies are uncommon in some tissue types. Hsu et al (2010) provided a breakdown of the number of major discrepancies according to the tissue of origin (see </w:t>
      </w:r>
      <w:r>
        <w:fldChar w:fldCharType="begin"/>
      </w:r>
      <w:r>
        <w:instrText xml:space="preserve"> REF _Ref395194024 \h </w:instrText>
      </w:r>
      <w:r>
        <w:fldChar w:fldCharType="separate"/>
      </w:r>
      <w:r w:rsidR="0044620B">
        <w:t xml:space="preserve">Table </w:t>
      </w:r>
      <w:r w:rsidR="0044620B">
        <w:rPr>
          <w:noProof/>
        </w:rPr>
        <w:t>B.6</w:t>
      </w:r>
      <w:r w:rsidR="0044620B">
        <w:noBreakHyphen/>
      </w:r>
      <w:r w:rsidR="0044620B">
        <w:rPr>
          <w:noProof/>
        </w:rPr>
        <w:t>7</w:t>
      </w:r>
      <w:r>
        <w:fldChar w:fldCharType="end"/>
      </w:r>
      <w:r>
        <w:t>).</w:t>
      </w:r>
    </w:p>
    <w:p w14:paraId="329AC670" w14:textId="77777777" w:rsidR="00B51828" w:rsidRDefault="00B51828" w:rsidP="002101D2">
      <w:r>
        <w:t xml:space="preserve">Only one </w:t>
      </w:r>
      <w:r>
        <w:rPr>
          <w:i/>
        </w:rPr>
        <w:t>Scenario 2</w:t>
      </w:r>
      <w:r>
        <w:t xml:space="preserve"> study reported the number of major discrepancies detected during expert review. Bruner et al (1997) reported a major discrepancy rate of 12.3% for brain and spinal cord biopsies. The study also assessed the number of patients who had initiated therapy (other than biopsy or surgery) before the second, expert opinion had been conducted. Of the 32 cases with major discrepancies, four (12.5%) had initiated therapy before the diagnosis was changed; 26 (81.3%) had not undergone therapy; and the status of two (6.3%) patients was unknown.  </w:t>
      </w:r>
    </w:p>
    <w:p w14:paraId="76BB7FF7" w14:textId="77777777" w:rsidR="00B51828" w:rsidRDefault="00B51828" w:rsidP="002101D2">
      <w:pPr>
        <w:sectPr w:rsidR="00B51828" w:rsidSect="002101D2">
          <w:footerReference w:type="default" r:id="rId28"/>
          <w:pgSz w:w="11906" w:h="16838" w:code="9"/>
          <w:pgMar w:top="1440" w:right="1440" w:bottom="1440" w:left="1440" w:header="680" w:footer="1021" w:gutter="0"/>
          <w:cols w:space="708"/>
          <w:docGrid w:linePitch="360"/>
        </w:sectPr>
      </w:pPr>
      <w:r>
        <w:t xml:space="preserve">In most cases, the nature of the major discrepancy (e.g. a change from benign to malignant) was also provided. Those results are also shown in </w:t>
      </w:r>
      <w:r>
        <w:fldChar w:fldCharType="begin"/>
      </w:r>
      <w:r>
        <w:instrText xml:space="preserve"> REF _Ref395256161 \h  \* MERGEFORMAT </w:instrText>
      </w:r>
      <w:r>
        <w:fldChar w:fldCharType="separate"/>
      </w:r>
      <w:r w:rsidR="0044620B">
        <w:t xml:space="preserve">Table </w:t>
      </w:r>
      <w:r w:rsidR="0044620B">
        <w:rPr>
          <w:noProof/>
        </w:rPr>
        <w:t>B.6</w:t>
      </w:r>
      <w:r w:rsidR="0044620B">
        <w:rPr>
          <w:noProof/>
        </w:rPr>
        <w:noBreakHyphen/>
        <w:t>5</w:t>
      </w:r>
      <w:r>
        <w:fldChar w:fldCharType="end"/>
      </w:r>
      <w:r>
        <w:t xml:space="preserve"> and </w:t>
      </w:r>
      <w:r>
        <w:fldChar w:fldCharType="begin"/>
      </w:r>
      <w:r>
        <w:instrText xml:space="preserve"> REF _Ref395353173 \h </w:instrText>
      </w:r>
      <w:r>
        <w:fldChar w:fldCharType="separate"/>
      </w:r>
      <w:r w:rsidR="0044620B">
        <w:t xml:space="preserve">Table </w:t>
      </w:r>
      <w:r w:rsidR="0044620B">
        <w:rPr>
          <w:noProof/>
        </w:rPr>
        <w:t>B.6</w:t>
      </w:r>
      <w:r w:rsidR="0044620B">
        <w:noBreakHyphen/>
      </w:r>
      <w:r w:rsidR="0044620B">
        <w:rPr>
          <w:noProof/>
        </w:rPr>
        <w:t>6</w:t>
      </w:r>
      <w:r>
        <w:fldChar w:fldCharType="end"/>
      </w:r>
      <w:r>
        <w:t xml:space="preserve"> as a proportion of cases with a provisional diagnosis.</w:t>
      </w:r>
    </w:p>
    <w:p w14:paraId="1229194D" w14:textId="77777777" w:rsidR="00B51828" w:rsidRDefault="00B51828" w:rsidP="002101D2">
      <w:pPr>
        <w:pStyle w:val="Caption"/>
        <w:ind w:left="1406" w:hanging="1406"/>
      </w:pPr>
      <w:bookmarkStart w:id="160" w:name="_Ref395256161"/>
      <w:bookmarkStart w:id="161" w:name="_Toc395280224"/>
      <w:bookmarkStart w:id="162" w:name="_Toc396211748"/>
      <w:r>
        <w:lastRenderedPageBreak/>
        <w:t xml:space="preserve">Table </w:t>
      </w:r>
      <w:fldSimple w:instr=" STYLEREF 2 \s ">
        <w:r w:rsidR="0044620B">
          <w:rPr>
            <w:noProof/>
          </w:rPr>
          <w:t>B.6</w:t>
        </w:r>
      </w:fldSimple>
      <w:r>
        <w:noBreakHyphen/>
      </w:r>
      <w:fldSimple w:instr=" SEQ Table \* ARABIC \s 2 ">
        <w:r w:rsidR="0044620B">
          <w:rPr>
            <w:noProof/>
          </w:rPr>
          <w:t>5</w:t>
        </w:r>
      </w:fldSimple>
      <w:bookmarkEnd w:id="160"/>
      <w:r>
        <w:tab/>
        <w:t xml:space="preserve">Major discrepancies between initial and expert pathology opinions – </w:t>
      </w:r>
      <w:r>
        <w:rPr>
          <w:i/>
        </w:rPr>
        <w:t>Scenario 1</w:t>
      </w:r>
      <w:bookmarkEnd w:id="161"/>
      <w:r>
        <w:rPr>
          <w:i/>
        </w:rPr>
        <w:t xml:space="preserve"> studies</w:t>
      </w:r>
      <w:bookmarkEnd w:id="162"/>
    </w:p>
    <w:tbl>
      <w:tblPr>
        <w:tblStyle w:val="TableGrid7"/>
        <w:tblW w:w="5000" w:type="pct"/>
        <w:tblCellMar>
          <w:left w:w="57" w:type="dxa"/>
          <w:right w:w="57" w:type="dxa"/>
        </w:tblCellMar>
        <w:tblLook w:val="04A0" w:firstRow="1" w:lastRow="0" w:firstColumn="1" w:lastColumn="0" w:noHBand="0" w:noVBand="1"/>
        <w:tblCaption w:val="Major discrepancies – Scenario 1 studies"/>
        <w:tblDescription w:val="Major discrepancies between initial and expert pathology opinions – Scenario 1 studies"/>
      </w:tblPr>
      <w:tblGrid>
        <w:gridCol w:w="2580"/>
        <w:gridCol w:w="2874"/>
        <w:gridCol w:w="5888"/>
        <w:gridCol w:w="2730"/>
      </w:tblGrid>
      <w:tr w:rsidR="00B51828" w:rsidRPr="00A834D0" w14:paraId="196BCAAA" w14:textId="77777777" w:rsidTr="002101D2">
        <w:trPr>
          <w:tblHeader/>
        </w:trPr>
        <w:tc>
          <w:tcPr>
            <w:tcW w:w="917" w:type="pct"/>
          </w:tcPr>
          <w:p w14:paraId="4DBC481C" w14:textId="77777777" w:rsidR="00B51828" w:rsidRPr="00A834D0" w:rsidRDefault="00B51828" w:rsidP="002101D2">
            <w:pPr>
              <w:spacing w:before="20" w:after="20"/>
              <w:ind w:left="0"/>
              <w:rPr>
                <w:rFonts w:ascii="Arial Narrow" w:hAnsi="Arial Narrow"/>
                <w:b/>
                <w:sz w:val="20"/>
                <w:szCs w:val="20"/>
              </w:rPr>
            </w:pPr>
            <w:r w:rsidRPr="00A834D0">
              <w:rPr>
                <w:rFonts w:ascii="Arial Narrow" w:hAnsi="Arial Narrow"/>
                <w:b/>
                <w:sz w:val="20"/>
                <w:szCs w:val="20"/>
              </w:rPr>
              <w:t>Study ID</w:t>
            </w:r>
          </w:p>
        </w:tc>
        <w:tc>
          <w:tcPr>
            <w:tcW w:w="1021" w:type="pct"/>
          </w:tcPr>
          <w:p w14:paraId="4B27294C" w14:textId="77777777" w:rsidR="00B51828" w:rsidRPr="00A834D0" w:rsidRDefault="00B51828" w:rsidP="002101D2">
            <w:pPr>
              <w:spacing w:before="20" w:after="20"/>
              <w:ind w:left="0"/>
              <w:rPr>
                <w:rFonts w:ascii="Arial Narrow" w:hAnsi="Arial Narrow"/>
                <w:b/>
                <w:sz w:val="20"/>
                <w:szCs w:val="20"/>
              </w:rPr>
            </w:pPr>
            <w:r w:rsidRPr="00A834D0">
              <w:rPr>
                <w:rFonts w:ascii="Arial Narrow" w:hAnsi="Arial Narrow"/>
                <w:b/>
                <w:sz w:val="20"/>
                <w:szCs w:val="20"/>
              </w:rPr>
              <w:t>Population (N)</w:t>
            </w:r>
          </w:p>
        </w:tc>
        <w:tc>
          <w:tcPr>
            <w:tcW w:w="2092" w:type="pct"/>
          </w:tcPr>
          <w:p w14:paraId="38681B42" w14:textId="77777777" w:rsidR="00B51828" w:rsidRPr="00A834D0" w:rsidRDefault="00B51828" w:rsidP="002101D2">
            <w:pPr>
              <w:spacing w:before="20" w:after="20"/>
              <w:ind w:left="0"/>
              <w:rPr>
                <w:rFonts w:ascii="Arial Narrow" w:hAnsi="Arial Narrow"/>
                <w:b/>
                <w:sz w:val="20"/>
                <w:szCs w:val="20"/>
              </w:rPr>
            </w:pPr>
            <w:r w:rsidRPr="00A834D0">
              <w:rPr>
                <w:rFonts w:ascii="Arial Narrow" w:hAnsi="Arial Narrow"/>
                <w:b/>
                <w:sz w:val="20"/>
                <w:szCs w:val="20"/>
              </w:rPr>
              <w:t>Outcome</w:t>
            </w:r>
          </w:p>
        </w:tc>
        <w:tc>
          <w:tcPr>
            <w:tcW w:w="970" w:type="pct"/>
          </w:tcPr>
          <w:p w14:paraId="0CEA73DE" w14:textId="77777777" w:rsidR="00B51828" w:rsidRPr="00A834D0" w:rsidRDefault="00B51828" w:rsidP="002101D2">
            <w:pPr>
              <w:spacing w:before="20" w:after="20"/>
              <w:ind w:left="0"/>
              <w:rPr>
                <w:rFonts w:ascii="Arial Narrow" w:hAnsi="Arial Narrow"/>
                <w:b/>
                <w:sz w:val="20"/>
                <w:szCs w:val="20"/>
              </w:rPr>
            </w:pPr>
            <w:r w:rsidRPr="00A834D0">
              <w:rPr>
                <w:rFonts w:ascii="Arial Narrow" w:hAnsi="Arial Narrow"/>
                <w:b/>
                <w:sz w:val="20"/>
                <w:szCs w:val="20"/>
              </w:rPr>
              <w:t>Results n/N (%)</w:t>
            </w:r>
          </w:p>
        </w:tc>
      </w:tr>
      <w:tr w:rsidR="00B51828" w:rsidRPr="00A834D0" w14:paraId="1BBBA539" w14:textId="77777777" w:rsidTr="002101D2">
        <w:tc>
          <w:tcPr>
            <w:tcW w:w="917" w:type="pct"/>
            <w:shd w:val="clear" w:color="auto" w:fill="BFBFBF" w:themeFill="background1" w:themeFillShade="BF"/>
          </w:tcPr>
          <w:p w14:paraId="574AAC61"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ALL SURGICAL PATHOLOGY</w:t>
            </w:r>
          </w:p>
        </w:tc>
        <w:tc>
          <w:tcPr>
            <w:tcW w:w="1021" w:type="pct"/>
            <w:shd w:val="clear" w:color="auto" w:fill="BFBFBF" w:themeFill="background1" w:themeFillShade="BF"/>
          </w:tcPr>
          <w:p w14:paraId="66C3F029"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c>
          <w:tcPr>
            <w:tcW w:w="2092" w:type="pct"/>
            <w:shd w:val="clear" w:color="auto" w:fill="BFBFBF" w:themeFill="background1" w:themeFillShade="BF"/>
          </w:tcPr>
          <w:p w14:paraId="05E13674"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c>
          <w:tcPr>
            <w:tcW w:w="970" w:type="pct"/>
            <w:shd w:val="clear" w:color="auto" w:fill="BFBFBF" w:themeFill="background1" w:themeFillShade="BF"/>
          </w:tcPr>
          <w:p w14:paraId="2BF2C6A6"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r>
      <w:tr w:rsidR="00B51828" w:rsidRPr="00A834D0" w14:paraId="2078F8E6" w14:textId="77777777" w:rsidTr="002101D2">
        <w:tc>
          <w:tcPr>
            <w:tcW w:w="917" w:type="pct"/>
          </w:tcPr>
          <w:p w14:paraId="08BE4A29"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Cook 2001</w:t>
            </w:r>
          </w:p>
        </w:tc>
        <w:tc>
          <w:tcPr>
            <w:tcW w:w="1021" w:type="pct"/>
          </w:tcPr>
          <w:p w14:paraId="072FC131"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All histopathology; any organ system</w:t>
            </w:r>
          </w:p>
          <w:p w14:paraId="4E13346A" w14:textId="77777777" w:rsidR="00B51828" w:rsidRPr="00A834D0" w:rsidRDefault="00B51828" w:rsidP="002101D2">
            <w:pPr>
              <w:spacing w:before="20" w:after="20"/>
              <w:ind w:left="0"/>
              <w:rPr>
                <w:rFonts w:ascii="Arial Narrow" w:hAnsi="Arial Narrow"/>
                <w:sz w:val="20"/>
                <w:szCs w:val="20"/>
                <w:vertAlign w:val="superscript"/>
              </w:rPr>
            </w:pPr>
            <w:r w:rsidRPr="00A834D0">
              <w:rPr>
                <w:rFonts w:ascii="Arial Narrow" w:hAnsi="Arial Narrow"/>
                <w:sz w:val="20"/>
                <w:szCs w:val="20"/>
              </w:rPr>
              <w:t>N=128 cases</w:t>
            </w:r>
            <w:r w:rsidRPr="00A834D0">
              <w:rPr>
                <w:rFonts w:ascii="Arial Narrow" w:hAnsi="Arial Narrow"/>
                <w:sz w:val="20"/>
                <w:szCs w:val="20"/>
                <w:vertAlign w:val="superscript"/>
              </w:rPr>
              <w:t>a</w:t>
            </w:r>
          </w:p>
        </w:tc>
        <w:tc>
          <w:tcPr>
            <w:tcW w:w="2092" w:type="pct"/>
          </w:tcPr>
          <w:p w14:paraId="51CEA883"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Major discrepancy in cases with a provisional diagnosis</w:t>
            </w:r>
          </w:p>
          <w:p w14:paraId="002399E9" w14:textId="77777777" w:rsidR="00B51828" w:rsidRPr="00A834D0" w:rsidRDefault="00B51828" w:rsidP="002101D2">
            <w:pPr>
              <w:spacing w:before="20" w:after="20"/>
              <w:ind w:left="284"/>
              <w:rPr>
                <w:rFonts w:ascii="Arial Narrow" w:hAnsi="Arial Narrow"/>
                <w:i/>
                <w:sz w:val="20"/>
                <w:szCs w:val="20"/>
              </w:rPr>
            </w:pPr>
            <w:r w:rsidRPr="00A834D0">
              <w:rPr>
                <w:rFonts w:ascii="Arial Narrow" w:hAnsi="Arial Narrow"/>
                <w:i/>
                <w:sz w:val="20"/>
                <w:szCs w:val="20"/>
              </w:rPr>
              <w:t>Nature of major discrepancy (as a proportion of cases with a provisional diagnosis):</w:t>
            </w:r>
          </w:p>
          <w:p w14:paraId="70D43DD5" w14:textId="77777777" w:rsidR="00B51828" w:rsidRPr="00A834D0"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Change from benign to malignant</w:t>
            </w:r>
          </w:p>
          <w:p w14:paraId="19550B72" w14:textId="77777777" w:rsidR="00B51828" w:rsidRPr="006F343E"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Change from malignant to benign</w:t>
            </w:r>
          </w:p>
        </w:tc>
        <w:tc>
          <w:tcPr>
            <w:tcW w:w="970" w:type="pct"/>
          </w:tcPr>
          <w:p w14:paraId="6EA4C80A"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10/55 (18.2%)</w:t>
            </w:r>
          </w:p>
          <w:p w14:paraId="429B073E" w14:textId="77777777" w:rsidR="00B51828" w:rsidRPr="00A834D0" w:rsidRDefault="00B51828" w:rsidP="002101D2">
            <w:pPr>
              <w:spacing w:before="20" w:after="20"/>
              <w:ind w:left="0"/>
              <w:rPr>
                <w:rFonts w:ascii="Arial Narrow" w:hAnsi="Arial Narrow"/>
                <w:sz w:val="20"/>
                <w:szCs w:val="20"/>
              </w:rPr>
            </w:pPr>
          </w:p>
          <w:p w14:paraId="5071A6AC" w14:textId="77777777" w:rsidR="00B51828" w:rsidRPr="00A834D0" w:rsidRDefault="00B51828" w:rsidP="002101D2">
            <w:pPr>
              <w:spacing w:before="20" w:after="20"/>
              <w:ind w:left="0"/>
              <w:rPr>
                <w:rFonts w:ascii="Arial Narrow" w:hAnsi="Arial Narrow"/>
                <w:sz w:val="20"/>
                <w:szCs w:val="20"/>
              </w:rPr>
            </w:pPr>
          </w:p>
          <w:p w14:paraId="3313E376"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5/55 (9.1%)</w:t>
            </w:r>
          </w:p>
          <w:p w14:paraId="1D09EA94"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5/55 (9.1%)</w:t>
            </w:r>
          </w:p>
        </w:tc>
      </w:tr>
      <w:tr w:rsidR="00B51828" w:rsidRPr="00A834D0" w14:paraId="5B0C7D96" w14:textId="77777777" w:rsidTr="002101D2">
        <w:tc>
          <w:tcPr>
            <w:tcW w:w="917" w:type="pct"/>
          </w:tcPr>
          <w:p w14:paraId="5BF14DD2"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Hsu 2010</w:t>
            </w:r>
          </w:p>
        </w:tc>
        <w:tc>
          <w:tcPr>
            <w:tcW w:w="1021" w:type="pct"/>
          </w:tcPr>
          <w:p w14:paraId="534348F4"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Anatomic pathology; any organ system</w:t>
            </w:r>
          </w:p>
          <w:p w14:paraId="5752A669"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N=2686 cases</w:t>
            </w:r>
            <w:r w:rsidRPr="00A834D0">
              <w:rPr>
                <w:rFonts w:ascii="Arial Narrow" w:hAnsi="Arial Narrow"/>
                <w:sz w:val="20"/>
                <w:szCs w:val="20"/>
                <w:vertAlign w:val="superscript"/>
              </w:rPr>
              <w:t>b</w:t>
            </w:r>
          </w:p>
        </w:tc>
        <w:tc>
          <w:tcPr>
            <w:tcW w:w="2092" w:type="pct"/>
          </w:tcPr>
          <w:p w14:paraId="18C6E7F5"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Major discrepancy in cases with a provisional diagnosis</w:t>
            </w:r>
          </w:p>
          <w:p w14:paraId="21BD655E" w14:textId="77777777" w:rsidR="00B51828" w:rsidRPr="00A834D0" w:rsidRDefault="00B51828" w:rsidP="002101D2">
            <w:pPr>
              <w:spacing w:before="20" w:after="20"/>
              <w:ind w:left="284"/>
              <w:rPr>
                <w:rFonts w:ascii="Arial Narrow" w:hAnsi="Arial Narrow"/>
                <w:i/>
                <w:sz w:val="20"/>
                <w:szCs w:val="20"/>
              </w:rPr>
            </w:pPr>
            <w:r w:rsidRPr="00A834D0">
              <w:rPr>
                <w:rFonts w:ascii="Arial Narrow" w:hAnsi="Arial Narrow"/>
                <w:i/>
                <w:sz w:val="20"/>
                <w:szCs w:val="20"/>
              </w:rPr>
              <w:t>Nature of major discrepancy (as a proportion of cases with a provisional diagnosis):</w:t>
            </w:r>
          </w:p>
          <w:p w14:paraId="79E685EF" w14:textId="77777777" w:rsidR="00B51828" w:rsidRPr="00A834D0"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Change from benign to malignant</w:t>
            </w:r>
          </w:p>
          <w:p w14:paraId="1BAD2A45" w14:textId="77777777" w:rsidR="00B51828" w:rsidRPr="00A834D0"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Change from malignant to benign</w:t>
            </w:r>
          </w:p>
          <w:p w14:paraId="5D3B6A10" w14:textId="77777777" w:rsidR="00B51828" w:rsidRPr="006F343E"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Change from one category of malignancy to another</w:t>
            </w:r>
          </w:p>
        </w:tc>
        <w:tc>
          <w:tcPr>
            <w:tcW w:w="970" w:type="pct"/>
          </w:tcPr>
          <w:p w14:paraId="4B60CF37"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205/1670 (12.3%)</w:t>
            </w:r>
          </w:p>
          <w:p w14:paraId="5BFA3DEE" w14:textId="77777777" w:rsidR="00B51828" w:rsidRPr="00A834D0" w:rsidRDefault="00B51828" w:rsidP="002101D2">
            <w:pPr>
              <w:spacing w:before="20" w:after="20"/>
              <w:ind w:left="0"/>
              <w:rPr>
                <w:rFonts w:ascii="Arial Narrow" w:hAnsi="Arial Narrow"/>
                <w:sz w:val="20"/>
                <w:szCs w:val="20"/>
              </w:rPr>
            </w:pPr>
          </w:p>
          <w:p w14:paraId="2A26C235" w14:textId="77777777" w:rsidR="00B51828" w:rsidRPr="00A834D0" w:rsidRDefault="00B51828" w:rsidP="002101D2">
            <w:pPr>
              <w:spacing w:before="20" w:after="20"/>
              <w:ind w:left="0"/>
              <w:rPr>
                <w:rFonts w:ascii="Arial Narrow" w:hAnsi="Arial Narrow"/>
                <w:sz w:val="20"/>
                <w:szCs w:val="20"/>
              </w:rPr>
            </w:pPr>
          </w:p>
          <w:p w14:paraId="2BF53090"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43/1670 (2.6%)</w:t>
            </w:r>
          </w:p>
          <w:p w14:paraId="7854DED3"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137/1670 (8.2%)</w:t>
            </w:r>
          </w:p>
          <w:p w14:paraId="6AF52EAC"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25/1670 (1.5%)</w:t>
            </w:r>
          </w:p>
        </w:tc>
      </w:tr>
      <w:tr w:rsidR="00B51828" w:rsidRPr="00A834D0" w14:paraId="2E889E31" w14:textId="77777777" w:rsidTr="002101D2">
        <w:trPr>
          <w:trHeight w:val="64"/>
        </w:trPr>
        <w:tc>
          <w:tcPr>
            <w:tcW w:w="917" w:type="pct"/>
            <w:shd w:val="clear" w:color="auto" w:fill="BFBFBF" w:themeFill="background1" w:themeFillShade="BF"/>
          </w:tcPr>
          <w:p w14:paraId="093ABC23"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SOFT TISSUE/SARCOMA</w:t>
            </w:r>
          </w:p>
        </w:tc>
        <w:tc>
          <w:tcPr>
            <w:tcW w:w="1021" w:type="pct"/>
            <w:shd w:val="clear" w:color="auto" w:fill="BFBFBF" w:themeFill="background1" w:themeFillShade="BF"/>
          </w:tcPr>
          <w:p w14:paraId="2D50399F"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c>
          <w:tcPr>
            <w:tcW w:w="2092" w:type="pct"/>
            <w:shd w:val="clear" w:color="auto" w:fill="BFBFBF" w:themeFill="background1" w:themeFillShade="BF"/>
          </w:tcPr>
          <w:p w14:paraId="79BF575C"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c>
          <w:tcPr>
            <w:tcW w:w="970" w:type="pct"/>
            <w:shd w:val="clear" w:color="auto" w:fill="BFBFBF" w:themeFill="background1" w:themeFillShade="BF"/>
          </w:tcPr>
          <w:p w14:paraId="3C875304"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r>
      <w:tr w:rsidR="00B51828" w:rsidRPr="00A834D0" w14:paraId="471111B5" w14:textId="77777777" w:rsidTr="002101D2">
        <w:trPr>
          <w:trHeight w:val="64"/>
        </w:trPr>
        <w:tc>
          <w:tcPr>
            <w:tcW w:w="917" w:type="pct"/>
          </w:tcPr>
          <w:p w14:paraId="4A297A31"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Arbiser 2001</w:t>
            </w:r>
          </w:p>
        </w:tc>
        <w:tc>
          <w:tcPr>
            <w:tcW w:w="1021" w:type="pct"/>
          </w:tcPr>
          <w:p w14:paraId="34419313"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 xml:space="preserve">Soft tissue lesions </w:t>
            </w:r>
          </w:p>
          <w:p w14:paraId="52B4219C"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N=500 cases</w:t>
            </w:r>
          </w:p>
        </w:tc>
        <w:tc>
          <w:tcPr>
            <w:tcW w:w="2092" w:type="pct"/>
          </w:tcPr>
          <w:p w14:paraId="637A321D"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Major discrepancy</w:t>
            </w:r>
            <w:r w:rsidRPr="00A834D0">
              <w:rPr>
                <w:rFonts w:ascii="Arial Narrow" w:hAnsi="Arial Narrow"/>
                <w:sz w:val="20"/>
                <w:szCs w:val="20"/>
                <w:vertAlign w:val="superscript"/>
              </w:rPr>
              <w:t xml:space="preserve">c </w:t>
            </w:r>
            <w:r w:rsidRPr="00A834D0">
              <w:rPr>
                <w:rFonts w:ascii="Arial Narrow" w:hAnsi="Arial Narrow"/>
                <w:sz w:val="20"/>
                <w:szCs w:val="20"/>
              </w:rPr>
              <w:t>in cases with a provisional diagnosis</w:t>
            </w:r>
          </w:p>
          <w:p w14:paraId="61E17792" w14:textId="77777777" w:rsidR="00B51828" w:rsidRPr="00A834D0" w:rsidRDefault="00B51828" w:rsidP="002101D2">
            <w:pPr>
              <w:spacing w:before="20" w:after="20"/>
              <w:ind w:left="284"/>
              <w:rPr>
                <w:rFonts w:ascii="Arial Narrow" w:hAnsi="Arial Narrow"/>
                <w:i/>
                <w:sz w:val="20"/>
                <w:szCs w:val="20"/>
              </w:rPr>
            </w:pPr>
            <w:r w:rsidRPr="00A834D0">
              <w:rPr>
                <w:rFonts w:ascii="Arial Narrow" w:hAnsi="Arial Narrow"/>
                <w:i/>
                <w:sz w:val="20"/>
                <w:szCs w:val="20"/>
              </w:rPr>
              <w:t>Nature of major discrepancy (as a proportion of cases with a provisional diagnosis):</w:t>
            </w:r>
          </w:p>
          <w:p w14:paraId="21B5119B" w14:textId="77777777" w:rsidR="00B51828" w:rsidRPr="00A834D0"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Change from sarcoma to benign mesenchymal lesion</w:t>
            </w:r>
          </w:p>
          <w:p w14:paraId="3A711A8F" w14:textId="77777777" w:rsidR="00B51828" w:rsidRPr="00A834D0"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Change from benign mesenchymal lesion to sarcoma</w:t>
            </w:r>
          </w:p>
          <w:p w14:paraId="2014C315" w14:textId="77777777" w:rsidR="00B51828" w:rsidRPr="00A834D0"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Change from mesenchymal to nonmesenchymal tumour</w:t>
            </w:r>
          </w:p>
          <w:p w14:paraId="578CBC04" w14:textId="77777777" w:rsidR="00B51828" w:rsidRPr="006F343E" w:rsidRDefault="00B51828" w:rsidP="00B51828">
            <w:pPr>
              <w:numPr>
                <w:ilvl w:val="0"/>
                <w:numId w:val="50"/>
              </w:numPr>
              <w:spacing w:before="20" w:after="20"/>
              <w:contextualSpacing/>
              <w:rPr>
                <w:rFonts w:ascii="Arial Narrow" w:hAnsi="Arial Narrow"/>
                <w:sz w:val="20"/>
                <w:szCs w:val="20"/>
              </w:rPr>
            </w:pPr>
            <w:r w:rsidRPr="00A834D0">
              <w:rPr>
                <w:rFonts w:ascii="Arial Narrow" w:hAnsi="Arial Narrow"/>
                <w:sz w:val="20"/>
                <w:szCs w:val="20"/>
              </w:rPr>
              <w:t>Grading discrepancy</w:t>
            </w:r>
            <w:r w:rsidRPr="006F343E">
              <w:rPr>
                <w:rFonts w:ascii="Arial Narrow" w:hAnsi="Arial Narrow"/>
                <w:sz w:val="20"/>
                <w:szCs w:val="20"/>
              </w:rPr>
              <w:t xml:space="preserve"> </w:t>
            </w:r>
          </w:p>
        </w:tc>
        <w:tc>
          <w:tcPr>
            <w:tcW w:w="970" w:type="pct"/>
          </w:tcPr>
          <w:p w14:paraId="4D15D8EB"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65/266 (24.4%)</w:t>
            </w:r>
          </w:p>
          <w:p w14:paraId="5A2F85B0" w14:textId="77777777" w:rsidR="00B51828" w:rsidRPr="00A834D0" w:rsidRDefault="00B51828" w:rsidP="002101D2">
            <w:pPr>
              <w:spacing w:before="20" w:after="20"/>
              <w:ind w:left="0"/>
              <w:rPr>
                <w:rFonts w:ascii="Arial Narrow" w:hAnsi="Arial Narrow"/>
                <w:sz w:val="20"/>
                <w:szCs w:val="20"/>
              </w:rPr>
            </w:pPr>
          </w:p>
          <w:p w14:paraId="6C28945D" w14:textId="77777777" w:rsidR="00B51828" w:rsidRPr="00A834D0" w:rsidRDefault="00B51828" w:rsidP="002101D2">
            <w:pPr>
              <w:spacing w:before="20" w:after="20"/>
              <w:ind w:left="0"/>
              <w:rPr>
                <w:rFonts w:ascii="Arial Narrow" w:hAnsi="Arial Narrow"/>
                <w:sz w:val="20"/>
                <w:szCs w:val="20"/>
              </w:rPr>
            </w:pPr>
          </w:p>
          <w:p w14:paraId="6BD0B569"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29/266 (10.9%)</w:t>
            </w:r>
          </w:p>
          <w:p w14:paraId="40CC6046"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15/266 (5.6%)</w:t>
            </w:r>
          </w:p>
          <w:p w14:paraId="7B964341"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13/266 (4.9%)</w:t>
            </w:r>
          </w:p>
          <w:p w14:paraId="4E9F0F0C"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8/266 (3.0%)</w:t>
            </w:r>
          </w:p>
        </w:tc>
      </w:tr>
      <w:tr w:rsidR="00B51828" w:rsidRPr="00A834D0" w14:paraId="73A053D2" w14:textId="77777777" w:rsidTr="002101D2">
        <w:trPr>
          <w:trHeight w:val="64"/>
        </w:trPr>
        <w:tc>
          <w:tcPr>
            <w:tcW w:w="917" w:type="pct"/>
          </w:tcPr>
          <w:p w14:paraId="74E11821"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Ray-Coquard 2012</w:t>
            </w:r>
          </w:p>
        </w:tc>
        <w:tc>
          <w:tcPr>
            <w:tcW w:w="1021" w:type="pct"/>
          </w:tcPr>
          <w:p w14:paraId="7A679FD9"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 xml:space="preserve">Soft tissue or visceral sarcoma </w:t>
            </w:r>
          </w:p>
          <w:p w14:paraId="746C3D64" w14:textId="77777777" w:rsidR="00B51828" w:rsidRPr="00A834D0" w:rsidRDefault="00B51828" w:rsidP="002101D2">
            <w:pPr>
              <w:spacing w:before="20" w:after="20"/>
              <w:ind w:left="0"/>
              <w:rPr>
                <w:rFonts w:ascii="Arial Narrow" w:hAnsi="Arial Narrow"/>
                <w:sz w:val="20"/>
                <w:szCs w:val="20"/>
                <w:vertAlign w:val="superscript"/>
              </w:rPr>
            </w:pPr>
            <w:r w:rsidRPr="00A834D0">
              <w:rPr>
                <w:rFonts w:ascii="Arial Narrow" w:hAnsi="Arial Narrow"/>
                <w:sz w:val="20"/>
                <w:szCs w:val="20"/>
              </w:rPr>
              <w:t>N=1463 cases</w:t>
            </w:r>
            <w:r w:rsidRPr="00A834D0">
              <w:rPr>
                <w:rFonts w:ascii="Arial Narrow" w:hAnsi="Arial Narrow"/>
                <w:sz w:val="20"/>
                <w:szCs w:val="20"/>
                <w:vertAlign w:val="superscript"/>
              </w:rPr>
              <w:t>d</w:t>
            </w:r>
          </w:p>
          <w:p w14:paraId="777C2561" w14:textId="77777777" w:rsidR="00B51828" w:rsidRPr="00A834D0" w:rsidRDefault="00B51828" w:rsidP="002101D2">
            <w:pPr>
              <w:spacing w:before="20" w:after="20"/>
              <w:ind w:left="0"/>
              <w:rPr>
                <w:rFonts w:ascii="Arial Narrow" w:hAnsi="Arial Narrow"/>
                <w:sz w:val="20"/>
                <w:szCs w:val="20"/>
              </w:rPr>
            </w:pPr>
          </w:p>
        </w:tc>
        <w:tc>
          <w:tcPr>
            <w:tcW w:w="2092" w:type="pct"/>
          </w:tcPr>
          <w:p w14:paraId="70B2E469"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Complete discordance</w:t>
            </w:r>
            <w:r w:rsidRPr="00A834D0">
              <w:rPr>
                <w:rFonts w:ascii="Arial Narrow" w:hAnsi="Arial Narrow"/>
                <w:sz w:val="20"/>
                <w:szCs w:val="20"/>
                <w:vertAlign w:val="superscript"/>
              </w:rPr>
              <w:t>e</w:t>
            </w:r>
            <w:r w:rsidRPr="00A834D0">
              <w:rPr>
                <w:rFonts w:ascii="Arial Narrow" w:hAnsi="Arial Narrow"/>
                <w:sz w:val="20"/>
                <w:szCs w:val="20"/>
              </w:rPr>
              <w:t xml:space="preserve"> with initial diagnosis (i.e. major discrepancies)</w:t>
            </w:r>
          </w:p>
          <w:p w14:paraId="19F178D2" w14:textId="77777777" w:rsidR="00B51828" w:rsidRPr="00A834D0" w:rsidRDefault="00B51828" w:rsidP="002101D2">
            <w:pPr>
              <w:spacing w:before="20" w:after="20"/>
              <w:ind w:left="284"/>
              <w:rPr>
                <w:rFonts w:ascii="Arial Narrow" w:hAnsi="Arial Narrow"/>
                <w:sz w:val="20"/>
                <w:szCs w:val="20"/>
              </w:rPr>
            </w:pPr>
            <w:r w:rsidRPr="00A834D0">
              <w:rPr>
                <w:rFonts w:ascii="Arial Narrow" w:hAnsi="Arial Narrow"/>
                <w:i/>
                <w:sz w:val="20"/>
                <w:szCs w:val="20"/>
              </w:rPr>
              <w:t>Nature of major and minor discrepancies</w:t>
            </w:r>
            <w:r w:rsidRPr="00A834D0">
              <w:rPr>
                <w:rFonts w:ascii="Arial Narrow" w:hAnsi="Arial Narrow"/>
                <w:i/>
                <w:sz w:val="20"/>
                <w:szCs w:val="20"/>
                <w:vertAlign w:val="superscript"/>
              </w:rPr>
              <w:t>j</w:t>
            </w:r>
            <w:r w:rsidRPr="00A834D0">
              <w:rPr>
                <w:rFonts w:ascii="Arial Narrow" w:hAnsi="Arial Narrow"/>
                <w:i/>
                <w:sz w:val="20"/>
                <w:szCs w:val="20"/>
              </w:rPr>
              <w:t xml:space="preserve"> (as a proportion of all cases with a provisional diagnosis):</w:t>
            </w:r>
          </w:p>
          <w:p w14:paraId="5FB4E0AF" w14:textId="77777777" w:rsidR="00B51828" w:rsidRPr="00A834D0" w:rsidRDefault="00B51828" w:rsidP="00B51828">
            <w:pPr>
              <w:numPr>
                <w:ilvl w:val="0"/>
                <w:numId w:val="37"/>
              </w:numPr>
              <w:spacing w:before="20" w:after="20"/>
              <w:contextualSpacing/>
              <w:rPr>
                <w:rFonts w:ascii="Arial Narrow" w:hAnsi="Arial Narrow"/>
                <w:sz w:val="20"/>
                <w:szCs w:val="20"/>
              </w:rPr>
            </w:pPr>
            <w:r w:rsidRPr="00A834D0">
              <w:rPr>
                <w:rFonts w:ascii="Arial Narrow" w:hAnsi="Arial Narrow"/>
                <w:sz w:val="20"/>
                <w:szCs w:val="20"/>
              </w:rPr>
              <w:t>Subtype alone</w:t>
            </w:r>
          </w:p>
          <w:p w14:paraId="391C95F5" w14:textId="77777777" w:rsidR="00B51828" w:rsidRPr="00A834D0" w:rsidRDefault="00B51828" w:rsidP="00B51828">
            <w:pPr>
              <w:numPr>
                <w:ilvl w:val="0"/>
                <w:numId w:val="37"/>
              </w:numPr>
              <w:spacing w:before="20" w:after="20"/>
              <w:contextualSpacing/>
              <w:rPr>
                <w:rFonts w:ascii="Arial Narrow" w:hAnsi="Arial Narrow"/>
                <w:sz w:val="20"/>
                <w:szCs w:val="20"/>
              </w:rPr>
            </w:pPr>
            <w:r w:rsidRPr="00A834D0">
              <w:rPr>
                <w:rFonts w:ascii="Arial Narrow" w:hAnsi="Arial Narrow"/>
                <w:sz w:val="20"/>
                <w:szCs w:val="20"/>
              </w:rPr>
              <w:t>Grade alone</w:t>
            </w:r>
          </w:p>
          <w:p w14:paraId="18B19F90" w14:textId="77777777" w:rsidR="00B51828" w:rsidRPr="00A834D0" w:rsidRDefault="00B51828" w:rsidP="00B51828">
            <w:pPr>
              <w:numPr>
                <w:ilvl w:val="0"/>
                <w:numId w:val="37"/>
              </w:numPr>
              <w:spacing w:before="20" w:after="20"/>
              <w:contextualSpacing/>
              <w:rPr>
                <w:rFonts w:ascii="Arial Narrow" w:hAnsi="Arial Narrow"/>
                <w:sz w:val="20"/>
                <w:szCs w:val="20"/>
              </w:rPr>
            </w:pPr>
            <w:r w:rsidRPr="00A834D0">
              <w:rPr>
                <w:rFonts w:ascii="Arial Narrow" w:hAnsi="Arial Narrow"/>
                <w:sz w:val="20"/>
                <w:szCs w:val="20"/>
              </w:rPr>
              <w:t>Histological type alone</w:t>
            </w:r>
          </w:p>
          <w:p w14:paraId="71431CB2" w14:textId="77777777" w:rsidR="00B51828" w:rsidRPr="00A834D0" w:rsidRDefault="00B51828" w:rsidP="00B51828">
            <w:pPr>
              <w:numPr>
                <w:ilvl w:val="0"/>
                <w:numId w:val="37"/>
              </w:numPr>
              <w:spacing w:before="20" w:after="20"/>
              <w:contextualSpacing/>
              <w:rPr>
                <w:rFonts w:ascii="Arial Narrow" w:hAnsi="Arial Narrow"/>
                <w:sz w:val="20"/>
                <w:szCs w:val="20"/>
              </w:rPr>
            </w:pPr>
            <w:r w:rsidRPr="00A834D0">
              <w:rPr>
                <w:rFonts w:ascii="Arial Narrow" w:hAnsi="Arial Narrow"/>
                <w:sz w:val="20"/>
                <w:szCs w:val="20"/>
              </w:rPr>
              <w:t>Grade and subtype</w:t>
            </w:r>
          </w:p>
          <w:p w14:paraId="36B0BA26" w14:textId="77777777" w:rsidR="00B51828" w:rsidRPr="006F343E" w:rsidRDefault="00B51828" w:rsidP="00B51828">
            <w:pPr>
              <w:numPr>
                <w:ilvl w:val="0"/>
                <w:numId w:val="37"/>
              </w:numPr>
              <w:spacing w:before="20" w:after="20"/>
              <w:contextualSpacing/>
              <w:rPr>
                <w:rFonts w:ascii="Arial Narrow" w:hAnsi="Arial Narrow"/>
                <w:sz w:val="20"/>
                <w:szCs w:val="20"/>
              </w:rPr>
            </w:pPr>
            <w:r w:rsidRPr="00A834D0">
              <w:rPr>
                <w:rFonts w:ascii="Arial Narrow" w:hAnsi="Arial Narrow"/>
                <w:sz w:val="20"/>
                <w:szCs w:val="20"/>
              </w:rPr>
              <w:t>Grade and histological type</w:t>
            </w:r>
          </w:p>
        </w:tc>
        <w:tc>
          <w:tcPr>
            <w:tcW w:w="970" w:type="pct"/>
          </w:tcPr>
          <w:p w14:paraId="34E2036B"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71/564 (12.6%)</w:t>
            </w:r>
          </w:p>
          <w:p w14:paraId="5DAA01E0" w14:textId="77777777" w:rsidR="00B51828" w:rsidRPr="00A834D0" w:rsidRDefault="00B51828" w:rsidP="002101D2">
            <w:pPr>
              <w:spacing w:before="20" w:after="20"/>
              <w:ind w:left="0"/>
              <w:rPr>
                <w:rFonts w:ascii="Arial Narrow" w:hAnsi="Arial Narrow"/>
                <w:sz w:val="20"/>
                <w:szCs w:val="20"/>
              </w:rPr>
            </w:pPr>
          </w:p>
          <w:p w14:paraId="5E16DEB1" w14:textId="77777777" w:rsidR="00B51828" w:rsidRPr="00A834D0" w:rsidRDefault="00B51828" w:rsidP="002101D2">
            <w:pPr>
              <w:spacing w:before="20" w:after="20"/>
              <w:ind w:left="0"/>
              <w:rPr>
                <w:rFonts w:ascii="Arial Narrow" w:hAnsi="Arial Narrow"/>
                <w:sz w:val="20"/>
                <w:szCs w:val="20"/>
              </w:rPr>
            </w:pPr>
          </w:p>
          <w:p w14:paraId="2E6A10DB"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11/564 (2.0%)</w:t>
            </w:r>
          </w:p>
          <w:p w14:paraId="36157242"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104/564 (18.4%)</w:t>
            </w:r>
          </w:p>
          <w:p w14:paraId="6FCD1980"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89/564 (15.8%)</w:t>
            </w:r>
          </w:p>
          <w:p w14:paraId="2A58474D"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114/564 (20.2%)</w:t>
            </w:r>
          </w:p>
          <w:p w14:paraId="17B41BEF" w14:textId="77777777" w:rsidR="00B51828" w:rsidRPr="006F343E" w:rsidRDefault="00B51828" w:rsidP="002101D2">
            <w:pPr>
              <w:spacing w:before="20" w:after="20"/>
              <w:ind w:left="0"/>
              <w:rPr>
                <w:rFonts w:ascii="Arial Narrow" w:hAnsi="Arial Narrow"/>
                <w:sz w:val="20"/>
                <w:szCs w:val="20"/>
              </w:rPr>
            </w:pPr>
            <w:r w:rsidRPr="00A834D0">
              <w:rPr>
                <w:rFonts w:ascii="Arial Narrow" w:hAnsi="Arial Narrow"/>
                <w:sz w:val="20"/>
                <w:szCs w:val="20"/>
              </w:rPr>
              <w:t>16/564 (2.8%)</w:t>
            </w:r>
          </w:p>
        </w:tc>
      </w:tr>
      <w:tr w:rsidR="00B51828" w:rsidRPr="00A834D0" w14:paraId="4F63C3D6" w14:textId="77777777" w:rsidTr="002101D2">
        <w:trPr>
          <w:trHeight w:val="64"/>
        </w:trPr>
        <w:tc>
          <w:tcPr>
            <w:tcW w:w="917" w:type="pct"/>
            <w:shd w:val="clear" w:color="auto" w:fill="BFBFBF" w:themeFill="background1" w:themeFillShade="BF"/>
          </w:tcPr>
          <w:p w14:paraId="68BCA1BD"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lastRenderedPageBreak/>
              <w:t>DERMATOLOGY</w:t>
            </w:r>
          </w:p>
        </w:tc>
        <w:tc>
          <w:tcPr>
            <w:tcW w:w="1021" w:type="pct"/>
            <w:shd w:val="clear" w:color="auto" w:fill="BFBFBF" w:themeFill="background1" w:themeFillShade="BF"/>
          </w:tcPr>
          <w:p w14:paraId="2795B2A4"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w:t>
            </w:r>
          </w:p>
        </w:tc>
        <w:tc>
          <w:tcPr>
            <w:tcW w:w="2092" w:type="pct"/>
            <w:shd w:val="clear" w:color="auto" w:fill="BFBFBF" w:themeFill="background1" w:themeFillShade="BF"/>
          </w:tcPr>
          <w:p w14:paraId="34F31565"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w:t>
            </w:r>
          </w:p>
        </w:tc>
        <w:tc>
          <w:tcPr>
            <w:tcW w:w="970" w:type="pct"/>
            <w:shd w:val="clear" w:color="auto" w:fill="BFBFBF" w:themeFill="background1" w:themeFillShade="BF"/>
          </w:tcPr>
          <w:p w14:paraId="6C889908"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w:t>
            </w:r>
          </w:p>
        </w:tc>
      </w:tr>
      <w:tr w:rsidR="00B51828" w:rsidRPr="00A834D0" w14:paraId="6EE20FFC" w14:textId="77777777" w:rsidTr="002101D2">
        <w:trPr>
          <w:trHeight w:val="64"/>
        </w:trPr>
        <w:tc>
          <w:tcPr>
            <w:tcW w:w="917" w:type="pct"/>
          </w:tcPr>
          <w:p w14:paraId="415CD35E"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Gaudi 2013</w:t>
            </w:r>
          </w:p>
        </w:tc>
        <w:tc>
          <w:tcPr>
            <w:tcW w:w="1021" w:type="pct"/>
          </w:tcPr>
          <w:p w14:paraId="212582D5"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Dermatopathology</w:t>
            </w:r>
          </w:p>
          <w:p w14:paraId="3718FC5F"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N=405 cases</w:t>
            </w:r>
            <w:r>
              <w:rPr>
                <w:rFonts w:ascii="Arial Narrow" w:hAnsi="Arial Narrow"/>
                <w:sz w:val="20"/>
                <w:szCs w:val="20"/>
                <w:vertAlign w:val="superscript"/>
              </w:rPr>
              <w:t>f</w:t>
            </w:r>
          </w:p>
        </w:tc>
        <w:tc>
          <w:tcPr>
            <w:tcW w:w="2092" w:type="pct"/>
          </w:tcPr>
          <w:p w14:paraId="54969DEE"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Major discrepancy</w:t>
            </w:r>
            <w:r>
              <w:rPr>
                <w:rFonts w:ascii="Arial Narrow" w:hAnsi="Arial Narrow"/>
                <w:sz w:val="20"/>
                <w:szCs w:val="20"/>
                <w:vertAlign w:val="superscript"/>
              </w:rPr>
              <w:t>g</w:t>
            </w:r>
            <w:r w:rsidRPr="00A834D0">
              <w:rPr>
                <w:rFonts w:ascii="Arial Narrow" w:hAnsi="Arial Narrow"/>
                <w:sz w:val="20"/>
                <w:szCs w:val="20"/>
              </w:rPr>
              <w:t xml:space="preserve"> in cases with</w:t>
            </w:r>
            <w:r>
              <w:rPr>
                <w:rFonts w:ascii="Arial Narrow" w:hAnsi="Arial Narrow"/>
                <w:sz w:val="20"/>
                <w:szCs w:val="20"/>
              </w:rPr>
              <w:t xml:space="preserve"> a provisional diagnosis</w:t>
            </w:r>
          </w:p>
        </w:tc>
        <w:tc>
          <w:tcPr>
            <w:tcW w:w="970" w:type="pct"/>
          </w:tcPr>
          <w:p w14:paraId="31359000" w14:textId="77777777" w:rsidR="00B51828" w:rsidRPr="00A834D0" w:rsidRDefault="00B51828" w:rsidP="002101D2">
            <w:pPr>
              <w:keepNext/>
              <w:spacing w:before="20" w:after="20"/>
              <w:ind w:left="0"/>
              <w:rPr>
                <w:rFonts w:ascii="Arial Narrow" w:hAnsi="Arial Narrow"/>
                <w:sz w:val="20"/>
                <w:szCs w:val="20"/>
              </w:rPr>
            </w:pPr>
            <w:r>
              <w:rPr>
                <w:rFonts w:ascii="Arial Narrow" w:hAnsi="Arial Narrow"/>
                <w:sz w:val="20"/>
                <w:szCs w:val="20"/>
              </w:rPr>
              <w:t>24</w:t>
            </w:r>
            <w:r w:rsidRPr="00A834D0">
              <w:rPr>
                <w:rFonts w:ascii="Arial Narrow" w:hAnsi="Arial Narrow"/>
                <w:sz w:val="20"/>
                <w:szCs w:val="20"/>
              </w:rPr>
              <w:t>/354</w:t>
            </w:r>
            <w:r>
              <w:rPr>
                <w:rFonts w:ascii="Arial Narrow" w:hAnsi="Arial Narrow"/>
                <w:sz w:val="20"/>
                <w:szCs w:val="20"/>
                <w:vertAlign w:val="superscript"/>
              </w:rPr>
              <w:t>h</w:t>
            </w:r>
            <w:r>
              <w:rPr>
                <w:rFonts w:ascii="Arial Narrow" w:hAnsi="Arial Narrow"/>
                <w:sz w:val="20"/>
                <w:szCs w:val="20"/>
              </w:rPr>
              <w:t xml:space="preserve"> (6.8%)</w:t>
            </w:r>
          </w:p>
        </w:tc>
      </w:tr>
      <w:tr w:rsidR="00B51828" w:rsidRPr="00A834D0" w14:paraId="6D8F8DF5" w14:textId="77777777" w:rsidTr="002101D2">
        <w:tc>
          <w:tcPr>
            <w:tcW w:w="917" w:type="pct"/>
          </w:tcPr>
          <w:p w14:paraId="718C3B64"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van Dijk 2008</w:t>
            </w:r>
          </w:p>
        </w:tc>
        <w:tc>
          <w:tcPr>
            <w:tcW w:w="1021" w:type="pct"/>
          </w:tcPr>
          <w:p w14:paraId="2BCF6D7B"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Cutaneous melanocytic lesions</w:t>
            </w:r>
          </w:p>
          <w:p w14:paraId="4FA7CECA"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N=1837</w:t>
            </w:r>
          </w:p>
        </w:tc>
        <w:tc>
          <w:tcPr>
            <w:tcW w:w="2092" w:type="pct"/>
          </w:tcPr>
          <w:p w14:paraId="73B503AE"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Major discrepancy</w:t>
            </w:r>
            <w:r>
              <w:rPr>
                <w:rFonts w:ascii="Arial Narrow" w:hAnsi="Arial Narrow"/>
                <w:sz w:val="20"/>
                <w:szCs w:val="20"/>
                <w:vertAlign w:val="superscript"/>
              </w:rPr>
              <w:t>i</w:t>
            </w:r>
            <w:r w:rsidRPr="00A834D0">
              <w:rPr>
                <w:rFonts w:ascii="Arial Narrow" w:hAnsi="Arial Narrow"/>
                <w:sz w:val="20"/>
                <w:szCs w:val="20"/>
              </w:rPr>
              <w:t xml:space="preserve"> in cases with a provisional diagnosis</w:t>
            </w:r>
          </w:p>
          <w:p w14:paraId="025B246C" w14:textId="77777777" w:rsidR="00B51828" w:rsidRPr="00A834D0" w:rsidRDefault="00B51828" w:rsidP="002101D2">
            <w:pPr>
              <w:keepNext/>
              <w:spacing w:before="20" w:after="20"/>
              <w:ind w:left="284"/>
              <w:rPr>
                <w:rFonts w:ascii="Arial Narrow" w:hAnsi="Arial Narrow"/>
                <w:i/>
                <w:sz w:val="20"/>
                <w:szCs w:val="20"/>
              </w:rPr>
            </w:pPr>
            <w:r w:rsidRPr="00A834D0">
              <w:rPr>
                <w:rFonts w:ascii="Arial Narrow" w:hAnsi="Arial Narrow"/>
                <w:i/>
                <w:sz w:val="20"/>
                <w:szCs w:val="20"/>
              </w:rPr>
              <w:t>Nature of major discrepancy (as a proportion of cases with a provisional diagnosis):</w:t>
            </w:r>
          </w:p>
          <w:p w14:paraId="7D910099" w14:textId="77777777" w:rsidR="00B51828" w:rsidRPr="00A834D0" w:rsidRDefault="00B51828" w:rsidP="00B51828">
            <w:pPr>
              <w:keepNext/>
              <w:numPr>
                <w:ilvl w:val="0"/>
                <w:numId w:val="51"/>
              </w:numPr>
              <w:spacing w:before="20" w:after="20"/>
              <w:contextualSpacing/>
              <w:rPr>
                <w:rFonts w:ascii="Arial Narrow" w:hAnsi="Arial Narrow"/>
                <w:sz w:val="20"/>
                <w:szCs w:val="20"/>
              </w:rPr>
            </w:pPr>
            <w:r w:rsidRPr="00A834D0">
              <w:rPr>
                <w:rFonts w:ascii="Arial Narrow" w:hAnsi="Arial Narrow"/>
                <w:sz w:val="20"/>
                <w:szCs w:val="20"/>
              </w:rPr>
              <w:t>Over-diagnosis of naevi</w:t>
            </w:r>
          </w:p>
          <w:p w14:paraId="3ED0E4B9" w14:textId="77777777" w:rsidR="00B51828" w:rsidRPr="00A834D0" w:rsidRDefault="00B51828" w:rsidP="00B51828">
            <w:pPr>
              <w:keepNext/>
              <w:numPr>
                <w:ilvl w:val="0"/>
                <w:numId w:val="51"/>
              </w:numPr>
              <w:spacing w:before="20" w:after="20"/>
              <w:contextualSpacing/>
              <w:rPr>
                <w:rFonts w:ascii="Arial Narrow" w:hAnsi="Arial Narrow"/>
                <w:sz w:val="20"/>
                <w:szCs w:val="20"/>
              </w:rPr>
            </w:pPr>
            <w:r w:rsidRPr="00A834D0">
              <w:rPr>
                <w:rFonts w:ascii="Arial Narrow" w:hAnsi="Arial Narrow"/>
                <w:sz w:val="20"/>
                <w:szCs w:val="20"/>
              </w:rPr>
              <w:t>Over-diagnosis of melanoma in situ</w:t>
            </w:r>
          </w:p>
          <w:p w14:paraId="6EE3506A" w14:textId="77777777" w:rsidR="00B51828" w:rsidRPr="00A834D0" w:rsidRDefault="00B51828" w:rsidP="00B51828">
            <w:pPr>
              <w:keepNext/>
              <w:numPr>
                <w:ilvl w:val="0"/>
                <w:numId w:val="51"/>
              </w:numPr>
              <w:spacing w:before="20" w:after="20"/>
              <w:contextualSpacing/>
              <w:rPr>
                <w:rFonts w:ascii="Arial Narrow" w:hAnsi="Arial Narrow"/>
                <w:sz w:val="20"/>
                <w:szCs w:val="20"/>
              </w:rPr>
            </w:pPr>
            <w:r w:rsidRPr="00A834D0">
              <w:rPr>
                <w:rFonts w:ascii="Arial Narrow" w:hAnsi="Arial Narrow"/>
                <w:sz w:val="20"/>
                <w:szCs w:val="20"/>
              </w:rPr>
              <w:t>Under-diagnosis of melanoma</w:t>
            </w:r>
          </w:p>
          <w:p w14:paraId="2190F017" w14:textId="77777777" w:rsidR="00B51828" w:rsidRPr="006F343E" w:rsidRDefault="00B51828" w:rsidP="00B51828">
            <w:pPr>
              <w:keepNext/>
              <w:numPr>
                <w:ilvl w:val="0"/>
                <w:numId w:val="51"/>
              </w:numPr>
              <w:spacing w:before="20" w:after="20"/>
              <w:contextualSpacing/>
              <w:rPr>
                <w:rFonts w:ascii="Arial Narrow" w:hAnsi="Arial Narrow"/>
                <w:sz w:val="20"/>
                <w:szCs w:val="20"/>
              </w:rPr>
            </w:pPr>
            <w:r w:rsidRPr="00A834D0">
              <w:rPr>
                <w:rFonts w:ascii="Arial Narrow" w:hAnsi="Arial Narrow"/>
                <w:sz w:val="20"/>
                <w:szCs w:val="20"/>
              </w:rPr>
              <w:t>Under-diagnosis of melanoma in situ</w:t>
            </w:r>
          </w:p>
        </w:tc>
        <w:tc>
          <w:tcPr>
            <w:tcW w:w="970" w:type="pct"/>
          </w:tcPr>
          <w:p w14:paraId="50576651"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322/1217 (26.5%)</w:t>
            </w:r>
          </w:p>
          <w:p w14:paraId="43FD0199" w14:textId="77777777" w:rsidR="00B51828" w:rsidRPr="00A834D0" w:rsidRDefault="00B51828" w:rsidP="002101D2">
            <w:pPr>
              <w:keepNext/>
              <w:spacing w:before="20" w:after="20"/>
              <w:ind w:left="0"/>
              <w:rPr>
                <w:rFonts w:ascii="Arial Narrow" w:hAnsi="Arial Narrow"/>
                <w:sz w:val="20"/>
                <w:szCs w:val="20"/>
              </w:rPr>
            </w:pPr>
          </w:p>
          <w:p w14:paraId="5C33320E" w14:textId="77777777" w:rsidR="00B51828" w:rsidRPr="00A834D0" w:rsidRDefault="00B51828" w:rsidP="002101D2">
            <w:pPr>
              <w:keepNext/>
              <w:spacing w:before="20" w:after="20"/>
              <w:ind w:left="0"/>
              <w:rPr>
                <w:rFonts w:ascii="Arial Narrow" w:hAnsi="Arial Narrow"/>
                <w:sz w:val="20"/>
                <w:szCs w:val="20"/>
              </w:rPr>
            </w:pPr>
          </w:p>
          <w:p w14:paraId="33143D5F"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170/1217 (14.0%)</w:t>
            </w:r>
          </w:p>
          <w:p w14:paraId="2A8329C6"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8/1217 (0.7%)</w:t>
            </w:r>
          </w:p>
          <w:p w14:paraId="04E6569E"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132/1217 (10.8%)</w:t>
            </w:r>
          </w:p>
          <w:p w14:paraId="13959C08" w14:textId="77777777" w:rsidR="00B51828" w:rsidRPr="00A834D0" w:rsidRDefault="00B51828" w:rsidP="002101D2">
            <w:pPr>
              <w:keepNext/>
              <w:spacing w:before="20" w:after="20"/>
              <w:ind w:left="0"/>
              <w:rPr>
                <w:rFonts w:ascii="Arial Narrow" w:hAnsi="Arial Narrow"/>
                <w:sz w:val="20"/>
                <w:szCs w:val="20"/>
              </w:rPr>
            </w:pPr>
            <w:r w:rsidRPr="00A834D0">
              <w:rPr>
                <w:rFonts w:ascii="Arial Narrow" w:hAnsi="Arial Narrow"/>
                <w:sz w:val="20"/>
                <w:szCs w:val="20"/>
              </w:rPr>
              <w:t>12/1217 (1.0%)</w:t>
            </w:r>
          </w:p>
        </w:tc>
      </w:tr>
      <w:tr w:rsidR="00B51828" w:rsidRPr="00A834D0" w14:paraId="462257D8" w14:textId="77777777" w:rsidTr="002101D2">
        <w:tc>
          <w:tcPr>
            <w:tcW w:w="917" w:type="pct"/>
          </w:tcPr>
          <w:p w14:paraId="3745F2E8"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Veenhuizen 1997</w:t>
            </w:r>
          </w:p>
        </w:tc>
        <w:tc>
          <w:tcPr>
            <w:tcW w:w="1021" w:type="pct"/>
          </w:tcPr>
          <w:p w14:paraId="11846E59"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Skin lesions</w:t>
            </w:r>
          </w:p>
          <w:p w14:paraId="208A0B6D"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N=1069</w:t>
            </w:r>
          </w:p>
        </w:tc>
        <w:tc>
          <w:tcPr>
            <w:tcW w:w="2092" w:type="pct"/>
          </w:tcPr>
          <w:p w14:paraId="6AE505D3"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Major discrepancy</w:t>
            </w:r>
            <w:r>
              <w:rPr>
                <w:rFonts w:ascii="Arial Narrow" w:hAnsi="Arial Narrow"/>
                <w:sz w:val="20"/>
                <w:szCs w:val="20"/>
                <w:vertAlign w:val="superscript"/>
              </w:rPr>
              <w:t>j</w:t>
            </w:r>
            <w:r w:rsidRPr="00A834D0">
              <w:rPr>
                <w:rFonts w:ascii="Arial Narrow" w:hAnsi="Arial Narrow"/>
                <w:sz w:val="20"/>
                <w:szCs w:val="20"/>
                <w:vertAlign w:val="superscript"/>
              </w:rPr>
              <w:t xml:space="preserve"> </w:t>
            </w:r>
            <w:r w:rsidRPr="00A834D0">
              <w:rPr>
                <w:rFonts w:ascii="Arial Narrow" w:hAnsi="Arial Narrow"/>
                <w:sz w:val="20"/>
                <w:szCs w:val="20"/>
              </w:rPr>
              <w:t>in ca</w:t>
            </w:r>
            <w:r>
              <w:rPr>
                <w:rFonts w:ascii="Arial Narrow" w:hAnsi="Arial Narrow"/>
                <w:sz w:val="20"/>
                <w:szCs w:val="20"/>
              </w:rPr>
              <w:t>ses with a provisional diagnosi</w:t>
            </w:r>
            <w:r w:rsidRPr="002B6FEE">
              <w:rPr>
                <w:rFonts w:ascii="Arial Narrow" w:hAnsi="Arial Narrow"/>
                <w:sz w:val="20"/>
                <w:szCs w:val="20"/>
              </w:rPr>
              <w:t>s</w:t>
            </w:r>
            <w:r w:rsidRPr="002B6FEE">
              <w:rPr>
                <w:rFonts w:ascii="Arial Narrow" w:hAnsi="Arial Narrow"/>
                <w:sz w:val="20"/>
                <w:szCs w:val="20"/>
                <w:vertAlign w:val="superscript"/>
              </w:rPr>
              <w:t>k</w:t>
            </w:r>
          </w:p>
          <w:p w14:paraId="6F1D5674" w14:textId="77777777" w:rsidR="00B51828" w:rsidRPr="00A834D0" w:rsidRDefault="00B51828" w:rsidP="002101D2">
            <w:pPr>
              <w:spacing w:before="20" w:after="20"/>
              <w:ind w:left="284"/>
              <w:rPr>
                <w:rFonts w:ascii="Arial Narrow" w:hAnsi="Arial Narrow"/>
                <w:i/>
                <w:sz w:val="20"/>
                <w:szCs w:val="20"/>
              </w:rPr>
            </w:pPr>
            <w:r w:rsidRPr="00A834D0">
              <w:rPr>
                <w:rFonts w:ascii="Arial Narrow" w:hAnsi="Arial Narrow"/>
                <w:i/>
                <w:sz w:val="20"/>
                <w:szCs w:val="20"/>
              </w:rPr>
              <w:t>Nature of major discrepancy (as a proportion of cases with a provisional diagnosis):</w:t>
            </w:r>
          </w:p>
          <w:p w14:paraId="538A8212" w14:textId="77777777" w:rsidR="00B51828" w:rsidRPr="00A834D0" w:rsidRDefault="00B51828" w:rsidP="00B51828">
            <w:pPr>
              <w:numPr>
                <w:ilvl w:val="0"/>
                <w:numId w:val="52"/>
              </w:numPr>
              <w:spacing w:before="20" w:after="20"/>
              <w:contextualSpacing/>
              <w:rPr>
                <w:rFonts w:ascii="Arial Narrow" w:hAnsi="Arial Narrow"/>
                <w:sz w:val="20"/>
                <w:szCs w:val="20"/>
              </w:rPr>
            </w:pPr>
            <w:r w:rsidRPr="00A834D0">
              <w:rPr>
                <w:rFonts w:ascii="Arial Narrow" w:hAnsi="Arial Narrow"/>
                <w:sz w:val="20"/>
                <w:szCs w:val="20"/>
              </w:rPr>
              <w:t>Over-diagnosis of naevi or melanoma in situ</w:t>
            </w:r>
          </w:p>
          <w:p w14:paraId="03ACD5F8" w14:textId="77777777" w:rsidR="00B51828" w:rsidRPr="006F343E" w:rsidRDefault="00B51828" w:rsidP="00B51828">
            <w:pPr>
              <w:numPr>
                <w:ilvl w:val="0"/>
                <w:numId w:val="52"/>
              </w:numPr>
              <w:spacing w:before="20" w:after="20"/>
              <w:contextualSpacing/>
              <w:rPr>
                <w:rFonts w:ascii="Arial Narrow" w:hAnsi="Arial Narrow"/>
                <w:sz w:val="20"/>
                <w:szCs w:val="20"/>
              </w:rPr>
            </w:pPr>
            <w:r w:rsidRPr="00A834D0">
              <w:rPr>
                <w:rFonts w:ascii="Arial Narrow" w:hAnsi="Arial Narrow"/>
                <w:sz w:val="20"/>
                <w:szCs w:val="20"/>
              </w:rPr>
              <w:t>Under-diagnosis of suspected or invasive melanoma</w:t>
            </w:r>
          </w:p>
        </w:tc>
        <w:tc>
          <w:tcPr>
            <w:tcW w:w="970" w:type="pct"/>
          </w:tcPr>
          <w:p w14:paraId="18992E03"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185/798 (23.2%)</w:t>
            </w:r>
          </w:p>
          <w:p w14:paraId="4786F54B" w14:textId="77777777" w:rsidR="00B51828" w:rsidRPr="00A834D0" w:rsidRDefault="00B51828" w:rsidP="002101D2">
            <w:pPr>
              <w:spacing w:before="20" w:after="20"/>
              <w:ind w:left="0"/>
              <w:rPr>
                <w:rFonts w:ascii="Arial Narrow" w:hAnsi="Arial Narrow"/>
                <w:sz w:val="20"/>
                <w:szCs w:val="20"/>
              </w:rPr>
            </w:pPr>
          </w:p>
          <w:p w14:paraId="1F7D0DAC" w14:textId="77777777" w:rsidR="00B51828" w:rsidRPr="00A834D0" w:rsidRDefault="00B51828" w:rsidP="002101D2">
            <w:pPr>
              <w:spacing w:before="20" w:after="20"/>
              <w:ind w:left="0"/>
              <w:rPr>
                <w:rFonts w:ascii="Arial Narrow" w:hAnsi="Arial Narrow"/>
                <w:sz w:val="20"/>
                <w:szCs w:val="20"/>
              </w:rPr>
            </w:pPr>
          </w:p>
          <w:p w14:paraId="1B8247A5"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77/798 (9.6%)</w:t>
            </w:r>
          </w:p>
          <w:p w14:paraId="70033558" w14:textId="77777777" w:rsidR="00B51828" w:rsidRPr="00A834D0" w:rsidRDefault="00B51828" w:rsidP="002101D2">
            <w:pPr>
              <w:spacing w:before="20" w:after="20"/>
              <w:ind w:left="0"/>
              <w:rPr>
                <w:rFonts w:ascii="Arial Narrow" w:hAnsi="Arial Narrow"/>
                <w:sz w:val="20"/>
                <w:szCs w:val="20"/>
              </w:rPr>
            </w:pPr>
            <w:r>
              <w:rPr>
                <w:rFonts w:ascii="Arial Narrow" w:hAnsi="Arial Narrow"/>
                <w:sz w:val="20"/>
                <w:szCs w:val="20"/>
              </w:rPr>
              <w:t>108/798 (13.5%)</w:t>
            </w:r>
          </w:p>
        </w:tc>
      </w:tr>
      <w:tr w:rsidR="00B51828" w:rsidRPr="00A834D0" w14:paraId="1DDF8BBC" w14:textId="77777777" w:rsidTr="002101D2">
        <w:trPr>
          <w:trHeight w:val="64"/>
        </w:trPr>
        <w:tc>
          <w:tcPr>
            <w:tcW w:w="917" w:type="pct"/>
            <w:shd w:val="clear" w:color="auto" w:fill="BFBFBF" w:themeFill="background1" w:themeFillShade="BF"/>
          </w:tcPr>
          <w:p w14:paraId="2E90E272"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ORAL AND MAXILLOFACIAL</w:t>
            </w:r>
          </w:p>
        </w:tc>
        <w:tc>
          <w:tcPr>
            <w:tcW w:w="1021" w:type="pct"/>
            <w:shd w:val="clear" w:color="auto" w:fill="BFBFBF" w:themeFill="background1" w:themeFillShade="BF"/>
          </w:tcPr>
          <w:p w14:paraId="074BF540"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c>
          <w:tcPr>
            <w:tcW w:w="2092" w:type="pct"/>
            <w:shd w:val="clear" w:color="auto" w:fill="BFBFBF" w:themeFill="background1" w:themeFillShade="BF"/>
          </w:tcPr>
          <w:p w14:paraId="080C56D2"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c>
          <w:tcPr>
            <w:tcW w:w="970" w:type="pct"/>
            <w:shd w:val="clear" w:color="auto" w:fill="BFBFBF" w:themeFill="background1" w:themeFillShade="BF"/>
          </w:tcPr>
          <w:p w14:paraId="5C6B5D1A"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r>
      <w:tr w:rsidR="00B51828" w:rsidRPr="00A834D0" w14:paraId="23D904F2" w14:textId="77777777" w:rsidTr="002101D2">
        <w:tc>
          <w:tcPr>
            <w:tcW w:w="917" w:type="pct"/>
          </w:tcPr>
          <w:p w14:paraId="2400643F"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Jones 2010</w:t>
            </w:r>
          </w:p>
        </w:tc>
        <w:tc>
          <w:tcPr>
            <w:tcW w:w="1021" w:type="pct"/>
          </w:tcPr>
          <w:p w14:paraId="3E127A29"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Oral and maxillofacial pathology</w:t>
            </w:r>
          </w:p>
          <w:p w14:paraId="65E5565A"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N=142 cases</w:t>
            </w:r>
          </w:p>
        </w:tc>
        <w:tc>
          <w:tcPr>
            <w:tcW w:w="2092" w:type="pct"/>
          </w:tcPr>
          <w:p w14:paraId="2A2EA445"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Major discrepancy</w:t>
            </w:r>
            <w:r>
              <w:rPr>
                <w:rFonts w:ascii="Arial Narrow" w:hAnsi="Arial Narrow"/>
                <w:sz w:val="20"/>
                <w:szCs w:val="20"/>
                <w:vertAlign w:val="superscript"/>
              </w:rPr>
              <w:t>l</w:t>
            </w:r>
            <w:r w:rsidRPr="00A834D0">
              <w:rPr>
                <w:rFonts w:ascii="Arial Narrow" w:hAnsi="Arial Narrow"/>
                <w:sz w:val="20"/>
                <w:szCs w:val="20"/>
                <w:vertAlign w:val="superscript"/>
              </w:rPr>
              <w:t xml:space="preserve"> </w:t>
            </w:r>
            <w:r w:rsidRPr="00A834D0">
              <w:rPr>
                <w:rFonts w:ascii="Arial Narrow" w:hAnsi="Arial Narrow"/>
                <w:sz w:val="20"/>
                <w:szCs w:val="20"/>
              </w:rPr>
              <w:t>in cases with a provisional diagnosis</w:t>
            </w:r>
          </w:p>
          <w:p w14:paraId="5A60C248" w14:textId="77777777" w:rsidR="00B51828" w:rsidRPr="00A834D0" w:rsidRDefault="00B51828" w:rsidP="002101D2">
            <w:pPr>
              <w:spacing w:before="20" w:after="20"/>
              <w:ind w:left="284"/>
              <w:rPr>
                <w:rFonts w:ascii="Arial Narrow" w:hAnsi="Arial Narrow"/>
                <w:i/>
                <w:sz w:val="20"/>
                <w:szCs w:val="20"/>
              </w:rPr>
            </w:pPr>
            <w:r w:rsidRPr="00A834D0">
              <w:rPr>
                <w:rFonts w:ascii="Arial Narrow" w:hAnsi="Arial Narrow"/>
                <w:i/>
                <w:sz w:val="20"/>
                <w:szCs w:val="20"/>
              </w:rPr>
              <w:t>Nature of major discrepancy (as a proportion of all cases with a provisional diagnosis):</w:t>
            </w:r>
          </w:p>
          <w:p w14:paraId="4D0A2E7B" w14:textId="77777777" w:rsidR="00B51828" w:rsidRPr="00A834D0" w:rsidRDefault="00B51828" w:rsidP="00B51828">
            <w:pPr>
              <w:numPr>
                <w:ilvl w:val="0"/>
                <w:numId w:val="53"/>
              </w:numPr>
              <w:spacing w:before="20" w:after="20"/>
              <w:contextualSpacing/>
              <w:rPr>
                <w:rFonts w:ascii="Arial Narrow" w:hAnsi="Arial Narrow"/>
                <w:sz w:val="20"/>
                <w:szCs w:val="20"/>
              </w:rPr>
            </w:pPr>
            <w:r w:rsidRPr="00A834D0">
              <w:rPr>
                <w:rFonts w:ascii="Arial Narrow" w:hAnsi="Arial Narrow"/>
                <w:sz w:val="20"/>
                <w:szCs w:val="20"/>
              </w:rPr>
              <w:t>Change from malignant to benign</w:t>
            </w:r>
          </w:p>
          <w:p w14:paraId="1AA5F4DC" w14:textId="77777777" w:rsidR="00B51828" w:rsidRPr="00A834D0" w:rsidRDefault="00B51828" w:rsidP="00B51828">
            <w:pPr>
              <w:numPr>
                <w:ilvl w:val="0"/>
                <w:numId w:val="53"/>
              </w:numPr>
              <w:spacing w:before="20" w:after="20"/>
              <w:contextualSpacing/>
              <w:rPr>
                <w:rFonts w:ascii="Arial Narrow" w:hAnsi="Arial Narrow"/>
                <w:sz w:val="20"/>
                <w:szCs w:val="20"/>
              </w:rPr>
            </w:pPr>
            <w:r w:rsidRPr="00A834D0">
              <w:rPr>
                <w:rFonts w:ascii="Arial Narrow" w:hAnsi="Arial Narrow"/>
                <w:sz w:val="20"/>
                <w:szCs w:val="20"/>
              </w:rPr>
              <w:t>Change from benign to malignant</w:t>
            </w:r>
          </w:p>
          <w:p w14:paraId="6BAF5D08" w14:textId="20C73BDC" w:rsidR="00B51828" w:rsidRPr="006F343E" w:rsidRDefault="00B51828" w:rsidP="00B51828">
            <w:pPr>
              <w:numPr>
                <w:ilvl w:val="0"/>
                <w:numId w:val="53"/>
              </w:numPr>
              <w:spacing w:before="20" w:after="20"/>
              <w:contextualSpacing/>
              <w:rPr>
                <w:rFonts w:ascii="Arial Narrow" w:hAnsi="Arial Narrow"/>
                <w:sz w:val="20"/>
                <w:szCs w:val="20"/>
              </w:rPr>
            </w:pPr>
            <w:r w:rsidRPr="00A834D0">
              <w:rPr>
                <w:rFonts w:ascii="Arial Narrow" w:hAnsi="Arial Narrow"/>
                <w:sz w:val="20"/>
                <w:szCs w:val="20"/>
              </w:rPr>
              <w:t>No change in diagnostic category (benign or malignant), but the second</w:t>
            </w:r>
            <w:r w:rsidR="00DB23AB">
              <w:rPr>
                <w:rFonts w:ascii="Arial Narrow" w:hAnsi="Arial Narrow"/>
                <w:sz w:val="20"/>
                <w:szCs w:val="20"/>
              </w:rPr>
              <w:t xml:space="preserve"> </w:t>
            </w:r>
            <w:r w:rsidRPr="00A834D0">
              <w:rPr>
                <w:rFonts w:ascii="Arial Narrow" w:hAnsi="Arial Narrow"/>
                <w:sz w:val="20"/>
                <w:szCs w:val="20"/>
              </w:rPr>
              <w:t>opinion diagnosis would significantly alter treatment plan</w:t>
            </w:r>
          </w:p>
        </w:tc>
        <w:tc>
          <w:tcPr>
            <w:tcW w:w="970" w:type="pct"/>
          </w:tcPr>
          <w:p w14:paraId="4190F630"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22/135 (16.3%)</w:t>
            </w:r>
          </w:p>
          <w:p w14:paraId="71417A0F" w14:textId="77777777" w:rsidR="00B51828" w:rsidRPr="00A834D0" w:rsidRDefault="00B51828" w:rsidP="002101D2">
            <w:pPr>
              <w:spacing w:before="20" w:after="20"/>
              <w:ind w:left="0"/>
              <w:rPr>
                <w:rFonts w:ascii="Arial Narrow" w:hAnsi="Arial Narrow"/>
                <w:sz w:val="20"/>
                <w:szCs w:val="20"/>
              </w:rPr>
            </w:pPr>
          </w:p>
          <w:p w14:paraId="77F47D7E" w14:textId="77777777" w:rsidR="00B51828" w:rsidRPr="00A834D0" w:rsidRDefault="00B51828" w:rsidP="002101D2">
            <w:pPr>
              <w:spacing w:before="20" w:after="20"/>
              <w:ind w:left="0"/>
              <w:rPr>
                <w:rFonts w:ascii="Arial Narrow" w:hAnsi="Arial Narrow"/>
                <w:sz w:val="20"/>
                <w:szCs w:val="20"/>
              </w:rPr>
            </w:pPr>
          </w:p>
          <w:p w14:paraId="797F4846"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9/135 (6.7%)</w:t>
            </w:r>
          </w:p>
          <w:p w14:paraId="2304AF3A"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7/135 (5.2%)</w:t>
            </w:r>
          </w:p>
          <w:p w14:paraId="05C2F90C"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6/135 (4.4%)</w:t>
            </w:r>
          </w:p>
        </w:tc>
      </w:tr>
      <w:tr w:rsidR="00B51828" w:rsidRPr="00A834D0" w14:paraId="6E59F801" w14:textId="77777777" w:rsidTr="002101D2">
        <w:trPr>
          <w:trHeight w:val="64"/>
        </w:trPr>
        <w:tc>
          <w:tcPr>
            <w:tcW w:w="917" w:type="pct"/>
            <w:shd w:val="clear" w:color="auto" w:fill="BFBFBF" w:themeFill="background1" w:themeFillShade="BF"/>
          </w:tcPr>
          <w:p w14:paraId="579F8B9C"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 xml:space="preserve">UROTHELIAL </w:t>
            </w:r>
          </w:p>
        </w:tc>
        <w:tc>
          <w:tcPr>
            <w:tcW w:w="1021" w:type="pct"/>
            <w:shd w:val="clear" w:color="auto" w:fill="BFBFBF" w:themeFill="background1" w:themeFillShade="BF"/>
          </w:tcPr>
          <w:p w14:paraId="1EBBB564"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c>
          <w:tcPr>
            <w:tcW w:w="2092" w:type="pct"/>
            <w:shd w:val="clear" w:color="auto" w:fill="BFBFBF" w:themeFill="background1" w:themeFillShade="BF"/>
          </w:tcPr>
          <w:p w14:paraId="222A8F60"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c>
          <w:tcPr>
            <w:tcW w:w="970" w:type="pct"/>
            <w:shd w:val="clear" w:color="auto" w:fill="BFBFBF" w:themeFill="background1" w:themeFillShade="BF"/>
          </w:tcPr>
          <w:p w14:paraId="55CB2BBE"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w:t>
            </w:r>
          </w:p>
        </w:tc>
      </w:tr>
      <w:tr w:rsidR="00B51828" w:rsidRPr="00A834D0" w14:paraId="0F1804E6" w14:textId="77777777" w:rsidTr="002101D2">
        <w:tc>
          <w:tcPr>
            <w:tcW w:w="917" w:type="pct"/>
          </w:tcPr>
          <w:p w14:paraId="0C8C325B"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Tavora 2009</w:t>
            </w:r>
          </w:p>
        </w:tc>
        <w:tc>
          <w:tcPr>
            <w:tcW w:w="1021" w:type="pct"/>
          </w:tcPr>
          <w:p w14:paraId="7974876D"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Urothelial lesions of the renal pelvis and mid-upper ureter</w:t>
            </w:r>
          </w:p>
          <w:p w14:paraId="067C4D8C"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N=76 (39 biopsies from the ureter and 37 from the renal pelvis)</w:t>
            </w:r>
          </w:p>
        </w:tc>
        <w:tc>
          <w:tcPr>
            <w:tcW w:w="2092" w:type="pct"/>
          </w:tcPr>
          <w:p w14:paraId="69B7AB87"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Major discrepancy in cases with a provisional diagnosis</w:t>
            </w:r>
          </w:p>
          <w:p w14:paraId="463C58AC" w14:textId="77777777" w:rsidR="00B51828" w:rsidRPr="00A834D0" w:rsidRDefault="00B51828" w:rsidP="002101D2">
            <w:pPr>
              <w:spacing w:before="20" w:after="20"/>
              <w:ind w:left="284"/>
              <w:rPr>
                <w:rFonts w:ascii="Arial Narrow" w:hAnsi="Arial Narrow"/>
                <w:i/>
                <w:sz w:val="20"/>
                <w:szCs w:val="20"/>
              </w:rPr>
            </w:pPr>
            <w:r w:rsidRPr="00A834D0">
              <w:rPr>
                <w:rFonts w:ascii="Arial Narrow" w:hAnsi="Arial Narrow"/>
                <w:i/>
                <w:sz w:val="20"/>
                <w:szCs w:val="20"/>
              </w:rPr>
              <w:t>Nature of major discrepancy (as a proportion of cases with a provisional diagnosis):</w:t>
            </w:r>
          </w:p>
          <w:p w14:paraId="14229747" w14:textId="77777777" w:rsidR="00B51828" w:rsidRPr="006F343E" w:rsidRDefault="00B51828" w:rsidP="00B51828">
            <w:pPr>
              <w:numPr>
                <w:ilvl w:val="0"/>
                <w:numId w:val="54"/>
              </w:numPr>
              <w:spacing w:before="20" w:after="20"/>
              <w:contextualSpacing/>
              <w:rPr>
                <w:rFonts w:ascii="Arial Narrow" w:hAnsi="Arial Narrow"/>
                <w:sz w:val="20"/>
                <w:szCs w:val="20"/>
              </w:rPr>
            </w:pPr>
            <w:r w:rsidRPr="00A834D0">
              <w:rPr>
                <w:rFonts w:ascii="Arial Narrow" w:hAnsi="Arial Narrow"/>
                <w:sz w:val="20"/>
                <w:szCs w:val="20"/>
              </w:rPr>
              <w:t>Change from urothelial neoplasm to non-neoplastic</w:t>
            </w:r>
          </w:p>
        </w:tc>
        <w:tc>
          <w:tcPr>
            <w:tcW w:w="970" w:type="pct"/>
          </w:tcPr>
          <w:p w14:paraId="0E123BA3" w14:textId="77777777" w:rsidR="00B51828" w:rsidRPr="00A834D0" w:rsidRDefault="00B51828" w:rsidP="002101D2">
            <w:pPr>
              <w:spacing w:before="20" w:after="20"/>
              <w:ind w:left="0"/>
              <w:rPr>
                <w:rFonts w:ascii="Arial Narrow" w:hAnsi="Arial Narrow"/>
                <w:sz w:val="20"/>
                <w:szCs w:val="20"/>
              </w:rPr>
            </w:pPr>
            <w:r w:rsidRPr="00A834D0">
              <w:rPr>
                <w:rFonts w:ascii="Arial Narrow" w:hAnsi="Arial Narrow"/>
                <w:sz w:val="20"/>
                <w:szCs w:val="20"/>
              </w:rPr>
              <w:t>7/76 (9.2%)</w:t>
            </w:r>
          </w:p>
          <w:p w14:paraId="6C86A292" w14:textId="77777777" w:rsidR="00B51828" w:rsidRPr="00A834D0" w:rsidRDefault="00B51828" w:rsidP="002101D2">
            <w:pPr>
              <w:spacing w:before="20" w:after="20"/>
              <w:ind w:left="0"/>
              <w:rPr>
                <w:rFonts w:ascii="Arial Narrow" w:hAnsi="Arial Narrow"/>
                <w:sz w:val="20"/>
                <w:szCs w:val="20"/>
              </w:rPr>
            </w:pPr>
          </w:p>
          <w:p w14:paraId="0417AA63" w14:textId="77777777" w:rsidR="00B51828" w:rsidRPr="00A834D0" w:rsidRDefault="00B51828" w:rsidP="002101D2">
            <w:pPr>
              <w:spacing w:before="20" w:after="20"/>
              <w:ind w:left="0"/>
              <w:rPr>
                <w:rFonts w:ascii="Arial Narrow" w:hAnsi="Arial Narrow"/>
                <w:sz w:val="20"/>
                <w:szCs w:val="20"/>
              </w:rPr>
            </w:pPr>
          </w:p>
          <w:p w14:paraId="1AF04872" w14:textId="77777777" w:rsidR="00B51828" w:rsidRPr="006F343E"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7/76 (9.2%)</w:t>
            </w:r>
            <w:r>
              <w:rPr>
                <w:rFonts w:ascii="Arial Narrow" w:hAnsi="Arial Narrow"/>
                <w:sz w:val="20"/>
                <w:szCs w:val="20"/>
                <w:vertAlign w:val="superscript"/>
              </w:rPr>
              <w:t>m</w:t>
            </w:r>
          </w:p>
        </w:tc>
      </w:tr>
    </w:tbl>
    <w:p w14:paraId="2780A9F9" w14:textId="77777777" w:rsidR="00B51828" w:rsidRPr="00A834D0" w:rsidRDefault="00B51828" w:rsidP="002101D2">
      <w:pPr>
        <w:spacing w:after="0" w:line="259" w:lineRule="auto"/>
        <w:ind w:left="0"/>
        <w:rPr>
          <w:rFonts w:ascii="Arial Narrow" w:hAnsi="Arial Narrow"/>
          <w:sz w:val="16"/>
          <w:szCs w:val="16"/>
        </w:rPr>
      </w:pPr>
      <w:r w:rsidRPr="00A834D0">
        <w:rPr>
          <w:rFonts w:ascii="Arial Narrow" w:hAnsi="Arial Narrow"/>
          <w:sz w:val="16"/>
          <w:szCs w:val="16"/>
          <w:vertAlign w:val="superscript"/>
        </w:rPr>
        <w:t xml:space="preserve">a </w:t>
      </w:r>
      <w:r w:rsidRPr="00A834D0">
        <w:rPr>
          <w:rFonts w:ascii="Arial Narrow" w:hAnsi="Arial Narrow"/>
          <w:sz w:val="16"/>
          <w:szCs w:val="16"/>
        </w:rPr>
        <w:t>Details of the initial pathology opinion were available in 116 cases (i.e. cases for which the original referring Consultant’s referral letter was found).</w:t>
      </w:r>
    </w:p>
    <w:p w14:paraId="0E0574B3" w14:textId="77777777" w:rsidR="00B51828" w:rsidRPr="00A834D0" w:rsidRDefault="00B51828" w:rsidP="002101D2">
      <w:pPr>
        <w:spacing w:after="0" w:line="259" w:lineRule="auto"/>
        <w:ind w:left="0"/>
        <w:rPr>
          <w:rFonts w:ascii="Arial Narrow" w:hAnsi="Arial Narrow"/>
          <w:sz w:val="16"/>
          <w:szCs w:val="16"/>
        </w:rPr>
      </w:pPr>
      <w:r w:rsidRPr="00A834D0">
        <w:rPr>
          <w:rFonts w:ascii="Arial Narrow" w:hAnsi="Arial Narrow"/>
          <w:sz w:val="16"/>
          <w:szCs w:val="16"/>
          <w:vertAlign w:val="superscript"/>
        </w:rPr>
        <w:t>b</w:t>
      </w:r>
      <w:r w:rsidRPr="00A834D0">
        <w:rPr>
          <w:rFonts w:ascii="Arial Narrow" w:hAnsi="Arial Narrow"/>
          <w:sz w:val="16"/>
          <w:szCs w:val="16"/>
        </w:rPr>
        <w:t xml:space="preserve"> Of the total cases received for consultation, 1863 had a single tentative diagnosis (i.e. not a differential diagnosis or no initial diagnosis). Of those 1863 cases, 1670 had a ‘specific’ tentative diagnosis (i.e. precise terminology, including an indication of benignancy or malignancy). </w:t>
      </w:r>
    </w:p>
    <w:p w14:paraId="025AB632" w14:textId="77777777" w:rsidR="00B51828" w:rsidRPr="00A834D0" w:rsidRDefault="00B51828" w:rsidP="002101D2">
      <w:pPr>
        <w:spacing w:after="0" w:line="259" w:lineRule="auto"/>
        <w:ind w:left="0"/>
        <w:rPr>
          <w:rFonts w:ascii="Arial Narrow" w:hAnsi="Arial Narrow"/>
          <w:sz w:val="16"/>
          <w:szCs w:val="16"/>
        </w:rPr>
      </w:pPr>
      <w:r w:rsidRPr="00A834D0">
        <w:rPr>
          <w:rFonts w:ascii="Arial Narrow" w:hAnsi="Arial Narrow"/>
          <w:sz w:val="16"/>
          <w:szCs w:val="16"/>
          <w:vertAlign w:val="superscript"/>
        </w:rPr>
        <w:t>c</w:t>
      </w:r>
      <w:r w:rsidRPr="00A834D0">
        <w:rPr>
          <w:rFonts w:ascii="Arial Narrow" w:hAnsi="Arial Narrow"/>
          <w:sz w:val="16"/>
          <w:szCs w:val="16"/>
        </w:rPr>
        <w:t xml:space="preserve"> Major discrepancies were defined as those that had a significant impact on therapy, such as distinguishing a reactive process from a sarcoma or significant mis</w:t>
      </w:r>
      <w:r>
        <w:rPr>
          <w:rFonts w:ascii="Arial Narrow" w:hAnsi="Arial Narrow"/>
          <w:sz w:val="16"/>
          <w:szCs w:val="16"/>
        </w:rPr>
        <w:t>-</w:t>
      </w:r>
      <w:r w:rsidRPr="00A834D0">
        <w:rPr>
          <w:rFonts w:ascii="Arial Narrow" w:hAnsi="Arial Narrow"/>
          <w:sz w:val="16"/>
          <w:szCs w:val="16"/>
        </w:rPr>
        <w:t>grading of a sarcoma (i.e. mis</w:t>
      </w:r>
      <w:r>
        <w:rPr>
          <w:rFonts w:ascii="Arial Narrow" w:hAnsi="Arial Narrow"/>
          <w:sz w:val="16"/>
          <w:szCs w:val="16"/>
        </w:rPr>
        <w:t>-</w:t>
      </w:r>
      <w:r w:rsidRPr="00A834D0">
        <w:rPr>
          <w:rFonts w:ascii="Arial Narrow" w:hAnsi="Arial Narrow"/>
          <w:sz w:val="16"/>
          <w:szCs w:val="16"/>
        </w:rPr>
        <w:t xml:space="preserve">grading by </w:t>
      </w:r>
      <w:r>
        <w:rPr>
          <w:rFonts w:ascii="Arial Narrow" w:hAnsi="Arial Narrow"/>
          <w:sz w:val="16"/>
          <w:szCs w:val="16"/>
        </w:rPr>
        <w:t xml:space="preserve">two </w:t>
      </w:r>
      <w:r w:rsidRPr="00A834D0">
        <w:rPr>
          <w:rFonts w:ascii="Arial Narrow" w:hAnsi="Arial Narrow"/>
          <w:sz w:val="16"/>
          <w:szCs w:val="16"/>
        </w:rPr>
        <w:t xml:space="preserve">grades in a </w:t>
      </w:r>
      <w:r>
        <w:rPr>
          <w:rFonts w:ascii="Arial Narrow" w:hAnsi="Arial Narrow"/>
          <w:sz w:val="16"/>
          <w:szCs w:val="16"/>
        </w:rPr>
        <w:t>three</w:t>
      </w:r>
      <w:r w:rsidRPr="00A834D0">
        <w:rPr>
          <w:rFonts w:ascii="Arial Narrow" w:hAnsi="Arial Narrow"/>
          <w:sz w:val="16"/>
          <w:szCs w:val="16"/>
        </w:rPr>
        <w:t>-tiered system).</w:t>
      </w:r>
    </w:p>
    <w:p w14:paraId="6D0C545C" w14:textId="77777777" w:rsidR="00B51828" w:rsidRPr="00A834D0" w:rsidRDefault="00B51828" w:rsidP="002101D2">
      <w:pPr>
        <w:tabs>
          <w:tab w:val="left" w:pos="990"/>
        </w:tabs>
        <w:spacing w:after="0" w:line="259" w:lineRule="auto"/>
        <w:ind w:left="0"/>
        <w:rPr>
          <w:rFonts w:ascii="Arial Narrow" w:hAnsi="Arial Narrow"/>
          <w:sz w:val="16"/>
          <w:szCs w:val="16"/>
        </w:rPr>
      </w:pPr>
      <w:r w:rsidRPr="00A834D0">
        <w:rPr>
          <w:rFonts w:ascii="Arial Narrow" w:hAnsi="Arial Narrow"/>
          <w:sz w:val="16"/>
          <w:szCs w:val="16"/>
          <w:vertAlign w:val="superscript"/>
        </w:rPr>
        <w:t xml:space="preserve">d </w:t>
      </w:r>
      <w:r w:rsidRPr="00A834D0">
        <w:rPr>
          <w:rFonts w:ascii="Arial Narrow" w:hAnsi="Arial Narrow"/>
          <w:sz w:val="16"/>
          <w:szCs w:val="16"/>
        </w:rPr>
        <w:t>The study included a total of 1463 cases: 564 cases were initially examined by a ‘non-expert’ pathologist who requested a second opinion to confirm the diagnosis; 899 cases were initially examined by a ‘non-expert’ pathologist who did not request confirmation of the diagnosis. The study referred to the latter group as the ‘systematic review’ or ‘control’ group.</w:t>
      </w:r>
    </w:p>
    <w:p w14:paraId="0D0D301C" w14:textId="77777777" w:rsidR="00B51828" w:rsidRPr="00A834D0" w:rsidRDefault="00B51828" w:rsidP="002101D2">
      <w:pPr>
        <w:tabs>
          <w:tab w:val="left" w:pos="990"/>
        </w:tabs>
        <w:spacing w:after="0" w:line="259" w:lineRule="auto"/>
        <w:ind w:left="0"/>
        <w:rPr>
          <w:rFonts w:ascii="Arial Narrow" w:hAnsi="Arial Narrow"/>
          <w:sz w:val="16"/>
          <w:szCs w:val="16"/>
        </w:rPr>
      </w:pPr>
      <w:r w:rsidRPr="00A834D0">
        <w:rPr>
          <w:rFonts w:ascii="Arial Narrow" w:hAnsi="Arial Narrow"/>
          <w:sz w:val="16"/>
          <w:szCs w:val="16"/>
          <w:vertAlign w:val="superscript"/>
        </w:rPr>
        <w:t xml:space="preserve">e </w:t>
      </w:r>
      <w:r w:rsidRPr="00A834D0">
        <w:rPr>
          <w:rFonts w:ascii="Arial Narrow" w:hAnsi="Arial Narrow"/>
          <w:sz w:val="16"/>
          <w:szCs w:val="16"/>
        </w:rPr>
        <w:t>Change in benign versus malignant, different histological type or invalidation of the diagnosis of sarcoma.</w:t>
      </w:r>
    </w:p>
    <w:p w14:paraId="4DFB4EC1" w14:textId="77777777" w:rsidR="00B51828" w:rsidRPr="00A834D0" w:rsidRDefault="00B51828" w:rsidP="002101D2">
      <w:pPr>
        <w:spacing w:after="0" w:line="259" w:lineRule="auto"/>
        <w:ind w:left="0"/>
        <w:rPr>
          <w:rFonts w:ascii="Arial Narrow" w:hAnsi="Arial Narrow"/>
          <w:sz w:val="16"/>
          <w:szCs w:val="16"/>
        </w:rPr>
      </w:pPr>
      <w:r>
        <w:rPr>
          <w:rFonts w:ascii="Arial Narrow" w:hAnsi="Arial Narrow"/>
          <w:sz w:val="16"/>
          <w:szCs w:val="16"/>
          <w:vertAlign w:val="superscript"/>
        </w:rPr>
        <w:lastRenderedPageBreak/>
        <w:t>f</w:t>
      </w:r>
      <w:r w:rsidRPr="00A834D0">
        <w:rPr>
          <w:rFonts w:ascii="Arial Narrow" w:hAnsi="Arial Narrow"/>
          <w:sz w:val="16"/>
          <w:szCs w:val="16"/>
          <w:vertAlign w:val="superscript"/>
        </w:rPr>
        <w:t xml:space="preserve"> </w:t>
      </w:r>
      <w:r w:rsidRPr="00A834D0">
        <w:rPr>
          <w:rFonts w:ascii="Arial Narrow" w:hAnsi="Arial Narrow"/>
          <w:sz w:val="16"/>
          <w:szCs w:val="16"/>
        </w:rPr>
        <w:t>404 out of 405 cases were relevant expert opinion cases, in which an outside pathologist sought an expert opinion. One case was a mandatory second review case, in which an expert opinion was required prior to definitive medical or surgical treatment.</w:t>
      </w:r>
    </w:p>
    <w:p w14:paraId="3D091EE0" w14:textId="77777777" w:rsidR="00B51828" w:rsidRPr="00A834D0" w:rsidRDefault="00B51828" w:rsidP="002101D2">
      <w:pPr>
        <w:tabs>
          <w:tab w:val="left" w:pos="990"/>
        </w:tabs>
        <w:spacing w:after="0" w:line="259" w:lineRule="auto"/>
        <w:ind w:left="0"/>
        <w:rPr>
          <w:rFonts w:ascii="Arial Narrow" w:hAnsi="Arial Narrow"/>
          <w:sz w:val="16"/>
          <w:szCs w:val="16"/>
        </w:rPr>
      </w:pPr>
      <w:r>
        <w:rPr>
          <w:rFonts w:ascii="Arial Narrow" w:hAnsi="Arial Narrow"/>
          <w:sz w:val="16"/>
          <w:szCs w:val="16"/>
          <w:vertAlign w:val="superscript"/>
        </w:rPr>
        <w:t>g</w:t>
      </w:r>
      <w:r w:rsidRPr="00A834D0">
        <w:rPr>
          <w:rFonts w:ascii="Arial Narrow" w:hAnsi="Arial Narrow"/>
          <w:sz w:val="16"/>
          <w:szCs w:val="16"/>
          <w:vertAlign w:val="superscript"/>
        </w:rPr>
        <w:t xml:space="preserve"> </w:t>
      </w:r>
      <w:r>
        <w:rPr>
          <w:rFonts w:ascii="Arial Narrow" w:hAnsi="Arial Narrow"/>
          <w:sz w:val="16"/>
          <w:szCs w:val="16"/>
        </w:rPr>
        <w:t xml:space="preserve">Gaudi et al (2013) used a broader definition of major discrepancy than most of the other included studies. </w:t>
      </w:r>
      <w:r w:rsidRPr="00152905">
        <w:rPr>
          <w:rFonts w:ascii="Arial Narrow" w:hAnsi="Arial Narrow"/>
          <w:sz w:val="16"/>
          <w:szCs w:val="16"/>
        </w:rPr>
        <w:t xml:space="preserve">As such, the number of cases in Gaudi et al (2013) that underwent a benign-malignant or malignant-benign change has been calculated using </w:t>
      </w:r>
      <w:r>
        <w:rPr>
          <w:rFonts w:ascii="Arial Narrow" w:hAnsi="Arial Narrow"/>
          <w:sz w:val="16"/>
          <w:szCs w:val="16"/>
        </w:rPr>
        <w:t>information in Table I, pg. 122, rather than reporting major discrepancies as per study definition, in order to maximise consistency between studies.</w:t>
      </w:r>
    </w:p>
    <w:p w14:paraId="21F24C45" w14:textId="77777777" w:rsidR="00B51828" w:rsidRPr="00A834D0" w:rsidRDefault="00B51828" w:rsidP="002101D2">
      <w:pPr>
        <w:tabs>
          <w:tab w:val="left" w:pos="990"/>
        </w:tabs>
        <w:spacing w:after="0" w:line="259" w:lineRule="auto"/>
        <w:ind w:left="0"/>
        <w:rPr>
          <w:rFonts w:ascii="Arial Narrow" w:hAnsi="Arial Narrow"/>
          <w:sz w:val="16"/>
          <w:szCs w:val="16"/>
        </w:rPr>
      </w:pPr>
      <w:r>
        <w:rPr>
          <w:rFonts w:ascii="Arial Narrow" w:hAnsi="Arial Narrow"/>
          <w:sz w:val="16"/>
          <w:szCs w:val="16"/>
          <w:vertAlign w:val="superscript"/>
        </w:rPr>
        <w:t>h</w:t>
      </w:r>
      <w:r w:rsidRPr="00A834D0">
        <w:rPr>
          <w:rFonts w:ascii="Arial Narrow" w:hAnsi="Arial Narrow"/>
          <w:sz w:val="16"/>
          <w:szCs w:val="16"/>
          <w:vertAlign w:val="superscript"/>
        </w:rPr>
        <w:t xml:space="preserve"> </w:t>
      </w:r>
      <w:r w:rsidRPr="00A834D0">
        <w:rPr>
          <w:rFonts w:ascii="Arial Narrow" w:hAnsi="Arial Narrow"/>
          <w:sz w:val="16"/>
          <w:szCs w:val="16"/>
        </w:rPr>
        <w:t>The paper reported this outcome using a denominator of 405. For consistency with other studies, the denominator has been altered to remove the cases in which no diagnosis was provided by the initial pathologist.</w:t>
      </w:r>
    </w:p>
    <w:p w14:paraId="6764C530" w14:textId="77777777" w:rsidR="00B51828" w:rsidRPr="00A834D0" w:rsidRDefault="00B51828" w:rsidP="002101D2">
      <w:pPr>
        <w:tabs>
          <w:tab w:val="left" w:pos="990"/>
        </w:tabs>
        <w:spacing w:after="0" w:line="259" w:lineRule="auto"/>
        <w:ind w:left="0"/>
        <w:rPr>
          <w:rFonts w:ascii="Arial Narrow" w:hAnsi="Arial Narrow"/>
          <w:sz w:val="16"/>
          <w:szCs w:val="16"/>
        </w:rPr>
      </w:pPr>
      <w:r w:rsidRPr="006F343E">
        <w:rPr>
          <w:rFonts w:ascii="Arial Narrow" w:hAnsi="Arial Narrow"/>
          <w:sz w:val="16"/>
          <w:szCs w:val="16"/>
          <w:vertAlign w:val="superscript"/>
        </w:rPr>
        <w:t xml:space="preserve">i </w:t>
      </w:r>
      <w:r w:rsidRPr="00A834D0">
        <w:rPr>
          <w:rFonts w:ascii="Arial Narrow" w:hAnsi="Arial Narrow"/>
          <w:sz w:val="16"/>
          <w:szCs w:val="16"/>
        </w:rPr>
        <w:t xml:space="preserve">Cases reported in the study as having been over- or under-diagnosed were those that underwent a shift from malignant to benign or benign to malignant, respectively, as a result of expert opinion. The authors stated that over- or under-diagnosis would have inevitable consequences for therapy, follow-up and prognosis. For the purposes of this table they are referred to collectively as ‘Major discrepancies’.  </w:t>
      </w:r>
    </w:p>
    <w:p w14:paraId="1FED9F47" w14:textId="77777777" w:rsidR="00B51828" w:rsidRPr="006F343E" w:rsidRDefault="00B51828" w:rsidP="002101D2">
      <w:pPr>
        <w:tabs>
          <w:tab w:val="left" w:pos="990"/>
        </w:tabs>
        <w:spacing w:after="0" w:line="259" w:lineRule="auto"/>
        <w:ind w:left="0"/>
        <w:rPr>
          <w:rFonts w:ascii="Arial Narrow" w:hAnsi="Arial Narrow"/>
          <w:sz w:val="16"/>
          <w:szCs w:val="16"/>
        </w:rPr>
      </w:pPr>
      <w:r>
        <w:rPr>
          <w:rFonts w:ascii="Arial Narrow" w:hAnsi="Arial Narrow"/>
          <w:sz w:val="16"/>
          <w:szCs w:val="16"/>
          <w:vertAlign w:val="superscript"/>
        </w:rPr>
        <w:t xml:space="preserve">j </w:t>
      </w:r>
      <w:r w:rsidRPr="00A834D0">
        <w:rPr>
          <w:rFonts w:ascii="Arial Narrow" w:hAnsi="Arial Narrow"/>
          <w:sz w:val="16"/>
          <w:szCs w:val="16"/>
        </w:rPr>
        <w:t>Includes cases categorised as having been over- or under-diagnosed. The study reported that over</w:t>
      </w:r>
      <w:r>
        <w:rPr>
          <w:rFonts w:ascii="Arial Narrow" w:hAnsi="Arial Narrow"/>
          <w:sz w:val="16"/>
          <w:szCs w:val="16"/>
        </w:rPr>
        <w:t>-</w:t>
      </w:r>
      <w:r w:rsidRPr="00A834D0">
        <w:rPr>
          <w:rFonts w:ascii="Arial Narrow" w:hAnsi="Arial Narrow"/>
          <w:sz w:val="16"/>
          <w:szCs w:val="16"/>
        </w:rPr>
        <w:t>diagnosis and under</w:t>
      </w:r>
      <w:r>
        <w:rPr>
          <w:rFonts w:ascii="Arial Narrow" w:hAnsi="Arial Narrow"/>
          <w:sz w:val="16"/>
          <w:szCs w:val="16"/>
        </w:rPr>
        <w:t>-</w:t>
      </w:r>
      <w:r w:rsidRPr="00A834D0">
        <w:rPr>
          <w:rFonts w:ascii="Arial Narrow" w:hAnsi="Arial Narrow"/>
          <w:sz w:val="16"/>
          <w:szCs w:val="16"/>
        </w:rPr>
        <w:t>diagnosis were defined and calculated from a perspective of clinical relevance, including therapeutic consequences. Over</w:t>
      </w:r>
      <w:r>
        <w:rPr>
          <w:rFonts w:ascii="Arial Narrow" w:hAnsi="Arial Narrow"/>
          <w:sz w:val="16"/>
          <w:szCs w:val="16"/>
        </w:rPr>
        <w:t>-</w:t>
      </w:r>
      <w:r w:rsidRPr="00A834D0">
        <w:rPr>
          <w:rFonts w:ascii="Arial Narrow" w:hAnsi="Arial Narrow"/>
          <w:sz w:val="16"/>
          <w:szCs w:val="16"/>
        </w:rPr>
        <w:t xml:space="preserve">diagnosis refers to situations where the expert diagnosis was ‘common acquired naevus’, ‘Spitz naevus’, ‘special types of naevus’, ‘dysplastic naevus’, or ‘melanoma </w:t>
      </w:r>
      <w:r w:rsidRPr="00A834D0">
        <w:rPr>
          <w:rFonts w:ascii="Arial Narrow" w:hAnsi="Arial Narrow"/>
          <w:i/>
          <w:sz w:val="16"/>
          <w:szCs w:val="16"/>
        </w:rPr>
        <w:t>in situ</w:t>
      </w:r>
      <w:r w:rsidRPr="00A834D0">
        <w:rPr>
          <w:rFonts w:ascii="Arial Narrow" w:hAnsi="Arial Narrow"/>
          <w:sz w:val="16"/>
          <w:szCs w:val="16"/>
        </w:rPr>
        <w:t>’, while the referring pathologist had diagnosed ‘suspected melanoma’ or ‘invasive melanoma’. Under</w:t>
      </w:r>
      <w:r>
        <w:rPr>
          <w:rFonts w:ascii="Arial Narrow" w:hAnsi="Arial Narrow"/>
          <w:sz w:val="16"/>
          <w:szCs w:val="16"/>
        </w:rPr>
        <w:t>-</w:t>
      </w:r>
      <w:r w:rsidRPr="00A834D0">
        <w:rPr>
          <w:rFonts w:ascii="Arial Narrow" w:hAnsi="Arial Narrow"/>
          <w:sz w:val="16"/>
          <w:szCs w:val="16"/>
        </w:rPr>
        <w:t xml:space="preserve">diagnosis refers to situations where the expert diagnosis was ‘suspected melanoma’ or ‘invasive melanoma’, while the referring pathologist had diagnosed ‘common acquired naevus’, ‘Spitz naevus’, ‘special types of naevus’, ‘dysplastic naevus’, or ‘melanoma </w:t>
      </w:r>
      <w:r w:rsidRPr="00A834D0">
        <w:rPr>
          <w:rFonts w:ascii="Arial Narrow" w:hAnsi="Arial Narrow"/>
          <w:i/>
          <w:sz w:val="16"/>
          <w:szCs w:val="16"/>
        </w:rPr>
        <w:t>in situ</w:t>
      </w:r>
      <w:r w:rsidRPr="00A834D0">
        <w:rPr>
          <w:rFonts w:ascii="Arial Narrow" w:hAnsi="Arial Narrow"/>
          <w:sz w:val="16"/>
          <w:szCs w:val="16"/>
        </w:rPr>
        <w:t xml:space="preserve">’. Lesions classified as ‘other’ were </w:t>
      </w:r>
      <w:r>
        <w:rPr>
          <w:rFonts w:ascii="Arial Narrow" w:hAnsi="Arial Narrow"/>
          <w:sz w:val="16"/>
          <w:szCs w:val="16"/>
        </w:rPr>
        <w:t>not considered in this outcome.</w:t>
      </w:r>
    </w:p>
    <w:p w14:paraId="7A041C4A" w14:textId="77777777" w:rsidR="00B51828" w:rsidRPr="00A834D0" w:rsidRDefault="00B51828" w:rsidP="002101D2">
      <w:pPr>
        <w:tabs>
          <w:tab w:val="left" w:pos="990"/>
        </w:tabs>
        <w:spacing w:after="0" w:line="259" w:lineRule="auto"/>
        <w:ind w:left="0"/>
        <w:rPr>
          <w:rFonts w:ascii="Arial Narrow" w:hAnsi="Arial Narrow"/>
          <w:sz w:val="16"/>
          <w:szCs w:val="16"/>
        </w:rPr>
      </w:pPr>
      <w:r w:rsidRPr="00A834D0">
        <w:rPr>
          <w:rFonts w:ascii="Arial Narrow" w:hAnsi="Arial Narrow"/>
          <w:sz w:val="16"/>
          <w:szCs w:val="16"/>
          <w:vertAlign w:val="superscript"/>
        </w:rPr>
        <w:t xml:space="preserve">k </w:t>
      </w:r>
      <w:r w:rsidRPr="00A834D0">
        <w:rPr>
          <w:rFonts w:ascii="Arial Narrow" w:hAnsi="Arial Narrow"/>
          <w:sz w:val="16"/>
          <w:szCs w:val="16"/>
        </w:rPr>
        <w:t>Excluding cases with no initial diagnosis, a differential diagnosis or a diagnosis categorised as ‘other’, none of which had the potential to be a major discrepancy.</w:t>
      </w:r>
    </w:p>
    <w:p w14:paraId="0ABE3740" w14:textId="77777777" w:rsidR="00B51828" w:rsidRPr="006F343E" w:rsidRDefault="00B51828" w:rsidP="002101D2">
      <w:pPr>
        <w:tabs>
          <w:tab w:val="left" w:pos="990"/>
        </w:tabs>
        <w:spacing w:after="0" w:line="259" w:lineRule="auto"/>
        <w:ind w:left="0"/>
        <w:rPr>
          <w:rFonts w:ascii="Arial Narrow" w:hAnsi="Arial Narrow"/>
          <w:sz w:val="16"/>
          <w:szCs w:val="16"/>
          <w:u w:val="single"/>
        </w:rPr>
      </w:pPr>
      <w:r w:rsidRPr="00A834D0">
        <w:rPr>
          <w:rFonts w:ascii="Arial Narrow" w:hAnsi="Arial Narrow"/>
          <w:sz w:val="16"/>
          <w:szCs w:val="16"/>
          <w:vertAlign w:val="superscript"/>
        </w:rPr>
        <w:t xml:space="preserve">l </w:t>
      </w:r>
      <w:r w:rsidRPr="00A834D0">
        <w:rPr>
          <w:rFonts w:ascii="Arial Narrow" w:hAnsi="Arial Narrow"/>
          <w:sz w:val="16"/>
          <w:szCs w:val="16"/>
        </w:rPr>
        <w:t>Changes in diagnosis that would significantly alter the evaluation plan, treatment and/or prognosis of the patient.</w:t>
      </w:r>
    </w:p>
    <w:p w14:paraId="3E5A492C" w14:textId="77777777" w:rsidR="00B51828" w:rsidRPr="006F343E" w:rsidRDefault="00B51828" w:rsidP="002101D2">
      <w:pPr>
        <w:tabs>
          <w:tab w:val="left" w:pos="990"/>
        </w:tabs>
        <w:spacing w:after="0" w:line="259" w:lineRule="auto"/>
        <w:ind w:left="0"/>
        <w:rPr>
          <w:rFonts w:ascii="Arial Narrow" w:hAnsi="Arial Narrow"/>
          <w:sz w:val="16"/>
          <w:szCs w:val="16"/>
          <w:u w:val="single"/>
        </w:rPr>
      </w:pPr>
      <w:r w:rsidRPr="00A834D0">
        <w:rPr>
          <w:rFonts w:ascii="Arial Narrow" w:hAnsi="Arial Narrow"/>
          <w:sz w:val="16"/>
          <w:szCs w:val="16"/>
          <w:vertAlign w:val="superscript"/>
        </w:rPr>
        <w:t xml:space="preserve">m </w:t>
      </w:r>
      <w:r>
        <w:rPr>
          <w:rFonts w:ascii="Arial Narrow" w:hAnsi="Arial Narrow"/>
          <w:sz w:val="16"/>
          <w:szCs w:val="16"/>
        </w:rPr>
        <w:t>Five of the seven cases originated from the ureter; two cases originated from the pelvis.</w:t>
      </w:r>
    </w:p>
    <w:p w14:paraId="28B5FC4B" w14:textId="77777777" w:rsidR="00B51828" w:rsidRDefault="00B51828" w:rsidP="002101D2">
      <w:pPr>
        <w:pStyle w:val="Caption"/>
        <w:ind w:left="0" w:firstLine="0"/>
      </w:pPr>
      <w:bookmarkStart w:id="163" w:name="_Ref395256183"/>
    </w:p>
    <w:p w14:paraId="689CA4E2" w14:textId="77777777" w:rsidR="00B51828" w:rsidRDefault="00B51828" w:rsidP="002101D2">
      <w:pPr>
        <w:pStyle w:val="Caption"/>
        <w:ind w:left="0" w:firstLine="0"/>
      </w:pPr>
    </w:p>
    <w:p w14:paraId="5C6E518F" w14:textId="77777777" w:rsidR="00B51828" w:rsidRDefault="00B51828" w:rsidP="002101D2">
      <w:pPr>
        <w:pStyle w:val="Caption"/>
        <w:ind w:left="1406" w:hanging="1406"/>
      </w:pPr>
      <w:bookmarkStart w:id="164" w:name="_Ref395353173"/>
      <w:bookmarkStart w:id="165" w:name="_Toc395280225"/>
      <w:bookmarkStart w:id="166" w:name="_Toc396211749"/>
      <w:bookmarkEnd w:id="163"/>
      <w:r>
        <w:t xml:space="preserve">Table </w:t>
      </w:r>
      <w:fldSimple w:instr=" STYLEREF 2 \s ">
        <w:r w:rsidR="0044620B">
          <w:rPr>
            <w:noProof/>
          </w:rPr>
          <w:t>B.6</w:t>
        </w:r>
      </w:fldSimple>
      <w:r>
        <w:noBreakHyphen/>
      </w:r>
      <w:fldSimple w:instr=" SEQ Table \* ARABIC \s 2 ">
        <w:r w:rsidR="0044620B">
          <w:rPr>
            <w:noProof/>
          </w:rPr>
          <w:t>6</w:t>
        </w:r>
      </w:fldSimple>
      <w:bookmarkEnd w:id="164"/>
      <w:r>
        <w:tab/>
        <w:t xml:space="preserve">Major discrepancies between initial and expert pathology opinions – </w:t>
      </w:r>
      <w:r>
        <w:rPr>
          <w:i/>
        </w:rPr>
        <w:t>Scenario 2</w:t>
      </w:r>
      <w:bookmarkEnd w:id="165"/>
      <w:r>
        <w:rPr>
          <w:i/>
        </w:rPr>
        <w:t xml:space="preserve"> studies</w:t>
      </w:r>
      <w:bookmarkEnd w:id="166"/>
    </w:p>
    <w:tbl>
      <w:tblPr>
        <w:tblStyle w:val="TableGrid8"/>
        <w:tblW w:w="5000" w:type="pct"/>
        <w:tblCellMar>
          <w:left w:w="57" w:type="dxa"/>
          <w:right w:w="57" w:type="dxa"/>
        </w:tblCellMar>
        <w:tblLook w:val="04A0" w:firstRow="1" w:lastRow="0" w:firstColumn="1" w:lastColumn="0" w:noHBand="0" w:noVBand="1"/>
        <w:tblCaption w:val="Major discrepancies – Scenario 2 studies"/>
        <w:tblDescription w:val="Major discrepancies between initial and expert pathology opinions – Scenario 2 studies"/>
      </w:tblPr>
      <w:tblGrid>
        <w:gridCol w:w="2580"/>
        <w:gridCol w:w="2874"/>
        <w:gridCol w:w="5888"/>
        <w:gridCol w:w="2730"/>
      </w:tblGrid>
      <w:tr w:rsidR="00B51828" w:rsidRPr="00DD447D" w14:paraId="7400F01A" w14:textId="77777777" w:rsidTr="002101D2">
        <w:trPr>
          <w:tblHeader/>
        </w:trPr>
        <w:tc>
          <w:tcPr>
            <w:tcW w:w="917" w:type="pct"/>
          </w:tcPr>
          <w:p w14:paraId="0F3BC487" w14:textId="77777777" w:rsidR="00B51828" w:rsidRPr="00DD447D" w:rsidRDefault="00B51828" w:rsidP="002101D2">
            <w:pPr>
              <w:spacing w:before="20" w:after="20"/>
              <w:ind w:left="0"/>
              <w:rPr>
                <w:rFonts w:ascii="Arial Narrow" w:hAnsi="Arial Narrow"/>
                <w:b/>
                <w:sz w:val="20"/>
                <w:szCs w:val="20"/>
              </w:rPr>
            </w:pPr>
            <w:r w:rsidRPr="00DD447D">
              <w:rPr>
                <w:rFonts w:ascii="Arial Narrow" w:hAnsi="Arial Narrow"/>
                <w:b/>
                <w:sz w:val="20"/>
                <w:szCs w:val="20"/>
              </w:rPr>
              <w:t>Study ID</w:t>
            </w:r>
          </w:p>
        </w:tc>
        <w:tc>
          <w:tcPr>
            <w:tcW w:w="1021" w:type="pct"/>
          </w:tcPr>
          <w:p w14:paraId="02EF1FE6" w14:textId="77777777" w:rsidR="00B51828" w:rsidRPr="00DD447D" w:rsidRDefault="00B51828" w:rsidP="002101D2">
            <w:pPr>
              <w:spacing w:before="20" w:after="20"/>
              <w:ind w:left="0"/>
              <w:rPr>
                <w:rFonts w:ascii="Arial Narrow" w:hAnsi="Arial Narrow"/>
                <w:b/>
                <w:sz w:val="20"/>
                <w:szCs w:val="20"/>
              </w:rPr>
            </w:pPr>
            <w:r w:rsidRPr="00DD447D">
              <w:rPr>
                <w:rFonts w:ascii="Arial Narrow" w:hAnsi="Arial Narrow"/>
                <w:b/>
                <w:sz w:val="20"/>
                <w:szCs w:val="20"/>
              </w:rPr>
              <w:t>Population (N)</w:t>
            </w:r>
          </w:p>
        </w:tc>
        <w:tc>
          <w:tcPr>
            <w:tcW w:w="2092" w:type="pct"/>
          </w:tcPr>
          <w:p w14:paraId="2AA77E84" w14:textId="77777777" w:rsidR="00B51828" w:rsidRPr="00DD447D" w:rsidRDefault="00B51828" w:rsidP="002101D2">
            <w:pPr>
              <w:spacing w:before="20" w:after="20"/>
              <w:ind w:left="0"/>
              <w:rPr>
                <w:rFonts w:ascii="Arial Narrow" w:hAnsi="Arial Narrow"/>
                <w:b/>
                <w:sz w:val="20"/>
                <w:szCs w:val="20"/>
              </w:rPr>
            </w:pPr>
            <w:r w:rsidRPr="00DD447D">
              <w:rPr>
                <w:rFonts w:ascii="Arial Narrow" w:hAnsi="Arial Narrow"/>
                <w:b/>
                <w:sz w:val="20"/>
                <w:szCs w:val="20"/>
              </w:rPr>
              <w:t>Outcome</w:t>
            </w:r>
          </w:p>
        </w:tc>
        <w:tc>
          <w:tcPr>
            <w:tcW w:w="970" w:type="pct"/>
          </w:tcPr>
          <w:p w14:paraId="76AD5E20" w14:textId="77777777" w:rsidR="00B51828" w:rsidRPr="00DD447D" w:rsidRDefault="00B51828" w:rsidP="002101D2">
            <w:pPr>
              <w:spacing w:before="20" w:after="20"/>
              <w:ind w:left="0"/>
              <w:rPr>
                <w:rFonts w:ascii="Arial Narrow" w:hAnsi="Arial Narrow"/>
                <w:b/>
                <w:sz w:val="20"/>
                <w:szCs w:val="20"/>
              </w:rPr>
            </w:pPr>
            <w:r w:rsidRPr="00DD447D">
              <w:rPr>
                <w:rFonts w:ascii="Arial Narrow" w:hAnsi="Arial Narrow"/>
                <w:b/>
                <w:sz w:val="20"/>
                <w:szCs w:val="20"/>
              </w:rPr>
              <w:t>Results n/N (%)</w:t>
            </w:r>
          </w:p>
        </w:tc>
      </w:tr>
      <w:tr w:rsidR="00B51828" w:rsidRPr="00DD447D" w14:paraId="2807D3A0" w14:textId="77777777" w:rsidTr="002101D2">
        <w:tc>
          <w:tcPr>
            <w:tcW w:w="917" w:type="pct"/>
            <w:shd w:val="clear" w:color="auto" w:fill="BFBFBF" w:themeFill="background1" w:themeFillShade="BF"/>
          </w:tcPr>
          <w:p w14:paraId="630806A9"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BRAIN AND SPINAL CORD</w:t>
            </w:r>
          </w:p>
        </w:tc>
        <w:tc>
          <w:tcPr>
            <w:tcW w:w="1021" w:type="pct"/>
            <w:shd w:val="clear" w:color="auto" w:fill="BFBFBF" w:themeFill="background1" w:themeFillShade="BF"/>
          </w:tcPr>
          <w:p w14:paraId="45F46CEB" w14:textId="4094B5A0" w:rsidR="00B51828" w:rsidRPr="00DD447D" w:rsidRDefault="00A15F7D" w:rsidP="002101D2">
            <w:pPr>
              <w:spacing w:before="20" w:after="20"/>
              <w:ind w:left="0"/>
              <w:rPr>
                <w:rFonts w:ascii="Arial Narrow" w:hAnsi="Arial Narrow"/>
                <w:sz w:val="20"/>
                <w:szCs w:val="20"/>
              </w:rPr>
            </w:pPr>
            <w:r>
              <w:rPr>
                <w:rFonts w:ascii="Arial Narrow" w:hAnsi="Arial Narrow"/>
                <w:sz w:val="20"/>
                <w:szCs w:val="20"/>
              </w:rPr>
              <w:t>-</w:t>
            </w:r>
          </w:p>
        </w:tc>
        <w:tc>
          <w:tcPr>
            <w:tcW w:w="2092" w:type="pct"/>
            <w:shd w:val="clear" w:color="auto" w:fill="BFBFBF" w:themeFill="background1" w:themeFillShade="BF"/>
          </w:tcPr>
          <w:p w14:paraId="4D033FF3" w14:textId="0D31C4A4" w:rsidR="00B51828" w:rsidRPr="00DD447D" w:rsidRDefault="00A15F7D" w:rsidP="002101D2">
            <w:pPr>
              <w:spacing w:before="20" w:after="20"/>
              <w:ind w:left="0"/>
              <w:rPr>
                <w:rFonts w:ascii="Arial Narrow" w:hAnsi="Arial Narrow"/>
                <w:sz w:val="20"/>
                <w:szCs w:val="20"/>
              </w:rPr>
            </w:pPr>
            <w:r>
              <w:rPr>
                <w:rFonts w:ascii="Arial Narrow" w:hAnsi="Arial Narrow"/>
                <w:sz w:val="20"/>
                <w:szCs w:val="20"/>
              </w:rPr>
              <w:t>-</w:t>
            </w:r>
          </w:p>
        </w:tc>
        <w:tc>
          <w:tcPr>
            <w:tcW w:w="970" w:type="pct"/>
            <w:shd w:val="clear" w:color="auto" w:fill="BFBFBF" w:themeFill="background1" w:themeFillShade="BF"/>
          </w:tcPr>
          <w:p w14:paraId="10B9192F" w14:textId="2E085464" w:rsidR="00B51828" w:rsidRPr="00DD447D" w:rsidRDefault="00A15F7D" w:rsidP="002101D2">
            <w:pPr>
              <w:spacing w:before="20" w:after="20"/>
              <w:ind w:left="0"/>
              <w:rPr>
                <w:rFonts w:ascii="Arial Narrow" w:hAnsi="Arial Narrow"/>
                <w:sz w:val="20"/>
                <w:szCs w:val="20"/>
              </w:rPr>
            </w:pPr>
            <w:r>
              <w:rPr>
                <w:rFonts w:ascii="Arial Narrow" w:hAnsi="Arial Narrow"/>
                <w:sz w:val="20"/>
                <w:szCs w:val="20"/>
              </w:rPr>
              <w:t>-</w:t>
            </w:r>
          </w:p>
        </w:tc>
      </w:tr>
      <w:tr w:rsidR="00B51828" w:rsidRPr="00DD447D" w14:paraId="79FC3BCD" w14:textId="77777777" w:rsidTr="002101D2">
        <w:tc>
          <w:tcPr>
            <w:tcW w:w="917" w:type="pct"/>
          </w:tcPr>
          <w:p w14:paraId="4F4E79C4"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Bruner 1997</w:t>
            </w:r>
          </w:p>
        </w:tc>
        <w:tc>
          <w:tcPr>
            <w:tcW w:w="1021" w:type="pct"/>
          </w:tcPr>
          <w:p w14:paraId="10A2297A"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Brain and spinal cord biopsy for suspected neoplastic disease</w:t>
            </w:r>
          </w:p>
          <w:p w14:paraId="381DD58F"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N=500 cases</w:t>
            </w:r>
            <w:r w:rsidRPr="00DD447D">
              <w:rPr>
                <w:rFonts w:ascii="Arial Narrow" w:hAnsi="Arial Narrow"/>
                <w:sz w:val="20"/>
                <w:szCs w:val="20"/>
                <w:vertAlign w:val="superscript"/>
              </w:rPr>
              <w:t>a</w:t>
            </w:r>
          </w:p>
        </w:tc>
        <w:tc>
          <w:tcPr>
            <w:tcW w:w="2092" w:type="pct"/>
          </w:tcPr>
          <w:p w14:paraId="6B96972E"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Major discrepancy</w:t>
            </w:r>
            <w:r w:rsidRPr="00DD447D">
              <w:rPr>
                <w:rFonts w:ascii="Arial Narrow" w:hAnsi="Arial Narrow"/>
                <w:sz w:val="20"/>
                <w:szCs w:val="20"/>
                <w:vertAlign w:val="superscript"/>
              </w:rPr>
              <w:t xml:space="preserve">b </w:t>
            </w:r>
            <w:r w:rsidRPr="00DD447D">
              <w:rPr>
                <w:rFonts w:ascii="Arial Narrow" w:hAnsi="Arial Narrow"/>
                <w:sz w:val="20"/>
                <w:szCs w:val="20"/>
              </w:rPr>
              <w:t>in cases with a provisional diagnosis</w:t>
            </w:r>
          </w:p>
          <w:p w14:paraId="0B329D73" w14:textId="77777777" w:rsidR="00B51828" w:rsidRPr="00DD447D" w:rsidRDefault="00B51828" w:rsidP="002101D2">
            <w:pPr>
              <w:spacing w:before="20" w:after="20"/>
              <w:ind w:left="284"/>
              <w:rPr>
                <w:rFonts w:ascii="Arial Narrow" w:hAnsi="Arial Narrow"/>
                <w:i/>
                <w:sz w:val="20"/>
                <w:szCs w:val="20"/>
              </w:rPr>
            </w:pPr>
            <w:r w:rsidRPr="00DD447D">
              <w:rPr>
                <w:rFonts w:ascii="Arial Narrow" w:hAnsi="Arial Narrow"/>
                <w:i/>
                <w:sz w:val="20"/>
                <w:szCs w:val="20"/>
              </w:rPr>
              <w:t>Nature of major discrepancy (as a proportion of cases with a provisional diagnosis):</w:t>
            </w:r>
          </w:p>
          <w:p w14:paraId="2FCF013F" w14:textId="77777777" w:rsidR="00B51828" w:rsidRPr="00DD447D" w:rsidRDefault="00B51828" w:rsidP="00B51828">
            <w:pPr>
              <w:numPr>
                <w:ilvl w:val="0"/>
                <w:numId w:val="57"/>
              </w:numPr>
              <w:spacing w:before="20" w:after="20"/>
              <w:contextualSpacing/>
              <w:rPr>
                <w:rFonts w:ascii="Arial Narrow" w:hAnsi="Arial Narrow"/>
                <w:sz w:val="20"/>
                <w:szCs w:val="20"/>
              </w:rPr>
            </w:pPr>
            <w:r w:rsidRPr="00DD447D">
              <w:rPr>
                <w:rFonts w:ascii="Arial Narrow" w:hAnsi="Arial Narrow"/>
                <w:sz w:val="20"/>
                <w:szCs w:val="20"/>
              </w:rPr>
              <w:t>Tumour diagnosis changed to nontumour</w:t>
            </w:r>
          </w:p>
          <w:p w14:paraId="336F97C4" w14:textId="77777777" w:rsidR="00B51828" w:rsidRPr="00DD447D" w:rsidRDefault="00B51828" w:rsidP="00B51828">
            <w:pPr>
              <w:numPr>
                <w:ilvl w:val="0"/>
                <w:numId w:val="57"/>
              </w:numPr>
              <w:spacing w:before="20" w:after="20"/>
              <w:contextualSpacing/>
              <w:rPr>
                <w:rFonts w:ascii="Arial Narrow" w:hAnsi="Arial Narrow"/>
                <w:sz w:val="20"/>
                <w:szCs w:val="20"/>
              </w:rPr>
            </w:pPr>
            <w:r w:rsidRPr="00DD447D">
              <w:rPr>
                <w:rFonts w:ascii="Arial Narrow" w:hAnsi="Arial Narrow"/>
                <w:sz w:val="20"/>
                <w:szCs w:val="20"/>
              </w:rPr>
              <w:t>Nontumour diagnosis changed to tumour</w:t>
            </w:r>
          </w:p>
          <w:p w14:paraId="5B1E17CA" w14:textId="77777777" w:rsidR="00B51828" w:rsidRPr="00DD447D" w:rsidRDefault="00B51828" w:rsidP="00B51828">
            <w:pPr>
              <w:numPr>
                <w:ilvl w:val="0"/>
                <w:numId w:val="57"/>
              </w:numPr>
              <w:spacing w:before="20" w:after="20"/>
              <w:contextualSpacing/>
              <w:rPr>
                <w:rFonts w:ascii="Arial Narrow" w:hAnsi="Arial Narrow"/>
                <w:sz w:val="20"/>
                <w:szCs w:val="20"/>
              </w:rPr>
            </w:pPr>
            <w:r w:rsidRPr="00DD447D">
              <w:rPr>
                <w:rFonts w:ascii="Arial Narrow" w:hAnsi="Arial Narrow"/>
                <w:sz w:val="20"/>
                <w:szCs w:val="20"/>
              </w:rPr>
              <w:t>Malignant tumour changed to benign</w:t>
            </w:r>
          </w:p>
          <w:p w14:paraId="2C837534" w14:textId="77777777" w:rsidR="00B51828" w:rsidRPr="00DD447D" w:rsidRDefault="00B51828" w:rsidP="00B51828">
            <w:pPr>
              <w:numPr>
                <w:ilvl w:val="0"/>
                <w:numId w:val="57"/>
              </w:numPr>
              <w:spacing w:before="20" w:after="20"/>
              <w:contextualSpacing/>
              <w:rPr>
                <w:rFonts w:ascii="Arial Narrow" w:hAnsi="Arial Narrow"/>
                <w:sz w:val="20"/>
                <w:szCs w:val="20"/>
              </w:rPr>
            </w:pPr>
            <w:r w:rsidRPr="00DD447D">
              <w:rPr>
                <w:rFonts w:ascii="Arial Narrow" w:hAnsi="Arial Narrow"/>
                <w:sz w:val="20"/>
                <w:szCs w:val="20"/>
              </w:rPr>
              <w:t>Benign tumour changed to malignant</w:t>
            </w:r>
          </w:p>
          <w:p w14:paraId="4A34170B" w14:textId="77777777" w:rsidR="00B51828" w:rsidRPr="00630EB6" w:rsidRDefault="00B51828" w:rsidP="00B51828">
            <w:pPr>
              <w:numPr>
                <w:ilvl w:val="0"/>
                <w:numId w:val="57"/>
              </w:numPr>
              <w:spacing w:before="20" w:after="20"/>
              <w:contextualSpacing/>
              <w:rPr>
                <w:rFonts w:ascii="Arial Narrow" w:hAnsi="Arial Narrow"/>
                <w:sz w:val="20"/>
                <w:szCs w:val="20"/>
              </w:rPr>
            </w:pPr>
            <w:r w:rsidRPr="00DD447D">
              <w:rPr>
                <w:rFonts w:ascii="Arial Narrow" w:hAnsi="Arial Narrow"/>
                <w:sz w:val="20"/>
                <w:szCs w:val="20"/>
              </w:rPr>
              <w:t>Diagnosis changed within benign or malignant</w:t>
            </w:r>
          </w:p>
        </w:tc>
        <w:tc>
          <w:tcPr>
            <w:tcW w:w="970" w:type="pct"/>
          </w:tcPr>
          <w:p w14:paraId="4B64E1F4"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32/261 (12.3%)</w:t>
            </w:r>
          </w:p>
          <w:p w14:paraId="783D2920" w14:textId="77777777" w:rsidR="00B51828" w:rsidRPr="00DD447D" w:rsidRDefault="00B51828" w:rsidP="002101D2">
            <w:pPr>
              <w:spacing w:before="20" w:after="20"/>
              <w:ind w:left="0"/>
              <w:rPr>
                <w:rFonts w:ascii="Arial Narrow" w:hAnsi="Arial Narrow"/>
                <w:sz w:val="20"/>
                <w:szCs w:val="20"/>
              </w:rPr>
            </w:pPr>
          </w:p>
          <w:p w14:paraId="5D5FA882" w14:textId="77777777" w:rsidR="00B51828" w:rsidRPr="00DD447D" w:rsidRDefault="00B51828" w:rsidP="002101D2">
            <w:pPr>
              <w:spacing w:before="20" w:after="20"/>
              <w:ind w:left="0"/>
              <w:rPr>
                <w:rFonts w:ascii="Arial Narrow" w:hAnsi="Arial Narrow"/>
                <w:sz w:val="20"/>
                <w:szCs w:val="20"/>
              </w:rPr>
            </w:pPr>
          </w:p>
          <w:p w14:paraId="39D0750B"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7/261 (2.7%)</w:t>
            </w:r>
          </w:p>
          <w:p w14:paraId="0D26FD77"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4/261 (1.5%)</w:t>
            </w:r>
          </w:p>
          <w:p w14:paraId="2BD6893C"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4/261 (1.5%)</w:t>
            </w:r>
          </w:p>
          <w:p w14:paraId="605B95D1"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4/261 (1.5%)</w:t>
            </w:r>
          </w:p>
          <w:p w14:paraId="348F56A8" w14:textId="77777777" w:rsidR="00B51828" w:rsidRPr="00DD447D" w:rsidRDefault="00B51828" w:rsidP="002101D2">
            <w:pPr>
              <w:spacing w:before="20" w:after="20"/>
              <w:ind w:left="0"/>
              <w:rPr>
                <w:rFonts w:ascii="Arial Narrow" w:hAnsi="Arial Narrow"/>
                <w:sz w:val="20"/>
                <w:szCs w:val="20"/>
              </w:rPr>
            </w:pPr>
            <w:r w:rsidRPr="00DD447D">
              <w:rPr>
                <w:rFonts w:ascii="Arial Narrow" w:hAnsi="Arial Narrow"/>
                <w:sz w:val="20"/>
                <w:szCs w:val="20"/>
              </w:rPr>
              <w:t>13/261 (5.0%)</w:t>
            </w:r>
          </w:p>
        </w:tc>
      </w:tr>
    </w:tbl>
    <w:p w14:paraId="5C8F2055" w14:textId="77777777" w:rsidR="00B51828" w:rsidRPr="00DD447D" w:rsidRDefault="00B51828" w:rsidP="002101D2">
      <w:pPr>
        <w:spacing w:after="0" w:line="259" w:lineRule="auto"/>
        <w:ind w:left="0"/>
        <w:rPr>
          <w:rFonts w:ascii="Arial Narrow" w:hAnsi="Arial Narrow"/>
          <w:sz w:val="16"/>
          <w:szCs w:val="16"/>
        </w:rPr>
      </w:pPr>
      <w:r w:rsidRPr="00DD447D">
        <w:rPr>
          <w:rFonts w:ascii="Arial Narrow" w:hAnsi="Arial Narrow"/>
          <w:sz w:val="16"/>
          <w:szCs w:val="16"/>
          <w:vertAlign w:val="superscript"/>
        </w:rPr>
        <w:t xml:space="preserve">a </w:t>
      </w:r>
      <w:r w:rsidRPr="00DD447D">
        <w:rPr>
          <w:rFonts w:ascii="Arial Narrow" w:hAnsi="Arial Narrow"/>
          <w:sz w:val="16"/>
          <w:szCs w:val="16"/>
        </w:rPr>
        <w:t>The study included a total of 500 cases: 284 “consultation-only” cases were submitted because of some doubt about the original diagnosis on the part of pathologists or other attending physicians (e.g. surgeons, internists, or radiotherapists) at an outside institution; 216 cases were reviewed after the patient was referred to the Texas M. D. Anderson Cancer Center for management.</w:t>
      </w:r>
    </w:p>
    <w:p w14:paraId="79D83644" w14:textId="77777777" w:rsidR="00B51828" w:rsidRPr="00DD447D" w:rsidRDefault="00B51828" w:rsidP="002101D2">
      <w:pPr>
        <w:spacing w:after="0" w:line="259" w:lineRule="auto"/>
        <w:ind w:left="0"/>
        <w:rPr>
          <w:rFonts w:ascii="Arial Narrow" w:hAnsi="Arial Narrow"/>
          <w:sz w:val="16"/>
          <w:szCs w:val="16"/>
        </w:rPr>
      </w:pPr>
      <w:r w:rsidRPr="00DD447D">
        <w:rPr>
          <w:rFonts w:ascii="Arial Narrow" w:hAnsi="Arial Narrow"/>
          <w:sz w:val="16"/>
          <w:szCs w:val="16"/>
          <w:vertAlign w:val="superscript"/>
        </w:rPr>
        <w:t>b</w:t>
      </w:r>
      <w:r w:rsidRPr="00DD447D">
        <w:rPr>
          <w:rFonts w:ascii="Arial Narrow" w:hAnsi="Arial Narrow"/>
          <w:sz w:val="16"/>
          <w:szCs w:val="16"/>
        </w:rPr>
        <w:t xml:space="preserve"> Discrepancies that would have caused an immediate alteration in therapy, excessive increased cost in terms of patient quality of life or ineffective utilisation of resources, or potential for medical malpractice liability for the treating physician.</w:t>
      </w:r>
    </w:p>
    <w:p w14:paraId="76A6C34A" w14:textId="77777777" w:rsidR="00B51828" w:rsidRPr="00056A3C" w:rsidRDefault="00B51828" w:rsidP="002101D2">
      <w:pPr>
        <w:spacing w:after="160" w:line="259" w:lineRule="auto"/>
        <w:ind w:left="0"/>
        <w:rPr>
          <w:rFonts w:ascii="Arial Narrow" w:hAnsi="Arial Narrow"/>
          <w:sz w:val="16"/>
          <w:szCs w:val="16"/>
        </w:rPr>
        <w:sectPr w:rsidR="00B51828" w:rsidRPr="00056A3C" w:rsidSect="002101D2">
          <w:footerReference w:type="default" r:id="rId29"/>
          <w:pgSz w:w="16838" w:h="11906" w:orient="landscape" w:code="9"/>
          <w:pgMar w:top="1440" w:right="1440" w:bottom="1440" w:left="1440" w:header="680" w:footer="1021" w:gutter="0"/>
          <w:cols w:space="708"/>
          <w:docGrid w:linePitch="360"/>
        </w:sectPr>
      </w:pPr>
    </w:p>
    <w:p w14:paraId="769EDFFF" w14:textId="77777777" w:rsidR="00B51828" w:rsidRDefault="00B51828" w:rsidP="002101D2">
      <w:r>
        <w:lastRenderedPageBreak/>
        <w:t xml:space="preserve">Interestingly, the </w:t>
      </w:r>
      <w:r>
        <w:rPr>
          <w:i/>
        </w:rPr>
        <w:t xml:space="preserve">Scenario 1 </w:t>
      </w:r>
      <w:r>
        <w:t xml:space="preserve">study by Hsu et al (2010) also provided a breakdown of major discrepancies (as well as discordance and the use of additional special stains) according to tissue of origin (see </w:t>
      </w:r>
      <w:r>
        <w:fldChar w:fldCharType="begin"/>
      </w:r>
      <w:r>
        <w:instrText xml:space="preserve"> REF _Ref395194024 \h </w:instrText>
      </w:r>
      <w:r>
        <w:fldChar w:fldCharType="separate"/>
      </w:r>
      <w:r w:rsidR="0044620B">
        <w:t xml:space="preserve">Table </w:t>
      </w:r>
      <w:r w:rsidR="0044620B">
        <w:rPr>
          <w:noProof/>
        </w:rPr>
        <w:t>B.6</w:t>
      </w:r>
      <w:r w:rsidR="0044620B">
        <w:noBreakHyphen/>
      </w:r>
      <w:r w:rsidR="0044620B">
        <w:rPr>
          <w:noProof/>
        </w:rPr>
        <w:t>7</w:t>
      </w:r>
      <w:r>
        <w:fldChar w:fldCharType="end"/>
      </w:r>
      <w:r>
        <w:t>).</w:t>
      </w:r>
    </w:p>
    <w:p w14:paraId="48042C0D" w14:textId="77777777" w:rsidR="00B51828" w:rsidRDefault="00B51828" w:rsidP="002101D2">
      <w:r>
        <w:t xml:space="preserve">Relatively high major discrepancies rates were observed in specimens originating from endocrine glands (26.4%), lymph nodes, bone marrow and spleen (19.8%), nervous system (19.0%), and skin (15.4%). Conversely, major discrepancies rarely occurred between initial and expert pathologists’ diagnoses in specimens from the female genital tract (3.2%) and breast tissue (3.6%), implying that those tissues may be less diagnostically challenging. It is difficult to comment on the relative diagnostic difficulty of nephrology and cardiovascular tissues due to the low number of cases included in the study (see </w:t>
      </w:r>
      <w:r>
        <w:fldChar w:fldCharType="begin"/>
      </w:r>
      <w:r>
        <w:instrText xml:space="preserve"> REF _Ref395194024 \h </w:instrText>
      </w:r>
      <w:r>
        <w:fldChar w:fldCharType="separate"/>
      </w:r>
      <w:r w:rsidR="0044620B">
        <w:t xml:space="preserve">Table </w:t>
      </w:r>
      <w:r w:rsidR="0044620B">
        <w:rPr>
          <w:noProof/>
        </w:rPr>
        <w:t>B.6</w:t>
      </w:r>
      <w:r w:rsidR="0044620B">
        <w:noBreakHyphen/>
      </w:r>
      <w:r w:rsidR="0044620B">
        <w:rPr>
          <w:noProof/>
        </w:rPr>
        <w:t>7</w:t>
      </w:r>
      <w:r>
        <w:fldChar w:fldCharType="end"/>
      </w:r>
      <w:r>
        <w:t>).</w:t>
      </w:r>
    </w:p>
    <w:p w14:paraId="631AD6A5" w14:textId="77777777" w:rsidR="00B51828" w:rsidRDefault="00B51828" w:rsidP="002101D2">
      <w:pPr>
        <w:pStyle w:val="Caption"/>
      </w:pPr>
      <w:bookmarkStart w:id="167" w:name="_Ref395194024"/>
      <w:bookmarkStart w:id="168" w:name="_Toc395280226"/>
      <w:bookmarkStart w:id="169" w:name="_Toc396211750"/>
      <w:r>
        <w:t xml:space="preserve">Table </w:t>
      </w:r>
      <w:fldSimple w:instr=" STYLEREF 2 \s ">
        <w:r w:rsidR="0044620B">
          <w:rPr>
            <w:noProof/>
          </w:rPr>
          <w:t>B.6</w:t>
        </w:r>
      </w:fldSimple>
      <w:r>
        <w:noBreakHyphen/>
      </w:r>
      <w:fldSimple w:instr=" SEQ Table \* ARABIC \s 2 ">
        <w:r w:rsidR="0044620B">
          <w:rPr>
            <w:noProof/>
          </w:rPr>
          <w:t>7</w:t>
        </w:r>
      </w:fldSimple>
      <w:bookmarkEnd w:id="167"/>
      <w:r>
        <w:tab/>
        <w:t>Summary of findings from the study by Hsu et al (2010)</w:t>
      </w:r>
      <w:bookmarkEnd w:id="168"/>
      <w:bookmarkEnd w:id="169"/>
    </w:p>
    <w:tbl>
      <w:tblPr>
        <w:tblStyle w:val="TableGrid6"/>
        <w:tblW w:w="4610" w:type="pct"/>
        <w:tblInd w:w="704" w:type="dxa"/>
        <w:tblCellMar>
          <w:left w:w="57" w:type="dxa"/>
          <w:right w:w="57" w:type="dxa"/>
        </w:tblCellMar>
        <w:tblLook w:val="04A0" w:firstRow="1" w:lastRow="0" w:firstColumn="1" w:lastColumn="0" w:noHBand="0" w:noVBand="1"/>
        <w:tblCaption w:val="Summary of findings from the study by Hsu et al (2010)"/>
        <w:tblDescription w:val="Summary of findings from the study by Hsu et al (2010) including number of cases with a tentative diagnosis, number of discordant cases and number of cases with a major discrepancy."/>
      </w:tblPr>
      <w:tblGrid>
        <w:gridCol w:w="1667"/>
        <w:gridCol w:w="1352"/>
        <w:gridCol w:w="1352"/>
        <w:gridCol w:w="1352"/>
        <w:gridCol w:w="1352"/>
        <w:gridCol w:w="1352"/>
      </w:tblGrid>
      <w:tr w:rsidR="00B51828" w:rsidRPr="00335A1C" w14:paraId="368A0EC3" w14:textId="77777777" w:rsidTr="008321D6">
        <w:trPr>
          <w:tblHeader/>
        </w:trPr>
        <w:tc>
          <w:tcPr>
            <w:tcW w:w="989" w:type="pct"/>
          </w:tcPr>
          <w:p w14:paraId="17A975AD" w14:textId="77777777" w:rsidR="00B51828" w:rsidRPr="00335A1C" w:rsidRDefault="00B51828" w:rsidP="00390E75">
            <w:pPr>
              <w:spacing w:before="20" w:after="20"/>
              <w:ind w:left="0"/>
              <w:rPr>
                <w:rFonts w:ascii="Arial Narrow" w:hAnsi="Arial Narrow"/>
                <w:b/>
                <w:sz w:val="20"/>
                <w:szCs w:val="20"/>
              </w:rPr>
            </w:pPr>
            <w:r w:rsidRPr="00335A1C">
              <w:rPr>
                <w:rFonts w:ascii="Arial Narrow" w:hAnsi="Arial Narrow"/>
                <w:b/>
                <w:sz w:val="20"/>
                <w:szCs w:val="20"/>
              </w:rPr>
              <w:t>Tissue origin</w:t>
            </w:r>
          </w:p>
        </w:tc>
        <w:tc>
          <w:tcPr>
            <w:tcW w:w="802" w:type="pct"/>
          </w:tcPr>
          <w:p w14:paraId="5B141961" w14:textId="77777777" w:rsidR="00B51828" w:rsidRPr="00335A1C" w:rsidRDefault="00B51828" w:rsidP="002101D2">
            <w:pPr>
              <w:spacing w:before="20" w:after="20"/>
              <w:ind w:left="0"/>
              <w:jc w:val="center"/>
              <w:rPr>
                <w:rFonts w:ascii="Arial Narrow" w:hAnsi="Arial Narrow"/>
                <w:b/>
                <w:sz w:val="20"/>
                <w:szCs w:val="20"/>
              </w:rPr>
            </w:pPr>
            <w:r w:rsidRPr="00335A1C">
              <w:rPr>
                <w:rFonts w:ascii="Arial Narrow" w:hAnsi="Arial Narrow"/>
                <w:b/>
                <w:sz w:val="20"/>
                <w:szCs w:val="20"/>
              </w:rPr>
              <w:t>No.(%) of surgical pathology cases sent for expert consultation</w:t>
            </w:r>
          </w:p>
        </w:tc>
        <w:tc>
          <w:tcPr>
            <w:tcW w:w="802" w:type="pct"/>
          </w:tcPr>
          <w:p w14:paraId="2D1E8C89" w14:textId="77777777" w:rsidR="00B51828" w:rsidRPr="00335A1C" w:rsidRDefault="00B51828" w:rsidP="002101D2">
            <w:pPr>
              <w:spacing w:before="20" w:after="20"/>
              <w:ind w:left="0"/>
              <w:jc w:val="center"/>
              <w:rPr>
                <w:rFonts w:ascii="Arial Narrow" w:hAnsi="Arial Narrow"/>
                <w:b/>
                <w:sz w:val="20"/>
                <w:szCs w:val="20"/>
              </w:rPr>
            </w:pPr>
            <w:r w:rsidRPr="00335A1C">
              <w:rPr>
                <w:rFonts w:ascii="Arial Narrow" w:hAnsi="Arial Narrow"/>
                <w:b/>
                <w:sz w:val="20"/>
                <w:szCs w:val="20"/>
              </w:rPr>
              <w:t>No. (%) with specific tentative diagnosis</w:t>
            </w:r>
            <w:r w:rsidRPr="00335A1C">
              <w:rPr>
                <w:rFonts w:ascii="Arial Narrow" w:hAnsi="Arial Narrow"/>
                <w:b/>
                <w:sz w:val="20"/>
                <w:szCs w:val="20"/>
                <w:vertAlign w:val="superscript"/>
              </w:rPr>
              <w:t>a</w:t>
            </w:r>
          </w:p>
        </w:tc>
        <w:tc>
          <w:tcPr>
            <w:tcW w:w="802" w:type="pct"/>
          </w:tcPr>
          <w:p w14:paraId="080225A3" w14:textId="77777777" w:rsidR="00B51828" w:rsidRPr="00335A1C" w:rsidRDefault="00B51828" w:rsidP="002101D2">
            <w:pPr>
              <w:spacing w:before="20" w:after="20"/>
              <w:ind w:left="0"/>
              <w:jc w:val="center"/>
              <w:rPr>
                <w:rFonts w:ascii="Arial Narrow" w:hAnsi="Arial Narrow"/>
                <w:b/>
                <w:sz w:val="20"/>
                <w:szCs w:val="20"/>
              </w:rPr>
            </w:pPr>
            <w:r w:rsidRPr="00335A1C">
              <w:rPr>
                <w:rFonts w:ascii="Arial Narrow" w:hAnsi="Arial Narrow"/>
                <w:b/>
                <w:sz w:val="20"/>
                <w:szCs w:val="20"/>
              </w:rPr>
              <w:t>No. (%) with discordance</w:t>
            </w:r>
            <w:r w:rsidRPr="00335A1C">
              <w:rPr>
                <w:rFonts w:ascii="Arial Narrow" w:hAnsi="Arial Narrow"/>
                <w:b/>
                <w:sz w:val="20"/>
                <w:szCs w:val="20"/>
                <w:vertAlign w:val="superscript"/>
              </w:rPr>
              <w:t>b</w:t>
            </w:r>
          </w:p>
        </w:tc>
        <w:tc>
          <w:tcPr>
            <w:tcW w:w="802" w:type="pct"/>
          </w:tcPr>
          <w:p w14:paraId="556A84BA" w14:textId="77777777" w:rsidR="00B51828" w:rsidRPr="00335A1C" w:rsidRDefault="00B51828" w:rsidP="002101D2">
            <w:pPr>
              <w:spacing w:before="20" w:after="20"/>
              <w:ind w:left="0"/>
              <w:jc w:val="center"/>
              <w:rPr>
                <w:rFonts w:ascii="Arial Narrow" w:hAnsi="Arial Narrow"/>
                <w:b/>
                <w:sz w:val="20"/>
                <w:szCs w:val="20"/>
              </w:rPr>
            </w:pPr>
            <w:r w:rsidRPr="00335A1C">
              <w:rPr>
                <w:rFonts w:ascii="Arial Narrow" w:hAnsi="Arial Narrow"/>
                <w:b/>
                <w:sz w:val="20"/>
                <w:szCs w:val="20"/>
              </w:rPr>
              <w:t>No. (%) with major discrepancy</w:t>
            </w:r>
            <w:r w:rsidRPr="00335A1C">
              <w:rPr>
                <w:rFonts w:ascii="Arial Narrow" w:hAnsi="Arial Narrow"/>
                <w:b/>
                <w:sz w:val="20"/>
                <w:szCs w:val="20"/>
                <w:vertAlign w:val="superscript"/>
              </w:rPr>
              <w:t>c</w:t>
            </w:r>
          </w:p>
        </w:tc>
        <w:tc>
          <w:tcPr>
            <w:tcW w:w="802" w:type="pct"/>
          </w:tcPr>
          <w:p w14:paraId="7272BB58" w14:textId="77777777" w:rsidR="00B51828" w:rsidRPr="00335A1C" w:rsidRDefault="00B51828" w:rsidP="002101D2">
            <w:pPr>
              <w:spacing w:before="20" w:after="20"/>
              <w:ind w:left="0"/>
              <w:jc w:val="center"/>
              <w:rPr>
                <w:rFonts w:ascii="Arial Narrow" w:hAnsi="Arial Narrow"/>
                <w:b/>
                <w:sz w:val="20"/>
                <w:szCs w:val="20"/>
              </w:rPr>
            </w:pPr>
            <w:r w:rsidRPr="00335A1C">
              <w:rPr>
                <w:rFonts w:ascii="Arial Narrow" w:hAnsi="Arial Narrow"/>
                <w:b/>
                <w:sz w:val="20"/>
                <w:szCs w:val="20"/>
              </w:rPr>
              <w:t>No. (%) with additional special stains performed</w:t>
            </w:r>
          </w:p>
        </w:tc>
      </w:tr>
      <w:tr w:rsidR="00B51828" w:rsidRPr="00335A1C" w14:paraId="5E7A61DB" w14:textId="77777777" w:rsidTr="002101D2">
        <w:tc>
          <w:tcPr>
            <w:tcW w:w="989" w:type="pct"/>
          </w:tcPr>
          <w:p w14:paraId="696528FA"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Skin</w:t>
            </w:r>
          </w:p>
        </w:tc>
        <w:tc>
          <w:tcPr>
            <w:tcW w:w="802" w:type="pct"/>
          </w:tcPr>
          <w:p w14:paraId="68E1EC5D"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489 (18.2)</w:t>
            </w:r>
          </w:p>
        </w:tc>
        <w:tc>
          <w:tcPr>
            <w:tcW w:w="802" w:type="pct"/>
          </w:tcPr>
          <w:p w14:paraId="3E359B0E"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286 (58.5)</w:t>
            </w:r>
          </w:p>
        </w:tc>
        <w:tc>
          <w:tcPr>
            <w:tcW w:w="802" w:type="pct"/>
          </w:tcPr>
          <w:p w14:paraId="298A37D0"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215 (75.2)</w:t>
            </w:r>
          </w:p>
        </w:tc>
        <w:tc>
          <w:tcPr>
            <w:tcW w:w="802" w:type="pct"/>
          </w:tcPr>
          <w:p w14:paraId="368BE43B"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44 (15.4)</w:t>
            </w:r>
          </w:p>
        </w:tc>
        <w:tc>
          <w:tcPr>
            <w:tcW w:w="802" w:type="pct"/>
          </w:tcPr>
          <w:p w14:paraId="2FBF71B8"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94 (19.2)</w:t>
            </w:r>
          </w:p>
        </w:tc>
      </w:tr>
      <w:tr w:rsidR="00B51828" w:rsidRPr="00335A1C" w14:paraId="06905C4B" w14:textId="77777777" w:rsidTr="002101D2">
        <w:tc>
          <w:tcPr>
            <w:tcW w:w="989" w:type="pct"/>
          </w:tcPr>
          <w:p w14:paraId="1808E960"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Lymph node, bone marrow, spleen</w:t>
            </w:r>
          </w:p>
        </w:tc>
        <w:tc>
          <w:tcPr>
            <w:tcW w:w="802" w:type="pct"/>
          </w:tcPr>
          <w:p w14:paraId="28EDC10C"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409 (15.2)</w:t>
            </w:r>
          </w:p>
        </w:tc>
        <w:tc>
          <w:tcPr>
            <w:tcW w:w="802" w:type="pct"/>
          </w:tcPr>
          <w:p w14:paraId="4413B38A"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248 (60.6)</w:t>
            </w:r>
          </w:p>
        </w:tc>
        <w:tc>
          <w:tcPr>
            <w:tcW w:w="802" w:type="pct"/>
          </w:tcPr>
          <w:p w14:paraId="42DB883A"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164 (66.1)</w:t>
            </w:r>
          </w:p>
        </w:tc>
        <w:tc>
          <w:tcPr>
            <w:tcW w:w="802" w:type="pct"/>
          </w:tcPr>
          <w:p w14:paraId="7B0603C4"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49 (19.8)</w:t>
            </w:r>
          </w:p>
        </w:tc>
        <w:tc>
          <w:tcPr>
            <w:tcW w:w="802" w:type="pct"/>
          </w:tcPr>
          <w:p w14:paraId="30CB6938"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261 (63.8)</w:t>
            </w:r>
          </w:p>
        </w:tc>
      </w:tr>
      <w:tr w:rsidR="00B51828" w:rsidRPr="00335A1C" w14:paraId="1DE283B5" w14:textId="77777777" w:rsidTr="002101D2">
        <w:tc>
          <w:tcPr>
            <w:tcW w:w="989" w:type="pct"/>
          </w:tcPr>
          <w:p w14:paraId="6B315FA4"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Bone and soft tissue</w:t>
            </w:r>
          </w:p>
        </w:tc>
        <w:tc>
          <w:tcPr>
            <w:tcW w:w="802" w:type="pct"/>
          </w:tcPr>
          <w:p w14:paraId="602F11D5"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401 (14.9)</w:t>
            </w:r>
          </w:p>
        </w:tc>
        <w:tc>
          <w:tcPr>
            <w:tcW w:w="802" w:type="pct"/>
          </w:tcPr>
          <w:p w14:paraId="08CC10F1"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218 (54.4)</w:t>
            </w:r>
          </w:p>
        </w:tc>
        <w:tc>
          <w:tcPr>
            <w:tcW w:w="802" w:type="pct"/>
          </w:tcPr>
          <w:p w14:paraId="17B2AAFF"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153 (70.2)</w:t>
            </w:r>
          </w:p>
        </w:tc>
        <w:tc>
          <w:tcPr>
            <w:tcW w:w="802" w:type="pct"/>
          </w:tcPr>
          <w:p w14:paraId="3C56AA04"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21 (9.6)</w:t>
            </w:r>
          </w:p>
        </w:tc>
        <w:tc>
          <w:tcPr>
            <w:tcW w:w="802" w:type="pct"/>
          </w:tcPr>
          <w:p w14:paraId="63C529D4"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139 (34.7)</w:t>
            </w:r>
          </w:p>
        </w:tc>
      </w:tr>
      <w:tr w:rsidR="00B51828" w:rsidRPr="00335A1C" w14:paraId="1E963987" w14:textId="77777777" w:rsidTr="002101D2">
        <w:tc>
          <w:tcPr>
            <w:tcW w:w="989" w:type="pct"/>
          </w:tcPr>
          <w:p w14:paraId="15E37A7E"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Female genital tract</w:t>
            </w:r>
          </w:p>
        </w:tc>
        <w:tc>
          <w:tcPr>
            <w:tcW w:w="802" w:type="pct"/>
          </w:tcPr>
          <w:p w14:paraId="52DEEF0A"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259 (9.6)</w:t>
            </w:r>
          </w:p>
        </w:tc>
        <w:tc>
          <w:tcPr>
            <w:tcW w:w="802" w:type="pct"/>
          </w:tcPr>
          <w:p w14:paraId="4D854679"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188 (72.6)</w:t>
            </w:r>
          </w:p>
        </w:tc>
        <w:tc>
          <w:tcPr>
            <w:tcW w:w="802" w:type="pct"/>
          </w:tcPr>
          <w:p w14:paraId="0CED62C2" w14:textId="77777777" w:rsidR="00B51828" w:rsidRPr="00335A1C" w:rsidRDefault="00B51828" w:rsidP="002101D2">
            <w:pPr>
              <w:spacing w:before="20" w:after="20"/>
              <w:ind w:left="0"/>
              <w:jc w:val="center"/>
              <w:rPr>
                <w:rFonts w:asciiTheme="minorHAnsi" w:hAnsiTheme="minorHAnsi"/>
                <w:sz w:val="22"/>
              </w:rPr>
            </w:pPr>
            <w:r w:rsidRPr="00335A1C">
              <w:rPr>
                <w:rFonts w:ascii="Arial Narrow" w:hAnsi="Arial Narrow"/>
                <w:sz w:val="20"/>
                <w:szCs w:val="20"/>
              </w:rPr>
              <w:t>120 (63.8)</w:t>
            </w:r>
          </w:p>
        </w:tc>
        <w:tc>
          <w:tcPr>
            <w:tcW w:w="802" w:type="pct"/>
          </w:tcPr>
          <w:p w14:paraId="09F254F1"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6 (3.2)</w:t>
            </w:r>
          </w:p>
        </w:tc>
        <w:tc>
          <w:tcPr>
            <w:tcW w:w="802" w:type="pct"/>
          </w:tcPr>
          <w:p w14:paraId="30B15853"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61 (23.6)</w:t>
            </w:r>
          </w:p>
        </w:tc>
      </w:tr>
      <w:tr w:rsidR="00B51828" w:rsidRPr="00335A1C" w14:paraId="45B5A4EE" w14:textId="77777777" w:rsidTr="002101D2">
        <w:tc>
          <w:tcPr>
            <w:tcW w:w="989" w:type="pct"/>
          </w:tcPr>
          <w:p w14:paraId="0429AD90"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Breast</w:t>
            </w:r>
          </w:p>
        </w:tc>
        <w:tc>
          <w:tcPr>
            <w:tcW w:w="802" w:type="pct"/>
          </w:tcPr>
          <w:p w14:paraId="4DF425A8"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242 (9.0)</w:t>
            </w:r>
          </w:p>
        </w:tc>
        <w:tc>
          <w:tcPr>
            <w:tcW w:w="802" w:type="pct"/>
          </w:tcPr>
          <w:p w14:paraId="2A558EA6"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165 (68.2)</w:t>
            </w:r>
          </w:p>
        </w:tc>
        <w:tc>
          <w:tcPr>
            <w:tcW w:w="802" w:type="pct"/>
          </w:tcPr>
          <w:p w14:paraId="2F4E505F"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81 (49.1)</w:t>
            </w:r>
          </w:p>
        </w:tc>
        <w:tc>
          <w:tcPr>
            <w:tcW w:w="802" w:type="pct"/>
          </w:tcPr>
          <w:p w14:paraId="6A6E0CB9"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6 (3.6)</w:t>
            </w:r>
          </w:p>
        </w:tc>
        <w:tc>
          <w:tcPr>
            <w:tcW w:w="802" w:type="pct"/>
          </w:tcPr>
          <w:p w14:paraId="1AEB0899"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83 (34.3)</w:t>
            </w:r>
          </w:p>
        </w:tc>
      </w:tr>
      <w:tr w:rsidR="00B51828" w:rsidRPr="00335A1C" w14:paraId="06ADBDED" w14:textId="77777777" w:rsidTr="002101D2">
        <w:tc>
          <w:tcPr>
            <w:tcW w:w="989" w:type="pct"/>
          </w:tcPr>
          <w:p w14:paraId="64852603"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Gastrointestinal tract and liver</w:t>
            </w:r>
          </w:p>
        </w:tc>
        <w:tc>
          <w:tcPr>
            <w:tcW w:w="802" w:type="pct"/>
          </w:tcPr>
          <w:p w14:paraId="63101BFA"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212 (7.9)</w:t>
            </w:r>
          </w:p>
        </w:tc>
        <w:tc>
          <w:tcPr>
            <w:tcW w:w="802" w:type="pct"/>
          </w:tcPr>
          <w:p w14:paraId="7C0E2C52"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139 (65.6)</w:t>
            </w:r>
          </w:p>
        </w:tc>
        <w:tc>
          <w:tcPr>
            <w:tcW w:w="802" w:type="pct"/>
          </w:tcPr>
          <w:p w14:paraId="46C73236"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83 (59.7)</w:t>
            </w:r>
          </w:p>
        </w:tc>
        <w:tc>
          <w:tcPr>
            <w:tcW w:w="802" w:type="pct"/>
          </w:tcPr>
          <w:p w14:paraId="62DE1529"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11 (7.9)</w:t>
            </w:r>
          </w:p>
        </w:tc>
        <w:tc>
          <w:tcPr>
            <w:tcW w:w="802" w:type="pct"/>
          </w:tcPr>
          <w:p w14:paraId="7CDEB409"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127 (59.9)</w:t>
            </w:r>
          </w:p>
        </w:tc>
      </w:tr>
      <w:tr w:rsidR="00B51828" w:rsidRPr="00335A1C" w14:paraId="5E9BDD06" w14:textId="77777777" w:rsidTr="002101D2">
        <w:tc>
          <w:tcPr>
            <w:tcW w:w="989" w:type="pct"/>
          </w:tcPr>
          <w:p w14:paraId="525BDBED"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Head and neck</w:t>
            </w:r>
          </w:p>
        </w:tc>
        <w:tc>
          <w:tcPr>
            <w:tcW w:w="802" w:type="pct"/>
          </w:tcPr>
          <w:p w14:paraId="29110118"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189 (7.0)</w:t>
            </w:r>
          </w:p>
        </w:tc>
        <w:tc>
          <w:tcPr>
            <w:tcW w:w="802" w:type="pct"/>
          </w:tcPr>
          <w:p w14:paraId="0C63C213"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106 (56.1)</w:t>
            </w:r>
          </w:p>
        </w:tc>
        <w:tc>
          <w:tcPr>
            <w:tcW w:w="802" w:type="pct"/>
          </w:tcPr>
          <w:p w14:paraId="6A1909E6"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56 (52.8)</w:t>
            </w:r>
          </w:p>
        </w:tc>
        <w:tc>
          <w:tcPr>
            <w:tcW w:w="802" w:type="pct"/>
          </w:tcPr>
          <w:p w14:paraId="5D9DA2D5"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16 (15.1)</w:t>
            </w:r>
          </w:p>
        </w:tc>
        <w:tc>
          <w:tcPr>
            <w:tcW w:w="802" w:type="pct"/>
          </w:tcPr>
          <w:p w14:paraId="037C9CE6"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87 (46.0)</w:t>
            </w:r>
          </w:p>
        </w:tc>
      </w:tr>
      <w:tr w:rsidR="00B51828" w:rsidRPr="00335A1C" w14:paraId="74FA52E8" w14:textId="77777777" w:rsidTr="002101D2">
        <w:tc>
          <w:tcPr>
            <w:tcW w:w="989" w:type="pct"/>
          </w:tcPr>
          <w:p w14:paraId="1C7B153C"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Nervous system</w:t>
            </w:r>
          </w:p>
        </w:tc>
        <w:tc>
          <w:tcPr>
            <w:tcW w:w="802" w:type="pct"/>
          </w:tcPr>
          <w:p w14:paraId="38EA6169"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155 (5.8)</w:t>
            </w:r>
          </w:p>
        </w:tc>
        <w:tc>
          <w:tcPr>
            <w:tcW w:w="802" w:type="pct"/>
          </w:tcPr>
          <w:p w14:paraId="12A7BEFB"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100 (64.5)</w:t>
            </w:r>
          </w:p>
        </w:tc>
        <w:tc>
          <w:tcPr>
            <w:tcW w:w="802" w:type="pct"/>
          </w:tcPr>
          <w:p w14:paraId="485661C0"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65 (65.0)</w:t>
            </w:r>
          </w:p>
        </w:tc>
        <w:tc>
          <w:tcPr>
            <w:tcW w:w="802" w:type="pct"/>
          </w:tcPr>
          <w:p w14:paraId="34F0CFED"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19 (19.0)</w:t>
            </w:r>
          </w:p>
        </w:tc>
        <w:tc>
          <w:tcPr>
            <w:tcW w:w="802" w:type="pct"/>
          </w:tcPr>
          <w:p w14:paraId="15659463"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69 (44.5)</w:t>
            </w:r>
          </w:p>
        </w:tc>
      </w:tr>
      <w:tr w:rsidR="00B51828" w:rsidRPr="00335A1C" w14:paraId="31BCF90B" w14:textId="77777777" w:rsidTr="002101D2">
        <w:tc>
          <w:tcPr>
            <w:tcW w:w="989" w:type="pct"/>
          </w:tcPr>
          <w:p w14:paraId="424B9048"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Pulmonary system and mediastinum</w:t>
            </w:r>
          </w:p>
        </w:tc>
        <w:tc>
          <w:tcPr>
            <w:tcW w:w="802" w:type="pct"/>
          </w:tcPr>
          <w:p w14:paraId="67EAF9B0"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107 (4.0)</w:t>
            </w:r>
          </w:p>
        </w:tc>
        <w:tc>
          <w:tcPr>
            <w:tcW w:w="802" w:type="pct"/>
          </w:tcPr>
          <w:p w14:paraId="3C79C57B"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62 (57.9)</w:t>
            </w:r>
          </w:p>
        </w:tc>
        <w:tc>
          <w:tcPr>
            <w:tcW w:w="802" w:type="pct"/>
          </w:tcPr>
          <w:p w14:paraId="2699D2C8"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41 (66.1)</w:t>
            </w:r>
          </w:p>
        </w:tc>
        <w:tc>
          <w:tcPr>
            <w:tcW w:w="802" w:type="pct"/>
          </w:tcPr>
          <w:p w14:paraId="763806FD"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7 (11.3)</w:t>
            </w:r>
          </w:p>
        </w:tc>
        <w:tc>
          <w:tcPr>
            <w:tcW w:w="802" w:type="pct"/>
          </w:tcPr>
          <w:p w14:paraId="5E710AEC"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51 (47.7)</w:t>
            </w:r>
          </w:p>
        </w:tc>
      </w:tr>
      <w:tr w:rsidR="00B51828" w:rsidRPr="00335A1C" w14:paraId="1E108110" w14:textId="77777777" w:rsidTr="002101D2">
        <w:tc>
          <w:tcPr>
            <w:tcW w:w="989" w:type="pct"/>
          </w:tcPr>
          <w:p w14:paraId="39AAF7C2"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Urinary tract and male genital tract</w:t>
            </w:r>
          </w:p>
        </w:tc>
        <w:tc>
          <w:tcPr>
            <w:tcW w:w="802" w:type="pct"/>
          </w:tcPr>
          <w:p w14:paraId="6EEFA25E"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106 (3.9)</w:t>
            </w:r>
          </w:p>
        </w:tc>
        <w:tc>
          <w:tcPr>
            <w:tcW w:w="802" w:type="pct"/>
          </w:tcPr>
          <w:p w14:paraId="7A34E8A1"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78 (73.6)</w:t>
            </w:r>
          </w:p>
        </w:tc>
        <w:tc>
          <w:tcPr>
            <w:tcW w:w="802" w:type="pct"/>
          </w:tcPr>
          <w:p w14:paraId="5ACD6BB0"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39 (50.0)</w:t>
            </w:r>
          </w:p>
        </w:tc>
        <w:tc>
          <w:tcPr>
            <w:tcW w:w="802" w:type="pct"/>
          </w:tcPr>
          <w:p w14:paraId="15A91AE1"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7 (9.0)</w:t>
            </w:r>
          </w:p>
        </w:tc>
        <w:tc>
          <w:tcPr>
            <w:tcW w:w="802" w:type="pct"/>
          </w:tcPr>
          <w:p w14:paraId="1378D859"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37 (34.9)</w:t>
            </w:r>
          </w:p>
        </w:tc>
      </w:tr>
      <w:tr w:rsidR="00B51828" w:rsidRPr="00335A1C" w14:paraId="0FDDCA87" w14:textId="77777777" w:rsidTr="002101D2">
        <w:tc>
          <w:tcPr>
            <w:tcW w:w="989" w:type="pct"/>
          </w:tcPr>
          <w:p w14:paraId="7A33F529"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Endocrine glands</w:t>
            </w:r>
          </w:p>
        </w:tc>
        <w:tc>
          <w:tcPr>
            <w:tcW w:w="802" w:type="pct"/>
          </w:tcPr>
          <w:p w14:paraId="3651287F"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105 (3.9)</w:t>
            </w:r>
          </w:p>
        </w:tc>
        <w:tc>
          <w:tcPr>
            <w:tcW w:w="802" w:type="pct"/>
          </w:tcPr>
          <w:p w14:paraId="628B5AB0"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72 (68.6)</w:t>
            </w:r>
          </w:p>
        </w:tc>
        <w:tc>
          <w:tcPr>
            <w:tcW w:w="802" w:type="pct"/>
          </w:tcPr>
          <w:p w14:paraId="172307E1"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50 (69.4)</w:t>
            </w:r>
          </w:p>
        </w:tc>
        <w:tc>
          <w:tcPr>
            <w:tcW w:w="802" w:type="pct"/>
          </w:tcPr>
          <w:p w14:paraId="35F1F278"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19 (26.4)</w:t>
            </w:r>
          </w:p>
        </w:tc>
        <w:tc>
          <w:tcPr>
            <w:tcW w:w="802" w:type="pct"/>
          </w:tcPr>
          <w:p w14:paraId="1DEFB41F"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24 (22.9)</w:t>
            </w:r>
          </w:p>
        </w:tc>
      </w:tr>
      <w:tr w:rsidR="00B51828" w:rsidRPr="00335A1C" w14:paraId="2B2345C3" w14:textId="77777777" w:rsidTr="002101D2">
        <w:tc>
          <w:tcPr>
            <w:tcW w:w="989" w:type="pct"/>
          </w:tcPr>
          <w:p w14:paraId="4AAF5889"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Nephropathology</w:t>
            </w:r>
          </w:p>
        </w:tc>
        <w:tc>
          <w:tcPr>
            <w:tcW w:w="802" w:type="pct"/>
          </w:tcPr>
          <w:p w14:paraId="43E46227"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7 (0.3)</w:t>
            </w:r>
          </w:p>
        </w:tc>
        <w:tc>
          <w:tcPr>
            <w:tcW w:w="802" w:type="pct"/>
          </w:tcPr>
          <w:p w14:paraId="2B96389A"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5 (71.4)</w:t>
            </w:r>
          </w:p>
        </w:tc>
        <w:tc>
          <w:tcPr>
            <w:tcW w:w="802" w:type="pct"/>
          </w:tcPr>
          <w:p w14:paraId="3D063BE5"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5 (100.0)</w:t>
            </w:r>
          </w:p>
        </w:tc>
        <w:tc>
          <w:tcPr>
            <w:tcW w:w="802" w:type="pct"/>
          </w:tcPr>
          <w:p w14:paraId="333492C3"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0 (0)</w:t>
            </w:r>
          </w:p>
        </w:tc>
        <w:tc>
          <w:tcPr>
            <w:tcW w:w="802" w:type="pct"/>
          </w:tcPr>
          <w:p w14:paraId="02EF2320"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4 (57.1)</w:t>
            </w:r>
          </w:p>
        </w:tc>
      </w:tr>
      <w:tr w:rsidR="00B51828" w:rsidRPr="00335A1C" w14:paraId="077B1ADE" w14:textId="77777777" w:rsidTr="002101D2">
        <w:trPr>
          <w:trHeight w:val="287"/>
        </w:trPr>
        <w:tc>
          <w:tcPr>
            <w:tcW w:w="989" w:type="pct"/>
          </w:tcPr>
          <w:p w14:paraId="03381A18" w14:textId="77777777" w:rsidR="00B51828" w:rsidRPr="00335A1C" w:rsidRDefault="00B51828" w:rsidP="002101D2">
            <w:pPr>
              <w:spacing w:before="20" w:after="20"/>
              <w:ind w:left="0"/>
              <w:rPr>
                <w:rFonts w:ascii="Arial Narrow" w:hAnsi="Arial Narrow"/>
                <w:sz w:val="20"/>
                <w:szCs w:val="20"/>
              </w:rPr>
            </w:pPr>
            <w:r w:rsidRPr="00335A1C">
              <w:rPr>
                <w:rFonts w:ascii="Arial Narrow" w:hAnsi="Arial Narrow"/>
                <w:sz w:val="20"/>
                <w:szCs w:val="20"/>
              </w:rPr>
              <w:t>Cardiovascular system</w:t>
            </w:r>
          </w:p>
        </w:tc>
        <w:tc>
          <w:tcPr>
            <w:tcW w:w="802" w:type="pct"/>
          </w:tcPr>
          <w:p w14:paraId="1A4DC371"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5 (0.2)</w:t>
            </w:r>
          </w:p>
        </w:tc>
        <w:tc>
          <w:tcPr>
            <w:tcW w:w="802" w:type="pct"/>
          </w:tcPr>
          <w:p w14:paraId="344F8CC9"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3 (60.0)</w:t>
            </w:r>
          </w:p>
        </w:tc>
        <w:tc>
          <w:tcPr>
            <w:tcW w:w="802" w:type="pct"/>
          </w:tcPr>
          <w:p w14:paraId="6AD8D77B"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 (66.7)</w:t>
            </w:r>
          </w:p>
        </w:tc>
        <w:tc>
          <w:tcPr>
            <w:tcW w:w="802" w:type="pct"/>
          </w:tcPr>
          <w:p w14:paraId="1BCF6912"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0 (0)</w:t>
            </w:r>
          </w:p>
        </w:tc>
        <w:tc>
          <w:tcPr>
            <w:tcW w:w="802" w:type="pct"/>
          </w:tcPr>
          <w:p w14:paraId="7EFE93DA" w14:textId="77777777" w:rsidR="00B51828" w:rsidRPr="00335A1C" w:rsidRDefault="00B51828" w:rsidP="002101D2">
            <w:pPr>
              <w:spacing w:before="20" w:after="20"/>
              <w:ind w:left="0"/>
              <w:jc w:val="center"/>
              <w:rPr>
                <w:rFonts w:ascii="Arial Narrow" w:hAnsi="Arial Narrow"/>
                <w:sz w:val="20"/>
                <w:szCs w:val="20"/>
              </w:rPr>
            </w:pPr>
            <w:r w:rsidRPr="00335A1C">
              <w:rPr>
                <w:rFonts w:ascii="Arial Narrow" w:hAnsi="Arial Narrow"/>
                <w:sz w:val="20"/>
                <w:szCs w:val="20"/>
              </w:rPr>
              <w:t>2 (40.0)</w:t>
            </w:r>
          </w:p>
        </w:tc>
      </w:tr>
      <w:tr w:rsidR="00B51828" w:rsidRPr="0038079D" w14:paraId="1FEDCE4A" w14:textId="77777777" w:rsidTr="002101D2">
        <w:trPr>
          <w:trHeight w:val="287"/>
        </w:trPr>
        <w:tc>
          <w:tcPr>
            <w:tcW w:w="989" w:type="pct"/>
          </w:tcPr>
          <w:p w14:paraId="18C2761E" w14:textId="77777777" w:rsidR="00B51828" w:rsidRPr="00995C1F" w:rsidRDefault="00B51828" w:rsidP="002101D2">
            <w:pPr>
              <w:spacing w:before="20" w:after="20"/>
              <w:ind w:left="0"/>
              <w:rPr>
                <w:rFonts w:ascii="Arial Narrow" w:hAnsi="Arial Narrow"/>
                <w:b/>
                <w:sz w:val="20"/>
                <w:szCs w:val="20"/>
              </w:rPr>
            </w:pPr>
            <w:r w:rsidRPr="00995C1F">
              <w:rPr>
                <w:rFonts w:ascii="Arial Narrow" w:hAnsi="Arial Narrow"/>
                <w:b/>
                <w:sz w:val="20"/>
                <w:szCs w:val="20"/>
              </w:rPr>
              <w:t>TOTAL</w:t>
            </w:r>
          </w:p>
        </w:tc>
        <w:tc>
          <w:tcPr>
            <w:tcW w:w="802" w:type="pct"/>
          </w:tcPr>
          <w:p w14:paraId="773A0A9A" w14:textId="77777777" w:rsidR="00B51828" w:rsidRPr="00995C1F" w:rsidRDefault="00B51828" w:rsidP="002101D2">
            <w:pPr>
              <w:spacing w:before="20" w:after="20"/>
              <w:ind w:left="0"/>
              <w:jc w:val="center"/>
              <w:rPr>
                <w:rFonts w:ascii="Arial Narrow" w:hAnsi="Arial Narrow"/>
                <w:b/>
                <w:sz w:val="20"/>
                <w:szCs w:val="20"/>
              </w:rPr>
            </w:pPr>
            <w:r w:rsidRPr="00995C1F">
              <w:rPr>
                <w:rFonts w:ascii="Arial Narrow" w:hAnsi="Arial Narrow"/>
                <w:b/>
                <w:sz w:val="20"/>
                <w:szCs w:val="20"/>
              </w:rPr>
              <w:t>2686 (100)</w:t>
            </w:r>
          </w:p>
        </w:tc>
        <w:tc>
          <w:tcPr>
            <w:tcW w:w="802" w:type="pct"/>
          </w:tcPr>
          <w:p w14:paraId="08B5AE82" w14:textId="77777777" w:rsidR="00B51828" w:rsidRPr="00995C1F" w:rsidRDefault="00B51828" w:rsidP="002101D2">
            <w:pPr>
              <w:spacing w:before="20" w:after="20"/>
              <w:ind w:left="0"/>
              <w:jc w:val="center"/>
              <w:rPr>
                <w:rFonts w:ascii="Arial Narrow" w:hAnsi="Arial Narrow"/>
                <w:b/>
                <w:sz w:val="20"/>
                <w:szCs w:val="20"/>
              </w:rPr>
            </w:pPr>
            <w:r w:rsidRPr="00995C1F">
              <w:rPr>
                <w:rFonts w:ascii="Arial Narrow" w:hAnsi="Arial Narrow"/>
                <w:b/>
                <w:sz w:val="20"/>
                <w:szCs w:val="20"/>
              </w:rPr>
              <w:t>1670 (69.7)</w:t>
            </w:r>
          </w:p>
        </w:tc>
        <w:tc>
          <w:tcPr>
            <w:tcW w:w="802" w:type="pct"/>
          </w:tcPr>
          <w:p w14:paraId="3CF46EBE" w14:textId="77777777" w:rsidR="00B51828" w:rsidRPr="00995C1F" w:rsidRDefault="00B51828" w:rsidP="002101D2">
            <w:pPr>
              <w:spacing w:before="20" w:after="20"/>
              <w:ind w:left="0"/>
              <w:jc w:val="center"/>
              <w:rPr>
                <w:rFonts w:ascii="Arial Narrow" w:hAnsi="Arial Narrow"/>
                <w:b/>
                <w:sz w:val="20"/>
                <w:szCs w:val="20"/>
              </w:rPr>
            </w:pPr>
            <w:r w:rsidRPr="00995C1F">
              <w:rPr>
                <w:rFonts w:ascii="Arial Narrow" w:hAnsi="Arial Narrow"/>
                <w:b/>
                <w:sz w:val="20"/>
                <w:szCs w:val="20"/>
              </w:rPr>
              <w:t>1074 (64.3)</w:t>
            </w:r>
          </w:p>
        </w:tc>
        <w:tc>
          <w:tcPr>
            <w:tcW w:w="802" w:type="pct"/>
          </w:tcPr>
          <w:p w14:paraId="08494DBD" w14:textId="77777777" w:rsidR="00B51828" w:rsidRPr="00995C1F" w:rsidRDefault="00B51828" w:rsidP="002101D2">
            <w:pPr>
              <w:spacing w:before="20" w:after="20"/>
              <w:ind w:left="0"/>
              <w:jc w:val="center"/>
              <w:rPr>
                <w:rFonts w:ascii="Arial Narrow" w:hAnsi="Arial Narrow"/>
                <w:b/>
                <w:sz w:val="20"/>
                <w:szCs w:val="20"/>
              </w:rPr>
            </w:pPr>
            <w:r w:rsidRPr="00995C1F">
              <w:rPr>
                <w:rFonts w:ascii="Arial Narrow" w:hAnsi="Arial Narrow"/>
                <w:b/>
                <w:sz w:val="20"/>
                <w:szCs w:val="20"/>
              </w:rPr>
              <w:t>205 (12.3)</w:t>
            </w:r>
          </w:p>
        </w:tc>
        <w:tc>
          <w:tcPr>
            <w:tcW w:w="802" w:type="pct"/>
          </w:tcPr>
          <w:p w14:paraId="7F37EF8C" w14:textId="77777777" w:rsidR="00B51828" w:rsidRPr="00995C1F" w:rsidRDefault="00B51828" w:rsidP="002101D2">
            <w:pPr>
              <w:spacing w:before="20" w:after="20"/>
              <w:ind w:left="0"/>
              <w:jc w:val="center"/>
              <w:rPr>
                <w:rFonts w:ascii="Arial Narrow" w:hAnsi="Arial Narrow"/>
                <w:b/>
                <w:sz w:val="20"/>
                <w:szCs w:val="20"/>
              </w:rPr>
            </w:pPr>
            <w:r w:rsidRPr="00995C1F">
              <w:rPr>
                <w:rFonts w:ascii="Arial Narrow" w:hAnsi="Arial Narrow"/>
                <w:b/>
                <w:sz w:val="20"/>
                <w:szCs w:val="20"/>
              </w:rPr>
              <w:t>1039 (38.7)</w:t>
            </w:r>
          </w:p>
        </w:tc>
      </w:tr>
    </w:tbl>
    <w:p w14:paraId="010FAD40" w14:textId="77777777" w:rsidR="00B51828" w:rsidRPr="00335A1C" w:rsidRDefault="00B51828" w:rsidP="00140C67">
      <w:pPr>
        <w:spacing w:before="20" w:after="0"/>
        <w:ind w:left="0" w:firstLine="720"/>
        <w:rPr>
          <w:rFonts w:ascii="Arial Narrow" w:hAnsi="Arial Narrow"/>
          <w:sz w:val="18"/>
          <w:szCs w:val="18"/>
        </w:rPr>
      </w:pPr>
      <w:r w:rsidRPr="00335A1C">
        <w:rPr>
          <w:rFonts w:ascii="Arial Narrow" w:hAnsi="Arial Narrow"/>
          <w:sz w:val="18"/>
          <w:szCs w:val="18"/>
        </w:rPr>
        <w:t>Source: Hsu et al (2010), Table II (p432), Table IV (p433), Table V (p433)</w:t>
      </w:r>
    </w:p>
    <w:p w14:paraId="517624D9" w14:textId="77777777" w:rsidR="00B51828" w:rsidRPr="00335A1C" w:rsidRDefault="00B51828" w:rsidP="002101D2">
      <w:pPr>
        <w:spacing w:after="0"/>
        <w:rPr>
          <w:rFonts w:ascii="Arial Narrow" w:hAnsi="Arial Narrow"/>
          <w:sz w:val="18"/>
          <w:szCs w:val="18"/>
        </w:rPr>
      </w:pPr>
      <w:r w:rsidRPr="00335A1C">
        <w:rPr>
          <w:rFonts w:ascii="Arial Narrow" w:hAnsi="Arial Narrow"/>
          <w:sz w:val="18"/>
          <w:szCs w:val="18"/>
          <w:vertAlign w:val="superscript"/>
        </w:rPr>
        <w:t>a</w:t>
      </w:r>
      <w:r w:rsidRPr="00335A1C">
        <w:rPr>
          <w:rFonts w:ascii="Arial Narrow" w:hAnsi="Arial Narrow"/>
          <w:sz w:val="18"/>
          <w:szCs w:val="18"/>
        </w:rPr>
        <w:t xml:space="preserve"> Excludes cases from the referring (initial) pathologist with no diagnosis, a differential diagnosis, or a diagnosis using a general term (with or without indicating benignancy or malignancy).</w:t>
      </w:r>
    </w:p>
    <w:p w14:paraId="3C70864E" w14:textId="77777777" w:rsidR="00B51828" w:rsidRPr="00335A1C" w:rsidRDefault="00B51828" w:rsidP="002101D2">
      <w:pPr>
        <w:spacing w:after="0"/>
        <w:ind w:left="0" w:firstLine="720"/>
        <w:rPr>
          <w:rFonts w:ascii="Arial Narrow" w:hAnsi="Arial Narrow"/>
          <w:sz w:val="18"/>
          <w:szCs w:val="18"/>
        </w:rPr>
      </w:pPr>
      <w:r w:rsidRPr="00335A1C">
        <w:rPr>
          <w:rFonts w:ascii="Arial Narrow" w:hAnsi="Arial Narrow"/>
          <w:sz w:val="18"/>
          <w:szCs w:val="18"/>
          <w:vertAlign w:val="superscript"/>
        </w:rPr>
        <w:t>b</w:t>
      </w:r>
      <w:r w:rsidRPr="00335A1C">
        <w:rPr>
          <w:rFonts w:ascii="Arial Narrow" w:hAnsi="Arial Narrow"/>
          <w:sz w:val="18"/>
          <w:szCs w:val="18"/>
        </w:rPr>
        <w:t xml:space="preserve"> Discordance was defined as difference of specific tentative diagnosis and consultation (expert) diagnosis.</w:t>
      </w:r>
    </w:p>
    <w:p w14:paraId="43DD2BBD" w14:textId="77777777" w:rsidR="00B51828" w:rsidRPr="0090230D" w:rsidRDefault="00B51828" w:rsidP="002101D2">
      <w:pPr>
        <w:spacing w:after="0"/>
        <w:rPr>
          <w:rFonts w:ascii="Arial Narrow" w:hAnsi="Arial Narrow"/>
          <w:sz w:val="18"/>
          <w:szCs w:val="18"/>
        </w:rPr>
      </w:pPr>
      <w:r w:rsidRPr="00335A1C">
        <w:rPr>
          <w:rFonts w:ascii="Arial Narrow" w:hAnsi="Arial Narrow"/>
          <w:sz w:val="18"/>
          <w:szCs w:val="18"/>
          <w:vertAlign w:val="superscript"/>
        </w:rPr>
        <w:t>c</w:t>
      </w:r>
      <w:r w:rsidRPr="00335A1C">
        <w:rPr>
          <w:rFonts w:ascii="Arial Narrow" w:hAnsi="Arial Narrow"/>
          <w:sz w:val="18"/>
          <w:szCs w:val="18"/>
        </w:rPr>
        <w:t xml:space="preserve"> Major discrepancy was defined as the diagnosis being changed from benign to malignant or vice versa, and from one category of malignancy to anothe</w:t>
      </w:r>
      <w:r>
        <w:rPr>
          <w:rFonts w:ascii="Arial Narrow" w:hAnsi="Arial Narrow"/>
          <w:sz w:val="18"/>
          <w:szCs w:val="18"/>
        </w:rPr>
        <w:t>r (e.g. carcinoma to lymphoma).</w:t>
      </w:r>
    </w:p>
    <w:p w14:paraId="16E3BD7E" w14:textId="77777777" w:rsidR="00B51828" w:rsidRDefault="00B51828" w:rsidP="002101D2">
      <w:pPr>
        <w:spacing w:after="160" w:line="259" w:lineRule="auto"/>
        <w:ind w:left="0"/>
        <w:rPr>
          <w:rFonts w:ascii="Tahoma" w:eastAsiaTheme="majorEastAsia" w:hAnsi="Tahoma" w:cstheme="majorBidi"/>
          <w:b/>
          <w:sz w:val="22"/>
          <w:szCs w:val="24"/>
          <w:highlight w:val="lightGray"/>
        </w:rPr>
      </w:pPr>
      <w:r>
        <w:rPr>
          <w:highlight w:val="lightGray"/>
        </w:rPr>
        <w:br w:type="page"/>
      </w:r>
    </w:p>
    <w:p w14:paraId="39E9375B" w14:textId="77777777" w:rsidR="00B51828" w:rsidRDefault="00B51828" w:rsidP="00B51828">
      <w:pPr>
        <w:pStyle w:val="Heading3"/>
        <w:numPr>
          <w:ilvl w:val="2"/>
          <w:numId w:val="1"/>
        </w:numPr>
      </w:pPr>
      <w:r>
        <w:lastRenderedPageBreak/>
        <w:t>Safety</w:t>
      </w:r>
    </w:p>
    <w:p w14:paraId="42FD7AD2" w14:textId="77777777" w:rsidR="00B51828" w:rsidRDefault="00B51828" w:rsidP="002101D2">
      <w:pPr>
        <w:tabs>
          <w:tab w:val="left" w:pos="2855"/>
        </w:tabs>
        <w:ind w:left="709"/>
      </w:pPr>
      <w:r>
        <w:t xml:space="preserve">According to the PPICO criteria (Section </w:t>
      </w:r>
      <w:r>
        <w:fldChar w:fldCharType="begin"/>
      </w:r>
      <w:r>
        <w:instrText xml:space="preserve"> REF _Ref395301895 \r \h </w:instrText>
      </w:r>
      <w:r>
        <w:fldChar w:fldCharType="separate"/>
      </w:r>
      <w:r w:rsidR="0044620B">
        <w:t>A.8</w:t>
      </w:r>
      <w:r>
        <w:fldChar w:fldCharType="end"/>
      </w:r>
      <w:r>
        <w:t>) the main safety outcomes of interest in the Assessment Report are: (i) harms due to delay in diagnosis; (ii) incorrect diagnosis/interpretation; (iii) incorrect treatment; and (iv) incorrect revisions of diagnosis/interpretation. While several of the included studies provided information regarding turnaround time, none of the studies attempted to quantify harms due to a delay in diagnosis.</w:t>
      </w:r>
    </w:p>
    <w:p w14:paraId="115D9F30" w14:textId="77777777" w:rsidR="00B51828" w:rsidRDefault="00B51828" w:rsidP="002101D2">
      <w:pPr>
        <w:tabs>
          <w:tab w:val="left" w:pos="2855"/>
        </w:tabs>
        <w:ind w:left="709"/>
      </w:pPr>
      <w:r>
        <w:t xml:space="preserve">In order to assess the other safety outcomes, adequate patient follow-up (e.g. repeat biopsy) is required. </w:t>
      </w:r>
      <w:r w:rsidRPr="006A4079">
        <w:t xml:space="preserve">As mentioned in </w:t>
      </w:r>
      <w:r>
        <w:t xml:space="preserve">Section </w:t>
      </w:r>
      <w:r>
        <w:fldChar w:fldCharType="begin"/>
      </w:r>
      <w:r>
        <w:instrText xml:space="preserve"> REF _Ref395175064 \w \h  \* MERGEFORMAT </w:instrText>
      </w:r>
      <w:r>
        <w:fldChar w:fldCharType="separate"/>
      </w:r>
      <w:r w:rsidR="0044620B">
        <w:t>B.3.3</w:t>
      </w:r>
      <w:r>
        <w:fldChar w:fldCharType="end"/>
      </w:r>
      <w:r w:rsidRPr="006A4079">
        <w:t xml:space="preserve">, only two of the included studies provided </w:t>
      </w:r>
      <w:r>
        <w:t xml:space="preserve">any </w:t>
      </w:r>
      <w:r w:rsidRPr="006A4079">
        <w:t xml:space="preserve">patient follow-up information </w:t>
      </w:r>
      <w:r>
        <w:t xml:space="preserve">upon which an assessment of the safety (i.e. accuracy) of the expert pathologist’s diagnosis could be made </w:t>
      </w:r>
      <w:r>
        <w:rPr>
          <w:noProof/>
        </w:rPr>
        <w:t>(Hutton Klein et al, 2010; Tavora et al, 2009)</w:t>
      </w:r>
      <w:r>
        <w:t xml:space="preserve">. </w:t>
      </w:r>
      <w:r w:rsidRPr="006A4079">
        <w:t xml:space="preserve">Hutton Klein et al (2010) only </w:t>
      </w:r>
      <w:r>
        <w:t>sought</w:t>
      </w:r>
      <w:r w:rsidRPr="006A4079">
        <w:t xml:space="preserve"> follow-up </w:t>
      </w:r>
      <w:r>
        <w:t xml:space="preserve">information </w:t>
      </w:r>
      <w:r w:rsidRPr="006A4079">
        <w:t>in</w:t>
      </w:r>
      <w:r>
        <w:t xml:space="preserve"> the</w:t>
      </w:r>
      <w:r w:rsidRPr="006A4079">
        <w:t xml:space="preserve"> </w:t>
      </w:r>
      <w:r>
        <w:t xml:space="preserve">73 </w:t>
      </w:r>
      <w:r w:rsidRPr="006A4079">
        <w:t xml:space="preserve">cases </w:t>
      </w:r>
      <w:r>
        <w:t xml:space="preserve">in which </w:t>
      </w:r>
      <w:r w:rsidRPr="006A4079">
        <w:t>the second, expert opinion was not confident (i.e. a probable</w:t>
      </w:r>
      <w:r>
        <w:t xml:space="preserve"> or broad differential diagnosis was provided). </w:t>
      </w:r>
      <w:r>
        <w:fldChar w:fldCharType="begin"/>
      </w:r>
      <w:r>
        <w:instrText xml:space="preserve"> REF _Ref395343886 \h </w:instrText>
      </w:r>
      <w:r>
        <w:fldChar w:fldCharType="separate"/>
      </w:r>
      <w:r w:rsidR="0044620B">
        <w:t xml:space="preserve">Table </w:t>
      </w:r>
      <w:r w:rsidR="0044620B">
        <w:rPr>
          <w:noProof/>
        </w:rPr>
        <w:t>B.6</w:t>
      </w:r>
      <w:r w:rsidR="0044620B">
        <w:noBreakHyphen/>
      </w:r>
      <w:r w:rsidR="0044620B">
        <w:rPr>
          <w:noProof/>
        </w:rPr>
        <w:t>8</w:t>
      </w:r>
      <w:r>
        <w:fldChar w:fldCharType="end"/>
      </w:r>
      <w:r>
        <w:t xml:space="preserve"> shows that follow-up information was only obtained in 36 of those cases and the results were difficult to interpret.</w:t>
      </w:r>
    </w:p>
    <w:p w14:paraId="4FB0A032" w14:textId="77777777" w:rsidR="00B51828" w:rsidRDefault="00B51828" w:rsidP="002101D2">
      <w:pPr>
        <w:tabs>
          <w:tab w:val="left" w:pos="2855"/>
        </w:tabs>
        <w:ind w:left="709"/>
      </w:pPr>
      <w:r>
        <w:t>With the exception of the studies by Hutton Klein et al (2010) and Tavora et al (2009), there was an implicit assumption that the second, expert opinion was correct, without sufficient follow-up to confirm whether this was indeed the case. Due to the limitations in Hutton Klein et al (2010), the best available evidence regarding the incorrect diagnosis/interpretation or incorrect revisions of diagnosis/interpretation was provided in Tavora et al (2009). The study reported major discrepancies between the initial and expert diagnoses in seven of out 76 cases. In all seven cases, the diagnosis at follow-up supported the diagnosis of the expert pathologist. However the small number of cases for which follow-up was reported limits the value of the evidence.</w:t>
      </w:r>
    </w:p>
    <w:p w14:paraId="45FE7B00" w14:textId="77777777" w:rsidR="00B51828" w:rsidRDefault="00B51828" w:rsidP="002101D2">
      <w:pPr>
        <w:pStyle w:val="Caption"/>
      </w:pPr>
      <w:bookmarkStart w:id="170" w:name="_Ref395343886"/>
      <w:bookmarkStart w:id="171" w:name="_Toc396211751"/>
      <w:r>
        <w:t xml:space="preserve">Table </w:t>
      </w:r>
      <w:fldSimple w:instr=" STYLEREF 2 \s ">
        <w:r w:rsidR="0044620B">
          <w:rPr>
            <w:noProof/>
          </w:rPr>
          <w:t>B.6</w:t>
        </w:r>
      </w:fldSimple>
      <w:r>
        <w:noBreakHyphen/>
      </w:r>
      <w:fldSimple w:instr=" SEQ Table \* ARABIC \s 2 ">
        <w:r w:rsidR="0044620B">
          <w:rPr>
            <w:noProof/>
          </w:rPr>
          <w:t>8</w:t>
        </w:r>
      </w:fldSimple>
      <w:bookmarkEnd w:id="170"/>
      <w:r>
        <w:tab/>
        <w:t>Incorrect diagnosis or interpretation according to follow-up information</w:t>
      </w:r>
      <w:bookmarkEnd w:id="171"/>
    </w:p>
    <w:tbl>
      <w:tblPr>
        <w:tblStyle w:val="TableGrid12"/>
        <w:tblW w:w="5000" w:type="pct"/>
        <w:tblInd w:w="704" w:type="dxa"/>
        <w:tblCellMar>
          <w:left w:w="57" w:type="dxa"/>
          <w:right w:w="57" w:type="dxa"/>
        </w:tblCellMar>
        <w:tblLook w:val="04A0" w:firstRow="1" w:lastRow="0" w:firstColumn="1" w:lastColumn="0" w:noHBand="0" w:noVBand="1"/>
        <w:tblCaption w:val="Incorrect diagnosis or interpretation according to follow-up information"/>
        <w:tblDescription w:val="The number of expert diagnoses/interpretations that were correct and incorrect according to follow-up information"/>
      </w:tblPr>
      <w:tblGrid>
        <w:gridCol w:w="1703"/>
        <w:gridCol w:w="1859"/>
        <w:gridCol w:w="3874"/>
        <w:gridCol w:w="1704"/>
      </w:tblGrid>
      <w:tr w:rsidR="00B51828" w:rsidRPr="00096BB9" w14:paraId="2BBA3E44" w14:textId="77777777" w:rsidTr="002101D2">
        <w:trPr>
          <w:tblHeader/>
        </w:trPr>
        <w:tc>
          <w:tcPr>
            <w:tcW w:w="932" w:type="pct"/>
          </w:tcPr>
          <w:p w14:paraId="4EC18ADD" w14:textId="77777777" w:rsidR="00B51828" w:rsidRPr="00096BB9" w:rsidRDefault="00B51828" w:rsidP="002101D2">
            <w:pPr>
              <w:spacing w:before="20" w:after="20"/>
              <w:ind w:left="0"/>
              <w:rPr>
                <w:rFonts w:ascii="Arial Narrow" w:hAnsi="Arial Narrow"/>
                <w:b/>
                <w:sz w:val="20"/>
                <w:szCs w:val="20"/>
              </w:rPr>
            </w:pPr>
            <w:r w:rsidRPr="00096BB9">
              <w:rPr>
                <w:rFonts w:ascii="Arial Narrow" w:hAnsi="Arial Narrow"/>
                <w:b/>
                <w:sz w:val="20"/>
                <w:szCs w:val="20"/>
              </w:rPr>
              <w:t>Study ID</w:t>
            </w:r>
          </w:p>
        </w:tc>
        <w:tc>
          <w:tcPr>
            <w:tcW w:w="1017" w:type="pct"/>
          </w:tcPr>
          <w:p w14:paraId="71F90E48" w14:textId="77777777" w:rsidR="00B51828" w:rsidRPr="00096BB9" w:rsidRDefault="00B51828" w:rsidP="002101D2">
            <w:pPr>
              <w:spacing w:before="20" w:after="20"/>
              <w:ind w:left="0"/>
              <w:rPr>
                <w:rFonts w:ascii="Arial Narrow" w:hAnsi="Arial Narrow"/>
                <w:b/>
                <w:sz w:val="20"/>
                <w:szCs w:val="20"/>
              </w:rPr>
            </w:pPr>
            <w:r w:rsidRPr="00096BB9">
              <w:rPr>
                <w:rFonts w:ascii="Arial Narrow" w:hAnsi="Arial Narrow"/>
                <w:b/>
                <w:sz w:val="20"/>
                <w:szCs w:val="20"/>
              </w:rPr>
              <w:t>Population (N)</w:t>
            </w:r>
          </w:p>
        </w:tc>
        <w:tc>
          <w:tcPr>
            <w:tcW w:w="2119" w:type="pct"/>
          </w:tcPr>
          <w:p w14:paraId="7AA5E3BA" w14:textId="77777777" w:rsidR="00B51828" w:rsidRPr="00096BB9" w:rsidRDefault="00B51828" w:rsidP="002101D2">
            <w:pPr>
              <w:spacing w:before="20" w:after="20"/>
              <w:ind w:left="0"/>
              <w:rPr>
                <w:rFonts w:ascii="Arial Narrow" w:hAnsi="Arial Narrow"/>
                <w:b/>
                <w:sz w:val="20"/>
                <w:szCs w:val="20"/>
              </w:rPr>
            </w:pPr>
            <w:r w:rsidRPr="00096BB9">
              <w:rPr>
                <w:rFonts w:ascii="Arial Narrow" w:hAnsi="Arial Narrow"/>
                <w:b/>
                <w:sz w:val="20"/>
                <w:szCs w:val="20"/>
              </w:rPr>
              <w:t>Outcome</w:t>
            </w:r>
          </w:p>
        </w:tc>
        <w:tc>
          <w:tcPr>
            <w:tcW w:w="932" w:type="pct"/>
          </w:tcPr>
          <w:p w14:paraId="491E5546" w14:textId="77777777" w:rsidR="00B51828" w:rsidRPr="00096BB9" w:rsidRDefault="00B51828" w:rsidP="002101D2">
            <w:pPr>
              <w:spacing w:before="20" w:after="20"/>
              <w:ind w:left="0"/>
              <w:rPr>
                <w:rFonts w:ascii="Arial Narrow" w:hAnsi="Arial Narrow"/>
                <w:b/>
                <w:sz w:val="20"/>
                <w:szCs w:val="20"/>
              </w:rPr>
            </w:pPr>
            <w:r w:rsidRPr="00096BB9">
              <w:rPr>
                <w:rFonts w:ascii="Arial Narrow" w:hAnsi="Arial Narrow"/>
                <w:b/>
                <w:sz w:val="20"/>
                <w:szCs w:val="20"/>
              </w:rPr>
              <w:t>Results n/N (%)</w:t>
            </w:r>
          </w:p>
        </w:tc>
      </w:tr>
      <w:tr w:rsidR="00B51828" w:rsidRPr="00096BB9" w14:paraId="7DEFA165" w14:textId="77777777" w:rsidTr="002101D2">
        <w:trPr>
          <w:trHeight w:val="64"/>
        </w:trPr>
        <w:tc>
          <w:tcPr>
            <w:tcW w:w="93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37665"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LUNG</w:t>
            </w:r>
          </w:p>
        </w:tc>
        <w:tc>
          <w:tcPr>
            <w:tcW w:w="10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11C34D"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w:t>
            </w:r>
          </w:p>
        </w:tc>
        <w:tc>
          <w:tcPr>
            <w:tcW w:w="21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7E4D2B"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w:t>
            </w:r>
          </w:p>
        </w:tc>
        <w:tc>
          <w:tcPr>
            <w:tcW w:w="93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634F8C"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w:t>
            </w:r>
          </w:p>
        </w:tc>
      </w:tr>
      <w:tr w:rsidR="00B51828" w:rsidRPr="00096BB9" w14:paraId="27905D02" w14:textId="77777777" w:rsidTr="002101D2">
        <w:trPr>
          <w:trHeight w:val="64"/>
        </w:trPr>
        <w:tc>
          <w:tcPr>
            <w:tcW w:w="932" w:type="pct"/>
            <w:tcBorders>
              <w:top w:val="single" w:sz="4" w:space="0" w:color="auto"/>
              <w:left w:val="single" w:sz="4" w:space="0" w:color="auto"/>
              <w:bottom w:val="single" w:sz="4" w:space="0" w:color="auto"/>
              <w:right w:val="single" w:sz="4" w:space="0" w:color="auto"/>
            </w:tcBorders>
          </w:tcPr>
          <w:p w14:paraId="6D0FA37D"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Hutton Klein 2010</w:t>
            </w:r>
          </w:p>
        </w:tc>
        <w:tc>
          <w:tcPr>
            <w:tcW w:w="1017" w:type="pct"/>
            <w:tcBorders>
              <w:top w:val="single" w:sz="4" w:space="0" w:color="auto"/>
              <w:left w:val="single" w:sz="4" w:space="0" w:color="auto"/>
              <w:bottom w:val="single" w:sz="4" w:space="0" w:color="auto"/>
              <w:right w:val="single" w:sz="4" w:space="0" w:color="auto"/>
            </w:tcBorders>
          </w:tcPr>
          <w:p w14:paraId="0BFFDFBC"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Granulomatous or giant cell reactions in the lung</w:t>
            </w:r>
          </w:p>
          <w:p w14:paraId="7236E35F"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N=100 cases</w:t>
            </w:r>
            <w:r w:rsidRPr="00096BB9">
              <w:rPr>
                <w:rFonts w:ascii="Arial Narrow" w:hAnsi="Arial Narrow"/>
                <w:sz w:val="20"/>
                <w:szCs w:val="20"/>
                <w:vertAlign w:val="superscript"/>
              </w:rPr>
              <w:t>a</w:t>
            </w:r>
          </w:p>
        </w:tc>
        <w:tc>
          <w:tcPr>
            <w:tcW w:w="2119" w:type="pct"/>
            <w:tcBorders>
              <w:top w:val="single" w:sz="4" w:space="0" w:color="auto"/>
              <w:left w:val="single" w:sz="4" w:space="0" w:color="auto"/>
              <w:bottom w:val="single" w:sz="4" w:space="0" w:color="auto"/>
              <w:right w:val="single" w:sz="4" w:space="0" w:color="auto"/>
            </w:tcBorders>
          </w:tcPr>
          <w:p w14:paraId="3EBD9691" w14:textId="77777777" w:rsidR="00B51828" w:rsidRPr="00096BB9" w:rsidRDefault="00B51828" w:rsidP="002101D2">
            <w:pPr>
              <w:spacing w:before="20" w:after="0"/>
              <w:ind w:left="0"/>
              <w:rPr>
                <w:rFonts w:ascii="Arial Narrow" w:hAnsi="Arial Narrow"/>
                <w:sz w:val="20"/>
                <w:szCs w:val="20"/>
              </w:rPr>
            </w:pPr>
            <w:r w:rsidRPr="00096BB9">
              <w:rPr>
                <w:rFonts w:ascii="Arial Narrow" w:hAnsi="Arial Narrow"/>
                <w:sz w:val="20"/>
                <w:szCs w:val="20"/>
              </w:rPr>
              <w:t>Clinical follow-up confirmed or supported the probable specific diagnosis</w:t>
            </w:r>
          </w:p>
          <w:p w14:paraId="0A46179D" w14:textId="77777777" w:rsidR="00B51828" w:rsidRPr="00096BB9" w:rsidRDefault="00B51828" w:rsidP="002101D2">
            <w:pPr>
              <w:spacing w:after="0"/>
              <w:ind w:left="0"/>
              <w:rPr>
                <w:rFonts w:ascii="Arial Narrow" w:hAnsi="Arial Narrow"/>
                <w:sz w:val="20"/>
                <w:szCs w:val="20"/>
              </w:rPr>
            </w:pPr>
            <w:r w:rsidRPr="00096BB9">
              <w:rPr>
                <w:rFonts w:ascii="Arial Narrow" w:hAnsi="Arial Narrow"/>
                <w:sz w:val="20"/>
                <w:szCs w:val="20"/>
              </w:rPr>
              <w:t>Clinical follow-up suggested that cultures were negative</w:t>
            </w:r>
          </w:p>
          <w:p w14:paraId="3E049AD5" w14:textId="77777777" w:rsidR="00B51828" w:rsidRPr="00096BB9" w:rsidRDefault="00B51828" w:rsidP="002101D2">
            <w:pPr>
              <w:spacing w:after="20"/>
              <w:ind w:left="0"/>
              <w:rPr>
                <w:rFonts w:ascii="Arial Narrow" w:hAnsi="Arial Narrow"/>
                <w:sz w:val="20"/>
                <w:szCs w:val="20"/>
              </w:rPr>
            </w:pPr>
            <w:r w:rsidRPr="00096BB9">
              <w:rPr>
                <w:rFonts w:ascii="Arial Narrow" w:hAnsi="Arial Narrow"/>
                <w:sz w:val="20"/>
                <w:szCs w:val="20"/>
              </w:rPr>
              <w:t>Further clinical information did not resolve the pathologic differential diagnosis</w:t>
            </w:r>
          </w:p>
        </w:tc>
        <w:tc>
          <w:tcPr>
            <w:tcW w:w="932" w:type="pct"/>
            <w:tcBorders>
              <w:top w:val="single" w:sz="4" w:space="0" w:color="auto"/>
              <w:left w:val="single" w:sz="4" w:space="0" w:color="auto"/>
              <w:bottom w:val="single" w:sz="4" w:space="0" w:color="auto"/>
              <w:right w:val="single" w:sz="4" w:space="0" w:color="auto"/>
            </w:tcBorders>
          </w:tcPr>
          <w:p w14:paraId="51B4AB14" w14:textId="77777777" w:rsidR="00B51828" w:rsidRPr="00096BB9" w:rsidRDefault="00B51828" w:rsidP="002101D2">
            <w:pPr>
              <w:spacing w:before="20" w:after="0"/>
              <w:ind w:left="0"/>
              <w:rPr>
                <w:rFonts w:ascii="Arial Narrow" w:hAnsi="Arial Narrow"/>
                <w:sz w:val="20"/>
                <w:szCs w:val="20"/>
              </w:rPr>
            </w:pPr>
            <w:r w:rsidRPr="00096BB9">
              <w:rPr>
                <w:rFonts w:ascii="Arial Narrow" w:hAnsi="Arial Narrow"/>
                <w:sz w:val="20"/>
                <w:szCs w:val="20"/>
              </w:rPr>
              <w:t>14/36 (38.9%)</w:t>
            </w:r>
          </w:p>
          <w:p w14:paraId="1B1405F8" w14:textId="77777777" w:rsidR="00B51828" w:rsidRPr="00096BB9" w:rsidRDefault="00B51828" w:rsidP="002101D2">
            <w:pPr>
              <w:spacing w:after="0"/>
              <w:ind w:left="0"/>
              <w:rPr>
                <w:rFonts w:ascii="Arial Narrow" w:hAnsi="Arial Narrow"/>
                <w:sz w:val="20"/>
                <w:szCs w:val="20"/>
              </w:rPr>
            </w:pPr>
          </w:p>
          <w:p w14:paraId="6A35BD8E" w14:textId="77777777" w:rsidR="00B51828" w:rsidRPr="00096BB9" w:rsidRDefault="00B51828" w:rsidP="002101D2">
            <w:pPr>
              <w:spacing w:after="0"/>
              <w:ind w:left="0"/>
              <w:rPr>
                <w:rFonts w:ascii="Arial Narrow" w:hAnsi="Arial Narrow"/>
                <w:sz w:val="20"/>
                <w:szCs w:val="20"/>
              </w:rPr>
            </w:pPr>
            <w:r w:rsidRPr="00096BB9">
              <w:rPr>
                <w:rFonts w:ascii="Arial Narrow" w:hAnsi="Arial Narrow"/>
                <w:sz w:val="20"/>
                <w:szCs w:val="20"/>
              </w:rPr>
              <w:t>15/36 (41.7%)</w:t>
            </w:r>
          </w:p>
          <w:p w14:paraId="2AB5CED9" w14:textId="77777777" w:rsidR="00B51828" w:rsidRPr="00096BB9" w:rsidRDefault="00B51828" w:rsidP="002101D2">
            <w:pPr>
              <w:spacing w:after="0"/>
              <w:ind w:left="0"/>
              <w:rPr>
                <w:rFonts w:ascii="Arial Narrow" w:hAnsi="Arial Narrow"/>
                <w:sz w:val="20"/>
                <w:szCs w:val="20"/>
              </w:rPr>
            </w:pPr>
          </w:p>
          <w:p w14:paraId="1BCD21A4" w14:textId="77777777" w:rsidR="00B51828" w:rsidRPr="00096BB9" w:rsidRDefault="00B51828" w:rsidP="002101D2">
            <w:pPr>
              <w:spacing w:after="20"/>
              <w:ind w:left="0"/>
              <w:rPr>
                <w:rFonts w:ascii="Arial Narrow" w:hAnsi="Arial Narrow"/>
                <w:sz w:val="20"/>
                <w:szCs w:val="20"/>
              </w:rPr>
            </w:pPr>
            <w:r w:rsidRPr="00096BB9">
              <w:rPr>
                <w:rFonts w:ascii="Arial Narrow" w:hAnsi="Arial Narrow"/>
                <w:sz w:val="20"/>
                <w:szCs w:val="20"/>
              </w:rPr>
              <w:t>7/36 (19.4%)</w:t>
            </w:r>
          </w:p>
        </w:tc>
      </w:tr>
      <w:tr w:rsidR="00B51828" w:rsidRPr="00096BB9" w14:paraId="6C6E45CF" w14:textId="77777777" w:rsidTr="002101D2">
        <w:trPr>
          <w:trHeight w:val="64"/>
        </w:trPr>
        <w:tc>
          <w:tcPr>
            <w:tcW w:w="93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4CD3B1" w14:textId="77777777" w:rsidR="00B51828" w:rsidRPr="00096BB9" w:rsidRDefault="00B51828" w:rsidP="002101D2">
            <w:pPr>
              <w:spacing w:before="20" w:after="20"/>
              <w:ind w:left="0"/>
              <w:rPr>
                <w:rFonts w:ascii="Arial Narrow" w:hAnsi="Arial Narrow"/>
                <w:sz w:val="20"/>
                <w:szCs w:val="20"/>
              </w:rPr>
            </w:pPr>
            <w:r>
              <w:rPr>
                <w:rFonts w:ascii="Arial Narrow" w:hAnsi="Arial Narrow"/>
                <w:sz w:val="20"/>
                <w:szCs w:val="20"/>
              </w:rPr>
              <w:t>UROTHELIAL LESIONS</w:t>
            </w:r>
          </w:p>
        </w:tc>
        <w:tc>
          <w:tcPr>
            <w:tcW w:w="10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620F74" w14:textId="77777777" w:rsidR="00B51828" w:rsidRPr="00096BB9"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21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F7D365"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w:t>
            </w:r>
          </w:p>
        </w:tc>
        <w:tc>
          <w:tcPr>
            <w:tcW w:w="93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75A600" w14:textId="77777777" w:rsidR="00B51828" w:rsidRPr="00096BB9" w:rsidRDefault="00B51828" w:rsidP="002101D2">
            <w:pPr>
              <w:spacing w:before="20" w:after="20"/>
              <w:ind w:left="0"/>
              <w:rPr>
                <w:rFonts w:ascii="Arial Narrow" w:hAnsi="Arial Narrow"/>
                <w:sz w:val="20"/>
                <w:szCs w:val="20"/>
              </w:rPr>
            </w:pPr>
            <w:r w:rsidRPr="00096BB9">
              <w:rPr>
                <w:rFonts w:ascii="Arial Narrow" w:hAnsi="Arial Narrow"/>
                <w:sz w:val="20"/>
                <w:szCs w:val="20"/>
              </w:rPr>
              <w:t>-</w:t>
            </w:r>
          </w:p>
        </w:tc>
      </w:tr>
      <w:tr w:rsidR="00B51828" w:rsidRPr="00096BB9" w14:paraId="34396270" w14:textId="77777777" w:rsidTr="002101D2">
        <w:trPr>
          <w:trHeight w:val="64"/>
        </w:trPr>
        <w:tc>
          <w:tcPr>
            <w:tcW w:w="932" w:type="pct"/>
            <w:tcBorders>
              <w:top w:val="single" w:sz="4" w:space="0" w:color="auto"/>
              <w:left w:val="single" w:sz="4" w:space="0" w:color="auto"/>
              <w:bottom w:val="single" w:sz="4" w:space="0" w:color="auto"/>
              <w:right w:val="single" w:sz="4" w:space="0" w:color="auto"/>
            </w:tcBorders>
          </w:tcPr>
          <w:p w14:paraId="5D79011F" w14:textId="77777777" w:rsidR="00B51828" w:rsidRPr="00096BB9" w:rsidRDefault="00B51828" w:rsidP="002101D2">
            <w:pPr>
              <w:spacing w:before="20" w:after="20"/>
              <w:ind w:left="0"/>
              <w:rPr>
                <w:rFonts w:ascii="Arial Narrow" w:hAnsi="Arial Narrow"/>
                <w:sz w:val="20"/>
                <w:szCs w:val="20"/>
              </w:rPr>
            </w:pPr>
            <w:r>
              <w:rPr>
                <w:rFonts w:ascii="Arial Narrow" w:hAnsi="Arial Narrow"/>
                <w:sz w:val="20"/>
                <w:szCs w:val="20"/>
              </w:rPr>
              <w:t>Tavora 2009</w:t>
            </w:r>
          </w:p>
        </w:tc>
        <w:tc>
          <w:tcPr>
            <w:tcW w:w="1017" w:type="pct"/>
            <w:tcBorders>
              <w:top w:val="single" w:sz="4" w:space="0" w:color="auto"/>
              <w:left w:val="single" w:sz="4" w:space="0" w:color="auto"/>
              <w:bottom w:val="single" w:sz="4" w:space="0" w:color="auto"/>
              <w:right w:val="single" w:sz="4" w:space="0" w:color="auto"/>
            </w:tcBorders>
          </w:tcPr>
          <w:p w14:paraId="062CE3E6" w14:textId="77777777" w:rsidR="00B51828" w:rsidRPr="00096BB9" w:rsidRDefault="00B51828" w:rsidP="002101D2">
            <w:pPr>
              <w:spacing w:before="20" w:after="20" w:line="259" w:lineRule="auto"/>
              <w:ind w:left="0"/>
              <w:rPr>
                <w:rFonts w:ascii="Arial Narrow" w:hAnsi="Arial Narrow"/>
                <w:sz w:val="20"/>
                <w:szCs w:val="20"/>
              </w:rPr>
            </w:pPr>
            <w:r w:rsidRPr="00096BB9">
              <w:rPr>
                <w:rFonts w:ascii="Arial Narrow" w:hAnsi="Arial Narrow"/>
                <w:sz w:val="20"/>
                <w:szCs w:val="20"/>
              </w:rPr>
              <w:t>Urothelial lesions of the renal pelvis and mid-upper ureter</w:t>
            </w:r>
          </w:p>
          <w:p w14:paraId="032F95AC" w14:textId="77777777" w:rsidR="00B51828" w:rsidRPr="00096BB9" w:rsidRDefault="00B51828" w:rsidP="002101D2">
            <w:pPr>
              <w:spacing w:before="20" w:after="20"/>
              <w:ind w:left="0"/>
              <w:rPr>
                <w:rFonts w:ascii="Arial Narrow" w:hAnsi="Arial Narrow"/>
                <w:sz w:val="20"/>
                <w:szCs w:val="20"/>
              </w:rPr>
            </w:pPr>
            <w:r>
              <w:rPr>
                <w:rFonts w:ascii="Arial Narrow" w:hAnsi="Arial Narrow"/>
                <w:sz w:val="20"/>
                <w:szCs w:val="20"/>
              </w:rPr>
              <w:t>N=76</w:t>
            </w:r>
          </w:p>
        </w:tc>
        <w:tc>
          <w:tcPr>
            <w:tcW w:w="2119" w:type="pct"/>
            <w:tcBorders>
              <w:top w:val="single" w:sz="4" w:space="0" w:color="auto"/>
              <w:left w:val="single" w:sz="4" w:space="0" w:color="auto"/>
              <w:bottom w:val="single" w:sz="4" w:space="0" w:color="auto"/>
              <w:right w:val="single" w:sz="4" w:space="0" w:color="auto"/>
            </w:tcBorders>
          </w:tcPr>
          <w:p w14:paraId="538D93EA" w14:textId="77777777" w:rsidR="00B51828" w:rsidRDefault="00B51828" w:rsidP="002101D2">
            <w:pPr>
              <w:spacing w:before="20" w:after="0" w:line="259" w:lineRule="auto"/>
              <w:ind w:left="0"/>
              <w:rPr>
                <w:rFonts w:ascii="Arial Narrow" w:hAnsi="Arial Narrow"/>
                <w:sz w:val="20"/>
                <w:szCs w:val="20"/>
              </w:rPr>
            </w:pPr>
            <w:r w:rsidRPr="00096BB9">
              <w:rPr>
                <w:rFonts w:ascii="Arial Narrow" w:hAnsi="Arial Narrow"/>
                <w:sz w:val="20"/>
                <w:szCs w:val="20"/>
              </w:rPr>
              <w:t xml:space="preserve">Proportion </w:t>
            </w:r>
            <w:r>
              <w:rPr>
                <w:rFonts w:ascii="Arial Narrow" w:hAnsi="Arial Narrow"/>
                <w:sz w:val="20"/>
                <w:szCs w:val="20"/>
              </w:rPr>
              <w:t>of cases</w:t>
            </w:r>
            <w:r w:rsidRPr="00096BB9">
              <w:rPr>
                <w:rFonts w:ascii="Arial Narrow" w:hAnsi="Arial Narrow"/>
                <w:sz w:val="20"/>
                <w:szCs w:val="20"/>
              </w:rPr>
              <w:t xml:space="preserve"> in which clinical follow-up was concordant with initial pathologist</w:t>
            </w:r>
            <w:r>
              <w:rPr>
                <w:rFonts w:ascii="Arial Narrow" w:hAnsi="Arial Narrow"/>
                <w:sz w:val="20"/>
                <w:szCs w:val="20"/>
              </w:rPr>
              <w:t>’s diagnosis</w:t>
            </w:r>
          </w:p>
          <w:p w14:paraId="79706D32" w14:textId="77777777" w:rsidR="00B51828" w:rsidRPr="00EC36D8" w:rsidRDefault="00B51828" w:rsidP="002101D2">
            <w:pPr>
              <w:spacing w:after="20" w:line="259" w:lineRule="auto"/>
              <w:ind w:left="0"/>
              <w:rPr>
                <w:rFonts w:ascii="Arial Narrow" w:hAnsi="Arial Narrow"/>
                <w:sz w:val="20"/>
                <w:szCs w:val="20"/>
              </w:rPr>
            </w:pPr>
            <w:r w:rsidRPr="00096BB9">
              <w:rPr>
                <w:rFonts w:ascii="Arial Narrow" w:hAnsi="Arial Narrow"/>
                <w:sz w:val="20"/>
                <w:szCs w:val="20"/>
              </w:rPr>
              <w:t xml:space="preserve">Proportion of </w:t>
            </w:r>
            <w:r>
              <w:rPr>
                <w:rFonts w:ascii="Arial Narrow" w:hAnsi="Arial Narrow"/>
                <w:sz w:val="20"/>
                <w:szCs w:val="20"/>
              </w:rPr>
              <w:t xml:space="preserve">cases </w:t>
            </w:r>
            <w:r w:rsidRPr="00096BB9">
              <w:rPr>
                <w:rFonts w:ascii="Arial Narrow" w:hAnsi="Arial Narrow"/>
                <w:sz w:val="20"/>
                <w:szCs w:val="20"/>
              </w:rPr>
              <w:t>in which clinical follow-up was concordant with expert pathologist</w:t>
            </w:r>
            <w:r>
              <w:rPr>
                <w:rFonts w:ascii="Arial Narrow" w:hAnsi="Arial Narrow"/>
                <w:sz w:val="20"/>
                <w:szCs w:val="20"/>
              </w:rPr>
              <w:t>’s diagnosis</w:t>
            </w:r>
          </w:p>
        </w:tc>
        <w:tc>
          <w:tcPr>
            <w:tcW w:w="932" w:type="pct"/>
            <w:tcBorders>
              <w:top w:val="single" w:sz="4" w:space="0" w:color="auto"/>
              <w:left w:val="single" w:sz="4" w:space="0" w:color="auto"/>
              <w:bottom w:val="single" w:sz="4" w:space="0" w:color="auto"/>
              <w:right w:val="single" w:sz="4" w:space="0" w:color="auto"/>
            </w:tcBorders>
          </w:tcPr>
          <w:p w14:paraId="691A0B4D" w14:textId="77777777" w:rsidR="00B51828" w:rsidRPr="00096BB9" w:rsidRDefault="00B51828" w:rsidP="002101D2">
            <w:pPr>
              <w:spacing w:before="20" w:after="0" w:line="259" w:lineRule="auto"/>
              <w:ind w:left="0"/>
              <w:rPr>
                <w:rFonts w:ascii="Arial Narrow" w:hAnsi="Arial Narrow"/>
                <w:sz w:val="20"/>
                <w:szCs w:val="20"/>
              </w:rPr>
            </w:pPr>
            <w:r w:rsidRPr="00096BB9">
              <w:rPr>
                <w:rFonts w:ascii="Arial Narrow" w:hAnsi="Arial Narrow"/>
                <w:sz w:val="20"/>
                <w:szCs w:val="20"/>
              </w:rPr>
              <w:t>0/7 (0%)</w:t>
            </w:r>
          </w:p>
          <w:p w14:paraId="273077CB" w14:textId="77777777" w:rsidR="00B51828" w:rsidRPr="00096BB9" w:rsidRDefault="00B51828" w:rsidP="002101D2">
            <w:pPr>
              <w:spacing w:after="0" w:line="259" w:lineRule="auto"/>
              <w:ind w:left="0"/>
              <w:rPr>
                <w:rFonts w:ascii="Arial Narrow" w:hAnsi="Arial Narrow"/>
                <w:sz w:val="20"/>
                <w:szCs w:val="20"/>
              </w:rPr>
            </w:pPr>
          </w:p>
          <w:p w14:paraId="09707307" w14:textId="77777777" w:rsidR="00B51828" w:rsidRPr="00096BB9" w:rsidRDefault="00B51828" w:rsidP="002101D2">
            <w:pPr>
              <w:spacing w:after="0" w:line="259" w:lineRule="auto"/>
              <w:ind w:left="0"/>
              <w:rPr>
                <w:rFonts w:ascii="Arial Narrow" w:hAnsi="Arial Narrow"/>
                <w:sz w:val="20"/>
                <w:szCs w:val="20"/>
              </w:rPr>
            </w:pPr>
          </w:p>
          <w:p w14:paraId="39F98393" w14:textId="77777777" w:rsidR="00B51828" w:rsidRPr="00EC36D8" w:rsidRDefault="00B51828" w:rsidP="002101D2">
            <w:pPr>
              <w:spacing w:after="20"/>
              <w:ind w:left="0"/>
              <w:rPr>
                <w:rFonts w:ascii="Arial Narrow" w:hAnsi="Arial Narrow"/>
                <w:sz w:val="20"/>
                <w:szCs w:val="20"/>
              </w:rPr>
            </w:pPr>
            <w:r w:rsidRPr="00096BB9">
              <w:rPr>
                <w:rFonts w:ascii="Arial Narrow" w:hAnsi="Arial Narrow"/>
                <w:sz w:val="20"/>
                <w:szCs w:val="20"/>
              </w:rPr>
              <w:t>7/7 (100%)</w:t>
            </w:r>
          </w:p>
        </w:tc>
      </w:tr>
    </w:tbl>
    <w:p w14:paraId="188239D5" w14:textId="77777777" w:rsidR="00B51828" w:rsidRPr="00EC36D8" w:rsidRDefault="00B51828" w:rsidP="002101D2">
      <w:pPr>
        <w:spacing w:after="0" w:line="259" w:lineRule="auto"/>
        <w:rPr>
          <w:rFonts w:ascii="Arial Narrow" w:hAnsi="Arial Narrow"/>
          <w:sz w:val="16"/>
          <w:szCs w:val="16"/>
        </w:rPr>
      </w:pPr>
      <w:r w:rsidRPr="00096BB9">
        <w:rPr>
          <w:rFonts w:ascii="Arial Narrow" w:hAnsi="Arial Narrow"/>
          <w:sz w:val="16"/>
          <w:szCs w:val="16"/>
          <w:vertAlign w:val="superscript"/>
        </w:rPr>
        <w:t xml:space="preserve">a </w:t>
      </w:r>
      <w:r w:rsidRPr="00096BB9">
        <w:rPr>
          <w:rFonts w:ascii="Arial Narrow" w:hAnsi="Arial Narrow"/>
          <w:sz w:val="16"/>
          <w:szCs w:val="16"/>
        </w:rPr>
        <w:t>The study included a total of 100 cases: 80 requests for expert opinion were initiated by the pathologist; 20 expert opinion requests we</w:t>
      </w:r>
      <w:r>
        <w:rPr>
          <w:rFonts w:ascii="Arial Narrow" w:hAnsi="Arial Narrow"/>
          <w:sz w:val="16"/>
          <w:szCs w:val="16"/>
        </w:rPr>
        <w:t>re initiated by the clinician.</w:t>
      </w:r>
    </w:p>
    <w:p w14:paraId="56F15D5F" w14:textId="77777777" w:rsidR="00B51828" w:rsidRDefault="00B51828" w:rsidP="002101D2">
      <w:pPr>
        <w:tabs>
          <w:tab w:val="left" w:pos="2855"/>
        </w:tabs>
        <w:ind w:left="709"/>
      </w:pPr>
    </w:p>
    <w:p w14:paraId="0497D9CF" w14:textId="77777777" w:rsidR="00B51828" w:rsidRDefault="00B51828">
      <w:pPr>
        <w:spacing w:after="160" w:line="259" w:lineRule="auto"/>
        <w:ind w:left="0"/>
        <w:rPr>
          <w:rFonts w:ascii="Tahoma" w:eastAsiaTheme="majorEastAsia" w:hAnsi="Tahoma" w:cstheme="majorBidi"/>
          <w:b/>
          <w:sz w:val="28"/>
          <w:szCs w:val="26"/>
        </w:rPr>
      </w:pPr>
      <w:r>
        <w:br w:type="page"/>
      </w:r>
    </w:p>
    <w:p w14:paraId="508B9AF0" w14:textId="77777777" w:rsidR="00B51828" w:rsidRDefault="00B51828" w:rsidP="00B51828">
      <w:pPr>
        <w:pStyle w:val="Heading2"/>
        <w:numPr>
          <w:ilvl w:val="1"/>
          <w:numId w:val="1"/>
        </w:numPr>
      </w:pPr>
      <w:bookmarkStart w:id="172" w:name="_Toc396211697"/>
      <w:r>
        <w:lastRenderedPageBreak/>
        <w:t>Interpretation of the clinical evidence</w:t>
      </w:r>
      <w:bookmarkEnd w:id="172"/>
    </w:p>
    <w:p w14:paraId="16C3C0A2" w14:textId="77777777" w:rsidR="00B51828" w:rsidRDefault="00B51828" w:rsidP="002101D2">
      <w:pPr>
        <w:rPr>
          <w:szCs w:val="24"/>
        </w:rPr>
      </w:pPr>
      <w:r>
        <w:t xml:space="preserve">A relatively small body of evidence exists that is precisely related to the type of second, expert opinion proposed for MBS funding in the Assessment Report. </w:t>
      </w:r>
      <w:r>
        <w:rPr>
          <w:szCs w:val="24"/>
        </w:rPr>
        <w:t>Many of the studies reported a single institution’s experience of second, expert opinion, and as such, there is considerable variation across the studies,</w:t>
      </w:r>
      <w:r w:rsidRPr="00F13617">
        <w:rPr>
          <w:szCs w:val="24"/>
        </w:rPr>
        <w:t xml:space="preserve"> </w:t>
      </w:r>
      <w:r>
        <w:rPr>
          <w:szCs w:val="24"/>
        </w:rPr>
        <w:t xml:space="preserve">depending </w:t>
      </w:r>
      <w:r w:rsidRPr="00877D48">
        <w:rPr>
          <w:szCs w:val="24"/>
        </w:rPr>
        <w:t>on the</w:t>
      </w:r>
      <w:r>
        <w:rPr>
          <w:szCs w:val="24"/>
        </w:rPr>
        <w:t xml:space="preserve"> case mix of patients encountered by the initial pathologist, </w:t>
      </w:r>
      <w:r>
        <w:t xml:space="preserve">the complexity of the tissue being studied, </w:t>
      </w:r>
      <w:r>
        <w:rPr>
          <w:szCs w:val="24"/>
        </w:rPr>
        <w:t>the availability of intra-institutional consultation prior to referral, and the</w:t>
      </w:r>
      <w:r w:rsidRPr="00877D48">
        <w:rPr>
          <w:szCs w:val="24"/>
        </w:rPr>
        <w:t xml:space="preserve"> </w:t>
      </w:r>
      <w:r>
        <w:rPr>
          <w:szCs w:val="24"/>
        </w:rPr>
        <w:t>experience and qualifications of the expert pathologist who reviewed the case. T</w:t>
      </w:r>
      <w:r>
        <w:t>he availability of funding for expert opinions may also alter referral patterns.</w:t>
      </w:r>
    </w:p>
    <w:p w14:paraId="6EC1B95A" w14:textId="77777777" w:rsidR="00B51828" w:rsidRDefault="00B51828" w:rsidP="002101D2">
      <w:r>
        <w:t>Furthermore, the precise nature of the second, expert opinions examined in the studies was not necessarily reflective of the conditions under which the service would be funded in Australia. For example, in some of the included studies, a third opinion (i.e. second expert opinion) was sought when the first and second diagnoses were discrepant. It is possible that this would occur in practice in Australia; however, it is also possible that the expert pathologist’s diagnosis would be assumed to be correct and the patient would be managed accordingly. It is also not the intention of the proposed service to allow for multiple MBS-funded expert opinions on the same patient sample.</w:t>
      </w:r>
    </w:p>
    <w:p w14:paraId="18F09BDF" w14:textId="77777777" w:rsidR="00B51828" w:rsidRDefault="00B51828" w:rsidP="002101D2">
      <w:r>
        <w:t xml:space="preserve">No studies were identified that examined the value of expert opinion using the evidentiary standard. Most of the included studies simply compared the diagnosis of the initial reporting pathologist with that of one expert pathologist. In several studies the expert pathologist could refer the case to a panel of experts for an expert consensus; however, none of these studies compared the initial opinion to a true consensus pathology opinion, as per the evidentiary standard. </w:t>
      </w:r>
    </w:p>
    <w:p w14:paraId="61987C52" w14:textId="77777777" w:rsidR="00B51828" w:rsidRDefault="00B51828" w:rsidP="002101D2">
      <w:pPr>
        <w:rPr>
          <w:szCs w:val="24"/>
        </w:rPr>
      </w:pPr>
      <w:r>
        <w:t xml:space="preserve">Despite the shortcomings, the studies consistently demonstrated that there is value in seeking a second, expert opinion in cases where the pathologist is unable to confidently reach a diagnosis or where the clinician desires diagnostic input from an expert to verify a diagnosis or to provide further clinical information. The best available evidence is presented in Section </w:t>
      </w:r>
      <w:r>
        <w:fldChar w:fldCharType="begin"/>
      </w:r>
      <w:r>
        <w:instrText xml:space="preserve"> REF _Ref395262749 \r \h </w:instrText>
      </w:r>
      <w:r>
        <w:fldChar w:fldCharType="separate"/>
      </w:r>
      <w:r w:rsidR="0044620B">
        <w:t>B.6.2</w:t>
      </w:r>
      <w:r>
        <w:fldChar w:fldCharType="end"/>
      </w:r>
      <w:r>
        <w:t xml:space="preserve">, which demonstrated that major discrepancies between an initial and expert pathologist are not uncommon and could lead to a change in patient management, with the expectation that this would positively impact on patient care. </w:t>
      </w:r>
    </w:p>
    <w:p w14:paraId="31E64C7A" w14:textId="77777777" w:rsidR="00B51828" w:rsidRDefault="00B51828" w:rsidP="002101D2">
      <w:r>
        <w:t xml:space="preserve">However, it is important to acknowledge that there are major limitations associated with using major discrepancies as a surrogate for change in management. In most cases of diagnostic uncertainty, treatment is withheld until after an expert diagnosis is received. Thus, a major discrepancy between the initial and expert pathologist does not necessarily translate into a change in management, but rather </w:t>
      </w:r>
      <w:r w:rsidRPr="004845C3">
        <w:rPr>
          <w:szCs w:val="24"/>
        </w:rPr>
        <w:t xml:space="preserve">the </w:t>
      </w:r>
      <w:r>
        <w:rPr>
          <w:szCs w:val="24"/>
        </w:rPr>
        <w:t xml:space="preserve">potential for </w:t>
      </w:r>
      <w:r w:rsidRPr="004845C3">
        <w:rPr>
          <w:szCs w:val="24"/>
        </w:rPr>
        <w:t>more acc</w:t>
      </w:r>
      <w:r>
        <w:rPr>
          <w:szCs w:val="24"/>
        </w:rPr>
        <w:t xml:space="preserve">urate classification of disease. This, in turn, could lead to </w:t>
      </w:r>
      <w:r w:rsidRPr="004845C3">
        <w:rPr>
          <w:szCs w:val="24"/>
        </w:rPr>
        <w:t xml:space="preserve">more </w:t>
      </w:r>
      <w:r>
        <w:rPr>
          <w:szCs w:val="24"/>
        </w:rPr>
        <w:t>appropriate</w:t>
      </w:r>
      <w:r w:rsidRPr="004845C3">
        <w:rPr>
          <w:szCs w:val="24"/>
        </w:rPr>
        <w:t xml:space="preserve"> planning</w:t>
      </w:r>
      <w:r>
        <w:rPr>
          <w:szCs w:val="24"/>
        </w:rPr>
        <w:t xml:space="preserve"> and selection of therapy, which should translate into better health outcomes and more effective utilisation of resources</w:t>
      </w:r>
      <w:r>
        <w:t>. However, due to lack of reliable follow-up data, this claim was not substantiated on the basis of the existing evidence. In the majority of studies, there was an implicit assumption that the expert opinion is correct; however, this may not always be the case. Furthermore, in some difficult cases the expert pathologist may not even be able to provide a definitive diagnosis.</w:t>
      </w:r>
    </w:p>
    <w:p w14:paraId="6B10B35E" w14:textId="77777777" w:rsidR="00B51828" w:rsidRDefault="00B51828" w:rsidP="002101D2">
      <w:pPr>
        <w:sectPr w:rsidR="00B51828" w:rsidSect="002101D2">
          <w:footerReference w:type="default" r:id="rId30"/>
          <w:pgSz w:w="11906" w:h="16838" w:code="9"/>
          <w:pgMar w:top="1440" w:right="1440" w:bottom="1440" w:left="1440" w:header="680" w:footer="1021" w:gutter="0"/>
          <w:cols w:space="708"/>
          <w:docGrid w:linePitch="360"/>
        </w:sectPr>
      </w:pPr>
      <w:r>
        <w:t xml:space="preserve">Nonetheless, the high proportion of major discrepancies across some tissue types is an important outcome, as it provides a compelling clinical argument for second, expert opinions when there is diagnostic uncertainty or a rare or complex case that warrants verification. </w:t>
      </w:r>
    </w:p>
    <w:p w14:paraId="7ABE0F30" w14:textId="77777777" w:rsidR="00B51828" w:rsidRDefault="00B51828" w:rsidP="00B51828">
      <w:pPr>
        <w:pStyle w:val="Heading1"/>
        <w:numPr>
          <w:ilvl w:val="0"/>
          <w:numId w:val="1"/>
        </w:numPr>
      </w:pPr>
      <w:bookmarkStart w:id="173" w:name="_Ref393277750"/>
      <w:bookmarkStart w:id="174" w:name="_Ref393290918"/>
      <w:bookmarkStart w:id="175" w:name="_Ref393291821"/>
      <w:bookmarkStart w:id="176" w:name="_Ref393293972"/>
      <w:bookmarkStart w:id="177" w:name="_Toc396211698"/>
      <w:r w:rsidRPr="00F710E2">
        <w:lastRenderedPageBreak/>
        <w:t>Translating</w:t>
      </w:r>
      <w:r>
        <w:t xml:space="preserve"> the clinical evaluation to the economic evaluation</w:t>
      </w:r>
      <w:bookmarkEnd w:id="173"/>
      <w:bookmarkEnd w:id="174"/>
      <w:bookmarkEnd w:id="175"/>
      <w:bookmarkEnd w:id="176"/>
      <w:bookmarkEnd w:id="177"/>
    </w:p>
    <w:p w14:paraId="68598FF5" w14:textId="77777777" w:rsidR="00B51828" w:rsidRDefault="00B51828" w:rsidP="00B51828">
      <w:pPr>
        <w:pStyle w:val="Heading2"/>
        <w:numPr>
          <w:ilvl w:val="1"/>
          <w:numId w:val="1"/>
        </w:numPr>
      </w:pPr>
      <w:bookmarkStart w:id="178" w:name="_Toc396211699"/>
      <w:r>
        <w:t>Identification of issues to be addressed</w:t>
      </w:r>
      <w:bookmarkEnd w:id="178"/>
    </w:p>
    <w:p w14:paraId="4EF49D05"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Over the course of developing the economic evaluation, it became clear that the model required a number of transition probabilities to determine patients’ transition from their initial pathology opinion to the definitive diagnosis.</w:t>
      </w:r>
    </w:p>
    <w:p w14:paraId="19389BB1"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For example, a proportion of patients would require a second, expert opinion, some of which would be ‘complex’ and others ‘non-complex’. Similarly, a proportion of these patients would require additional (ancillary) testing on their pathology samples before a definitive diagnosis could be reached. Data were required to inform these proportions.</w:t>
      </w:r>
    </w:p>
    <w:p w14:paraId="2BB984BB" w14:textId="77777777" w:rsidR="00B51828" w:rsidRPr="00414562" w:rsidRDefault="00B51828" w:rsidP="002101D2">
      <w:r>
        <w:rPr>
          <w:rFonts w:cs="Garamond"/>
          <w:szCs w:val="24"/>
          <w:lang w:val="en"/>
        </w:rPr>
        <w:t>This section presents a summary of how these data were generated and applied to the economic evaluation.</w:t>
      </w:r>
    </w:p>
    <w:p w14:paraId="0725D2F4" w14:textId="5EF5CCD1" w:rsidR="00B51828" w:rsidRDefault="00B51828" w:rsidP="00B51828">
      <w:pPr>
        <w:pStyle w:val="Heading2"/>
        <w:numPr>
          <w:ilvl w:val="1"/>
          <w:numId w:val="1"/>
        </w:numPr>
      </w:pPr>
      <w:bookmarkStart w:id="179" w:name="_Toc396211700"/>
      <w:r>
        <w:t>Focus</w:t>
      </w:r>
      <w:r w:rsidR="005414B7">
        <w:t>sed</w:t>
      </w:r>
      <w:r>
        <w:t xml:space="preserve"> analytical plan</w:t>
      </w:r>
      <w:bookmarkEnd w:id="179"/>
    </w:p>
    <w:p w14:paraId="511A8606"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An Expert Opinion Survey was developed with the aim of obtaining information from a number of large public and private pathology laboratories about the number and nature of pathology cases that are currently referred for second, expert opinion in Australia (presented in Appendix 5). The intention of the included questions was to obtain estimates regarding general referral patterns across Australia. Estimates were not sought about intra-institutional referrals, in which a pathologist seeks advice from a co-located colleague. The referrals of interest related to formal, written second opinions by an expert pathologist who is external to the initial pathologist, but may be co-located with a referring clinician (e.g. at a tertiary treatment centre). </w:t>
      </w:r>
    </w:p>
    <w:p w14:paraId="0194748B"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Similarly, the survey sought to obtain estimates of the number and nature of pathology cases which would be referred for second, expert opinion if the proposed changes to MBS funding are implemented.</w:t>
      </w:r>
    </w:p>
    <w:p w14:paraId="37479C3D"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These data, applied to the economic evaluation presented in </w:t>
      </w:r>
      <w:r>
        <w:rPr>
          <w:rFonts w:cs="Garamond"/>
          <w:szCs w:val="24"/>
          <w:lang w:val="en"/>
        </w:rPr>
        <w:fldChar w:fldCharType="begin"/>
      </w:r>
      <w:r>
        <w:rPr>
          <w:rFonts w:cs="Garamond"/>
          <w:szCs w:val="24"/>
          <w:lang w:val="en"/>
        </w:rPr>
        <w:instrText xml:space="preserve"> REF _Ref393274178 \w \h </w:instrText>
      </w:r>
      <w:r>
        <w:rPr>
          <w:rFonts w:cs="Garamond"/>
          <w:szCs w:val="24"/>
          <w:lang w:val="en"/>
        </w:rPr>
      </w:r>
      <w:r>
        <w:rPr>
          <w:rFonts w:cs="Garamond"/>
          <w:szCs w:val="24"/>
          <w:lang w:val="en"/>
        </w:rPr>
        <w:fldChar w:fldCharType="separate"/>
      </w:r>
      <w:r w:rsidR="0044620B">
        <w:rPr>
          <w:rFonts w:cs="Garamond"/>
          <w:szCs w:val="24"/>
          <w:lang w:val="en"/>
        </w:rPr>
        <w:t>Section D</w:t>
      </w:r>
      <w:r>
        <w:rPr>
          <w:rFonts w:cs="Garamond"/>
          <w:szCs w:val="24"/>
          <w:lang w:val="en"/>
        </w:rPr>
        <w:fldChar w:fldCharType="end"/>
      </w:r>
      <w:r>
        <w:rPr>
          <w:rFonts w:cs="Garamond"/>
          <w:szCs w:val="24"/>
          <w:lang w:val="en"/>
        </w:rPr>
        <w:t xml:space="preserve">, were calculated as means from the responses provided. Note that blank or empty responses were not included. Where respondents provided a range, the midpoint of the range was used in the calculation of the average. Similarly, where respondents provided an upper limit (e.g. “&lt;5%”), this upper limit was applied as the point estimate used to calculate the mean. Such assumptions have a negligible impact on the results of the model. Finally note that, in order to correspond with the data required by the structure of the economic model, some responses were modified. For example, rather than follow the survey’s lead of estimating the proportion of </w:t>
      </w:r>
      <w:r w:rsidRPr="004A60EE">
        <w:rPr>
          <w:rFonts w:cs="Garamond"/>
          <w:i/>
          <w:szCs w:val="24"/>
          <w:lang w:val="en"/>
        </w:rPr>
        <w:t>Scenario 1</w:t>
      </w:r>
      <w:r>
        <w:rPr>
          <w:rFonts w:cs="Garamond"/>
          <w:szCs w:val="24"/>
          <w:lang w:val="en"/>
        </w:rPr>
        <w:t xml:space="preserve"> cases that were thought to fall within the confines of a ‘complex’ second, expert opinion, data were modified to find the proportion of cases that were both complex and under the definition of </w:t>
      </w:r>
      <w:r w:rsidRPr="004A60EE">
        <w:rPr>
          <w:rFonts w:cs="Garamond"/>
          <w:i/>
          <w:szCs w:val="24"/>
          <w:lang w:val="en"/>
        </w:rPr>
        <w:t>Scenario 1</w:t>
      </w:r>
      <w:r>
        <w:rPr>
          <w:rFonts w:cs="Garamond"/>
          <w:szCs w:val="24"/>
          <w:lang w:val="en"/>
        </w:rPr>
        <w:t xml:space="preserve"> (i.e. the product of two raw results from the survey).</w:t>
      </w:r>
    </w:p>
    <w:p w14:paraId="51419C4A" w14:textId="77777777" w:rsidR="00B51828" w:rsidRPr="002635C4" w:rsidRDefault="00B51828" w:rsidP="002101D2"/>
    <w:p w14:paraId="5D1596CD" w14:textId="77777777" w:rsidR="00B51828" w:rsidRDefault="00B51828" w:rsidP="00B51828">
      <w:pPr>
        <w:pStyle w:val="Heading2"/>
        <w:numPr>
          <w:ilvl w:val="1"/>
          <w:numId w:val="1"/>
        </w:numPr>
      </w:pPr>
      <w:bookmarkStart w:id="180" w:name="_Toc396211701"/>
      <w:r>
        <w:lastRenderedPageBreak/>
        <w:t>Population and circumstances of use reflected in the economic evaluation</w:t>
      </w:r>
      <w:bookmarkEnd w:id="180"/>
    </w:p>
    <w:p w14:paraId="20472119" w14:textId="77777777" w:rsidR="00B51828" w:rsidRPr="002635C4" w:rsidRDefault="00B51828" w:rsidP="002101D2">
      <w:r>
        <w:rPr>
          <w:rFonts w:cs="Garamond"/>
          <w:szCs w:val="24"/>
          <w:lang w:val="en"/>
        </w:rPr>
        <w:t xml:space="preserve">The population considered in the economic evaluation comprises patients undergoing a morphology-based pathology test, as per the PPICO criteria outlined in </w:t>
      </w:r>
      <w:r>
        <w:rPr>
          <w:rFonts w:cs="Garamond"/>
          <w:szCs w:val="24"/>
          <w:lang w:val="en"/>
        </w:rPr>
        <w:fldChar w:fldCharType="begin"/>
      </w:r>
      <w:r>
        <w:rPr>
          <w:rFonts w:cs="Garamond"/>
          <w:szCs w:val="24"/>
          <w:lang w:val="en"/>
        </w:rPr>
        <w:instrText xml:space="preserve"> REF _Ref393276862 \w \h </w:instrText>
      </w:r>
      <w:r>
        <w:rPr>
          <w:rFonts w:cs="Garamond"/>
          <w:szCs w:val="24"/>
          <w:lang w:val="en"/>
        </w:rPr>
      </w:r>
      <w:r>
        <w:rPr>
          <w:rFonts w:cs="Garamond"/>
          <w:szCs w:val="24"/>
          <w:lang w:val="en"/>
        </w:rPr>
        <w:fldChar w:fldCharType="separate"/>
      </w:r>
      <w:r w:rsidR="0044620B">
        <w:rPr>
          <w:rFonts w:cs="Garamond"/>
          <w:szCs w:val="24"/>
          <w:lang w:val="en"/>
        </w:rPr>
        <w:t>Section A</w:t>
      </w:r>
      <w:r>
        <w:rPr>
          <w:rFonts w:cs="Garamond"/>
          <w:szCs w:val="24"/>
          <w:lang w:val="en"/>
        </w:rPr>
        <w:fldChar w:fldCharType="end"/>
      </w:r>
      <w:r>
        <w:rPr>
          <w:rFonts w:cs="Garamond"/>
          <w:szCs w:val="24"/>
          <w:lang w:val="en"/>
        </w:rPr>
        <w:t>. The population in the model is representative of the population for whom MBS listing is sought. As discussed previously, where data are available, a number of subgroups are also considered in sensitivity analyses.</w:t>
      </w:r>
    </w:p>
    <w:p w14:paraId="63CD81C3" w14:textId="77777777" w:rsidR="00B51828" w:rsidRDefault="00B51828" w:rsidP="00B51828">
      <w:pPr>
        <w:pStyle w:val="Heading2"/>
        <w:numPr>
          <w:ilvl w:val="1"/>
          <w:numId w:val="1"/>
        </w:numPr>
      </w:pPr>
      <w:bookmarkStart w:id="181" w:name="_Toc396211702"/>
      <w:r>
        <w:t>Results of the pre-modelling studies</w:t>
      </w:r>
      <w:bookmarkEnd w:id="181"/>
      <w:r>
        <w:t xml:space="preserve"> </w:t>
      </w:r>
    </w:p>
    <w:p w14:paraId="5DF81332" w14:textId="77777777" w:rsidR="00B51828" w:rsidRDefault="00B51828" w:rsidP="002101D2">
      <w:r>
        <w:rPr>
          <w:rFonts w:cs="Garamond"/>
          <w:szCs w:val="24"/>
          <w:lang w:val="en"/>
        </w:rPr>
        <w:t xml:space="preserve">The results of the pre-modelling study to inform these transition probabilities are presented in </w:t>
      </w:r>
      <w:r>
        <w:rPr>
          <w:rFonts w:cs="Garamond"/>
          <w:szCs w:val="24"/>
          <w:lang w:val="en"/>
        </w:rPr>
        <w:fldChar w:fldCharType="begin"/>
      </w:r>
      <w:r>
        <w:rPr>
          <w:rFonts w:cs="Garamond"/>
          <w:szCs w:val="24"/>
          <w:lang w:val="en"/>
        </w:rPr>
        <w:instrText xml:space="preserve"> REF _Ref393266798 \h </w:instrText>
      </w:r>
      <w:r>
        <w:rPr>
          <w:rFonts w:cs="Garamond"/>
          <w:szCs w:val="24"/>
          <w:lang w:val="en"/>
        </w:rPr>
      </w:r>
      <w:r>
        <w:rPr>
          <w:rFonts w:cs="Garamond"/>
          <w:szCs w:val="24"/>
          <w:lang w:val="en"/>
        </w:rPr>
        <w:fldChar w:fldCharType="separate"/>
      </w:r>
      <w:r w:rsidR="0044620B">
        <w:t xml:space="preserve">Table </w:t>
      </w:r>
      <w:r w:rsidR="0044620B">
        <w:rPr>
          <w:noProof/>
        </w:rPr>
        <w:t>C.4</w:t>
      </w:r>
      <w:r w:rsidR="0044620B">
        <w:noBreakHyphen/>
      </w:r>
      <w:r w:rsidR="0044620B">
        <w:rPr>
          <w:noProof/>
        </w:rPr>
        <w:t>1</w:t>
      </w:r>
      <w:r>
        <w:rPr>
          <w:rFonts w:cs="Garamond"/>
          <w:szCs w:val="24"/>
          <w:lang w:val="en"/>
        </w:rPr>
        <w:fldChar w:fldCharType="end"/>
      </w:r>
      <w:r>
        <w:rPr>
          <w:rFonts w:cs="Garamond"/>
          <w:szCs w:val="24"/>
          <w:lang w:val="en"/>
        </w:rPr>
        <w:t>.</w:t>
      </w:r>
    </w:p>
    <w:p w14:paraId="11053A96" w14:textId="77777777" w:rsidR="00B51828" w:rsidRDefault="00B51828" w:rsidP="002101D2">
      <w:pPr>
        <w:pStyle w:val="Caption"/>
      </w:pPr>
      <w:bookmarkStart w:id="182" w:name="_Ref395372913"/>
      <w:bookmarkStart w:id="183" w:name="_Ref393266798"/>
      <w:bookmarkStart w:id="184" w:name="_Toc396211752"/>
      <w:r>
        <w:t xml:space="preserve">Table </w:t>
      </w:r>
      <w:fldSimple w:instr=" STYLEREF 2 \s ">
        <w:r w:rsidR="0044620B">
          <w:rPr>
            <w:noProof/>
          </w:rPr>
          <w:t>C.4</w:t>
        </w:r>
      </w:fldSimple>
      <w:r>
        <w:noBreakHyphen/>
      </w:r>
      <w:fldSimple w:instr=" SEQ Table \* ARABIC \s 2 ">
        <w:r w:rsidR="0044620B">
          <w:rPr>
            <w:noProof/>
          </w:rPr>
          <w:t>1</w:t>
        </w:r>
      </w:fldSimple>
      <w:bookmarkEnd w:id="182"/>
      <w:bookmarkEnd w:id="183"/>
      <w:r>
        <w:tab/>
        <w:t>Data from the Expert Opinion Survey used to inform the economic evaluation</w:t>
      </w:r>
      <w:bookmarkEnd w:id="184"/>
    </w:p>
    <w:tbl>
      <w:tblPr>
        <w:tblW w:w="8378" w:type="dxa"/>
        <w:tblInd w:w="706" w:type="dxa"/>
        <w:tblLayout w:type="fixed"/>
        <w:tblCellMar>
          <w:left w:w="27" w:type="dxa"/>
          <w:right w:w="27" w:type="dxa"/>
        </w:tblCellMar>
        <w:tblLook w:val="0000" w:firstRow="0" w:lastRow="0" w:firstColumn="0" w:lastColumn="0" w:noHBand="0" w:noVBand="0"/>
        <w:tblCaption w:val="Data from the Expert Opinion Survey"/>
        <w:tblDescription w:val="Data from the Expert Opinion Survey used to inform the economic evaluation"/>
      </w:tblPr>
      <w:tblGrid>
        <w:gridCol w:w="4961"/>
        <w:gridCol w:w="1701"/>
        <w:gridCol w:w="1716"/>
      </w:tblGrid>
      <w:tr w:rsidR="00B51828" w:rsidRPr="002635C4" w14:paraId="138482BF" w14:textId="77777777" w:rsidTr="002101D2">
        <w:trPr>
          <w:trHeight w:val="1"/>
          <w:tblHeader/>
        </w:trPr>
        <w:tc>
          <w:tcPr>
            <w:tcW w:w="4961" w:type="dxa"/>
            <w:tcBorders>
              <w:top w:val="single" w:sz="2" w:space="0" w:color="000000"/>
              <w:left w:val="single" w:sz="2" w:space="0" w:color="000000"/>
              <w:bottom w:val="single" w:sz="2" w:space="0" w:color="000000"/>
              <w:right w:val="nil"/>
            </w:tcBorders>
            <w:shd w:val="clear" w:color="000000" w:fill="auto"/>
            <w:vAlign w:val="center"/>
          </w:tcPr>
          <w:p w14:paraId="10A542AB" w14:textId="77777777" w:rsidR="00B51828" w:rsidRPr="00995C1F" w:rsidRDefault="00B51828" w:rsidP="002101D2">
            <w:pPr>
              <w:keepNext/>
              <w:widowControl w:val="0"/>
              <w:suppressAutoHyphens/>
              <w:autoSpaceDE w:val="0"/>
              <w:autoSpaceDN w:val="0"/>
              <w:adjustRightInd w:val="0"/>
              <w:spacing w:before="20" w:after="20"/>
              <w:ind w:left="108" w:right="48"/>
              <w:rPr>
                <w:rFonts w:ascii="Arial Narrow" w:hAnsi="Arial Narrow" w:cs="Arial"/>
                <w:b/>
                <w:sz w:val="20"/>
                <w:szCs w:val="20"/>
                <w:lang w:val="en"/>
              </w:rPr>
            </w:pPr>
            <w:r>
              <w:rPr>
                <w:rFonts w:ascii="Arial Narrow" w:hAnsi="Arial Narrow" w:cs="Arial"/>
                <w:b/>
                <w:sz w:val="20"/>
                <w:szCs w:val="20"/>
                <w:lang w:val="en"/>
              </w:rPr>
              <w:t xml:space="preserve">Estimation of the percentage of cases </w:t>
            </w:r>
          </w:p>
        </w:tc>
        <w:tc>
          <w:tcPr>
            <w:tcW w:w="1701" w:type="dxa"/>
            <w:tcBorders>
              <w:top w:val="single" w:sz="2" w:space="0" w:color="000000"/>
              <w:left w:val="single" w:sz="2" w:space="0" w:color="000000"/>
              <w:bottom w:val="single" w:sz="2" w:space="0" w:color="000000"/>
              <w:right w:val="nil"/>
            </w:tcBorders>
            <w:shd w:val="clear" w:color="000000" w:fill="auto"/>
          </w:tcPr>
          <w:p w14:paraId="2EFB5A1C" w14:textId="77777777" w:rsidR="00B51828" w:rsidRPr="00A05231" w:rsidRDefault="00B51828" w:rsidP="002101D2">
            <w:pPr>
              <w:spacing w:before="20" w:after="20"/>
              <w:ind w:left="0"/>
              <w:jc w:val="center"/>
              <w:rPr>
                <w:rFonts w:ascii="Arial Narrow" w:hAnsi="Arial Narrow"/>
                <w:b/>
                <w:sz w:val="20"/>
                <w:szCs w:val="20"/>
              </w:rPr>
            </w:pPr>
            <w:r w:rsidRPr="00A05231">
              <w:rPr>
                <w:rFonts w:ascii="Arial Narrow" w:hAnsi="Arial Narrow"/>
                <w:b/>
                <w:sz w:val="20"/>
                <w:szCs w:val="20"/>
              </w:rPr>
              <w:t>Average under the proposed funding arrangements</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7BBCC2A7" w14:textId="77777777" w:rsidR="00B51828" w:rsidRPr="00A05231" w:rsidRDefault="00B51828" w:rsidP="002101D2">
            <w:pPr>
              <w:spacing w:before="20" w:after="20"/>
              <w:ind w:left="0"/>
              <w:jc w:val="center"/>
              <w:rPr>
                <w:rFonts w:ascii="Arial Narrow" w:hAnsi="Arial Narrow"/>
                <w:b/>
                <w:sz w:val="20"/>
                <w:szCs w:val="20"/>
              </w:rPr>
            </w:pPr>
            <w:r w:rsidRPr="00A05231">
              <w:rPr>
                <w:rFonts w:ascii="Arial Narrow" w:hAnsi="Arial Narrow"/>
                <w:b/>
                <w:sz w:val="20"/>
                <w:szCs w:val="20"/>
              </w:rPr>
              <w:t>Average under the current funding arrangements</w:t>
            </w:r>
          </w:p>
        </w:tc>
      </w:tr>
      <w:tr w:rsidR="00B51828" w:rsidRPr="002635C4" w14:paraId="787045FA"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C0C0C0"/>
          </w:tcPr>
          <w:p w14:paraId="5D989973" w14:textId="77777777" w:rsidR="00B51828" w:rsidRPr="00CF06D3" w:rsidRDefault="00B51828" w:rsidP="002101D2">
            <w:pPr>
              <w:spacing w:before="20" w:after="20"/>
              <w:ind w:left="0"/>
              <w:rPr>
                <w:rFonts w:ascii="Calibri" w:hAnsi="Calibri" w:cs="Calibri"/>
                <w:sz w:val="22"/>
                <w:lang w:val="en"/>
              </w:rPr>
            </w:pPr>
            <w:r w:rsidRPr="00CF06D3">
              <w:rPr>
                <w:rFonts w:ascii="Arial Narrow" w:hAnsi="Arial Narrow"/>
                <w:sz w:val="20"/>
                <w:szCs w:val="20"/>
              </w:rPr>
              <w:t>Tissue pathology</w:t>
            </w:r>
          </w:p>
        </w:tc>
        <w:tc>
          <w:tcPr>
            <w:tcW w:w="1701" w:type="dxa"/>
            <w:tcBorders>
              <w:top w:val="single" w:sz="2" w:space="0" w:color="000000"/>
              <w:left w:val="single" w:sz="2" w:space="0" w:color="000000"/>
              <w:bottom w:val="single" w:sz="2" w:space="0" w:color="000000"/>
              <w:right w:val="nil"/>
            </w:tcBorders>
            <w:shd w:val="clear" w:color="000000" w:fill="C0C0C0"/>
          </w:tcPr>
          <w:p w14:paraId="4243B63B" w14:textId="59FA9E48" w:rsidR="00B51828" w:rsidRPr="00A15F7D" w:rsidRDefault="00A15F7D" w:rsidP="00A15F7D">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Calibri" w:hAnsi="Calibri" w:cs="Calibri"/>
                <w:sz w:val="22"/>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C0C0C0"/>
          </w:tcPr>
          <w:p w14:paraId="3AB2CD07" w14:textId="3BCDDF4D" w:rsidR="00B51828" w:rsidRPr="00A15F7D" w:rsidRDefault="00A15F7D" w:rsidP="00A15F7D">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A15F7D">
              <w:rPr>
                <w:rFonts w:ascii="Calibri" w:hAnsi="Calibri" w:cs="Calibri"/>
                <w:sz w:val="22"/>
                <w:lang w:val="en"/>
              </w:rPr>
              <w:t>-</w:t>
            </w:r>
          </w:p>
        </w:tc>
      </w:tr>
      <w:tr w:rsidR="00B51828" w:rsidRPr="002635C4" w14:paraId="1EFBD382"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0639901E"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sidRPr="002635C4">
              <w:rPr>
                <w:rFonts w:ascii="Arial Narrow" w:hAnsi="Arial Narrow" w:cs="Arial Narrow"/>
                <w:sz w:val="20"/>
                <w:szCs w:val="20"/>
                <w:lang w:val="en"/>
              </w:rPr>
              <w:t xml:space="preserve">Proportion of cases referred for </w:t>
            </w:r>
            <w:r>
              <w:rPr>
                <w:rFonts w:ascii="Arial Narrow" w:hAnsi="Arial Narrow" w:cs="Arial Narrow"/>
                <w:sz w:val="20"/>
                <w:szCs w:val="20"/>
                <w:lang w:val="en"/>
              </w:rPr>
              <w:t>second, expert opinion</w:t>
            </w:r>
          </w:p>
        </w:tc>
        <w:tc>
          <w:tcPr>
            <w:tcW w:w="1701" w:type="dxa"/>
            <w:tcBorders>
              <w:top w:val="single" w:sz="2" w:space="0" w:color="000000"/>
              <w:left w:val="single" w:sz="2" w:space="0" w:color="000000"/>
              <w:bottom w:val="single" w:sz="2" w:space="0" w:color="000000"/>
              <w:right w:val="nil"/>
            </w:tcBorders>
            <w:shd w:val="clear" w:color="000000" w:fill="auto"/>
          </w:tcPr>
          <w:p w14:paraId="695A91F5"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1.41%</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529E53A5"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0.570%</w:t>
            </w:r>
          </w:p>
        </w:tc>
      </w:tr>
      <w:tr w:rsidR="00B51828" w:rsidRPr="002635C4" w14:paraId="3C53E3E6"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3DEDF1A7"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sidRPr="002635C4">
              <w:rPr>
                <w:rFonts w:ascii="Arial Narrow" w:hAnsi="Arial Narrow" w:cs="Arial Narrow"/>
                <w:sz w:val="20"/>
                <w:szCs w:val="20"/>
                <w:lang w:val="en"/>
              </w:rPr>
              <w:t>Proportion of cases initiated by Pathologist (</w:t>
            </w:r>
            <w:r w:rsidRPr="004A60EE">
              <w:rPr>
                <w:rFonts w:ascii="Arial Narrow" w:hAnsi="Arial Narrow" w:cs="Arial Narrow"/>
                <w:i/>
                <w:sz w:val="20"/>
                <w:szCs w:val="20"/>
                <w:lang w:val="en"/>
              </w:rPr>
              <w:t>Scenario 1</w:t>
            </w:r>
            <w:r w:rsidRPr="002635C4">
              <w:rPr>
                <w:rFonts w:ascii="Arial Narrow" w:hAnsi="Arial Narrow" w:cs="Arial Narrow"/>
                <w:sz w:val="20"/>
                <w:szCs w:val="20"/>
                <w:lang w:val="en"/>
              </w:rPr>
              <w:t>)</w:t>
            </w:r>
          </w:p>
        </w:tc>
        <w:tc>
          <w:tcPr>
            <w:tcW w:w="1701" w:type="dxa"/>
            <w:tcBorders>
              <w:top w:val="single" w:sz="2" w:space="0" w:color="000000"/>
              <w:left w:val="single" w:sz="2" w:space="0" w:color="000000"/>
              <w:bottom w:val="single" w:sz="2" w:space="0" w:color="000000"/>
              <w:right w:val="nil"/>
            </w:tcBorders>
            <w:shd w:val="clear" w:color="000000" w:fill="auto"/>
          </w:tcPr>
          <w:p w14:paraId="6C5C5BD2" w14:textId="0BE13972"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74.38</w:t>
            </w:r>
            <w:r w:rsidR="001E6FF2">
              <w:rPr>
                <w:rFonts w:ascii="Arial Narrow" w:hAnsi="Arial Narrow" w:cs="Arial Narrow"/>
                <w:sz w:val="20"/>
                <w:szCs w:val="20"/>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2E3B846C"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64.38%</w:t>
            </w:r>
          </w:p>
        </w:tc>
      </w:tr>
      <w:tr w:rsidR="00B51828" w:rsidRPr="002635C4" w14:paraId="6C80C418"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795ABF06"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sidRPr="002635C4">
              <w:rPr>
                <w:rFonts w:ascii="Arial Narrow" w:hAnsi="Arial Narrow" w:cs="Arial Narrow"/>
                <w:sz w:val="20"/>
                <w:szCs w:val="20"/>
                <w:lang w:val="en"/>
              </w:rPr>
              <w:t>Proportion of cases initiated by Clinician (</w:t>
            </w:r>
            <w:r w:rsidRPr="004A60EE">
              <w:rPr>
                <w:rFonts w:ascii="Arial Narrow" w:hAnsi="Arial Narrow" w:cs="Arial Narrow"/>
                <w:i/>
                <w:sz w:val="20"/>
                <w:szCs w:val="20"/>
                <w:lang w:val="en"/>
              </w:rPr>
              <w:t>Scenario 2</w:t>
            </w:r>
            <w:r w:rsidRPr="002635C4">
              <w:rPr>
                <w:rFonts w:ascii="Arial Narrow" w:hAnsi="Arial Narrow" w:cs="Arial Narrow"/>
                <w:sz w:val="20"/>
                <w:szCs w:val="20"/>
                <w:lang w:val="en"/>
              </w:rPr>
              <w:t>)</w:t>
            </w:r>
          </w:p>
        </w:tc>
        <w:tc>
          <w:tcPr>
            <w:tcW w:w="1701" w:type="dxa"/>
            <w:tcBorders>
              <w:top w:val="single" w:sz="2" w:space="0" w:color="000000"/>
              <w:left w:val="single" w:sz="2" w:space="0" w:color="000000"/>
              <w:bottom w:val="single" w:sz="2" w:space="0" w:color="000000"/>
              <w:right w:val="nil"/>
            </w:tcBorders>
            <w:shd w:val="clear" w:color="000000" w:fill="auto"/>
          </w:tcPr>
          <w:p w14:paraId="295F4C88"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25.63%</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4807C0EB"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35.63%</w:t>
            </w:r>
          </w:p>
        </w:tc>
      </w:tr>
      <w:tr w:rsidR="00B51828" w:rsidRPr="002635C4" w14:paraId="41BF061A"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22EFCCEC"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 xml:space="preserve">Proportion of cases which are ‘complex’ and </w:t>
            </w:r>
            <w:r w:rsidRPr="004A60EE">
              <w:rPr>
                <w:rFonts w:ascii="Arial Narrow" w:hAnsi="Arial Narrow" w:cs="Arial Narrow"/>
                <w:i/>
                <w:sz w:val="20"/>
                <w:szCs w:val="20"/>
                <w:lang w:val="en"/>
              </w:rPr>
              <w:t>Scenario 1</w:t>
            </w:r>
          </w:p>
        </w:tc>
        <w:tc>
          <w:tcPr>
            <w:tcW w:w="1701" w:type="dxa"/>
            <w:tcBorders>
              <w:top w:val="single" w:sz="2" w:space="0" w:color="000000"/>
              <w:left w:val="single" w:sz="2" w:space="0" w:color="000000"/>
              <w:bottom w:val="single" w:sz="2" w:space="0" w:color="000000"/>
              <w:right w:val="nil"/>
            </w:tcBorders>
            <w:shd w:val="clear" w:color="000000" w:fill="auto"/>
          </w:tcPr>
          <w:p w14:paraId="64954B7B"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39.98%</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4E7D8E0A"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38.63%</w:t>
            </w:r>
          </w:p>
        </w:tc>
      </w:tr>
      <w:tr w:rsidR="00B51828" w:rsidRPr="002635C4" w14:paraId="74ED90EB"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5859DF92"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sidRPr="002635C4">
              <w:rPr>
                <w:rFonts w:ascii="Arial Narrow" w:hAnsi="Arial Narrow" w:cs="Arial Narrow"/>
                <w:sz w:val="20"/>
                <w:szCs w:val="20"/>
                <w:lang w:val="en"/>
              </w:rPr>
              <w:t>Proportion of cases whi</w:t>
            </w:r>
            <w:r>
              <w:rPr>
                <w:rFonts w:ascii="Arial Narrow" w:hAnsi="Arial Narrow" w:cs="Arial Narrow"/>
                <w:sz w:val="20"/>
                <w:szCs w:val="20"/>
                <w:lang w:val="en"/>
              </w:rPr>
              <w:t xml:space="preserve">ch are ‘non-complex’ and </w:t>
            </w:r>
            <w:r w:rsidRPr="004A60EE">
              <w:rPr>
                <w:rFonts w:ascii="Arial Narrow" w:hAnsi="Arial Narrow" w:cs="Arial Narrow"/>
                <w:i/>
                <w:sz w:val="20"/>
                <w:szCs w:val="20"/>
                <w:lang w:val="en"/>
              </w:rPr>
              <w:t>Scenario 1</w:t>
            </w:r>
          </w:p>
        </w:tc>
        <w:tc>
          <w:tcPr>
            <w:tcW w:w="1701" w:type="dxa"/>
            <w:tcBorders>
              <w:top w:val="single" w:sz="2" w:space="0" w:color="000000"/>
              <w:left w:val="single" w:sz="2" w:space="0" w:color="000000"/>
              <w:bottom w:val="single" w:sz="2" w:space="0" w:color="000000"/>
              <w:right w:val="nil"/>
            </w:tcBorders>
            <w:shd w:val="clear" w:color="000000" w:fill="auto"/>
          </w:tcPr>
          <w:p w14:paraId="0AE2D2DD"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34.40%</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3AC00E33"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25.75%</w:t>
            </w:r>
          </w:p>
        </w:tc>
      </w:tr>
      <w:tr w:rsidR="00B51828" w:rsidRPr="002635C4" w14:paraId="06D58E78"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58DD71C5"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 xml:space="preserve">Proportion of cases which are ‘complex’ and </w:t>
            </w:r>
            <w:r w:rsidRPr="004A60EE">
              <w:rPr>
                <w:rFonts w:ascii="Arial Narrow" w:hAnsi="Arial Narrow" w:cs="Arial Narrow"/>
                <w:i/>
                <w:sz w:val="20"/>
                <w:szCs w:val="20"/>
                <w:lang w:val="en"/>
              </w:rPr>
              <w:t>Scenario 2</w:t>
            </w:r>
          </w:p>
        </w:tc>
        <w:tc>
          <w:tcPr>
            <w:tcW w:w="1701" w:type="dxa"/>
            <w:tcBorders>
              <w:top w:val="single" w:sz="2" w:space="0" w:color="000000"/>
              <w:left w:val="single" w:sz="2" w:space="0" w:color="000000"/>
              <w:bottom w:val="single" w:sz="2" w:space="0" w:color="000000"/>
              <w:right w:val="nil"/>
            </w:tcBorders>
            <w:shd w:val="clear" w:color="000000" w:fill="auto"/>
          </w:tcPr>
          <w:p w14:paraId="426269B5"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7.69%</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547E281C"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11.13%</w:t>
            </w:r>
          </w:p>
        </w:tc>
      </w:tr>
      <w:tr w:rsidR="00B51828" w:rsidRPr="002635C4" w14:paraId="02A118FF"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49C75255"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 xml:space="preserve">Proportion of cases which are ‘non-complex’ and </w:t>
            </w:r>
            <w:r w:rsidRPr="004A60EE">
              <w:rPr>
                <w:rFonts w:ascii="Arial Narrow" w:hAnsi="Arial Narrow" w:cs="Arial Narrow"/>
                <w:i/>
                <w:sz w:val="20"/>
                <w:szCs w:val="20"/>
                <w:lang w:val="en"/>
              </w:rPr>
              <w:t>Scenario 2</w:t>
            </w:r>
          </w:p>
        </w:tc>
        <w:tc>
          <w:tcPr>
            <w:tcW w:w="1701" w:type="dxa"/>
            <w:tcBorders>
              <w:top w:val="single" w:sz="2" w:space="0" w:color="000000"/>
              <w:left w:val="single" w:sz="2" w:space="0" w:color="000000"/>
              <w:bottom w:val="single" w:sz="2" w:space="0" w:color="000000"/>
              <w:right w:val="nil"/>
            </w:tcBorders>
            <w:shd w:val="clear" w:color="000000" w:fill="auto"/>
          </w:tcPr>
          <w:p w14:paraId="7EAE5E51"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17.94%</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026548A8"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24.49%</w:t>
            </w:r>
          </w:p>
        </w:tc>
      </w:tr>
      <w:tr w:rsidR="00B51828" w:rsidRPr="002635C4" w14:paraId="7B436FAA"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79489872"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‘non-complex’</w:t>
            </w:r>
            <w:r w:rsidRPr="002635C4">
              <w:rPr>
                <w:rFonts w:ascii="Arial Narrow" w:hAnsi="Arial Narrow" w:cs="Arial Narrow"/>
                <w:sz w:val="20"/>
                <w:szCs w:val="20"/>
                <w:lang w:val="en"/>
              </w:rPr>
              <w:t xml:space="preserve"> cases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710D4BE3"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23.75%</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26252D31"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25.00%</w:t>
            </w:r>
          </w:p>
        </w:tc>
      </w:tr>
      <w:tr w:rsidR="00B51828" w:rsidRPr="002635C4" w14:paraId="001E7189"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651FB5CE"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‘non-complex’</w:t>
            </w:r>
            <w:r w:rsidRPr="002635C4">
              <w:rPr>
                <w:rFonts w:ascii="Arial Narrow" w:hAnsi="Arial Narrow" w:cs="Arial Narrow"/>
                <w:sz w:val="20"/>
                <w:szCs w:val="20"/>
                <w:lang w:val="en"/>
              </w:rPr>
              <w:t xml:space="preserve"> cases not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0C8E9327"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76.25%</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54B0078C"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75.00%</w:t>
            </w:r>
          </w:p>
        </w:tc>
      </w:tr>
      <w:tr w:rsidR="00B51828" w:rsidRPr="002635C4" w14:paraId="353195D3"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2AF648EC"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‘complex’</w:t>
            </w:r>
            <w:r w:rsidRPr="002635C4">
              <w:rPr>
                <w:rFonts w:ascii="Arial Narrow" w:hAnsi="Arial Narrow" w:cs="Arial Narrow"/>
                <w:sz w:val="20"/>
                <w:szCs w:val="20"/>
                <w:lang w:val="en"/>
              </w:rPr>
              <w:t xml:space="preserve"> cases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45584965"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62.50%</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670490BD"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62.63%</w:t>
            </w:r>
          </w:p>
        </w:tc>
      </w:tr>
      <w:tr w:rsidR="00B51828" w:rsidRPr="002635C4" w14:paraId="072ECDEC"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4A4DA076"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‘complex’</w:t>
            </w:r>
            <w:r w:rsidRPr="002635C4">
              <w:rPr>
                <w:rFonts w:ascii="Arial Narrow" w:hAnsi="Arial Narrow" w:cs="Arial Narrow"/>
                <w:sz w:val="20"/>
                <w:szCs w:val="20"/>
                <w:lang w:val="en"/>
              </w:rPr>
              <w:t xml:space="preserve"> cases not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1F119C6C"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37.50%</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01AA8EA4"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37.38%</w:t>
            </w:r>
          </w:p>
        </w:tc>
      </w:tr>
      <w:tr w:rsidR="00B51828" w:rsidRPr="002635C4" w14:paraId="470603BC"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C0C0C0"/>
          </w:tcPr>
          <w:p w14:paraId="299E8DE3" w14:textId="77777777" w:rsidR="00B51828" w:rsidRPr="00CF06D3" w:rsidRDefault="00B51828" w:rsidP="002101D2">
            <w:pPr>
              <w:spacing w:before="20" w:after="20"/>
              <w:ind w:left="0"/>
              <w:rPr>
                <w:rFonts w:ascii="Calibri" w:hAnsi="Calibri" w:cs="Calibri"/>
                <w:sz w:val="22"/>
                <w:lang w:val="en"/>
              </w:rPr>
            </w:pPr>
            <w:r w:rsidRPr="00CF06D3">
              <w:rPr>
                <w:rFonts w:ascii="Arial Narrow" w:hAnsi="Arial Narrow"/>
                <w:sz w:val="20"/>
                <w:szCs w:val="20"/>
              </w:rPr>
              <w:t>Cytopathology</w:t>
            </w:r>
          </w:p>
        </w:tc>
        <w:tc>
          <w:tcPr>
            <w:tcW w:w="1701" w:type="dxa"/>
            <w:tcBorders>
              <w:top w:val="single" w:sz="2" w:space="0" w:color="000000"/>
              <w:left w:val="single" w:sz="2" w:space="0" w:color="000000"/>
              <w:bottom w:val="single" w:sz="2" w:space="0" w:color="000000"/>
              <w:right w:val="nil"/>
            </w:tcBorders>
            <w:shd w:val="clear" w:color="000000" w:fill="C0C0C0"/>
          </w:tcPr>
          <w:p w14:paraId="42B5FBF2" w14:textId="7E971B73" w:rsidR="00B51828" w:rsidRPr="00CF06D3" w:rsidRDefault="00A15F7D" w:rsidP="00A15F7D">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Calibri" w:hAnsi="Calibri" w:cs="Calibri"/>
                <w:sz w:val="22"/>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C0C0C0"/>
          </w:tcPr>
          <w:p w14:paraId="5A8F503C" w14:textId="626126FA" w:rsidR="00B51828" w:rsidRPr="00CF06D3" w:rsidRDefault="00A15F7D" w:rsidP="00A15F7D">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Calibri" w:hAnsi="Calibri" w:cs="Calibri"/>
                <w:sz w:val="22"/>
                <w:lang w:val="en"/>
              </w:rPr>
              <w:t>-</w:t>
            </w:r>
          </w:p>
        </w:tc>
      </w:tr>
      <w:tr w:rsidR="00B51828" w:rsidRPr="002635C4" w14:paraId="3FD47B26"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4CCA1964"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sidRPr="002635C4">
              <w:rPr>
                <w:rFonts w:ascii="Arial Narrow" w:hAnsi="Arial Narrow" w:cs="Arial Narrow"/>
                <w:sz w:val="20"/>
                <w:szCs w:val="20"/>
                <w:lang w:val="en"/>
              </w:rPr>
              <w:t xml:space="preserve">Proportion of cases referred for </w:t>
            </w:r>
            <w:r>
              <w:rPr>
                <w:rFonts w:ascii="Arial Narrow" w:hAnsi="Arial Narrow" w:cs="Arial Narrow"/>
                <w:sz w:val="20"/>
                <w:szCs w:val="20"/>
                <w:lang w:val="en"/>
              </w:rPr>
              <w:t>second, expert opinion</w:t>
            </w:r>
          </w:p>
        </w:tc>
        <w:tc>
          <w:tcPr>
            <w:tcW w:w="1701" w:type="dxa"/>
            <w:tcBorders>
              <w:top w:val="single" w:sz="2" w:space="0" w:color="000000"/>
              <w:left w:val="single" w:sz="2" w:space="0" w:color="000000"/>
              <w:bottom w:val="single" w:sz="2" w:space="0" w:color="000000"/>
              <w:right w:val="nil"/>
            </w:tcBorders>
            <w:shd w:val="clear" w:color="000000" w:fill="auto"/>
          </w:tcPr>
          <w:p w14:paraId="003CDFDB"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1.17%</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3A6495D2"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0.33%</w:t>
            </w:r>
          </w:p>
        </w:tc>
      </w:tr>
      <w:tr w:rsidR="00B51828" w:rsidRPr="002635C4" w14:paraId="022EBF22"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55852B35"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sidRPr="002635C4">
              <w:rPr>
                <w:rFonts w:ascii="Arial Narrow" w:hAnsi="Arial Narrow" w:cs="Arial Narrow"/>
                <w:sz w:val="20"/>
                <w:szCs w:val="20"/>
                <w:lang w:val="en"/>
              </w:rPr>
              <w:t>Proportion of cases initiated by Pathologist (</w:t>
            </w:r>
            <w:r w:rsidRPr="004A60EE">
              <w:rPr>
                <w:rFonts w:ascii="Arial Narrow" w:hAnsi="Arial Narrow" w:cs="Arial Narrow"/>
                <w:i/>
                <w:sz w:val="20"/>
                <w:szCs w:val="20"/>
                <w:lang w:val="en"/>
              </w:rPr>
              <w:t>Scenario 1</w:t>
            </w:r>
            <w:r w:rsidRPr="002635C4">
              <w:rPr>
                <w:rFonts w:ascii="Arial Narrow" w:hAnsi="Arial Narrow" w:cs="Arial Narrow"/>
                <w:sz w:val="20"/>
                <w:szCs w:val="20"/>
                <w:lang w:val="en"/>
              </w:rPr>
              <w:t>)</w:t>
            </w:r>
          </w:p>
        </w:tc>
        <w:tc>
          <w:tcPr>
            <w:tcW w:w="1701" w:type="dxa"/>
            <w:tcBorders>
              <w:top w:val="single" w:sz="2" w:space="0" w:color="000000"/>
              <w:left w:val="single" w:sz="2" w:space="0" w:color="000000"/>
              <w:bottom w:val="single" w:sz="2" w:space="0" w:color="000000"/>
              <w:right w:val="nil"/>
            </w:tcBorders>
            <w:shd w:val="clear" w:color="000000" w:fill="auto"/>
          </w:tcPr>
          <w:p w14:paraId="70D77840" w14:textId="5D600CA4" w:rsidR="00B51828" w:rsidRPr="002635C4" w:rsidRDefault="001E6FF2"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59.50</w:t>
            </w:r>
            <w:r w:rsidR="00B51828">
              <w:rPr>
                <w:rFonts w:ascii="Arial Narrow" w:hAnsi="Arial Narrow" w:cs="Arial Narrow"/>
                <w:sz w:val="20"/>
                <w:szCs w:val="20"/>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152D33F3"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76.43%</w:t>
            </w:r>
          </w:p>
        </w:tc>
      </w:tr>
      <w:tr w:rsidR="00B51828" w:rsidRPr="002635C4" w14:paraId="5DED1172"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56672443"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sidRPr="002635C4">
              <w:rPr>
                <w:rFonts w:ascii="Arial Narrow" w:hAnsi="Arial Narrow" w:cs="Arial Narrow"/>
                <w:sz w:val="20"/>
                <w:szCs w:val="20"/>
                <w:lang w:val="en"/>
              </w:rPr>
              <w:t>Proportion of cases initiated by Clinician (</w:t>
            </w:r>
            <w:r w:rsidRPr="004A60EE">
              <w:rPr>
                <w:rFonts w:ascii="Arial Narrow" w:hAnsi="Arial Narrow" w:cs="Arial Narrow"/>
                <w:i/>
                <w:sz w:val="20"/>
                <w:szCs w:val="20"/>
                <w:lang w:val="en"/>
              </w:rPr>
              <w:t>Scenario 2</w:t>
            </w:r>
            <w:r w:rsidRPr="002635C4">
              <w:rPr>
                <w:rFonts w:ascii="Arial Narrow" w:hAnsi="Arial Narrow" w:cs="Arial Narrow"/>
                <w:sz w:val="20"/>
                <w:szCs w:val="20"/>
                <w:lang w:val="en"/>
              </w:rPr>
              <w:t>)</w:t>
            </w:r>
          </w:p>
        </w:tc>
        <w:tc>
          <w:tcPr>
            <w:tcW w:w="1701" w:type="dxa"/>
            <w:tcBorders>
              <w:top w:val="single" w:sz="2" w:space="0" w:color="000000"/>
              <w:left w:val="single" w:sz="2" w:space="0" w:color="000000"/>
              <w:bottom w:val="single" w:sz="2" w:space="0" w:color="000000"/>
              <w:right w:val="nil"/>
            </w:tcBorders>
            <w:shd w:val="clear" w:color="000000" w:fill="auto"/>
          </w:tcPr>
          <w:p w14:paraId="4DE6FEED" w14:textId="377A369B" w:rsidR="00B51828" w:rsidRPr="002635C4" w:rsidRDefault="001E6FF2"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40.50</w:t>
            </w:r>
            <w:r w:rsidR="00B51828">
              <w:rPr>
                <w:rFonts w:ascii="Arial Narrow" w:hAnsi="Arial Narrow" w:cs="Arial Narrow"/>
                <w:sz w:val="20"/>
                <w:szCs w:val="20"/>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31CE99BF"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23.57%</w:t>
            </w:r>
          </w:p>
        </w:tc>
      </w:tr>
      <w:tr w:rsidR="00B51828" w:rsidRPr="002635C4" w14:paraId="20DA6EEB"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6AC3332E"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cases which are ‘</w:t>
            </w:r>
            <w:r w:rsidRPr="002635C4">
              <w:rPr>
                <w:rFonts w:ascii="Arial Narrow" w:hAnsi="Arial Narrow" w:cs="Arial Narrow"/>
                <w:sz w:val="20"/>
                <w:szCs w:val="20"/>
                <w:lang w:val="en"/>
              </w:rPr>
              <w:t>com</w:t>
            </w:r>
            <w:r>
              <w:rPr>
                <w:rFonts w:ascii="Arial Narrow" w:hAnsi="Arial Narrow" w:cs="Arial Narrow"/>
                <w:sz w:val="20"/>
                <w:szCs w:val="20"/>
                <w:lang w:val="en"/>
              </w:rPr>
              <w:t xml:space="preserve">plex’ and </w:t>
            </w:r>
            <w:r w:rsidRPr="004A60EE">
              <w:rPr>
                <w:rFonts w:ascii="Arial Narrow" w:hAnsi="Arial Narrow" w:cs="Arial Narrow"/>
                <w:i/>
                <w:sz w:val="20"/>
                <w:szCs w:val="20"/>
                <w:lang w:val="en"/>
              </w:rPr>
              <w:t>Scenario 1</w:t>
            </w:r>
          </w:p>
        </w:tc>
        <w:tc>
          <w:tcPr>
            <w:tcW w:w="1701" w:type="dxa"/>
            <w:tcBorders>
              <w:top w:val="single" w:sz="2" w:space="0" w:color="000000"/>
              <w:left w:val="single" w:sz="2" w:space="0" w:color="000000"/>
              <w:bottom w:val="single" w:sz="2" w:space="0" w:color="000000"/>
              <w:right w:val="nil"/>
            </w:tcBorders>
            <w:shd w:val="clear" w:color="000000" w:fill="auto"/>
          </w:tcPr>
          <w:p w14:paraId="5D8F53B6" w14:textId="72FFDA2B" w:rsidR="00B51828" w:rsidRPr="002635C4" w:rsidRDefault="001E6FF2"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11.05</w:t>
            </w:r>
            <w:r w:rsidR="00B51828">
              <w:rPr>
                <w:rFonts w:ascii="Arial Narrow" w:hAnsi="Arial Narrow" w:cs="Arial Narrow"/>
                <w:sz w:val="20"/>
                <w:szCs w:val="20"/>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5E8B4B73"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14.74%</w:t>
            </w:r>
          </w:p>
        </w:tc>
      </w:tr>
      <w:tr w:rsidR="00B51828" w:rsidRPr="002635C4" w14:paraId="13E64036"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76DDF5AD"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 xml:space="preserve">Proportion of cases which are ‘non-complex’ and </w:t>
            </w:r>
            <w:r w:rsidRPr="004A60EE">
              <w:rPr>
                <w:rFonts w:ascii="Arial Narrow" w:hAnsi="Arial Narrow" w:cs="Arial Narrow"/>
                <w:i/>
                <w:sz w:val="20"/>
                <w:szCs w:val="20"/>
                <w:lang w:val="en"/>
              </w:rPr>
              <w:t>Scenario 1</w:t>
            </w:r>
          </w:p>
        </w:tc>
        <w:tc>
          <w:tcPr>
            <w:tcW w:w="1701" w:type="dxa"/>
            <w:tcBorders>
              <w:top w:val="single" w:sz="2" w:space="0" w:color="000000"/>
              <w:left w:val="single" w:sz="2" w:space="0" w:color="000000"/>
              <w:bottom w:val="single" w:sz="2" w:space="0" w:color="000000"/>
              <w:right w:val="nil"/>
            </w:tcBorders>
            <w:shd w:val="clear" w:color="000000" w:fill="auto"/>
          </w:tcPr>
          <w:p w14:paraId="3C26D28D" w14:textId="421D0494" w:rsidR="00B51828" w:rsidRPr="002635C4" w:rsidRDefault="001E6FF2"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48.45</w:t>
            </w:r>
            <w:r w:rsidR="00B51828">
              <w:rPr>
                <w:rFonts w:ascii="Arial Narrow" w:hAnsi="Arial Narrow" w:cs="Arial Narrow"/>
                <w:sz w:val="20"/>
                <w:szCs w:val="20"/>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386849DC"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61.69%</w:t>
            </w:r>
          </w:p>
        </w:tc>
      </w:tr>
      <w:tr w:rsidR="00B51828" w:rsidRPr="002635C4" w14:paraId="430C75D5"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033A0F71"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 xml:space="preserve">Proportion of cases which are ‘complex’ and </w:t>
            </w:r>
            <w:r w:rsidRPr="004A60EE">
              <w:rPr>
                <w:rFonts w:ascii="Arial Narrow" w:hAnsi="Arial Narrow" w:cs="Arial Narrow"/>
                <w:i/>
                <w:sz w:val="20"/>
                <w:szCs w:val="20"/>
                <w:lang w:val="en"/>
              </w:rPr>
              <w:t>Scenario 2</w:t>
            </w:r>
          </w:p>
        </w:tc>
        <w:tc>
          <w:tcPr>
            <w:tcW w:w="1701" w:type="dxa"/>
            <w:tcBorders>
              <w:top w:val="single" w:sz="2" w:space="0" w:color="000000"/>
              <w:left w:val="single" w:sz="2" w:space="0" w:color="000000"/>
              <w:bottom w:val="single" w:sz="2" w:space="0" w:color="000000"/>
              <w:right w:val="nil"/>
            </w:tcBorders>
            <w:shd w:val="clear" w:color="000000" w:fill="auto"/>
          </w:tcPr>
          <w:p w14:paraId="656F21E3" w14:textId="2157C50D" w:rsidR="00B51828" w:rsidRPr="002635C4" w:rsidRDefault="00B51828" w:rsidP="001E6FF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7.</w:t>
            </w:r>
            <w:r w:rsidR="001E6FF2">
              <w:rPr>
                <w:rFonts w:ascii="Arial Narrow" w:hAnsi="Arial Narrow" w:cs="Arial Narrow"/>
                <w:sz w:val="20"/>
                <w:szCs w:val="20"/>
                <w:lang w:val="en"/>
              </w:rPr>
              <w:t>43</w:t>
            </w:r>
            <w:r>
              <w:rPr>
                <w:rFonts w:ascii="Arial Narrow" w:hAnsi="Arial Narrow" w:cs="Arial Narrow"/>
                <w:sz w:val="20"/>
                <w:szCs w:val="20"/>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7373F860"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4.32%</w:t>
            </w:r>
          </w:p>
        </w:tc>
      </w:tr>
      <w:tr w:rsidR="00B51828" w:rsidRPr="002635C4" w14:paraId="62DB4266"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50114911"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sidRPr="002635C4">
              <w:rPr>
                <w:rFonts w:ascii="Arial Narrow" w:hAnsi="Arial Narrow" w:cs="Arial Narrow"/>
                <w:sz w:val="20"/>
                <w:szCs w:val="20"/>
                <w:lang w:val="en"/>
              </w:rPr>
              <w:t>Proportion of cas</w:t>
            </w:r>
            <w:r>
              <w:rPr>
                <w:rFonts w:ascii="Arial Narrow" w:hAnsi="Arial Narrow" w:cs="Arial Narrow"/>
                <w:sz w:val="20"/>
                <w:szCs w:val="20"/>
                <w:lang w:val="en"/>
              </w:rPr>
              <w:t xml:space="preserve">es which are ‘non-complex’ and </w:t>
            </w:r>
            <w:r w:rsidRPr="004A60EE">
              <w:rPr>
                <w:rFonts w:ascii="Arial Narrow" w:hAnsi="Arial Narrow" w:cs="Arial Narrow"/>
                <w:i/>
                <w:sz w:val="20"/>
                <w:szCs w:val="20"/>
                <w:lang w:val="en"/>
              </w:rPr>
              <w:t>Scenario 2</w:t>
            </w:r>
          </w:p>
        </w:tc>
        <w:tc>
          <w:tcPr>
            <w:tcW w:w="1701" w:type="dxa"/>
            <w:tcBorders>
              <w:top w:val="single" w:sz="2" w:space="0" w:color="000000"/>
              <w:left w:val="single" w:sz="2" w:space="0" w:color="000000"/>
              <w:bottom w:val="single" w:sz="2" w:space="0" w:color="000000"/>
              <w:right w:val="nil"/>
            </w:tcBorders>
            <w:shd w:val="clear" w:color="000000" w:fill="auto"/>
          </w:tcPr>
          <w:p w14:paraId="422CDF1A" w14:textId="6FCEBE1A" w:rsidR="00B51828" w:rsidRPr="002635C4" w:rsidRDefault="00B51828" w:rsidP="001E6FF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33.</w:t>
            </w:r>
            <w:r w:rsidR="001E6FF2">
              <w:rPr>
                <w:rFonts w:ascii="Arial Narrow" w:hAnsi="Arial Narrow" w:cs="Arial Narrow"/>
                <w:sz w:val="20"/>
                <w:szCs w:val="20"/>
                <w:lang w:val="en"/>
              </w:rPr>
              <w:t>08</w:t>
            </w:r>
            <w:r>
              <w:rPr>
                <w:rFonts w:ascii="Arial Narrow" w:hAnsi="Arial Narrow" w:cs="Arial Narrow"/>
                <w:sz w:val="20"/>
                <w:szCs w:val="20"/>
                <w:lang w:val="en"/>
              </w:rPr>
              <w:t>%</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4E77BEB0"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19.25%</w:t>
            </w:r>
          </w:p>
        </w:tc>
      </w:tr>
      <w:tr w:rsidR="00B51828" w:rsidRPr="002635C4" w14:paraId="7859E313"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108F2271"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‘non-complex’</w:t>
            </w:r>
            <w:r w:rsidRPr="002635C4">
              <w:rPr>
                <w:rFonts w:ascii="Arial Narrow" w:hAnsi="Arial Narrow" w:cs="Arial Narrow"/>
                <w:sz w:val="20"/>
                <w:szCs w:val="20"/>
                <w:lang w:val="en"/>
              </w:rPr>
              <w:t xml:space="preserve"> cases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5E29054B"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11.57%</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66BCE995"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10.14%</w:t>
            </w:r>
          </w:p>
        </w:tc>
      </w:tr>
      <w:tr w:rsidR="00B51828" w:rsidRPr="002635C4" w14:paraId="1FE69D65"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2B6949F6"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‘non-complex’</w:t>
            </w:r>
            <w:r w:rsidRPr="002635C4">
              <w:rPr>
                <w:rFonts w:ascii="Arial Narrow" w:hAnsi="Arial Narrow" w:cs="Arial Narrow"/>
                <w:sz w:val="20"/>
                <w:szCs w:val="20"/>
                <w:lang w:val="en"/>
              </w:rPr>
              <w:t xml:space="preserve"> cases not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0147382A"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88.43%</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244255E9"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89.86%</w:t>
            </w:r>
          </w:p>
        </w:tc>
      </w:tr>
      <w:tr w:rsidR="00B51828" w:rsidRPr="002635C4" w14:paraId="7421D802"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6D30F12F"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‘complex’</w:t>
            </w:r>
            <w:r w:rsidRPr="002635C4">
              <w:rPr>
                <w:rFonts w:ascii="Arial Narrow" w:hAnsi="Arial Narrow" w:cs="Arial Narrow"/>
                <w:sz w:val="20"/>
                <w:szCs w:val="20"/>
                <w:lang w:val="en"/>
              </w:rPr>
              <w:t xml:space="preserve"> cases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09A19732"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32.14%</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1731FF75"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30.43%</w:t>
            </w:r>
          </w:p>
        </w:tc>
      </w:tr>
      <w:tr w:rsidR="00B51828" w:rsidRPr="002635C4" w14:paraId="7B6A8330" w14:textId="77777777" w:rsidTr="002101D2">
        <w:trPr>
          <w:trHeight w:val="1"/>
        </w:trPr>
        <w:tc>
          <w:tcPr>
            <w:tcW w:w="4961" w:type="dxa"/>
            <w:tcBorders>
              <w:top w:val="single" w:sz="2" w:space="0" w:color="000000"/>
              <w:left w:val="single" w:sz="2" w:space="0" w:color="000000"/>
              <w:bottom w:val="single" w:sz="2" w:space="0" w:color="000000"/>
              <w:right w:val="nil"/>
            </w:tcBorders>
            <w:shd w:val="clear" w:color="000000" w:fill="auto"/>
          </w:tcPr>
          <w:p w14:paraId="5168C0E2" w14:textId="77777777" w:rsidR="00B51828" w:rsidRPr="002635C4" w:rsidRDefault="00B51828" w:rsidP="002101D2">
            <w:pPr>
              <w:keepNext/>
              <w:widowControl w:val="0"/>
              <w:suppressAutoHyphens/>
              <w:autoSpaceDE w:val="0"/>
              <w:autoSpaceDN w:val="0"/>
              <w:adjustRightInd w:val="0"/>
              <w:spacing w:before="20" w:after="20"/>
              <w:ind w:left="108" w:right="48"/>
              <w:rPr>
                <w:rFonts w:ascii="Calibri" w:hAnsi="Calibri" w:cs="Calibri"/>
                <w:sz w:val="22"/>
                <w:lang w:val="en"/>
              </w:rPr>
            </w:pPr>
            <w:r>
              <w:rPr>
                <w:rFonts w:ascii="Arial Narrow" w:hAnsi="Arial Narrow" w:cs="Arial Narrow"/>
                <w:sz w:val="20"/>
                <w:szCs w:val="20"/>
                <w:lang w:val="en"/>
              </w:rPr>
              <w:t>Proportion of ‘complex’</w:t>
            </w:r>
            <w:r w:rsidRPr="002635C4">
              <w:rPr>
                <w:rFonts w:ascii="Arial Narrow" w:hAnsi="Arial Narrow" w:cs="Arial Narrow"/>
                <w:sz w:val="20"/>
                <w:szCs w:val="20"/>
                <w:lang w:val="en"/>
              </w:rPr>
              <w:t xml:space="preserve"> cases not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3ABC7731" w14:textId="77777777" w:rsidR="00B51828" w:rsidRPr="002635C4" w:rsidRDefault="00B51828" w:rsidP="002101D2">
            <w:pPr>
              <w:keepNext/>
              <w:widowControl w:val="0"/>
              <w:suppressAutoHyphens/>
              <w:autoSpaceDE w:val="0"/>
              <w:autoSpaceDN w:val="0"/>
              <w:adjustRightInd w:val="0"/>
              <w:spacing w:before="20" w:after="20"/>
              <w:ind w:left="120" w:right="60"/>
              <w:jc w:val="right"/>
              <w:rPr>
                <w:rFonts w:ascii="Calibri" w:hAnsi="Calibri" w:cs="Calibri"/>
                <w:sz w:val="22"/>
                <w:lang w:val="en"/>
              </w:rPr>
            </w:pPr>
            <w:r>
              <w:rPr>
                <w:rFonts w:ascii="Arial Narrow" w:hAnsi="Arial Narrow" w:cs="Arial Narrow"/>
                <w:sz w:val="20"/>
                <w:szCs w:val="20"/>
                <w:lang w:val="en"/>
              </w:rPr>
              <w:t>67.86%</w:t>
            </w:r>
          </w:p>
        </w:tc>
        <w:tc>
          <w:tcPr>
            <w:tcW w:w="1716" w:type="dxa"/>
            <w:tcBorders>
              <w:top w:val="single" w:sz="2" w:space="0" w:color="000000"/>
              <w:left w:val="single" w:sz="2" w:space="0" w:color="000000"/>
              <w:bottom w:val="single" w:sz="2" w:space="0" w:color="000000"/>
              <w:right w:val="single" w:sz="2" w:space="0" w:color="000000"/>
            </w:tcBorders>
            <w:shd w:val="clear" w:color="000000" w:fill="auto"/>
          </w:tcPr>
          <w:p w14:paraId="6B356B83" w14:textId="77777777" w:rsidR="00B51828" w:rsidRPr="002635C4"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Pr>
                <w:rFonts w:ascii="Arial Narrow" w:hAnsi="Arial Narrow" w:cs="Arial Narrow"/>
                <w:sz w:val="20"/>
                <w:szCs w:val="20"/>
                <w:lang w:val="en"/>
              </w:rPr>
              <w:t>69.57%</w:t>
            </w:r>
          </w:p>
        </w:tc>
      </w:tr>
    </w:tbl>
    <w:p w14:paraId="4037B95B" w14:textId="77777777" w:rsidR="00B51828" w:rsidRPr="00F8363F" w:rsidRDefault="00B51828" w:rsidP="002101D2">
      <w:pPr>
        <w:widowControl w:val="0"/>
        <w:suppressAutoHyphens/>
        <w:autoSpaceDE w:val="0"/>
        <w:autoSpaceDN w:val="0"/>
        <w:adjustRightInd w:val="0"/>
        <w:spacing w:line="100" w:lineRule="atLeast"/>
        <w:rPr>
          <w:rFonts w:ascii="Arial Narrow" w:hAnsi="Arial Narrow" w:cs="Arial Narrow"/>
          <w:sz w:val="18"/>
          <w:szCs w:val="18"/>
          <w:lang w:val="en"/>
        </w:rPr>
      </w:pPr>
      <w:r w:rsidRPr="00F8363F">
        <w:rPr>
          <w:rFonts w:ascii="Arial Narrow" w:hAnsi="Arial Narrow" w:cs="Arial Narrow"/>
          <w:sz w:val="18"/>
          <w:szCs w:val="18"/>
          <w:lang w:val="en"/>
        </w:rPr>
        <w:t>Source: Expert Opinion Survey (Appendix 5)</w:t>
      </w:r>
    </w:p>
    <w:p w14:paraId="34CEA7B5" w14:textId="77777777" w:rsidR="00B51828" w:rsidRDefault="00B51828" w:rsidP="00B51828">
      <w:pPr>
        <w:pStyle w:val="Heading2"/>
        <w:numPr>
          <w:ilvl w:val="1"/>
          <w:numId w:val="1"/>
        </w:numPr>
      </w:pPr>
      <w:bookmarkStart w:id="185" w:name="_Toc396211703"/>
      <w:r>
        <w:t>Relationship of each pre-modelling study to the economic evaluation</w:t>
      </w:r>
      <w:bookmarkEnd w:id="185"/>
    </w:p>
    <w:p w14:paraId="7704A7D0" w14:textId="77777777" w:rsidR="00B51828" w:rsidRPr="00906BC0" w:rsidRDefault="00B51828" w:rsidP="002101D2">
      <w:r>
        <w:rPr>
          <w:rFonts w:cs="Garamond"/>
          <w:szCs w:val="24"/>
          <w:lang w:val="en"/>
        </w:rPr>
        <w:t xml:space="preserve">The data presented in </w:t>
      </w:r>
      <w:r>
        <w:rPr>
          <w:rFonts w:cs="Garamond"/>
          <w:szCs w:val="24"/>
          <w:lang w:val="en"/>
        </w:rPr>
        <w:fldChar w:fldCharType="begin"/>
      </w:r>
      <w:r>
        <w:rPr>
          <w:rFonts w:cs="Garamond"/>
          <w:szCs w:val="24"/>
          <w:lang w:val="en"/>
        </w:rPr>
        <w:instrText xml:space="preserve"> REF _Ref393266798 \h </w:instrText>
      </w:r>
      <w:r>
        <w:rPr>
          <w:rFonts w:cs="Garamond"/>
          <w:szCs w:val="24"/>
          <w:lang w:val="en"/>
        </w:rPr>
      </w:r>
      <w:r>
        <w:rPr>
          <w:rFonts w:cs="Garamond"/>
          <w:szCs w:val="24"/>
          <w:lang w:val="en"/>
        </w:rPr>
        <w:fldChar w:fldCharType="separate"/>
      </w:r>
      <w:r w:rsidR="0044620B">
        <w:t xml:space="preserve">Table </w:t>
      </w:r>
      <w:r w:rsidR="0044620B">
        <w:rPr>
          <w:noProof/>
        </w:rPr>
        <w:t>C.4</w:t>
      </w:r>
      <w:r w:rsidR="0044620B">
        <w:noBreakHyphen/>
      </w:r>
      <w:r w:rsidR="0044620B">
        <w:rPr>
          <w:noProof/>
        </w:rPr>
        <w:t>1</w:t>
      </w:r>
      <w:r>
        <w:rPr>
          <w:rFonts w:cs="Garamond"/>
          <w:szCs w:val="24"/>
          <w:lang w:val="en"/>
        </w:rPr>
        <w:fldChar w:fldCharType="end"/>
      </w:r>
      <w:r>
        <w:rPr>
          <w:rFonts w:cs="Garamond"/>
          <w:szCs w:val="24"/>
          <w:lang w:val="en"/>
        </w:rPr>
        <w:t xml:space="preserve"> were applied to the economic evaluation, as described in </w:t>
      </w:r>
      <w:r>
        <w:rPr>
          <w:rFonts w:cs="Garamond"/>
          <w:szCs w:val="24"/>
          <w:lang w:val="en"/>
        </w:rPr>
        <w:fldChar w:fldCharType="begin"/>
      </w:r>
      <w:r>
        <w:rPr>
          <w:rFonts w:cs="Garamond"/>
          <w:szCs w:val="24"/>
          <w:lang w:val="en"/>
        </w:rPr>
        <w:instrText xml:space="preserve"> REF _Ref393266970 \w \h </w:instrText>
      </w:r>
      <w:r>
        <w:rPr>
          <w:rFonts w:cs="Garamond"/>
          <w:szCs w:val="24"/>
          <w:lang w:val="en"/>
        </w:rPr>
      </w:r>
      <w:r>
        <w:rPr>
          <w:rFonts w:cs="Garamond"/>
          <w:szCs w:val="24"/>
          <w:lang w:val="en"/>
        </w:rPr>
        <w:fldChar w:fldCharType="separate"/>
      </w:r>
      <w:r w:rsidR="0044620B">
        <w:rPr>
          <w:rFonts w:cs="Garamond"/>
          <w:szCs w:val="24"/>
          <w:lang w:val="en"/>
        </w:rPr>
        <w:t>Section D</w:t>
      </w:r>
      <w:r>
        <w:rPr>
          <w:rFonts w:cs="Garamond"/>
          <w:szCs w:val="24"/>
          <w:lang w:val="en"/>
        </w:rPr>
        <w:fldChar w:fldCharType="end"/>
      </w:r>
      <w:r>
        <w:rPr>
          <w:rFonts w:cs="Garamond"/>
          <w:szCs w:val="24"/>
          <w:lang w:val="en"/>
        </w:rPr>
        <w:t xml:space="preserve">. The tissue pathology data were applied to the base case analysis, while the cytopathology data were used to generate a sensitivity analysis (see Section </w:t>
      </w:r>
      <w:r>
        <w:rPr>
          <w:rFonts w:cs="Garamond"/>
          <w:szCs w:val="24"/>
          <w:lang w:val="en"/>
        </w:rPr>
        <w:fldChar w:fldCharType="begin"/>
      </w:r>
      <w:r>
        <w:rPr>
          <w:rFonts w:cs="Garamond"/>
          <w:szCs w:val="24"/>
          <w:lang w:val="en"/>
        </w:rPr>
        <w:instrText xml:space="preserve"> REF _Ref393267029 \w \h </w:instrText>
      </w:r>
      <w:r>
        <w:rPr>
          <w:rFonts w:cs="Garamond"/>
          <w:szCs w:val="24"/>
          <w:lang w:val="en"/>
        </w:rPr>
      </w:r>
      <w:r>
        <w:rPr>
          <w:rFonts w:cs="Garamond"/>
          <w:szCs w:val="24"/>
          <w:lang w:val="en"/>
        </w:rPr>
        <w:fldChar w:fldCharType="separate"/>
      </w:r>
      <w:r w:rsidR="0044620B">
        <w:rPr>
          <w:rFonts w:cs="Garamond"/>
          <w:szCs w:val="24"/>
          <w:lang w:val="en"/>
        </w:rPr>
        <w:t>D.5</w:t>
      </w:r>
      <w:r>
        <w:rPr>
          <w:rFonts w:cs="Garamond"/>
          <w:szCs w:val="24"/>
          <w:lang w:val="en"/>
        </w:rPr>
        <w:fldChar w:fldCharType="end"/>
      </w:r>
      <w:r>
        <w:rPr>
          <w:rFonts w:cs="Garamond"/>
          <w:szCs w:val="24"/>
          <w:lang w:val="en"/>
        </w:rPr>
        <w:t>). Additionally, a number of the tissue pathology data were modified in a series of sensitivity analyses to determine the impact they may have on the results generated.</w:t>
      </w:r>
    </w:p>
    <w:p w14:paraId="08A6C755" w14:textId="77777777" w:rsidR="00B51828" w:rsidRDefault="00B51828" w:rsidP="00B51828">
      <w:pPr>
        <w:pStyle w:val="Heading1"/>
        <w:numPr>
          <w:ilvl w:val="0"/>
          <w:numId w:val="1"/>
        </w:numPr>
      </w:pPr>
      <w:bookmarkStart w:id="186" w:name="_Ref393266970"/>
      <w:bookmarkStart w:id="187" w:name="_Ref393274178"/>
      <w:bookmarkStart w:id="188" w:name="_Ref393277602"/>
      <w:bookmarkStart w:id="189" w:name="_Toc396211704"/>
      <w:r w:rsidRPr="00F710E2">
        <w:lastRenderedPageBreak/>
        <w:t>Economic</w:t>
      </w:r>
      <w:r>
        <w:t xml:space="preserve"> evaluation for the main indication</w:t>
      </w:r>
      <w:bookmarkEnd w:id="186"/>
      <w:bookmarkEnd w:id="187"/>
      <w:bookmarkEnd w:id="188"/>
      <w:bookmarkEnd w:id="189"/>
    </w:p>
    <w:p w14:paraId="0139C998" w14:textId="77777777" w:rsidR="00B51828" w:rsidRDefault="00B51828" w:rsidP="00B51828">
      <w:pPr>
        <w:pStyle w:val="Heading2"/>
        <w:numPr>
          <w:ilvl w:val="1"/>
          <w:numId w:val="1"/>
        </w:numPr>
      </w:pPr>
      <w:bookmarkStart w:id="190" w:name="_Ref394999465"/>
      <w:bookmarkStart w:id="191" w:name="_Toc396211705"/>
      <w:r>
        <w:t>Overview of the economic evaluation</w:t>
      </w:r>
      <w:bookmarkEnd w:id="190"/>
      <w:bookmarkEnd w:id="191"/>
    </w:p>
    <w:p w14:paraId="20F78B29" w14:textId="02236A2C"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The Assessment Report presents an economic evaluation in the form of a Decision Analytic model. This model, discussed in greater detail below, is based upon the Decision Analytic structure presented in the revised Final Protocol. It enables the cost-effectiveness of MBS</w:t>
      </w:r>
      <w:r w:rsidR="00DB23AB">
        <w:rPr>
          <w:rFonts w:cs="Garamond"/>
          <w:szCs w:val="24"/>
          <w:lang w:val="en"/>
        </w:rPr>
        <w:t xml:space="preserve"> </w:t>
      </w:r>
      <w:r>
        <w:rPr>
          <w:rFonts w:cs="Garamond"/>
          <w:szCs w:val="24"/>
          <w:lang w:val="en"/>
        </w:rPr>
        <w:t>funding for a second, expert opinion on pathology items to be formally assessed.</w:t>
      </w:r>
    </w:p>
    <w:p w14:paraId="53A26D8D"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 xml:space="preserve">On the health outcomes side, the economic evaluation is based on data sourced from the studies presented in </w:t>
      </w:r>
      <w:r>
        <w:rPr>
          <w:rFonts w:cs="Garamond"/>
          <w:szCs w:val="24"/>
          <w:lang w:val="en"/>
        </w:rPr>
        <w:fldChar w:fldCharType="begin"/>
      </w:r>
      <w:r>
        <w:rPr>
          <w:rFonts w:cs="Garamond"/>
          <w:szCs w:val="24"/>
          <w:lang w:val="en"/>
        </w:rPr>
        <w:instrText xml:space="preserve"> REF _Ref395167544 \r \h </w:instrText>
      </w:r>
      <w:r>
        <w:rPr>
          <w:rFonts w:cs="Garamond"/>
          <w:szCs w:val="24"/>
          <w:lang w:val="en"/>
        </w:rPr>
      </w:r>
      <w:r>
        <w:rPr>
          <w:rFonts w:cs="Garamond"/>
          <w:szCs w:val="24"/>
          <w:lang w:val="en"/>
        </w:rPr>
        <w:fldChar w:fldCharType="separate"/>
      </w:r>
      <w:r w:rsidR="0044620B">
        <w:rPr>
          <w:rFonts w:cs="Garamond"/>
          <w:szCs w:val="24"/>
          <w:lang w:val="en"/>
        </w:rPr>
        <w:t>Section B</w:t>
      </w:r>
      <w:r>
        <w:rPr>
          <w:rFonts w:cs="Garamond"/>
          <w:szCs w:val="24"/>
          <w:lang w:val="en"/>
        </w:rPr>
        <w:fldChar w:fldCharType="end"/>
      </w:r>
      <w:r>
        <w:rPr>
          <w:rFonts w:cs="Garamond"/>
          <w:szCs w:val="24"/>
          <w:lang w:val="en"/>
        </w:rPr>
        <w:t>. Though the selected studies are mostly retrospective reviews, they nonetheless represent the best available data to capture the health outcome of interest.</w:t>
      </w:r>
    </w:p>
    <w:p w14:paraId="19518E68"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 xml:space="preserve">There are a number of differences between the economic evaluation presented here and the Decision Analytic suggested in the revised Final Protocol.  The general difference being that the structure presented in this Assessment Report is simplified due to limitations in the evidence base. </w:t>
      </w:r>
    </w:p>
    <w:p w14:paraId="68D0F535" w14:textId="31D647F2"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The most notable simplification of the structure is that there is no explicit consideration of either improved or inferior treatment outcomes. Instead, on the basis of available data, the economic evaluation estimates the incremental cost per significant (clinically</w:t>
      </w:r>
      <w:r w:rsidR="0053670C">
        <w:rPr>
          <w:rFonts w:cs="Garamond"/>
          <w:szCs w:val="24"/>
          <w:lang w:val="en"/>
        </w:rPr>
        <w:t xml:space="preserve"> </w:t>
      </w:r>
      <w:r>
        <w:rPr>
          <w:rFonts w:cs="Garamond"/>
          <w:szCs w:val="24"/>
          <w:lang w:val="en"/>
        </w:rPr>
        <w:t>relevant) change in diagnosis or interpretation. As such, a distinction between improved and inferior outcomes is not required. The focus is, instead, on the attainment of a definitive diagnosis.</w:t>
      </w:r>
    </w:p>
    <w:p w14:paraId="335BF2C2"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As a consequence of this, the economic evaluation does not extrapolate to final health outcomes, as was suggested by the revised Final Protocol. This is discussed in greater detail below.</w:t>
      </w:r>
    </w:p>
    <w:p w14:paraId="697CC3A8" w14:textId="77777777" w:rsidR="00B51828" w:rsidRDefault="00B51828" w:rsidP="002101D2">
      <w:pPr>
        <w:widowControl w:val="0"/>
        <w:suppressAutoHyphens/>
        <w:autoSpaceDE w:val="0"/>
        <w:autoSpaceDN w:val="0"/>
        <w:adjustRightInd w:val="0"/>
        <w:spacing w:after="120" w:line="100" w:lineRule="atLeast"/>
        <w:rPr>
          <w:rFonts w:cs="Garamond"/>
          <w:szCs w:val="24"/>
          <w:lang w:val="en"/>
        </w:rPr>
      </w:pPr>
      <w:r>
        <w:rPr>
          <w:rFonts w:cs="Garamond"/>
          <w:szCs w:val="24"/>
          <w:lang w:val="en"/>
        </w:rPr>
        <w:t>Other notable differences between that the economic evaluation presented in this Assessment Report and that suggested by the revised Final Protocol include:</w:t>
      </w:r>
    </w:p>
    <w:p w14:paraId="726AF34C" w14:textId="77777777" w:rsidR="00B51828" w:rsidRPr="00E731FA" w:rsidRDefault="00B51828" w:rsidP="00B51828">
      <w:pPr>
        <w:pStyle w:val="ListParagraph"/>
        <w:widowControl w:val="0"/>
        <w:numPr>
          <w:ilvl w:val="0"/>
          <w:numId w:val="59"/>
        </w:numPr>
        <w:suppressAutoHyphens/>
        <w:autoSpaceDE w:val="0"/>
        <w:autoSpaceDN w:val="0"/>
        <w:adjustRightInd w:val="0"/>
        <w:spacing w:line="100" w:lineRule="atLeast"/>
        <w:rPr>
          <w:rFonts w:cs="Garamond"/>
          <w:szCs w:val="24"/>
          <w:lang w:val="en"/>
        </w:rPr>
      </w:pPr>
      <w:r w:rsidRPr="00E731FA">
        <w:rPr>
          <w:rFonts w:cs="Garamond"/>
          <w:i/>
          <w:iCs/>
          <w:szCs w:val="24"/>
          <w:lang w:val="en"/>
        </w:rPr>
        <w:t>Explicit consideration of individual pathology types</w:t>
      </w:r>
      <w:r w:rsidRPr="00E731FA">
        <w:rPr>
          <w:rFonts w:cs="Garamond"/>
          <w:szCs w:val="24"/>
          <w:lang w:val="en"/>
        </w:rPr>
        <w:t>. That is, the incremental cost-effectiveness of tissue pathology and cytopathology are considered independently, with tissue pathology forming the base case analysis.</w:t>
      </w:r>
    </w:p>
    <w:p w14:paraId="0C04A0B3" w14:textId="77777777" w:rsidR="00B51828" w:rsidRPr="00E731FA" w:rsidRDefault="00B51828" w:rsidP="00B51828">
      <w:pPr>
        <w:pStyle w:val="ListParagraph"/>
        <w:widowControl w:val="0"/>
        <w:numPr>
          <w:ilvl w:val="0"/>
          <w:numId w:val="59"/>
        </w:numPr>
        <w:suppressAutoHyphens/>
        <w:autoSpaceDE w:val="0"/>
        <w:autoSpaceDN w:val="0"/>
        <w:adjustRightInd w:val="0"/>
        <w:spacing w:line="100" w:lineRule="atLeast"/>
        <w:rPr>
          <w:rFonts w:cs="Garamond"/>
          <w:szCs w:val="24"/>
          <w:lang w:val="en"/>
        </w:rPr>
      </w:pPr>
      <w:r w:rsidRPr="00E731FA">
        <w:rPr>
          <w:rFonts w:cs="Garamond"/>
          <w:i/>
          <w:iCs/>
          <w:szCs w:val="24"/>
          <w:lang w:val="en"/>
        </w:rPr>
        <w:t>Explicit consideration of the overall cost-effectiveness of the requested listings and that of subgroups for which data are available</w:t>
      </w:r>
      <w:r w:rsidRPr="00E731FA">
        <w:rPr>
          <w:rFonts w:cs="Garamond"/>
          <w:szCs w:val="24"/>
          <w:lang w:val="en"/>
        </w:rPr>
        <w:t>. This is consistent with the recommendations of the revised Final Protocol.</w:t>
      </w:r>
    </w:p>
    <w:p w14:paraId="2895B0B2"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The absence of any extrapolation to final health outcomes limits both the need and the value of a stepped economic evaluation. On this basis, a stepped evaluation was not undertaken.</w:t>
      </w:r>
    </w:p>
    <w:p w14:paraId="11A862F3" w14:textId="77777777" w:rsidR="00B51828" w:rsidRPr="00414562" w:rsidRDefault="00B51828" w:rsidP="002101D2"/>
    <w:p w14:paraId="03E8C64B" w14:textId="77777777" w:rsidR="00B51828" w:rsidRDefault="00B51828" w:rsidP="00B51828">
      <w:pPr>
        <w:pStyle w:val="Heading2"/>
        <w:numPr>
          <w:ilvl w:val="1"/>
          <w:numId w:val="1"/>
        </w:numPr>
      </w:pPr>
      <w:bookmarkStart w:id="192" w:name="_Toc396211706"/>
      <w:r>
        <w:lastRenderedPageBreak/>
        <w:t>Structure and rationale of the economic evaluation</w:t>
      </w:r>
      <w:bookmarkEnd w:id="192"/>
    </w:p>
    <w:p w14:paraId="140BDFB3" w14:textId="77777777" w:rsidR="00B51828" w:rsidRDefault="00B51828" w:rsidP="002101D2">
      <w:pPr>
        <w:rPr>
          <w:rFonts w:cs="Garamond"/>
          <w:szCs w:val="24"/>
          <w:lang w:val="en"/>
        </w:rPr>
      </w:pPr>
      <w:r>
        <w:rPr>
          <w:rFonts w:cs="Garamond"/>
          <w:szCs w:val="24"/>
          <w:lang w:val="en"/>
        </w:rPr>
        <w:t>The structure and rationale of the economic evaluation are presented in detail below. This includes discussion of the literature review used to inform the economic evaluation, as well as a comprehensive discussion of the differences between the present structure and that proposed by the revised Final Protocol.</w:t>
      </w:r>
    </w:p>
    <w:p w14:paraId="26918F33" w14:textId="77777777" w:rsidR="00B51828" w:rsidRDefault="00B51828" w:rsidP="00B51828">
      <w:pPr>
        <w:pStyle w:val="Heading3"/>
        <w:numPr>
          <w:ilvl w:val="2"/>
          <w:numId w:val="1"/>
        </w:numPr>
      </w:pPr>
      <w:bookmarkStart w:id="193" w:name="_Ref393702884"/>
      <w:r>
        <w:t>Economic evaluation literature review</w:t>
      </w:r>
      <w:bookmarkEnd w:id="193"/>
    </w:p>
    <w:p w14:paraId="392F61B5"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sidRPr="002635C4">
        <w:rPr>
          <w:rFonts w:cs="Garamond"/>
          <w:szCs w:val="24"/>
          <w:lang w:val="en"/>
        </w:rPr>
        <w:t xml:space="preserve">The literature search for clinical evidence </w:t>
      </w:r>
      <w:r>
        <w:rPr>
          <w:rFonts w:cs="Garamond"/>
          <w:szCs w:val="24"/>
          <w:lang w:val="en"/>
        </w:rPr>
        <w:t xml:space="preserve">(see Section B.1) </w:t>
      </w:r>
      <w:r w:rsidRPr="002635C4">
        <w:rPr>
          <w:rFonts w:cs="Garamond"/>
          <w:szCs w:val="24"/>
          <w:lang w:val="en"/>
        </w:rPr>
        <w:t xml:space="preserve">was </w:t>
      </w:r>
      <w:r>
        <w:rPr>
          <w:rFonts w:cs="Garamond"/>
          <w:szCs w:val="24"/>
          <w:lang w:val="en"/>
        </w:rPr>
        <w:t xml:space="preserve">intentionally broad so that economic studies relating to second, expert opinion would also be captured within the citations identified. </w:t>
      </w:r>
      <w:r w:rsidRPr="002635C4">
        <w:rPr>
          <w:rFonts w:cs="Garamond"/>
          <w:szCs w:val="24"/>
          <w:lang w:val="en"/>
        </w:rPr>
        <w:t xml:space="preserve">The search </w:t>
      </w:r>
      <w:r>
        <w:rPr>
          <w:rFonts w:cs="Garamond"/>
          <w:szCs w:val="24"/>
          <w:lang w:val="en"/>
        </w:rPr>
        <w:t xml:space="preserve">of EMBASE and Medline </w:t>
      </w:r>
      <w:r w:rsidRPr="002635C4">
        <w:rPr>
          <w:rFonts w:cs="Garamond"/>
          <w:szCs w:val="24"/>
          <w:lang w:val="en"/>
        </w:rPr>
        <w:t>identified 4,181 citations in total</w:t>
      </w:r>
      <w:r>
        <w:rPr>
          <w:rFonts w:cs="Garamond"/>
          <w:szCs w:val="24"/>
          <w:lang w:val="en"/>
        </w:rPr>
        <w:t xml:space="preserve"> and the search of the Cochrane Library identified 141 citations</w:t>
      </w:r>
      <w:r w:rsidRPr="002635C4">
        <w:rPr>
          <w:rFonts w:cs="Garamond"/>
          <w:szCs w:val="24"/>
          <w:lang w:val="en"/>
        </w:rPr>
        <w:t xml:space="preserve">. </w:t>
      </w:r>
      <w:r>
        <w:rPr>
          <w:rFonts w:cs="Garamond"/>
          <w:szCs w:val="24"/>
          <w:lang w:val="en"/>
        </w:rPr>
        <w:t>A</w:t>
      </w:r>
      <w:r w:rsidRPr="002635C4">
        <w:rPr>
          <w:rFonts w:cs="Garamond"/>
          <w:szCs w:val="24"/>
          <w:lang w:val="en"/>
        </w:rPr>
        <w:t xml:space="preserve"> search was </w:t>
      </w:r>
      <w:r>
        <w:rPr>
          <w:rFonts w:cs="Garamond"/>
          <w:szCs w:val="24"/>
          <w:lang w:val="en"/>
        </w:rPr>
        <w:t xml:space="preserve">then </w:t>
      </w:r>
      <w:r w:rsidRPr="002635C4">
        <w:rPr>
          <w:rFonts w:cs="Garamond"/>
          <w:szCs w:val="24"/>
          <w:lang w:val="en"/>
        </w:rPr>
        <w:t xml:space="preserve">conducted </w:t>
      </w:r>
      <w:r>
        <w:rPr>
          <w:rFonts w:cs="Garamond"/>
          <w:szCs w:val="24"/>
          <w:lang w:val="en"/>
        </w:rPr>
        <w:t>within the EndNote libraries into which the citations were downloaded, using</w:t>
      </w:r>
      <w:r w:rsidRPr="002635C4">
        <w:rPr>
          <w:rFonts w:cs="Garamond"/>
          <w:szCs w:val="24"/>
          <w:lang w:val="en"/>
        </w:rPr>
        <w:t xml:space="preserve"> </w:t>
      </w:r>
      <w:r>
        <w:rPr>
          <w:rFonts w:cs="Garamond"/>
          <w:szCs w:val="24"/>
          <w:lang w:val="en"/>
        </w:rPr>
        <w:t>the broad economic</w:t>
      </w:r>
      <w:r w:rsidRPr="002635C4">
        <w:rPr>
          <w:rFonts w:cs="Garamond"/>
          <w:szCs w:val="24"/>
          <w:lang w:val="en"/>
        </w:rPr>
        <w:t xml:space="preserve"> terms</w:t>
      </w:r>
      <w:r>
        <w:rPr>
          <w:rFonts w:cs="Garamond"/>
          <w:szCs w:val="24"/>
          <w:lang w:val="en"/>
        </w:rPr>
        <w:t xml:space="preserve"> </w:t>
      </w:r>
      <w:r w:rsidRPr="002635C4">
        <w:rPr>
          <w:rFonts w:cs="Garamond"/>
          <w:szCs w:val="24"/>
          <w:lang w:val="en"/>
        </w:rPr>
        <w:t>‘cost’, ‘price’, ‘economic’, ‘utility’ and ‘utilities’</w:t>
      </w:r>
      <w:r>
        <w:rPr>
          <w:rFonts w:cs="Garamond"/>
          <w:szCs w:val="24"/>
          <w:lang w:val="en"/>
        </w:rPr>
        <w:t xml:space="preserve"> (within any field).</w:t>
      </w:r>
      <w:r w:rsidRPr="002635C4">
        <w:rPr>
          <w:rFonts w:cs="Garamond"/>
          <w:szCs w:val="24"/>
          <w:lang w:val="en"/>
        </w:rPr>
        <w:t xml:space="preserve"> </w:t>
      </w:r>
      <w:r>
        <w:rPr>
          <w:rFonts w:cs="Garamond"/>
          <w:szCs w:val="24"/>
          <w:lang w:val="en"/>
        </w:rPr>
        <w:t>The search identified</w:t>
      </w:r>
      <w:r w:rsidRPr="002635C4">
        <w:rPr>
          <w:rFonts w:cs="Garamond"/>
          <w:szCs w:val="24"/>
          <w:lang w:val="en"/>
        </w:rPr>
        <w:t xml:space="preserve"> 641 </w:t>
      </w:r>
      <w:r>
        <w:rPr>
          <w:rFonts w:cs="Garamond"/>
          <w:szCs w:val="24"/>
          <w:lang w:val="en"/>
        </w:rPr>
        <w:t xml:space="preserve">potentially relevant </w:t>
      </w:r>
      <w:r w:rsidRPr="002635C4">
        <w:rPr>
          <w:rFonts w:cs="Garamond"/>
          <w:szCs w:val="24"/>
          <w:lang w:val="en"/>
        </w:rPr>
        <w:t>citations</w:t>
      </w:r>
      <w:r>
        <w:rPr>
          <w:rFonts w:cs="Garamond"/>
          <w:szCs w:val="24"/>
          <w:lang w:val="en"/>
        </w:rPr>
        <w:t xml:space="preserve"> from EMBASE and Medline and 83 potentially relevant citations from the Cochrane Library</w:t>
      </w:r>
      <w:r w:rsidRPr="002635C4">
        <w:rPr>
          <w:rFonts w:cs="Garamond"/>
          <w:szCs w:val="24"/>
          <w:lang w:val="en"/>
        </w:rPr>
        <w:t>. Th</w:t>
      </w:r>
      <w:r>
        <w:rPr>
          <w:rFonts w:cs="Garamond"/>
          <w:szCs w:val="24"/>
          <w:lang w:val="en"/>
        </w:rPr>
        <w:t>e</w:t>
      </w:r>
      <w:r w:rsidRPr="002635C4">
        <w:rPr>
          <w:rFonts w:cs="Garamond"/>
          <w:szCs w:val="24"/>
          <w:lang w:val="en"/>
        </w:rPr>
        <w:t xml:space="preserve"> </w:t>
      </w:r>
      <w:r>
        <w:rPr>
          <w:rFonts w:cs="Garamond"/>
          <w:szCs w:val="24"/>
          <w:lang w:val="en"/>
        </w:rPr>
        <w:t>724</w:t>
      </w:r>
      <w:r w:rsidRPr="002635C4">
        <w:rPr>
          <w:rFonts w:cs="Garamond"/>
          <w:szCs w:val="24"/>
          <w:lang w:val="en"/>
        </w:rPr>
        <w:t xml:space="preserve"> titles and abstracts were screened and 25 publications were obtained in full text. </w:t>
      </w:r>
    </w:p>
    <w:p w14:paraId="69C42FD9"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sidRPr="002635C4">
        <w:rPr>
          <w:rFonts w:cs="Garamond"/>
          <w:szCs w:val="24"/>
          <w:lang w:val="en"/>
        </w:rPr>
        <w:t xml:space="preserve">Of the full text publications retrieved, there were </w:t>
      </w:r>
      <w:r>
        <w:rPr>
          <w:rFonts w:cs="Garamond"/>
          <w:szCs w:val="24"/>
          <w:lang w:val="en"/>
        </w:rPr>
        <w:t>seven</w:t>
      </w:r>
      <w:r w:rsidRPr="002635C4">
        <w:rPr>
          <w:rFonts w:cs="Garamond"/>
          <w:szCs w:val="24"/>
          <w:lang w:val="en"/>
        </w:rPr>
        <w:t xml:space="preserve"> studies that provided i</w:t>
      </w:r>
      <w:r>
        <w:rPr>
          <w:rFonts w:cs="Garamond"/>
          <w:szCs w:val="24"/>
          <w:lang w:val="en"/>
        </w:rPr>
        <w:t xml:space="preserve">nformation relevant to </w:t>
      </w:r>
      <w:r>
        <w:rPr>
          <w:rFonts w:cs="Garamond"/>
          <w:szCs w:val="24"/>
          <w:lang w:val="en"/>
        </w:rPr>
        <w:fldChar w:fldCharType="begin"/>
      </w:r>
      <w:r>
        <w:rPr>
          <w:rFonts w:cs="Garamond"/>
          <w:szCs w:val="24"/>
          <w:lang w:val="en"/>
        </w:rPr>
        <w:instrText xml:space="preserve"> REF _Ref393277602 \w \h </w:instrText>
      </w:r>
      <w:r>
        <w:rPr>
          <w:rFonts w:cs="Garamond"/>
          <w:szCs w:val="24"/>
          <w:lang w:val="en"/>
        </w:rPr>
      </w:r>
      <w:r>
        <w:rPr>
          <w:rFonts w:cs="Garamond"/>
          <w:szCs w:val="24"/>
          <w:lang w:val="en"/>
        </w:rPr>
        <w:fldChar w:fldCharType="separate"/>
      </w:r>
      <w:r w:rsidR="0044620B">
        <w:rPr>
          <w:rFonts w:cs="Garamond"/>
          <w:szCs w:val="24"/>
          <w:lang w:val="en"/>
        </w:rPr>
        <w:t>Section D</w:t>
      </w:r>
      <w:r>
        <w:rPr>
          <w:rFonts w:cs="Garamond"/>
          <w:szCs w:val="24"/>
          <w:lang w:val="en"/>
        </w:rPr>
        <w:fldChar w:fldCharType="end"/>
      </w:r>
      <w:r>
        <w:rPr>
          <w:rFonts w:cs="Garamond"/>
          <w:szCs w:val="24"/>
          <w:lang w:val="en"/>
        </w:rPr>
        <w:t>, and another two studies that were identified through the reference lists of included studies</w:t>
      </w:r>
      <w:r w:rsidRPr="002635C4">
        <w:rPr>
          <w:rFonts w:cs="Garamond"/>
          <w:szCs w:val="24"/>
          <w:lang w:val="en"/>
        </w:rPr>
        <w:t>. However, all nine studies reported on ‘routine’ review of pathology cases, and thus are not directly relevant to the assessment</w:t>
      </w:r>
      <w:r>
        <w:rPr>
          <w:rFonts w:cs="Garamond"/>
          <w:szCs w:val="24"/>
          <w:lang w:val="en"/>
        </w:rPr>
        <w:t xml:space="preserve">. Furthermore, none of the studies were conducted in Australia – eight were from the United States and one was from Hong Kong. </w:t>
      </w:r>
      <w:r>
        <w:rPr>
          <w:rFonts w:cs="Garamond"/>
          <w:szCs w:val="24"/>
          <w:lang w:val="en"/>
        </w:rPr>
        <w:fldChar w:fldCharType="begin"/>
      </w:r>
      <w:r>
        <w:rPr>
          <w:rFonts w:cs="Garamond"/>
          <w:szCs w:val="24"/>
          <w:lang w:val="en"/>
        </w:rPr>
        <w:instrText xml:space="preserve"> REF _Ref395093694 \r \h </w:instrText>
      </w:r>
      <w:r>
        <w:rPr>
          <w:rFonts w:cs="Garamond"/>
          <w:szCs w:val="24"/>
          <w:lang w:val="en"/>
        </w:rPr>
      </w:r>
      <w:r>
        <w:rPr>
          <w:rFonts w:cs="Garamond"/>
          <w:szCs w:val="24"/>
          <w:lang w:val="en"/>
        </w:rPr>
        <w:fldChar w:fldCharType="separate"/>
      </w:r>
      <w:r w:rsidR="0044620B">
        <w:rPr>
          <w:rFonts w:cs="Garamond"/>
          <w:szCs w:val="24"/>
          <w:lang w:val="en"/>
        </w:rPr>
        <w:t>Appendix 6</w:t>
      </w:r>
      <w:r>
        <w:rPr>
          <w:rFonts w:cs="Garamond"/>
          <w:szCs w:val="24"/>
          <w:lang w:val="en"/>
        </w:rPr>
        <w:fldChar w:fldCharType="end"/>
      </w:r>
      <w:r>
        <w:rPr>
          <w:rFonts w:cs="Garamond"/>
          <w:szCs w:val="24"/>
          <w:lang w:val="en"/>
        </w:rPr>
        <w:t xml:space="preserve"> presents a brief summary of the study characteristics and economic findings</w:t>
      </w:r>
      <w:r w:rsidRPr="002635C4">
        <w:rPr>
          <w:rFonts w:cs="Garamond"/>
          <w:szCs w:val="24"/>
          <w:lang w:val="en"/>
        </w:rPr>
        <w:t>.</w:t>
      </w:r>
      <w:r>
        <w:rPr>
          <w:rFonts w:cs="Garamond"/>
          <w:szCs w:val="24"/>
          <w:lang w:val="en"/>
        </w:rPr>
        <w:t xml:space="preserve"> </w:t>
      </w:r>
    </w:p>
    <w:p w14:paraId="266C8288" w14:textId="77777777" w:rsidR="00B51828" w:rsidRDefault="00B51828" w:rsidP="00B51828">
      <w:pPr>
        <w:pStyle w:val="Heading3"/>
        <w:numPr>
          <w:ilvl w:val="2"/>
          <w:numId w:val="1"/>
        </w:numPr>
        <w:rPr>
          <w:lang w:val="en"/>
        </w:rPr>
      </w:pPr>
      <w:bookmarkStart w:id="194" w:name="_Ref395087861"/>
      <w:r>
        <w:rPr>
          <w:lang w:val="en"/>
        </w:rPr>
        <w:t>Structure of the economic evaluation</w:t>
      </w:r>
      <w:bookmarkEnd w:id="194"/>
    </w:p>
    <w:p w14:paraId="2BD8680F"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The economic evaluation is based on the structure proposed by the revised Final Protocol, although a number of important differences are present. Where these differences exist, they are described in detail below.</w:t>
      </w:r>
    </w:p>
    <w:p w14:paraId="281CDA52"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The model commences once a patient has an initial pathology opinion. Cases in which no diagnosis is offered by the initial pathologist are excluded from the model. As no data are available to inform how such patients may be managed, or how clinical management may change in the event of a second, expert opinion, their exclusion is reasonable. Further, as there is no reason to expect that the proportion of such cases would vary between the arms of the model, there is no reason to expect inclusion of such cases would impact on the cost-effectiveness results.</w:t>
      </w:r>
    </w:p>
    <w:p w14:paraId="75F05194"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Following this, probabilities are applied to the model to reflect whether cases requiring a second, expert opinion are either at the behest of a recommendation from the initial pathologist (</w:t>
      </w:r>
      <w:r w:rsidRPr="004A60EE">
        <w:rPr>
          <w:rFonts w:cs="Garamond"/>
          <w:i/>
          <w:szCs w:val="24"/>
          <w:lang w:val="en"/>
        </w:rPr>
        <w:t>Scenario 1</w:t>
      </w:r>
      <w:r>
        <w:rPr>
          <w:rFonts w:cs="Garamond"/>
          <w:szCs w:val="24"/>
          <w:lang w:val="en"/>
        </w:rPr>
        <w:t>) or due to further need for clarification from the clinician managing the patient (</w:t>
      </w:r>
      <w:r w:rsidRPr="004A60EE">
        <w:rPr>
          <w:rFonts w:cs="Garamond"/>
          <w:i/>
          <w:szCs w:val="24"/>
          <w:lang w:val="en"/>
        </w:rPr>
        <w:t>Scenario 2</w:t>
      </w:r>
      <w:r>
        <w:rPr>
          <w:rFonts w:cs="Garamond"/>
          <w:szCs w:val="24"/>
          <w:lang w:val="en"/>
        </w:rPr>
        <w:t xml:space="preserve">). By applying probabilities (derived in </w:t>
      </w:r>
      <w:r>
        <w:rPr>
          <w:rFonts w:cs="Garamond"/>
          <w:szCs w:val="24"/>
          <w:lang w:val="en"/>
        </w:rPr>
        <w:fldChar w:fldCharType="begin"/>
      </w:r>
      <w:r>
        <w:rPr>
          <w:rFonts w:cs="Garamond"/>
          <w:szCs w:val="24"/>
          <w:lang w:val="en"/>
        </w:rPr>
        <w:instrText xml:space="preserve"> REF _Ref393277750 \w \h </w:instrText>
      </w:r>
      <w:r>
        <w:rPr>
          <w:rFonts w:cs="Garamond"/>
          <w:szCs w:val="24"/>
          <w:lang w:val="en"/>
        </w:rPr>
      </w:r>
      <w:r>
        <w:rPr>
          <w:rFonts w:cs="Garamond"/>
          <w:szCs w:val="24"/>
          <w:lang w:val="en"/>
        </w:rPr>
        <w:fldChar w:fldCharType="separate"/>
      </w:r>
      <w:r w:rsidR="0044620B">
        <w:rPr>
          <w:rFonts w:cs="Garamond"/>
          <w:szCs w:val="24"/>
          <w:lang w:val="en"/>
        </w:rPr>
        <w:t>Section C</w:t>
      </w:r>
      <w:r>
        <w:rPr>
          <w:rFonts w:cs="Garamond"/>
          <w:szCs w:val="24"/>
          <w:lang w:val="en"/>
        </w:rPr>
        <w:fldChar w:fldCharType="end"/>
      </w:r>
      <w:r>
        <w:rPr>
          <w:rFonts w:cs="Garamond"/>
          <w:szCs w:val="24"/>
          <w:lang w:val="en"/>
        </w:rPr>
        <w:t xml:space="preserve">), the model considers </w:t>
      </w:r>
      <w:r w:rsidRPr="004A60EE">
        <w:rPr>
          <w:rFonts w:cs="Garamond"/>
          <w:i/>
          <w:szCs w:val="24"/>
          <w:lang w:val="en"/>
        </w:rPr>
        <w:t>Scenario 1</w:t>
      </w:r>
      <w:r>
        <w:rPr>
          <w:rFonts w:cs="Garamond"/>
          <w:szCs w:val="24"/>
          <w:lang w:val="en"/>
        </w:rPr>
        <w:t xml:space="preserve"> and </w:t>
      </w:r>
      <w:r w:rsidRPr="004A60EE">
        <w:rPr>
          <w:rFonts w:cs="Garamond"/>
          <w:i/>
          <w:szCs w:val="24"/>
          <w:lang w:val="en"/>
        </w:rPr>
        <w:t>Scenario 2</w:t>
      </w:r>
      <w:r>
        <w:rPr>
          <w:rFonts w:cs="Garamond"/>
          <w:szCs w:val="24"/>
          <w:lang w:val="en"/>
        </w:rPr>
        <w:t xml:space="preserve"> simultaneously. The model allows for different rates of second, expert opinion to be considered in the arm representing the current funding arrangements and in the arm representing the proposed funding arrangements. Since it is </w:t>
      </w:r>
      <w:r w:rsidRPr="000B01BB">
        <w:rPr>
          <w:rFonts w:cs="Garamond"/>
          <w:szCs w:val="24"/>
          <w:lang w:val="en"/>
        </w:rPr>
        <w:t>expected that the rate of second, expert opinion sought would increase with MBS funding (</w:t>
      </w:r>
      <w:r>
        <w:rPr>
          <w:rFonts w:cs="Garamond"/>
          <w:szCs w:val="24"/>
          <w:lang w:val="en"/>
        </w:rPr>
        <w:t xml:space="preserve">Expert Opinion Survey, </w:t>
      </w:r>
      <w:r w:rsidRPr="000B01BB">
        <w:rPr>
          <w:rFonts w:cs="Garamond"/>
          <w:szCs w:val="24"/>
          <w:lang w:val="en"/>
        </w:rPr>
        <w:t>Appendix 5), this distinction is crucial. The model does not consider the funding mechanism of second</w:t>
      </w:r>
      <w:r>
        <w:rPr>
          <w:rFonts w:cs="Garamond"/>
          <w:szCs w:val="24"/>
          <w:lang w:val="en"/>
        </w:rPr>
        <w:t>, expert opinions sought under the current arrangement. That is, the model does not consider whether second opinions are sought ex gratis or via alternative funding methods.</w:t>
      </w:r>
    </w:p>
    <w:p w14:paraId="1F769A25"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lastRenderedPageBreak/>
        <w:t xml:space="preserve">In cases in which second, expert opinion is sought, the evaluation distinguishes between ‘complex’ (&gt;30 minutes) and ‘non-complex’ (≤30 minutes) expert opinion on a patient sample. This is consistent with the requested listing presented in Section </w:t>
      </w:r>
      <w:r>
        <w:rPr>
          <w:rFonts w:cs="Garamond"/>
          <w:szCs w:val="24"/>
          <w:lang w:val="en"/>
        </w:rPr>
        <w:fldChar w:fldCharType="begin"/>
      </w:r>
      <w:r>
        <w:rPr>
          <w:rFonts w:cs="Garamond"/>
          <w:szCs w:val="24"/>
          <w:lang w:val="en"/>
        </w:rPr>
        <w:instrText xml:space="preserve"> REF _Ref393277832 \w \h </w:instrText>
      </w:r>
      <w:r>
        <w:rPr>
          <w:rFonts w:cs="Garamond"/>
          <w:szCs w:val="24"/>
          <w:lang w:val="en"/>
        </w:rPr>
      </w:r>
      <w:r>
        <w:rPr>
          <w:rFonts w:cs="Garamond"/>
          <w:szCs w:val="24"/>
          <w:lang w:val="en"/>
        </w:rPr>
        <w:fldChar w:fldCharType="separate"/>
      </w:r>
      <w:r w:rsidR="0044620B">
        <w:rPr>
          <w:rFonts w:cs="Garamond"/>
          <w:szCs w:val="24"/>
          <w:lang w:val="en"/>
        </w:rPr>
        <w:t>A.3</w:t>
      </w:r>
      <w:r>
        <w:rPr>
          <w:rFonts w:cs="Garamond"/>
          <w:szCs w:val="24"/>
          <w:lang w:val="en"/>
        </w:rPr>
        <w:fldChar w:fldCharType="end"/>
      </w:r>
      <w:r>
        <w:rPr>
          <w:rFonts w:cs="Garamond"/>
          <w:szCs w:val="24"/>
          <w:lang w:val="en"/>
        </w:rPr>
        <w:t>. The distinction is important in the arm representing the requested listing, as it enables costs to be correctly applied.</w:t>
      </w:r>
    </w:p>
    <w:p w14:paraId="24044F31"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In the arm representing the current funding arrangement, the base case does not explicitly consider any costs associated with second, expert opinion.</w:t>
      </w:r>
    </w:p>
    <w:p w14:paraId="545EC4CB"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Subsequently, the evaluation considers whether healthcare resources will be required for ancillary testing to settle upon a diagnosis. </w:t>
      </w:r>
    </w:p>
    <w:p w14:paraId="52B09036" w14:textId="14FF2E35" w:rsidR="00B51828" w:rsidRDefault="00B51828" w:rsidP="002101D2">
      <w:pPr>
        <w:widowControl w:val="0"/>
        <w:suppressAutoHyphens/>
        <w:autoSpaceDE w:val="0"/>
        <w:autoSpaceDN w:val="0"/>
        <w:adjustRightInd w:val="0"/>
        <w:spacing w:after="120" w:line="100" w:lineRule="atLeast"/>
        <w:ind w:left="731"/>
        <w:rPr>
          <w:rFonts w:cs="Garamond"/>
          <w:szCs w:val="24"/>
          <w:lang w:val="en"/>
        </w:rPr>
      </w:pPr>
      <w:r>
        <w:rPr>
          <w:rFonts w:cs="Garamond"/>
          <w:szCs w:val="24"/>
          <w:lang w:val="en"/>
        </w:rPr>
        <w:t>The evaluation is truncated at the point of diagnosis. This stopping point is sufficient for the incremental cost per significant (clinically</w:t>
      </w:r>
      <w:r w:rsidR="0053670C">
        <w:rPr>
          <w:rFonts w:cs="Garamond"/>
          <w:szCs w:val="24"/>
          <w:lang w:val="en"/>
        </w:rPr>
        <w:t xml:space="preserve"> </w:t>
      </w:r>
      <w:r>
        <w:rPr>
          <w:rFonts w:cs="Garamond"/>
          <w:szCs w:val="24"/>
          <w:lang w:val="en"/>
        </w:rPr>
        <w:t>relevant) change in diagnosis or interpretation to be assessed. While it may be argued that comprehensive modelling beyond this point would be warranted, there are several reasons why this is unlikely to be informative to decision</w:t>
      </w:r>
      <w:r w:rsidR="0053670C">
        <w:rPr>
          <w:rFonts w:cs="Garamond"/>
          <w:szCs w:val="24"/>
          <w:lang w:val="en"/>
        </w:rPr>
        <w:t>-</w:t>
      </w:r>
      <w:r>
        <w:rPr>
          <w:rFonts w:cs="Garamond"/>
          <w:szCs w:val="24"/>
          <w:lang w:val="en"/>
        </w:rPr>
        <w:t>makers in the current case. The main reasons include:</w:t>
      </w:r>
    </w:p>
    <w:p w14:paraId="5A995A1B" w14:textId="77777777" w:rsidR="00B51828" w:rsidRPr="00741510" w:rsidRDefault="00B51828" w:rsidP="00B51828">
      <w:pPr>
        <w:pStyle w:val="ListParagraph"/>
        <w:widowControl w:val="0"/>
        <w:numPr>
          <w:ilvl w:val="0"/>
          <w:numId w:val="60"/>
        </w:numPr>
        <w:suppressAutoHyphens/>
        <w:autoSpaceDE w:val="0"/>
        <w:autoSpaceDN w:val="0"/>
        <w:adjustRightInd w:val="0"/>
        <w:spacing w:line="100" w:lineRule="atLeast"/>
        <w:rPr>
          <w:rFonts w:cs="Garamond"/>
          <w:szCs w:val="24"/>
          <w:lang w:val="en"/>
        </w:rPr>
      </w:pPr>
      <w:r w:rsidRPr="00741510">
        <w:rPr>
          <w:rFonts w:cs="Garamond"/>
          <w:i/>
          <w:iCs/>
          <w:szCs w:val="24"/>
          <w:lang w:val="en"/>
        </w:rPr>
        <w:t xml:space="preserve">The general nature of the requested listings render it very difficult to accurately assess the cost-effectiveness beyond the point of definitive diagnosis. </w:t>
      </w:r>
      <w:r w:rsidRPr="00741510">
        <w:rPr>
          <w:rFonts w:cs="Garamond"/>
          <w:szCs w:val="24"/>
          <w:lang w:val="en"/>
        </w:rPr>
        <w:t>For example, it is not feasible to comprehensively consider the differential impacts of significant changes in diagnosis on all illnesses/conditions to which the listing would apply; the range of illnesses means that the range of different treatments, natural histories and subsequent mortality/morbidity implications is enormous. As such, a pragmatic approach was taken. To do otherwise would introduce unreasonable uncertainty to the model. This uncertainty would render the model misleading and/or impossible to interpret.</w:t>
      </w:r>
    </w:p>
    <w:p w14:paraId="4822ACA1" w14:textId="263AB83D" w:rsidR="00B51828" w:rsidRPr="00741510" w:rsidRDefault="00B51828" w:rsidP="00B51828">
      <w:pPr>
        <w:pStyle w:val="ListParagraph"/>
        <w:widowControl w:val="0"/>
        <w:numPr>
          <w:ilvl w:val="0"/>
          <w:numId w:val="60"/>
        </w:numPr>
        <w:suppressAutoHyphens/>
        <w:autoSpaceDE w:val="0"/>
        <w:autoSpaceDN w:val="0"/>
        <w:adjustRightInd w:val="0"/>
        <w:spacing w:line="100" w:lineRule="atLeast"/>
        <w:rPr>
          <w:rFonts w:cs="Garamond"/>
          <w:i/>
          <w:iCs/>
          <w:szCs w:val="24"/>
          <w:lang w:val="en"/>
        </w:rPr>
      </w:pPr>
      <w:r w:rsidRPr="00741510">
        <w:rPr>
          <w:rFonts w:cs="Garamond"/>
          <w:i/>
          <w:iCs/>
          <w:szCs w:val="24"/>
          <w:lang w:val="en"/>
        </w:rPr>
        <w:t xml:space="preserve">The paucity of data imposes very real limitations on the ability to extrapolate beyond diagnosis. </w:t>
      </w:r>
      <w:r w:rsidRPr="00741510">
        <w:rPr>
          <w:rFonts w:cs="Garamond"/>
          <w:szCs w:val="24"/>
          <w:lang w:val="en"/>
        </w:rPr>
        <w:t>Long</w:t>
      </w:r>
      <w:r w:rsidR="00DB23AB">
        <w:rPr>
          <w:rFonts w:cs="Garamond"/>
          <w:szCs w:val="24"/>
          <w:lang w:val="en"/>
        </w:rPr>
        <w:t xml:space="preserve"> </w:t>
      </w:r>
      <w:r w:rsidRPr="00741510">
        <w:rPr>
          <w:rFonts w:cs="Garamond"/>
          <w:szCs w:val="24"/>
          <w:lang w:val="en"/>
        </w:rPr>
        <w:t xml:space="preserve">term data describing the transition from final diagnosis to mortality (and intermediate morbidity) do not exist for the research questions at hand. To illustrate one example, the absence of staging data at diagnosis means that it is not possible extrapolate/model to final outcomes without introducing unreasonable amounts of uncertainty to the analysis. </w:t>
      </w:r>
      <w:r w:rsidRPr="00741510">
        <w:rPr>
          <w:rFonts w:cs="Garamond"/>
          <w:i/>
          <w:iCs/>
          <w:szCs w:val="24"/>
          <w:lang w:val="en"/>
        </w:rPr>
        <w:t xml:space="preserve"> </w:t>
      </w:r>
    </w:p>
    <w:p w14:paraId="36463743" w14:textId="77777777" w:rsidR="002C300A" w:rsidRDefault="00B51828" w:rsidP="002101D2">
      <w:pPr>
        <w:widowControl w:val="0"/>
        <w:suppressAutoHyphens/>
        <w:autoSpaceDE w:val="0"/>
        <w:autoSpaceDN w:val="0"/>
        <w:adjustRightInd w:val="0"/>
        <w:spacing w:line="100" w:lineRule="atLeast"/>
        <w:ind w:left="733"/>
        <w:rPr>
          <w:rFonts w:cs="Garamond"/>
          <w:szCs w:val="24"/>
          <w:lang w:val="en"/>
        </w:rPr>
        <w:sectPr w:rsidR="002C300A" w:rsidSect="002101D2">
          <w:footerReference w:type="default" r:id="rId31"/>
          <w:pgSz w:w="11906" w:h="16838" w:code="9"/>
          <w:pgMar w:top="1440" w:right="1440" w:bottom="1440" w:left="1440" w:header="680" w:footer="1021" w:gutter="0"/>
          <w:cols w:space="708"/>
          <w:docGrid w:linePitch="360"/>
        </w:sectPr>
      </w:pPr>
      <w:r>
        <w:rPr>
          <w:rFonts w:cs="Garamond"/>
          <w:szCs w:val="24"/>
          <w:lang w:val="en"/>
        </w:rPr>
        <w:t xml:space="preserve">These, among other considerations, mean that the economic evaluation presented here is admittedly simple. Rather than attempting complex downstream modelling of a wide range of illnesses, the evaluation focusses on providing decision-makers with the most informative assessment of cost-effectiveness. Specifically, the evaluation provides an assessment of how much it will cost, on average, to provide information to trigger a change in diagnosis where required if second, expert opinions are funded by the MBS. </w:t>
      </w:r>
      <w:r>
        <w:rPr>
          <w:rFonts w:cs="Garamond"/>
          <w:szCs w:val="24"/>
          <w:lang w:val="en"/>
        </w:rPr>
        <w:fldChar w:fldCharType="begin"/>
      </w:r>
      <w:r>
        <w:rPr>
          <w:rFonts w:cs="Garamond"/>
          <w:szCs w:val="24"/>
          <w:lang w:val="en"/>
        </w:rPr>
        <w:instrText xml:space="preserve"> REF _Ref393269686 \h </w:instrText>
      </w:r>
      <w:r>
        <w:rPr>
          <w:rFonts w:cs="Garamond"/>
          <w:szCs w:val="24"/>
          <w:lang w:val="en"/>
        </w:rPr>
      </w:r>
      <w:r>
        <w:rPr>
          <w:rFonts w:cs="Garamond"/>
          <w:szCs w:val="24"/>
          <w:lang w:val="en"/>
        </w:rPr>
        <w:fldChar w:fldCharType="separate"/>
      </w:r>
      <w:r w:rsidR="0044620B">
        <w:t xml:space="preserve">Figure </w:t>
      </w:r>
      <w:r w:rsidR="0044620B">
        <w:rPr>
          <w:noProof/>
        </w:rPr>
        <w:t>D</w:t>
      </w:r>
      <w:r w:rsidR="0044620B">
        <w:noBreakHyphen/>
      </w:r>
      <w:r w:rsidR="0044620B">
        <w:rPr>
          <w:noProof/>
        </w:rPr>
        <w:t>1</w:t>
      </w:r>
      <w:r>
        <w:rPr>
          <w:rFonts w:cs="Garamond"/>
          <w:szCs w:val="24"/>
          <w:lang w:val="en"/>
        </w:rPr>
        <w:fldChar w:fldCharType="end"/>
      </w:r>
      <w:r>
        <w:rPr>
          <w:rFonts w:cs="Garamond"/>
          <w:szCs w:val="24"/>
          <w:lang w:val="en"/>
        </w:rPr>
        <w:t xml:space="preserve"> illustrates the structure of the economic evaluation. </w:t>
      </w:r>
    </w:p>
    <w:p w14:paraId="02D0FD99" w14:textId="77777777" w:rsidR="00B51828" w:rsidRDefault="00B51828" w:rsidP="002101D2">
      <w:pPr>
        <w:pStyle w:val="Caption"/>
      </w:pPr>
      <w:bookmarkStart w:id="195" w:name="_Ref393269686"/>
      <w:bookmarkStart w:id="196" w:name="_Toc396211792"/>
      <w:r>
        <w:lastRenderedPageBreak/>
        <w:t xml:space="preserve">Figure </w:t>
      </w:r>
      <w:fldSimple w:instr=" STYLEREF 1 \s ">
        <w:r w:rsidR="0044620B">
          <w:rPr>
            <w:noProof/>
          </w:rPr>
          <w:t>D</w:t>
        </w:r>
      </w:fldSimple>
      <w:r>
        <w:noBreakHyphen/>
      </w:r>
      <w:fldSimple w:instr=" SEQ Figure \* ARABIC \s 1 ">
        <w:r w:rsidR="0044620B">
          <w:rPr>
            <w:noProof/>
          </w:rPr>
          <w:t>1</w:t>
        </w:r>
      </w:fldSimple>
      <w:bookmarkEnd w:id="195"/>
      <w:r>
        <w:tab/>
        <w:t>Decision tree summarising structure of the economic evaluation</w:t>
      </w:r>
      <w:bookmarkEnd w:id="196"/>
    </w:p>
    <w:p w14:paraId="269D9AB2" w14:textId="3A6E5BF6" w:rsidR="00B51828" w:rsidRDefault="00B51828" w:rsidP="002101D2">
      <w:r>
        <w:t xml:space="preserve"> </w:t>
      </w:r>
      <w:r w:rsidR="00743C1E">
        <w:rPr>
          <w:noProof/>
          <w:lang w:eastAsia="en-AU"/>
        </w:rPr>
        <w:drawing>
          <wp:inline distT="0" distB="0" distL="0" distR="0" wp14:anchorId="36CAB353" wp14:editId="3683FF6C">
            <wp:extent cx="7385172" cy="4094328"/>
            <wp:effectExtent l="0" t="0" r="6350" b="0"/>
            <wp:docPr id="1" name="Picture 1" descr="Decision tree summarising the structure of the economic evaluation" title="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ision tree_11Aug2014_KA.tif"/>
                    <pic:cNvPicPr/>
                  </pic:nvPicPr>
                  <pic:blipFill>
                    <a:blip r:embed="rId32">
                      <a:extLst>
                        <a:ext uri="{28A0092B-C50C-407E-A947-70E740481C1C}">
                          <a14:useLocalDpi xmlns:a14="http://schemas.microsoft.com/office/drawing/2010/main" val="0"/>
                        </a:ext>
                      </a:extLst>
                    </a:blip>
                    <a:stretch>
                      <a:fillRect/>
                    </a:stretch>
                  </pic:blipFill>
                  <pic:spPr>
                    <a:xfrm>
                      <a:off x="0" y="0"/>
                      <a:ext cx="7410469" cy="4108353"/>
                    </a:xfrm>
                    <a:prstGeom prst="rect">
                      <a:avLst/>
                    </a:prstGeom>
                  </pic:spPr>
                </pic:pic>
              </a:graphicData>
            </a:graphic>
          </wp:inline>
        </w:drawing>
      </w:r>
    </w:p>
    <w:p w14:paraId="0744566B" w14:textId="77777777" w:rsidR="00B51828" w:rsidRPr="00E83DFA" w:rsidRDefault="00B51828" w:rsidP="002101D2">
      <w:pPr>
        <w:rPr>
          <w:rFonts w:ascii="Arial Narrow" w:hAnsi="Arial Narrow"/>
          <w:sz w:val="16"/>
          <w:szCs w:val="16"/>
          <w:lang w:val="en"/>
        </w:rPr>
      </w:pPr>
      <w:r>
        <w:rPr>
          <w:rFonts w:ascii="Arial Narrow" w:hAnsi="Arial Narrow"/>
          <w:sz w:val="16"/>
          <w:szCs w:val="16"/>
        </w:rPr>
        <w:t>Abbreviations: MBS, Medicare Benefits Schedule</w:t>
      </w:r>
    </w:p>
    <w:p w14:paraId="525817A5" w14:textId="77777777" w:rsidR="002C300A" w:rsidRDefault="002C300A" w:rsidP="002101D2">
      <w:pPr>
        <w:widowControl w:val="0"/>
        <w:suppressAutoHyphens/>
        <w:autoSpaceDE w:val="0"/>
        <w:autoSpaceDN w:val="0"/>
        <w:adjustRightInd w:val="0"/>
        <w:spacing w:line="100" w:lineRule="atLeast"/>
        <w:ind w:left="721"/>
        <w:rPr>
          <w:rFonts w:cs="Garamond"/>
          <w:szCs w:val="24"/>
          <w:lang w:val="en"/>
        </w:rPr>
        <w:sectPr w:rsidR="002C300A" w:rsidSect="00743C1E">
          <w:footerReference w:type="default" r:id="rId33"/>
          <w:pgSz w:w="16838" w:h="11906" w:orient="landscape" w:code="9"/>
          <w:pgMar w:top="1440" w:right="1440" w:bottom="1440" w:left="1440" w:header="680" w:footer="1021" w:gutter="0"/>
          <w:cols w:space="708"/>
          <w:docGrid w:linePitch="360"/>
        </w:sectPr>
      </w:pPr>
    </w:p>
    <w:p w14:paraId="63B3F061" w14:textId="3EC2CDA5"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lastRenderedPageBreak/>
        <w:t>The economic evaluation was conducted using Microsoft</w:t>
      </w:r>
      <w:r>
        <w:rPr>
          <w:rFonts w:ascii="Lucida Grande" w:hAnsi="Lucida Grande" w:cs="Lucida Grande"/>
          <w:szCs w:val="24"/>
          <w:vertAlign w:val="superscript"/>
          <w:lang w:val="en"/>
        </w:rPr>
        <w:t>®</w:t>
      </w:r>
      <w:r>
        <w:rPr>
          <w:rFonts w:cs="Garamond"/>
          <w:szCs w:val="24"/>
          <w:lang w:val="en"/>
        </w:rPr>
        <w:t xml:space="preserve"> Excel X for Mac</w:t>
      </w:r>
      <w:r>
        <w:rPr>
          <w:rFonts w:ascii="Lucida Grande" w:hAnsi="Lucida Grande" w:cs="Lucida Grande"/>
          <w:szCs w:val="24"/>
          <w:vertAlign w:val="superscript"/>
          <w:lang w:val="en"/>
        </w:rPr>
        <w:t>®</w:t>
      </w:r>
      <w:r>
        <w:rPr>
          <w:rFonts w:cs="Garamond"/>
          <w:szCs w:val="24"/>
          <w:lang w:val="en"/>
        </w:rPr>
        <w:t xml:space="preserve">. An electronic workbook </w:t>
      </w:r>
      <w:r w:rsidRPr="00907E55">
        <w:rPr>
          <w:rFonts w:cs="Garamond"/>
          <w:i/>
          <w:szCs w:val="24"/>
          <w:lang w:val="en"/>
        </w:rPr>
        <w:t>&lt;1332_Section D workbook.FINALxls&gt;</w:t>
      </w:r>
      <w:r>
        <w:rPr>
          <w:rFonts w:cs="Garamond"/>
          <w:szCs w:val="24"/>
          <w:lang w:val="en"/>
        </w:rPr>
        <w:t xml:space="preserve"> accompanies this Assessment Report.</w:t>
      </w:r>
    </w:p>
    <w:p w14:paraId="0919AB35"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The time horizon is not explicitly considered in the economic evaluation. The application of a Decision Analytic model assumes an instant process by default. As the process of obtaining a second opinion is likely to unfold over a short time duration, the assumption is unlikely to pose any difficulties or render the analysis inappropriate. On this basis, discounting was not applied to the model.</w:t>
      </w:r>
    </w:p>
    <w:p w14:paraId="38C9CE4C" w14:textId="77777777" w:rsidR="00B51828" w:rsidRPr="00E83DFA"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Finally, the economic evaluation considers tissue pathology and cytopathology independently, appropriately applying data relevant to each analysis. As discussed below, cytopathology is considered in a sensitivity analysis while tissue pathology forms the base case analysis.</w:t>
      </w:r>
    </w:p>
    <w:p w14:paraId="30FBFC5F" w14:textId="77777777" w:rsidR="00B51828" w:rsidRDefault="00B51828" w:rsidP="00B51828">
      <w:pPr>
        <w:pStyle w:val="Heading2"/>
        <w:numPr>
          <w:ilvl w:val="1"/>
          <w:numId w:val="1"/>
        </w:numPr>
      </w:pPr>
      <w:bookmarkStart w:id="197" w:name="_Ref393784065"/>
      <w:bookmarkStart w:id="198" w:name="_Ref393784272"/>
      <w:bookmarkStart w:id="199" w:name="_Toc396211707"/>
      <w:r>
        <w:t>Variables in the economic evaluation</w:t>
      </w:r>
      <w:bookmarkEnd w:id="197"/>
      <w:bookmarkEnd w:id="198"/>
      <w:bookmarkEnd w:id="199"/>
    </w:p>
    <w:p w14:paraId="4E0D9C48"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The variables applied to the economic evaluation comprise healthcare resource items, intermediate health outcomes and transition probabilities. Each of these are described in turn below.</w:t>
      </w:r>
    </w:p>
    <w:p w14:paraId="7B3152D7" w14:textId="77777777" w:rsidR="00B51828" w:rsidRDefault="00B51828" w:rsidP="00B51828">
      <w:pPr>
        <w:pStyle w:val="Heading3"/>
        <w:numPr>
          <w:ilvl w:val="2"/>
          <w:numId w:val="1"/>
        </w:numPr>
      </w:pPr>
      <w:bookmarkStart w:id="200" w:name="_Ref394999310"/>
      <w:r>
        <w:t>Healthcare resource items</w:t>
      </w:r>
      <w:bookmarkEnd w:id="200"/>
    </w:p>
    <w:p w14:paraId="2E43F665"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The short-term time horizon considered in the economic evaluation means that limited healthcare resource items were applied to the model. These comprise the requested MBS fee for second, expert opinion (‘complex’ defined as &gt;30 minute; ‘non-complex’ defined as ≤30 minutes) and the ancillary tests required – in some circumstances – to enable a definitive diagnosis to be made. Downstream treatment costs (including those related to surgery, for example) are not considered, as these are unrelated to the total cost of attaining a definitive diagnosis.</w:t>
      </w:r>
    </w:p>
    <w:p w14:paraId="005056F0" w14:textId="6D12FB9D"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The healthcare resource items applied to the model are presented in </w:t>
      </w:r>
      <w:r>
        <w:rPr>
          <w:rFonts w:cs="Garamond"/>
          <w:szCs w:val="24"/>
          <w:lang w:val="en"/>
        </w:rPr>
        <w:fldChar w:fldCharType="begin"/>
      </w:r>
      <w:r>
        <w:rPr>
          <w:rFonts w:cs="Garamond"/>
          <w:szCs w:val="24"/>
          <w:lang w:val="en"/>
        </w:rPr>
        <w:instrText xml:space="preserve"> REF _Ref393286551 \h  \* MERGEFORMAT </w:instrText>
      </w:r>
      <w:r>
        <w:rPr>
          <w:rFonts w:cs="Garamond"/>
          <w:szCs w:val="24"/>
          <w:lang w:val="en"/>
        </w:rPr>
      </w:r>
      <w:r>
        <w:rPr>
          <w:rFonts w:cs="Garamond"/>
          <w:szCs w:val="24"/>
          <w:lang w:val="en"/>
        </w:rPr>
        <w:fldChar w:fldCharType="separate"/>
      </w:r>
      <w:r w:rsidR="0044620B" w:rsidRPr="0044620B">
        <w:rPr>
          <w:rFonts w:cs="Garamond"/>
          <w:szCs w:val="24"/>
          <w:lang w:val="en"/>
        </w:rPr>
        <w:t>Table D.3</w:t>
      </w:r>
      <w:r w:rsidR="0044620B" w:rsidRPr="0044620B">
        <w:rPr>
          <w:rFonts w:cs="Garamond"/>
          <w:szCs w:val="24"/>
          <w:lang w:val="en"/>
        </w:rPr>
        <w:noBreakHyphen/>
        <w:t>1</w:t>
      </w:r>
      <w:r>
        <w:rPr>
          <w:rFonts w:cs="Garamond"/>
          <w:szCs w:val="24"/>
          <w:lang w:val="en"/>
        </w:rPr>
        <w:fldChar w:fldCharType="end"/>
      </w:r>
      <w:r>
        <w:rPr>
          <w:rFonts w:cs="Garamond"/>
          <w:szCs w:val="24"/>
          <w:lang w:val="en"/>
        </w:rPr>
        <w:t xml:space="preserve"> and described in turn below. For reasons detailed below, the base case applied the unit cost for tissue pathology ancillary tests, while the cytopathology unit cost was used in a sensitivity analysis.</w:t>
      </w:r>
    </w:p>
    <w:p w14:paraId="2523EB4A" w14:textId="0A6468AE" w:rsidR="00B51828" w:rsidRDefault="00B51828" w:rsidP="002101D2">
      <w:pPr>
        <w:pStyle w:val="Caption"/>
      </w:pPr>
      <w:bookmarkStart w:id="201" w:name="_Ref393286551"/>
      <w:bookmarkStart w:id="202" w:name="_Toc396211753"/>
      <w:r>
        <w:t xml:space="preserve">Table </w:t>
      </w:r>
      <w:fldSimple w:instr=" STYLEREF 2 \s ">
        <w:r w:rsidR="0044620B">
          <w:rPr>
            <w:noProof/>
          </w:rPr>
          <w:t>D.3</w:t>
        </w:r>
      </w:fldSimple>
      <w:r>
        <w:noBreakHyphen/>
      </w:r>
      <w:fldSimple w:instr=" SEQ Table \* ARABIC \s 2 ">
        <w:r w:rsidR="0044620B">
          <w:rPr>
            <w:noProof/>
          </w:rPr>
          <w:t>1</w:t>
        </w:r>
      </w:fldSimple>
      <w:bookmarkEnd w:id="201"/>
      <w:r>
        <w:tab/>
        <w:t>Unit costs applied to the</w:t>
      </w:r>
      <w:r w:rsidR="009D263E">
        <w:t xml:space="preserve"> economic evaluation for health</w:t>
      </w:r>
      <w:r>
        <w:t>care resource items</w:t>
      </w:r>
      <w:bookmarkEnd w:id="202"/>
    </w:p>
    <w:tbl>
      <w:tblPr>
        <w:tblW w:w="8222" w:type="dxa"/>
        <w:tblInd w:w="706" w:type="dxa"/>
        <w:tblLayout w:type="fixed"/>
        <w:tblCellMar>
          <w:left w:w="57" w:type="dxa"/>
          <w:right w:w="57" w:type="dxa"/>
        </w:tblCellMar>
        <w:tblLook w:val="0000" w:firstRow="0" w:lastRow="0" w:firstColumn="0" w:lastColumn="0" w:noHBand="0" w:noVBand="0"/>
        <w:tblCaption w:val="Healthcare resource items applied to the model"/>
        <w:tblDescription w:val="The units costs applied to the economic evaluation for healthcare resource items"/>
      </w:tblPr>
      <w:tblGrid>
        <w:gridCol w:w="4253"/>
        <w:gridCol w:w="1984"/>
        <w:gridCol w:w="1985"/>
      </w:tblGrid>
      <w:tr w:rsidR="00B51828" w:rsidRPr="00367295" w14:paraId="5C4E847C" w14:textId="77777777" w:rsidTr="00A15F7D">
        <w:trPr>
          <w:trHeight w:val="1"/>
          <w:tblHeader/>
        </w:trPr>
        <w:tc>
          <w:tcPr>
            <w:tcW w:w="4253" w:type="dxa"/>
            <w:tcBorders>
              <w:top w:val="single" w:sz="2" w:space="0" w:color="000000"/>
              <w:left w:val="single" w:sz="2" w:space="0" w:color="000000"/>
              <w:bottom w:val="single" w:sz="2" w:space="0" w:color="000000"/>
              <w:right w:val="nil"/>
            </w:tcBorders>
            <w:shd w:val="clear" w:color="000000" w:fill="auto"/>
          </w:tcPr>
          <w:p w14:paraId="6E062EE7" w14:textId="77777777" w:rsidR="00B51828" w:rsidRPr="00367295" w:rsidRDefault="00B51828" w:rsidP="002101D2">
            <w:pPr>
              <w:spacing w:before="20" w:after="20"/>
              <w:ind w:left="0"/>
              <w:rPr>
                <w:rFonts w:ascii="Calibri" w:hAnsi="Calibri" w:cs="Calibri"/>
                <w:sz w:val="22"/>
                <w:lang w:val="en"/>
              </w:rPr>
            </w:pPr>
            <w:r w:rsidRPr="00A05231">
              <w:rPr>
                <w:rFonts w:ascii="Arial Narrow" w:hAnsi="Arial Narrow"/>
                <w:b/>
                <w:sz w:val="20"/>
                <w:szCs w:val="20"/>
              </w:rPr>
              <w:t>Resource item</w:t>
            </w:r>
          </w:p>
        </w:tc>
        <w:tc>
          <w:tcPr>
            <w:tcW w:w="1984" w:type="dxa"/>
            <w:tcBorders>
              <w:top w:val="single" w:sz="2" w:space="0" w:color="000000"/>
              <w:left w:val="single" w:sz="2" w:space="0" w:color="000000"/>
              <w:bottom w:val="single" w:sz="2" w:space="0" w:color="000000"/>
              <w:right w:val="nil"/>
            </w:tcBorders>
            <w:shd w:val="clear" w:color="000000" w:fill="auto"/>
          </w:tcPr>
          <w:p w14:paraId="7E4244E8" w14:textId="77777777" w:rsidR="00B51828" w:rsidRPr="00A05231" w:rsidRDefault="00B51828" w:rsidP="00A15F7D">
            <w:pPr>
              <w:spacing w:before="20" w:after="20"/>
              <w:ind w:left="0"/>
              <w:jc w:val="right"/>
              <w:rPr>
                <w:rFonts w:ascii="Arial Narrow" w:hAnsi="Arial Narrow"/>
                <w:b/>
                <w:sz w:val="20"/>
                <w:szCs w:val="20"/>
              </w:rPr>
            </w:pPr>
            <w:r w:rsidRPr="00A05231">
              <w:rPr>
                <w:rFonts w:ascii="Arial Narrow" w:hAnsi="Arial Narrow"/>
                <w:b/>
                <w:sz w:val="20"/>
                <w:szCs w:val="20"/>
              </w:rPr>
              <w:t>Unit cost applied to the model</w:t>
            </w:r>
          </w:p>
        </w:tc>
        <w:tc>
          <w:tcPr>
            <w:tcW w:w="1985" w:type="dxa"/>
            <w:tcBorders>
              <w:top w:val="single" w:sz="2" w:space="0" w:color="000000"/>
              <w:left w:val="single" w:sz="2" w:space="0" w:color="000000"/>
              <w:bottom w:val="single" w:sz="2" w:space="0" w:color="000000"/>
              <w:right w:val="single" w:sz="2" w:space="0" w:color="000000"/>
            </w:tcBorders>
            <w:shd w:val="clear" w:color="000000" w:fill="auto"/>
          </w:tcPr>
          <w:p w14:paraId="4F5A7530" w14:textId="77777777" w:rsidR="00B51828" w:rsidRPr="00A05231" w:rsidRDefault="00B51828" w:rsidP="00A15F7D">
            <w:pPr>
              <w:spacing w:before="20" w:after="20"/>
              <w:ind w:left="0"/>
              <w:jc w:val="right"/>
              <w:rPr>
                <w:rFonts w:ascii="Arial Narrow" w:hAnsi="Arial Narrow"/>
                <w:b/>
                <w:sz w:val="20"/>
                <w:szCs w:val="20"/>
              </w:rPr>
            </w:pPr>
            <w:r w:rsidRPr="00A05231">
              <w:rPr>
                <w:rFonts w:ascii="Arial Narrow" w:hAnsi="Arial Narrow"/>
                <w:b/>
                <w:sz w:val="20"/>
                <w:szCs w:val="20"/>
              </w:rPr>
              <w:t>Reference</w:t>
            </w:r>
          </w:p>
        </w:tc>
      </w:tr>
      <w:tr w:rsidR="00B51828" w:rsidRPr="00367295" w14:paraId="39EDE74A" w14:textId="77777777" w:rsidTr="00A15F7D">
        <w:trPr>
          <w:trHeight w:val="1"/>
        </w:trPr>
        <w:tc>
          <w:tcPr>
            <w:tcW w:w="4253" w:type="dxa"/>
            <w:tcBorders>
              <w:top w:val="single" w:sz="2" w:space="0" w:color="000000"/>
              <w:left w:val="single" w:sz="2" w:space="0" w:color="000000"/>
              <w:bottom w:val="single" w:sz="2" w:space="0" w:color="000000"/>
              <w:right w:val="nil"/>
            </w:tcBorders>
            <w:shd w:val="clear" w:color="000000" w:fill="auto"/>
          </w:tcPr>
          <w:p w14:paraId="4B3D5EEA"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Second, expert opinion</w:t>
            </w:r>
            <w:r w:rsidRPr="00367295">
              <w:rPr>
                <w:rFonts w:ascii="Arial Narrow" w:hAnsi="Arial Narrow" w:cs="Arial Narrow"/>
                <w:sz w:val="20"/>
                <w:szCs w:val="20"/>
                <w:lang w:val="en"/>
              </w:rPr>
              <w:t xml:space="preserve"> under current funding arrangements</w:t>
            </w:r>
          </w:p>
        </w:tc>
        <w:tc>
          <w:tcPr>
            <w:tcW w:w="1984" w:type="dxa"/>
            <w:tcBorders>
              <w:top w:val="single" w:sz="2" w:space="0" w:color="000000"/>
              <w:left w:val="single" w:sz="2" w:space="0" w:color="000000"/>
              <w:bottom w:val="single" w:sz="2" w:space="0" w:color="000000"/>
              <w:right w:val="nil"/>
            </w:tcBorders>
            <w:shd w:val="clear" w:color="000000" w:fill="auto"/>
          </w:tcPr>
          <w:p w14:paraId="0C6F16FF" w14:textId="77777777"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$0.00</w:t>
            </w:r>
          </w:p>
        </w:tc>
        <w:tc>
          <w:tcPr>
            <w:tcW w:w="1985" w:type="dxa"/>
            <w:tcBorders>
              <w:top w:val="single" w:sz="2" w:space="0" w:color="000000"/>
              <w:left w:val="single" w:sz="2" w:space="0" w:color="000000"/>
              <w:bottom w:val="single" w:sz="2" w:space="0" w:color="000000"/>
              <w:right w:val="single" w:sz="2" w:space="0" w:color="000000"/>
            </w:tcBorders>
            <w:shd w:val="clear" w:color="000000" w:fill="auto"/>
          </w:tcPr>
          <w:p w14:paraId="1CD1DBE7" w14:textId="77777777"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Assumption</w:t>
            </w:r>
          </w:p>
        </w:tc>
      </w:tr>
      <w:tr w:rsidR="00B51828" w:rsidRPr="00367295" w14:paraId="39C16A0C" w14:textId="77777777" w:rsidTr="00A15F7D">
        <w:trPr>
          <w:trHeight w:val="1"/>
        </w:trPr>
        <w:tc>
          <w:tcPr>
            <w:tcW w:w="4253" w:type="dxa"/>
            <w:tcBorders>
              <w:top w:val="single" w:sz="2" w:space="0" w:color="000000"/>
              <w:left w:val="single" w:sz="2" w:space="0" w:color="000000"/>
              <w:bottom w:val="single" w:sz="2" w:space="0" w:color="000000"/>
              <w:right w:val="nil"/>
            </w:tcBorders>
            <w:shd w:val="clear" w:color="000000" w:fill="auto"/>
          </w:tcPr>
          <w:p w14:paraId="76CEC876"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‘Complex’</w:t>
            </w:r>
            <w:r w:rsidRPr="00367295">
              <w:rPr>
                <w:rFonts w:ascii="Arial Narrow" w:hAnsi="Arial Narrow" w:cs="Arial Narrow"/>
                <w:sz w:val="20"/>
                <w:szCs w:val="20"/>
                <w:lang w:val="en"/>
              </w:rPr>
              <w:t xml:space="preserve"> </w:t>
            </w:r>
            <w:r>
              <w:rPr>
                <w:rFonts w:ascii="Arial Narrow" w:hAnsi="Arial Narrow" w:cs="Arial Narrow"/>
                <w:sz w:val="20"/>
                <w:szCs w:val="20"/>
                <w:lang w:val="en"/>
              </w:rPr>
              <w:t>expert opinion</w:t>
            </w:r>
            <w:r w:rsidRPr="00367295">
              <w:rPr>
                <w:rFonts w:ascii="Arial Narrow" w:hAnsi="Arial Narrow" w:cs="Arial Narrow"/>
                <w:sz w:val="20"/>
                <w:szCs w:val="20"/>
                <w:lang w:val="en"/>
              </w:rPr>
              <w:t xml:space="preserve"> under proposed funding arrangements</w:t>
            </w:r>
          </w:p>
        </w:tc>
        <w:tc>
          <w:tcPr>
            <w:tcW w:w="1984" w:type="dxa"/>
            <w:tcBorders>
              <w:top w:val="single" w:sz="2" w:space="0" w:color="000000"/>
              <w:left w:val="single" w:sz="2" w:space="0" w:color="000000"/>
              <w:bottom w:val="single" w:sz="2" w:space="0" w:color="000000"/>
              <w:right w:val="nil"/>
            </w:tcBorders>
            <w:shd w:val="clear" w:color="000000" w:fill="auto"/>
          </w:tcPr>
          <w:p w14:paraId="75ED5B1D" w14:textId="77777777"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$370.00</w:t>
            </w:r>
          </w:p>
        </w:tc>
        <w:tc>
          <w:tcPr>
            <w:tcW w:w="1985" w:type="dxa"/>
            <w:tcBorders>
              <w:top w:val="single" w:sz="2" w:space="0" w:color="000000"/>
              <w:left w:val="single" w:sz="2" w:space="0" w:color="000000"/>
              <w:bottom w:val="single" w:sz="2" w:space="0" w:color="000000"/>
              <w:right w:val="single" w:sz="2" w:space="0" w:color="000000"/>
            </w:tcBorders>
            <w:shd w:val="clear" w:color="000000" w:fill="auto"/>
          </w:tcPr>
          <w:p w14:paraId="6E2AC37C" w14:textId="77777777" w:rsidR="00A15F7D" w:rsidRDefault="00B51828" w:rsidP="00A15F7D">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67295">
              <w:rPr>
                <w:rFonts w:ascii="Arial Narrow" w:hAnsi="Arial Narrow" w:cs="Arial Narrow"/>
                <w:sz w:val="20"/>
                <w:szCs w:val="20"/>
                <w:lang w:val="en"/>
              </w:rPr>
              <w:t xml:space="preserve">Requested fee </w:t>
            </w:r>
          </w:p>
          <w:p w14:paraId="2DCD584E" w14:textId="799A6188"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(see Section A.3)</w:t>
            </w:r>
          </w:p>
        </w:tc>
      </w:tr>
      <w:tr w:rsidR="00B51828" w:rsidRPr="00367295" w14:paraId="6080CB9E" w14:textId="77777777" w:rsidTr="00A15F7D">
        <w:trPr>
          <w:trHeight w:val="1"/>
        </w:trPr>
        <w:tc>
          <w:tcPr>
            <w:tcW w:w="4253" w:type="dxa"/>
            <w:tcBorders>
              <w:top w:val="single" w:sz="2" w:space="0" w:color="000000"/>
              <w:left w:val="single" w:sz="2" w:space="0" w:color="000000"/>
              <w:bottom w:val="single" w:sz="2" w:space="0" w:color="000000"/>
              <w:right w:val="nil"/>
            </w:tcBorders>
            <w:shd w:val="clear" w:color="000000" w:fill="auto"/>
          </w:tcPr>
          <w:p w14:paraId="4C0E33A9"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‘Non-complex’</w:t>
            </w:r>
            <w:r w:rsidRPr="00367295">
              <w:rPr>
                <w:rFonts w:ascii="Arial Narrow" w:hAnsi="Arial Narrow" w:cs="Arial Narrow"/>
                <w:sz w:val="20"/>
                <w:szCs w:val="20"/>
                <w:lang w:val="en"/>
              </w:rPr>
              <w:t xml:space="preserve"> </w:t>
            </w:r>
            <w:r>
              <w:rPr>
                <w:rFonts w:ascii="Arial Narrow" w:hAnsi="Arial Narrow" w:cs="Arial Narrow"/>
                <w:sz w:val="20"/>
                <w:szCs w:val="20"/>
                <w:lang w:val="en"/>
              </w:rPr>
              <w:t>expert opinion</w:t>
            </w:r>
            <w:r w:rsidRPr="00367295">
              <w:rPr>
                <w:rFonts w:ascii="Arial Narrow" w:hAnsi="Arial Narrow" w:cs="Arial Narrow"/>
                <w:sz w:val="20"/>
                <w:szCs w:val="20"/>
                <w:lang w:val="en"/>
              </w:rPr>
              <w:t xml:space="preserve"> under proposed funding arrangements</w:t>
            </w:r>
          </w:p>
        </w:tc>
        <w:tc>
          <w:tcPr>
            <w:tcW w:w="1984" w:type="dxa"/>
            <w:tcBorders>
              <w:top w:val="single" w:sz="2" w:space="0" w:color="000000"/>
              <w:left w:val="single" w:sz="2" w:space="0" w:color="000000"/>
              <w:bottom w:val="single" w:sz="2" w:space="0" w:color="000000"/>
              <w:right w:val="nil"/>
            </w:tcBorders>
            <w:shd w:val="clear" w:color="000000" w:fill="auto"/>
          </w:tcPr>
          <w:p w14:paraId="57E0CA69" w14:textId="77777777"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$180.00</w:t>
            </w:r>
          </w:p>
        </w:tc>
        <w:tc>
          <w:tcPr>
            <w:tcW w:w="1985" w:type="dxa"/>
            <w:tcBorders>
              <w:top w:val="single" w:sz="2" w:space="0" w:color="000000"/>
              <w:left w:val="single" w:sz="2" w:space="0" w:color="000000"/>
              <w:bottom w:val="single" w:sz="2" w:space="0" w:color="000000"/>
              <w:right w:val="single" w:sz="2" w:space="0" w:color="000000"/>
            </w:tcBorders>
            <w:shd w:val="clear" w:color="000000" w:fill="auto"/>
          </w:tcPr>
          <w:p w14:paraId="3540C138" w14:textId="77777777" w:rsidR="00A15F7D" w:rsidRDefault="00B51828" w:rsidP="00A15F7D">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67295">
              <w:rPr>
                <w:rFonts w:ascii="Arial Narrow" w:hAnsi="Arial Narrow" w:cs="Arial Narrow"/>
                <w:sz w:val="20"/>
                <w:szCs w:val="20"/>
                <w:lang w:val="en"/>
              </w:rPr>
              <w:t xml:space="preserve">Requested fee </w:t>
            </w:r>
          </w:p>
          <w:p w14:paraId="65C20D30" w14:textId="10415C03"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(see Section A.3)</w:t>
            </w:r>
          </w:p>
        </w:tc>
      </w:tr>
      <w:tr w:rsidR="00B51828" w:rsidRPr="00367295" w14:paraId="165F8FD4" w14:textId="77777777" w:rsidTr="00A15F7D">
        <w:trPr>
          <w:trHeight w:val="1"/>
        </w:trPr>
        <w:tc>
          <w:tcPr>
            <w:tcW w:w="4253" w:type="dxa"/>
            <w:tcBorders>
              <w:top w:val="single" w:sz="2" w:space="0" w:color="000000"/>
              <w:left w:val="single" w:sz="2" w:space="0" w:color="000000"/>
              <w:bottom w:val="single" w:sz="2" w:space="0" w:color="000000"/>
              <w:right w:val="nil"/>
            </w:tcBorders>
            <w:shd w:val="clear" w:color="000000" w:fill="auto"/>
          </w:tcPr>
          <w:p w14:paraId="48105CCA"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67295">
              <w:rPr>
                <w:rFonts w:ascii="Arial Narrow" w:hAnsi="Arial Narrow" w:cs="Arial Narrow"/>
                <w:sz w:val="20"/>
                <w:szCs w:val="20"/>
                <w:lang w:val="en"/>
              </w:rPr>
              <w:t>Ancillary tests, tissue pathology</w:t>
            </w:r>
          </w:p>
        </w:tc>
        <w:tc>
          <w:tcPr>
            <w:tcW w:w="1984" w:type="dxa"/>
            <w:tcBorders>
              <w:top w:val="single" w:sz="2" w:space="0" w:color="000000"/>
              <w:left w:val="single" w:sz="2" w:space="0" w:color="000000"/>
              <w:bottom w:val="single" w:sz="2" w:space="0" w:color="000000"/>
              <w:right w:val="nil"/>
            </w:tcBorders>
            <w:shd w:val="clear" w:color="000000" w:fill="auto"/>
          </w:tcPr>
          <w:p w14:paraId="36C49CE8" w14:textId="77777777"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$61.76</w:t>
            </w:r>
          </w:p>
        </w:tc>
        <w:tc>
          <w:tcPr>
            <w:tcW w:w="1985" w:type="dxa"/>
            <w:tcBorders>
              <w:top w:val="single" w:sz="2" w:space="0" w:color="000000"/>
              <w:left w:val="single" w:sz="2" w:space="0" w:color="000000"/>
              <w:bottom w:val="single" w:sz="2" w:space="0" w:color="000000"/>
              <w:right w:val="single" w:sz="2" w:space="0" w:color="000000"/>
            </w:tcBorders>
            <w:shd w:val="clear" w:color="000000" w:fill="auto"/>
          </w:tcPr>
          <w:p w14:paraId="2FC43CDC" w14:textId="77777777"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Calculated</w:t>
            </w:r>
          </w:p>
        </w:tc>
      </w:tr>
      <w:tr w:rsidR="00B51828" w:rsidRPr="00367295" w14:paraId="6DE3F522" w14:textId="77777777" w:rsidTr="00A15F7D">
        <w:trPr>
          <w:trHeight w:val="1"/>
        </w:trPr>
        <w:tc>
          <w:tcPr>
            <w:tcW w:w="4253" w:type="dxa"/>
            <w:tcBorders>
              <w:top w:val="single" w:sz="2" w:space="0" w:color="000000"/>
              <w:left w:val="single" w:sz="2" w:space="0" w:color="000000"/>
              <w:bottom w:val="single" w:sz="2" w:space="0" w:color="000000"/>
              <w:right w:val="nil"/>
            </w:tcBorders>
            <w:shd w:val="clear" w:color="000000" w:fill="auto"/>
          </w:tcPr>
          <w:p w14:paraId="6B1D6B90"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67295">
              <w:rPr>
                <w:rFonts w:ascii="Arial Narrow" w:hAnsi="Arial Narrow" w:cs="Arial Narrow"/>
                <w:sz w:val="20"/>
                <w:szCs w:val="20"/>
                <w:lang w:val="en"/>
              </w:rPr>
              <w:t>Ancillary tests, cytopathology</w:t>
            </w:r>
          </w:p>
        </w:tc>
        <w:tc>
          <w:tcPr>
            <w:tcW w:w="1984" w:type="dxa"/>
            <w:tcBorders>
              <w:top w:val="single" w:sz="2" w:space="0" w:color="000000"/>
              <w:left w:val="single" w:sz="2" w:space="0" w:color="000000"/>
              <w:bottom w:val="single" w:sz="2" w:space="0" w:color="000000"/>
              <w:right w:val="nil"/>
            </w:tcBorders>
            <w:shd w:val="clear" w:color="000000" w:fill="auto"/>
          </w:tcPr>
          <w:p w14:paraId="62B47250" w14:textId="77777777"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$48.13</w:t>
            </w:r>
          </w:p>
        </w:tc>
        <w:tc>
          <w:tcPr>
            <w:tcW w:w="1985" w:type="dxa"/>
            <w:tcBorders>
              <w:top w:val="single" w:sz="2" w:space="0" w:color="000000"/>
              <w:left w:val="single" w:sz="2" w:space="0" w:color="000000"/>
              <w:bottom w:val="single" w:sz="2" w:space="0" w:color="000000"/>
              <w:right w:val="single" w:sz="2" w:space="0" w:color="000000"/>
            </w:tcBorders>
            <w:shd w:val="clear" w:color="000000" w:fill="auto"/>
          </w:tcPr>
          <w:p w14:paraId="3F9262C5" w14:textId="77777777" w:rsidR="00B51828" w:rsidRPr="00367295" w:rsidRDefault="00B51828" w:rsidP="00A15F7D">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Calculated</w:t>
            </w:r>
          </w:p>
        </w:tc>
      </w:tr>
    </w:tbl>
    <w:p w14:paraId="5D4003D3" w14:textId="77777777" w:rsidR="00B51828" w:rsidRDefault="00B51828" w:rsidP="002101D2">
      <w:pPr>
        <w:rPr>
          <w:rFonts w:ascii="Arial Narrow" w:hAnsi="Arial Narrow" w:cs="Arial Narrow"/>
          <w:sz w:val="16"/>
          <w:szCs w:val="16"/>
          <w:lang w:val="en"/>
        </w:rPr>
      </w:pPr>
    </w:p>
    <w:p w14:paraId="7BDF93D5"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As described previously in </w:t>
      </w:r>
      <w:r>
        <w:rPr>
          <w:rFonts w:cs="Garamond"/>
          <w:szCs w:val="24"/>
          <w:lang w:val="en"/>
        </w:rPr>
        <w:fldChar w:fldCharType="begin"/>
      </w:r>
      <w:r>
        <w:rPr>
          <w:rFonts w:cs="Garamond"/>
          <w:szCs w:val="24"/>
          <w:lang w:val="en"/>
        </w:rPr>
        <w:instrText xml:space="preserve"> REF _Ref393286996 \w \h  \* MERGEFORMAT </w:instrText>
      </w:r>
      <w:r>
        <w:rPr>
          <w:rFonts w:cs="Garamond"/>
          <w:szCs w:val="24"/>
          <w:lang w:val="en"/>
        </w:rPr>
      </w:r>
      <w:r>
        <w:rPr>
          <w:rFonts w:cs="Garamond"/>
          <w:szCs w:val="24"/>
          <w:lang w:val="en"/>
        </w:rPr>
        <w:fldChar w:fldCharType="separate"/>
      </w:r>
      <w:r w:rsidR="0044620B">
        <w:rPr>
          <w:rFonts w:cs="Garamond"/>
          <w:szCs w:val="24"/>
          <w:lang w:val="en"/>
        </w:rPr>
        <w:t>Section A</w:t>
      </w:r>
      <w:r>
        <w:rPr>
          <w:rFonts w:cs="Garamond"/>
          <w:szCs w:val="24"/>
          <w:lang w:val="en"/>
        </w:rPr>
        <w:fldChar w:fldCharType="end"/>
      </w:r>
      <w:r>
        <w:rPr>
          <w:rFonts w:cs="Garamond"/>
          <w:szCs w:val="24"/>
          <w:lang w:val="en"/>
        </w:rPr>
        <w:t xml:space="preserve">, fees of $180 and $370 were proposed by the Applicant for non-complex (≤30 minutes) and complex (&gt;30 minutes) second opinions, respectively. The proposed fees were based on the existing fees for initial pathology opinions. The ‘non-complex’ fee of $180 is approximately equal to the initial fee for </w:t>
      </w:r>
      <w:r>
        <w:rPr>
          <w:rFonts w:cs="Garamond"/>
          <w:szCs w:val="24"/>
          <w:lang w:val="en"/>
        </w:rPr>
        <w:lastRenderedPageBreak/>
        <w:t xml:space="preserve">examination of a complexity level 4 biopsy with at least 12 separately identified specimens. The Applicant suggested that the lower fee should be used for any second opinion involving up to 30 minutes of work and also indicated that it would be appropriate to use the non-complex item number for second opinions on bone marrow specimens. The ‘complex’ fee of $370 is approximately equal to the average of the initial fees for examination of complexity level 5 and 7 biopsy materials and would be claimed when the expert review required more than 30 minutes of pathologists’ time. </w:t>
      </w:r>
    </w:p>
    <w:p w14:paraId="4B375EF2" w14:textId="77777777" w:rsidR="00B51828" w:rsidRPr="00741510"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The provision of a second, expert opinion would include the examination of processed biopsy material and, if necessary, additional specimen dissection, processing of additional tissue, plus staining and light microscopy, and the production of a full, second written report. As discussed above, in addition to claiming reimbursement for the second opinion, expert pathologists would have the ability to recharge for ancillary items (such as IHC staining, molecular testing) in conjunction with one of the proposed new items. These may be required to provide a definitive diagnosis.</w:t>
      </w:r>
      <w:r w:rsidRPr="00741510">
        <w:rPr>
          <w:rFonts w:cs="Garamond"/>
          <w:szCs w:val="24"/>
          <w:lang w:val="en"/>
        </w:rPr>
        <w:t xml:space="preserve"> </w:t>
      </w:r>
    </w:p>
    <w:p w14:paraId="26423A77" w14:textId="4E1E3514"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The ‘non-core’ items listed in </w:t>
      </w:r>
      <w:r>
        <w:rPr>
          <w:rFonts w:cs="Garamond"/>
          <w:szCs w:val="24"/>
          <w:lang w:val="en"/>
        </w:rPr>
        <w:fldChar w:fldCharType="begin"/>
      </w:r>
      <w:r>
        <w:rPr>
          <w:rFonts w:cs="Garamond"/>
          <w:szCs w:val="24"/>
          <w:lang w:val="en"/>
        </w:rPr>
        <w:instrText xml:space="preserve"> REF _Ref393288971 \h  \* MERGEFORMAT </w:instrText>
      </w:r>
      <w:r>
        <w:rPr>
          <w:rFonts w:cs="Garamond"/>
          <w:szCs w:val="24"/>
          <w:lang w:val="en"/>
        </w:rPr>
      </w:r>
      <w:r>
        <w:rPr>
          <w:rFonts w:cs="Garamond"/>
          <w:szCs w:val="24"/>
          <w:lang w:val="en"/>
        </w:rPr>
        <w:fldChar w:fldCharType="separate"/>
      </w:r>
      <w:r w:rsidR="0044620B" w:rsidRPr="0044620B">
        <w:rPr>
          <w:rFonts w:cs="Garamond"/>
          <w:szCs w:val="24"/>
          <w:lang w:val="en"/>
        </w:rPr>
        <w:t>Table D.3</w:t>
      </w:r>
      <w:r w:rsidR="0044620B" w:rsidRPr="0044620B">
        <w:rPr>
          <w:rFonts w:cs="Garamond"/>
          <w:szCs w:val="24"/>
          <w:lang w:val="en"/>
        </w:rPr>
        <w:noBreakHyphen/>
        <w:t>2</w:t>
      </w:r>
      <w:r>
        <w:rPr>
          <w:rFonts w:cs="Garamond"/>
          <w:szCs w:val="24"/>
          <w:lang w:val="en"/>
        </w:rPr>
        <w:fldChar w:fldCharType="end"/>
      </w:r>
      <w:r>
        <w:rPr>
          <w:rFonts w:cs="Garamond"/>
          <w:szCs w:val="24"/>
          <w:lang w:val="en"/>
        </w:rPr>
        <w:t xml:space="preserve"> include ancillary tests from Groups P5 and P6 that may be undertaken by a pathologist, such as IHC, electron microscopy, ICC and enzyme histochemistry. These data were then used, by calculating averages, to estimate the ancillary unit costs applied to the model (as per </w:t>
      </w:r>
      <w:r>
        <w:rPr>
          <w:rFonts w:cs="Garamond"/>
          <w:szCs w:val="24"/>
          <w:lang w:val="en"/>
        </w:rPr>
        <w:fldChar w:fldCharType="begin"/>
      </w:r>
      <w:r>
        <w:rPr>
          <w:rFonts w:cs="Garamond"/>
          <w:szCs w:val="24"/>
          <w:lang w:val="en"/>
        </w:rPr>
        <w:instrText xml:space="preserve"> REF _Ref393286551 \h  \* MERGEFORMAT </w:instrText>
      </w:r>
      <w:r>
        <w:rPr>
          <w:rFonts w:cs="Garamond"/>
          <w:szCs w:val="24"/>
          <w:lang w:val="en"/>
        </w:rPr>
      </w:r>
      <w:r>
        <w:rPr>
          <w:rFonts w:cs="Garamond"/>
          <w:szCs w:val="24"/>
          <w:lang w:val="en"/>
        </w:rPr>
        <w:fldChar w:fldCharType="separate"/>
      </w:r>
      <w:r w:rsidR="0044620B" w:rsidRPr="0044620B">
        <w:rPr>
          <w:rFonts w:cs="Garamond"/>
          <w:szCs w:val="24"/>
          <w:lang w:val="en"/>
        </w:rPr>
        <w:t>Table D.3</w:t>
      </w:r>
      <w:r w:rsidR="0044620B" w:rsidRPr="0044620B">
        <w:rPr>
          <w:rFonts w:cs="Garamond"/>
          <w:szCs w:val="24"/>
          <w:lang w:val="en"/>
        </w:rPr>
        <w:noBreakHyphen/>
        <w:t>1</w:t>
      </w:r>
      <w:r>
        <w:rPr>
          <w:rFonts w:cs="Garamond"/>
          <w:szCs w:val="24"/>
          <w:lang w:val="en"/>
        </w:rPr>
        <w:fldChar w:fldCharType="end"/>
      </w:r>
      <w:r>
        <w:rPr>
          <w:rFonts w:cs="Garamond"/>
          <w:szCs w:val="24"/>
          <w:lang w:val="en"/>
        </w:rPr>
        <w:t xml:space="preserve">). The applied costs were differentiated by tissue pathology and cytopathology. </w:t>
      </w:r>
    </w:p>
    <w:p w14:paraId="55C9A4D2"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Since Rule 13 of the Pathology Services Table maintains that only the most costly of these services can be charged in instances of multiple items being delivered, there is no risk that this simple averaging will underestimate the cost of ancillary services due to the existence of cases where multiple ancillary tests are required. Nonetheless, the sensitivity analyses in Section </w:t>
      </w:r>
      <w:r>
        <w:rPr>
          <w:rFonts w:cs="Garamond"/>
          <w:szCs w:val="24"/>
          <w:lang w:val="en"/>
        </w:rPr>
        <w:fldChar w:fldCharType="begin"/>
      </w:r>
      <w:r>
        <w:rPr>
          <w:rFonts w:cs="Garamond"/>
          <w:szCs w:val="24"/>
          <w:lang w:val="en"/>
        </w:rPr>
        <w:instrText xml:space="preserve"> REF _Ref393290461 \w \h  \* MERGEFORMAT </w:instrText>
      </w:r>
      <w:r>
        <w:rPr>
          <w:rFonts w:cs="Garamond"/>
          <w:szCs w:val="24"/>
          <w:lang w:val="en"/>
        </w:rPr>
      </w:r>
      <w:r>
        <w:rPr>
          <w:rFonts w:cs="Garamond"/>
          <w:szCs w:val="24"/>
          <w:lang w:val="en"/>
        </w:rPr>
        <w:fldChar w:fldCharType="separate"/>
      </w:r>
      <w:r w:rsidR="0044620B">
        <w:rPr>
          <w:rFonts w:cs="Garamond"/>
          <w:szCs w:val="24"/>
          <w:lang w:val="en"/>
        </w:rPr>
        <w:t>D.5</w:t>
      </w:r>
      <w:r>
        <w:rPr>
          <w:rFonts w:cs="Garamond"/>
          <w:szCs w:val="24"/>
          <w:lang w:val="en"/>
        </w:rPr>
        <w:fldChar w:fldCharType="end"/>
      </w:r>
      <w:r>
        <w:rPr>
          <w:rFonts w:cs="Garamond"/>
          <w:szCs w:val="24"/>
          <w:lang w:val="en"/>
        </w:rPr>
        <w:t xml:space="preserve"> consider the impact of varying the estimated cost per patient of these services.</w:t>
      </w:r>
    </w:p>
    <w:p w14:paraId="33C4F1F8" w14:textId="27C15331" w:rsidR="00B51828" w:rsidRDefault="00B51828" w:rsidP="00443A7E">
      <w:pPr>
        <w:pStyle w:val="Caption"/>
      </w:pPr>
      <w:bookmarkStart w:id="203" w:name="_Ref393288971"/>
      <w:bookmarkStart w:id="204" w:name="_Toc396211754"/>
      <w:r>
        <w:t xml:space="preserve">Table </w:t>
      </w:r>
      <w:fldSimple w:instr=" STYLEREF 2 \s ">
        <w:r w:rsidR="0044620B">
          <w:rPr>
            <w:noProof/>
          </w:rPr>
          <w:t>D.3</w:t>
        </w:r>
      </w:fldSimple>
      <w:r>
        <w:noBreakHyphen/>
      </w:r>
      <w:fldSimple w:instr=" SEQ Table \* ARABIC \s 2 ">
        <w:r w:rsidR="0044620B">
          <w:rPr>
            <w:noProof/>
          </w:rPr>
          <w:t>2</w:t>
        </w:r>
      </w:fldSimple>
      <w:bookmarkEnd w:id="203"/>
      <w:r>
        <w:tab/>
        <w:t xml:space="preserve">All ‘non-core’ ancillary MBS items in Groups P5 and P6 processed </w:t>
      </w:r>
      <w:r w:rsidR="00443A7E">
        <w:t>Jul 2012 to Jun</w:t>
      </w:r>
      <w:r>
        <w:t xml:space="preserve"> 2013</w:t>
      </w:r>
      <w:bookmarkEnd w:id="204"/>
    </w:p>
    <w:tbl>
      <w:tblPr>
        <w:tblW w:w="8316" w:type="dxa"/>
        <w:tblInd w:w="705" w:type="dxa"/>
        <w:tblLayout w:type="fixed"/>
        <w:tblLook w:val="0000" w:firstRow="0" w:lastRow="0" w:firstColumn="0" w:lastColumn="0" w:noHBand="0" w:noVBand="0"/>
        <w:tblCaption w:val="All 'non-core' ancillary MBS items in Groups P5 and P6 processed from July 2012 to June 2013"/>
        <w:tblDescription w:val="The 'non-core' items from Groups P5 and P6 that may be undertaken by a pathologist in conjunction with a 'core' pathology item including IHC, electron microscopy, ICC and enzyme histochemistry."/>
      </w:tblPr>
      <w:tblGrid>
        <w:gridCol w:w="2574"/>
        <w:gridCol w:w="1820"/>
        <w:gridCol w:w="1843"/>
        <w:gridCol w:w="2079"/>
      </w:tblGrid>
      <w:tr w:rsidR="00B51828" w:rsidRPr="00367295" w14:paraId="5E3088D9" w14:textId="77777777" w:rsidTr="00D9575B">
        <w:trPr>
          <w:trHeight w:val="1"/>
          <w:tblHeader/>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25837D3B" w14:textId="77777777" w:rsidR="00B51828" w:rsidRPr="00A05231" w:rsidRDefault="00B51828" w:rsidP="00443A7E">
            <w:pPr>
              <w:keepNext/>
              <w:spacing w:before="20" w:after="20"/>
              <w:ind w:left="0"/>
              <w:rPr>
                <w:rFonts w:ascii="Arial Narrow" w:hAnsi="Arial Narrow"/>
                <w:b/>
                <w:sz w:val="20"/>
                <w:szCs w:val="20"/>
              </w:rPr>
            </w:pPr>
            <w:r w:rsidRPr="00A05231">
              <w:rPr>
                <w:rFonts w:ascii="Arial Narrow" w:hAnsi="Arial Narrow"/>
                <w:b/>
                <w:sz w:val="20"/>
                <w:szCs w:val="20"/>
              </w:rPr>
              <w:t>Item Number</w:t>
            </w:r>
          </w:p>
        </w:tc>
        <w:tc>
          <w:tcPr>
            <w:tcW w:w="1820" w:type="dxa"/>
            <w:tcBorders>
              <w:top w:val="single" w:sz="3" w:space="0" w:color="00000A"/>
              <w:left w:val="single" w:sz="3" w:space="0" w:color="00000A"/>
              <w:bottom w:val="single" w:sz="3" w:space="0" w:color="00000A"/>
              <w:right w:val="single" w:sz="3" w:space="0" w:color="00000A"/>
            </w:tcBorders>
            <w:shd w:val="clear" w:color="000000" w:fill="auto"/>
          </w:tcPr>
          <w:p w14:paraId="4067F482" w14:textId="77777777" w:rsidR="00B51828" w:rsidRPr="00A05231" w:rsidRDefault="00B51828" w:rsidP="00D9575B">
            <w:pPr>
              <w:keepNext/>
              <w:spacing w:before="20" w:after="20"/>
              <w:ind w:left="0"/>
              <w:jc w:val="right"/>
              <w:rPr>
                <w:rFonts w:ascii="Arial Narrow" w:hAnsi="Arial Narrow"/>
                <w:b/>
                <w:sz w:val="20"/>
                <w:szCs w:val="20"/>
              </w:rPr>
            </w:pPr>
            <w:r w:rsidRPr="00A05231">
              <w:rPr>
                <w:rFonts w:ascii="Arial Narrow" w:hAnsi="Arial Narrow"/>
                <w:b/>
                <w:sz w:val="20"/>
                <w:szCs w:val="20"/>
              </w:rPr>
              <w:t>Service Fee</w:t>
            </w:r>
          </w:p>
        </w:tc>
        <w:tc>
          <w:tcPr>
            <w:tcW w:w="1843" w:type="dxa"/>
            <w:tcBorders>
              <w:top w:val="single" w:sz="3" w:space="0" w:color="00000A"/>
              <w:left w:val="single" w:sz="3" w:space="0" w:color="00000A"/>
              <w:bottom w:val="single" w:sz="3" w:space="0" w:color="00000A"/>
              <w:right w:val="single" w:sz="3" w:space="0" w:color="00000A"/>
            </w:tcBorders>
            <w:shd w:val="clear" w:color="000000" w:fill="auto"/>
          </w:tcPr>
          <w:p w14:paraId="6F1C0247" w14:textId="77777777" w:rsidR="00B51828" w:rsidRPr="00A05231" w:rsidRDefault="00B51828" w:rsidP="00D9575B">
            <w:pPr>
              <w:keepNext/>
              <w:spacing w:before="20" w:after="20"/>
              <w:ind w:left="0"/>
              <w:jc w:val="right"/>
              <w:rPr>
                <w:rFonts w:ascii="Arial Narrow" w:hAnsi="Arial Narrow"/>
                <w:b/>
                <w:sz w:val="20"/>
                <w:szCs w:val="20"/>
              </w:rPr>
            </w:pPr>
            <w:r w:rsidRPr="00A05231">
              <w:rPr>
                <w:rFonts w:ascii="Arial Narrow" w:hAnsi="Arial Narrow"/>
                <w:b/>
                <w:sz w:val="20"/>
                <w:szCs w:val="20"/>
              </w:rPr>
              <w:t>Number of Services</w:t>
            </w:r>
          </w:p>
        </w:tc>
        <w:tc>
          <w:tcPr>
            <w:tcW w:w="2079" w:type="dxa"/>
            <w:tcBorders>
              <w:top w:val="single" w:sz="3" w:space="0" w:color="00000A"/>
              <w:left w:val="single" w:sz="3" w:space="0" w:color="00000A"/>
              <w:bottom w:val="single" w:sz="3" w:space="0" w:color="00000A"/>
              <w:right w:val="single" w:sz="3" w:space="0" w:color="00000A"/>
            </w:tcBorders>
            <w:shd w:val="clear" w:color="000000" w:fill="auto"/>
          </w:tcPr>
          <w:p w14:paraId="209062F1" w14:textId="05C93B56" w:rsidR="00B51828" w:rsidRPr="00A05231" w:rsidRDefault="00D9575B" w:rsidP="00D9575B">
            <w:pPr>
              <w:keepNext/>
              <w:spacing w:before="20" w:after="20"/>
              <w:ind w:left="0"/>
              <w:jc w:val="right"/>
              <w:rPr>
                <w:rFonts w:ascii="Arial Narrow" w:hAnsi="Arial Narrow"/>
                <w:b/>
                <w:sz w:val="20"/>
                <w:szCs w:val="20"/>
              </w:rPr>
            </w:pPr>
            <w:r>
              <w:rPr>
                <w:rFonts w:ascii="Arial Narrow" w:hAnsi="Arial Narrow"/>
                <w:b/>
                <w:sz w:val="20"/>
                <w:szCs w:val="20"/>
              </w:rPr>
              <w:t>T</w:t>
            </w:r>
            <w:r w:rsidR="00B51828" w:rsidRPr="00A05231">
              <w:rPr>
                <w:rFonts w:ascii="Arial Narrow" w:hAnsi="Arial Narrow"/>
                <w:b/>
                <w:sz w:val="20"/>
                <w:szCs w:val="20"/>
              </w:rPr>
              <w:t>otal Value of Benefits</w:t>
            </w:r>
          </w:p>
        </w:tc>
      </w:tr>
      <w:tr w:rsidR="008321D6" w:rsidRPr="00367295" w14:paraId="338BF2FE"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BFBFBF"/>
          </w:tcPr>
          <w:p w14:paraId="06FEC9BF" w14:textId="77777777" w:rsidR="008321D6" w:rsidRPr="00CF06D3" w:rsidRDefault="008321D6" w:rsidP="008321D6">
            <w:pPr>
              <w:keepNext/>
              <w:spacing w:before="20" w:after="20"/>
              <w:ind w:left="0"/>
              <w:rPr>
                <w:rFonts w:ascii="Calibri" w:hAnsi="Calibri" w:cs="Calibri"/>
                <w:sz w:val="22"/>
                <w:lang w:val="en"/>
              </w:rPr>
            </w:pPr>
            <w:r w:rsidRPr="00CF06D3">
              <w:rPr>
                <w:rFonts w:ascii="Arial Narrow" w:hAnsi="Arial Narrow"/>
                <w:sz w:val="20"/>
                <w:szCs w:val="20"/>
              </w:rPr>
              <w:t>Group P5 – Tissue pathology</w:t>
            </w:r>
          </w:p>
        </w:tc>
        <w:tc>
          <w:tcPr>
            <w:tcW w:w="1820" w:type="dxa"/>
            <w:tcBorders>
              <w:top w:val="single" w:sz="3" w:space="0" w:color="00000A"/>
              <w:left w:val="single" w:sz="3" w:space="0" w:color="00000A"/>
              <w:bottom w:val="single" w:sz="3" w:space="0" w:color="00000A"/>
              <w:right w:val="single" w:sz="3" w:space="0" w:color="00000A"/>
            </w:tcBorders>
            <w:shd w:val="clear" w:color="000000" w:fill="BFBFBF"/>
          </w:tcPr>
          <w:p w14:paraId="778E60DA" w14:textId="07B1FF30" w:rsidR="008321D6" w:rsidRPr="00CF06D3" w:rsidRDefault="008321D6" w:rsidP="00D9575B">
            <w:pPr>
              <w:keepNext/>
              <w:suppressAutoHyphens/>
              <w:autoSpaceDE w:val="0"/>
              <w:autoSpaceDN w:val="0"/>
              <w:adjustRightInd w:val="0"/>
              <w:spacing w:before="20" w:after="20"/>
              <w:ind w:left="0"/>
              <w:jc w:val="right"/>
              <w:rPr>
                <w:rFonts w:ascii="Calibri" w:hAnsi="Calibri" w:cs="Calibri"/>
                <w:sz w:val="22"/>
                <w:lang w:val="en"/>
              </w:rPr>
            </w:pPr>
            <w:r w:rsidRPr="00A05231">
              <w:rPr>
                <w:rFonts w:ascii="Arial Narrow" w:hAnsi="Arial Narrow" w:cs="Arial Narrow"/>
                <w:sz w:val="20"/>
                <w:szCs w:val="20"/>
                <w:lang w:val="en"/>
              </w:rPr>
              <w:t>-</w:t>
            </w:r>
          </w:p>
        </w:tc>
        <w:tc>
          <w:tcPr>
            <w:tcW w:w="1843" w:type="dxa"/>
            <w:tcBorders>
              <w:top w:val="single" w:sz="3" w:space="0" w:color="00000A"/>
              <w:left w:val="single" w:sz="3" w:space="0" w:color="00000A"/>
              <w:bottom w:val="single" w:sz="3" w:space="0" w:color="00000A"/>
              <w:right w:val="single" w:sz="3" w:space="0" w:color="00000A"/>
            </w:tcBorders>
            <w:shd w:val="clear" w:color="000000" w:fill="BFBFBF"/>
          </w:tcPr>
          <w:p w14:paraId="2C267B70" w14:textId="6DBEC871" w:rsidR="008321D6" w:rsidRPr="00CF06D3" w:rsidRDefault="008321D6" w:rsidP="00D9575B">
            <w:pPr>
              <w:keepNext/>
              <w:suppressAutoHyphens/>
              <w:autoSpaceDE w:val="0"/>
              <w:autoSpaceDN w:val="0"/>
              <w:adjustRightInd w:val="0"/>
              <w:spacing w:before="20" w:after="20"/>
              <w:ind w:left="0"/>
              <w:jc w:val="right"/>
              <w:rPr>
                <w:rFonts w:ascii="Calibri" w:hAnsi="Calibri" w:cs="Calibri"/>
                <w:sz w:val="22"/>
                <w:lang w:val="en"/>
              </w:rPr>
            </w:pPr>
            <w:r w:rsidRPr="00652EE1">
              <w:rPr>
                <w:rFonts w:ascii="Arial Narrow" w:hAnsi="Arial Narrow" w:cs="Arial Narrow"/>
                <w:sz w:val="20"/>
                <w:szCs w:val="20"/>
                <w:lang w:val="en"/>
              </w:rPr>
              <w:t>-</w:t>
            </w:r>
          </w:p>
        </w:tc>
        <w:tc>
          <w:tcPr>
            <w:tcW w:w="2079" w:type="dxa"/>
            <w:tcBorders>
              <w:top w:val="single" w:sz="3" w:space="0" w:color="00000A"/>
              <w:left w:val="single" w:sz="3" w:space="0" w:color="00000A"/>
              <w:bottom w:val="single" w:sz="3" w:space="0" w:color="00000A"/>
              <w:right w:val="single" w:sz="3" w:space="0" w:color="00000A"/>
            </w:tcBorders>
            <w:shd w:val="clear" w:color="000000" w:fill="BFBFBF"/>
          </w:tcPr>
          <w:p w14:paraId="5B5A556C" w14:textId="4B1C9A06" w:rsidR="008321D6" w:rsidRPr="00CF06D3" w:rsidRDefault="008321D6" w:rsidP="00D9575B">
            <w:pPr>
              <w:keepNext/>
              <w:suppressAutoHyphens/>
              <w:autoSpaceDE w:val="0"/>
              <w:autoSpaceDN w:val="0"/>
              <w:adjustRightInd w:val="0"/>
              <w:spacing w:before="20" w:after="20"/>
              <w:ind w:left="0"/>
              <w:jc w:val="right"/>
              <w:rPr>
                <w:rFonts w:ascii="Calibri" w:hAnsi="Calibri" w:cs="Calibri"/>
                <w:sz w:val="22"/>
                <w:lang w:val="en"/>
              </w:rPr>
            </w:pPr>
            <w:r w:rsidRPr="00652EE1">
              <w:rPr>
                <w:rFonts w:ascii="Arial Narrow" w:hAnsi="Arial Narrow" w:cs="Arial Narrow"/>
                <w:sz w:val="20"/>
                <w:szCs w:val="20"/>
                <w:lang w:val="en"/>
              </w:rPr>
              <w:t>-</w:t>
            </w:r>
          </w:p>
        </w:tc>
      </w:tr>
      <w:tr w:rsidR="00B51828" w:rsidRPr="00367295" w14:paraId="693CB676"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1AF5BD30"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72844</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606795C7"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$30.75</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00E9EE1B"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285</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29602A1F"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$7,134</w:t>
            </w:r>
          </w:p>
        </w:tc>
      </w:tr>
      <w:tr w:rsidR="00B51828" w:rsidRPr="00367295" w14:paraId="5127B066"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5930B1FB"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72846</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3C28DBED"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$59.60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0689E29A"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86,378</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72C6D6B4"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$4,240,011</w:t>
            </w:r>
          </w:p>
        </w:tc>
      </w:tr>
      <w:tr w:rsidR="00B51828" w:rsidRPr="00367295" w14:paraId="481C00BA"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7AA72061"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72847</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78921595"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$89.40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1752E826"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41,575</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62A0A663"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$3,034,995</w:t>
            </w:r>
          </w:p>
        </w:tc>
      </w:tr>
      <w:tr w:rsidR="00B51828" w:rsidRPr="00367295" w14:paraId="05416638"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7554B476"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72848</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4D9C0B5A"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$74.50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766C5887"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6,465</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358D3545"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$395,978</w:t>
            </w:r>
          </w:p>
        </w:tc>
      </w:tr>
      <w:tr w:rsidR="00B51828" w:rsidRPr="00367295" w14:paraId="7FF80361"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38FB3721"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72849</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187EBD17"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$104.30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5128D580"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14,393</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2693678B"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$1,202,532</w:t>
            </w:r>
          </w:p>
        </w:tc>
      </w:tr>
      <w:tr w:rsidR="00B51828" w:rsidRPr="00367295" w14:paraId="3D5C4E3D"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68A68FCE"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72850</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58E7BD82"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$119.20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4D5DFEBD"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6,961</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2A0282AF"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$661,737</w:t>
            </w:r>
          </w:p>
        </w:tc>
      </w:tr>
      <w:tr w:rsidR="00B51828" w:rsidRPr="00367295" w14:paraId="191A581C"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19324BC2"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72851</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399123E6"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$184.35</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101B00E7"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976</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76FE694B"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$146,160</w:t>
            </w:r>
          </w:p>
        </w:tc>
      </w:tr>
      <w:tr w:rsidR="00B51828" w:rsidRPr="00367295" w14:paraId="17C053C1"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22B2F960"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72852</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47158B20"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$245.80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20872DC2"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78</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7CF32ADD"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$15,219</w:t>
            </w:r>
          </w:p>
        </w:tc>
      </w:tr>
      <w:tr w:rsidR="00B51828" w:rsidRPr="00367295" w14:paraId="1591AD1B"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36A0267A" w14:textId="37CF3969" w:rsidR="00B51828" w:rsidRPr="00443A7E" w:rsidRDefault="00B51828" w:rsidP="00443A7E">
            <w:pPr>
              <w:keepNext/>
              <w:spacing w:before="20" w:after="20"/>
              <w:ind w:left="0"/>
              <w:rPr>
                <w:rFonts w:ascii="Arial Narrow" w:hAnsi="Arial Narrow" w:cs="Arial Narrow"/>
                <w:b/>
                <w:sz w:val="20"/>
                <w:szCs w:val="20"/>
                <w:lang w:val="en"/>
              </w:rPr>
            </w:pPr>
            <w:r w:rsidRPr="00A05231">
              <w:rPr>
                <w:rFonts w:ascii="Arial Narrow" w:hAnsi="Arial Narrow" w:cs="Arial Narrow"/>
                <w:b/>
                <w:sz w:val="20"/>
                <w:szCs w:val="20"/>
                <w:lang w:val="en"/>
              </w:rPr>
              <w:t>Total</w:t>
            </w:r>
            <w:r w:rsidR="00443A7E">
              <w:rPr>
                <w:rFonts w:ascii="Arial Narrow" w:hAnsi="Arial Narrow" w:cs="Arial Narrow"/>
                <w:b/>
                <w:sz w:val="20"/>
                <w:szCs w:val="20"/>
                <w:lang w:val="en"/>
              </w:rPr>
              <w:t xml:space="preserve"> – </w:t>
            </w:r>
            <w:r w:rsidR="00443A7E" w:rsidRPr="00443A7E">
              <w:rPr>
                <w:rFonts w:ascii="Arial Narrow" w:hAnsi="Arial Narrow" w:cs="Arial Narrow"/>
                <w:sz w:val="20"/>
                <w:szCs w:val="20"/>
                <w:lang w:val="en"/>
              </w:rPr>
              <w:t>All</w:t>
            </w:r>
            <w:r w:rsidRPr="00443A7E">
              <w:rPr>
                <w:rFonts w:ascii="Arial Narrow" w:hAnsi="Arial Narrow" w:cs="Arial Narrow"/>
                <w:sz w:val="20"/>
                <w:szCs w:val="20"/>
                <w:lang w:val="en"/>
              </w:rPr>
              <w:t xml:space="preserve"> </w:t>
            </w:r>
            <w:r w:rsidRPr="00A05231">
              <w:rPr>
                <w:rFonts w:ascii="Arial Narrow" w:hAnsi="Arial Narrow" w:cs="Arial Narrow"/>
                <w:sz w:val="20"/>
                <w:szCs w:val="20"/>
                <w:lang w:val="en"/>
              </w:rPr>
              <w:t>ancillary items</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38F0ED76"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0DD2AB3A"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157,111</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65FF7E00"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$9,703,766</w:t>
            </w:r>
          </w:p>
        </w:tc>
      </w:tr>
      <w:tr w:rsidR="008321D6" w:rsidRPr="00367295" w14:paraId="1067F55D" w14:textId="77777777" w:rsidTr="00D9575B">
        <w:trPr>
          <w:trHeight w:val="133"/>
        </w:trPr>
        <w:tc>
          <w:tcPr>
            <w:tcW w:w="2574" w:type="dxa"/>
            <w:tcBorders>
              <w:top w:val="single" w:sz="3" w:space="0" w:color="00000A"/>
              <w:left w:val="single" w:sz="3" w:space="0" w:color="00000A"/>
              <w:bottom w:val="single" w:sz="3" w:space="0" w:color="00000A"/>
              <w:right w:val="single" w:sz="3" w:space="0" w:color="00000A"/>
            </w:tcBorders>
            <w:shd w:val="clear" w:color="000000" w:fill="BFBFBF"/>
          </w:tcPr>
          <w:p w14:paraId="10AA95E4" w14:textId="77777777" w:rsidR="008321D6" w:rsidRPr="00CF06D3" w:rsidRDefault="008321D6" w:rsidP="008321D6">
            <w:pPr>
              <w:keepNext/>
              <w:spacing w:before="20" w:after="20"/>
              <w:ind w:left="0"/>
              <w:rPr>
                <w:rFonts w:ascii="Calibri" w:hAnsi="Calibri" w:cs="Calibri"/>
                <w:sz w:val="22"/>
                <w:lang w:val="en"/>
              </w:rPr>
            </w:pPr>
            <w:r w:rsidRPr="00CF06D3">
              <w:rPr>
                <w:rFonts w:ascii="Arial Narrow" w:hAnsi="Arial Narrow"/>
                <w:sz w:val="20"/>
                <w:szCs w:val="20"/>
              </w:rPr>
              <w:t>Group P6 – Cytology</w:t>
            </w:r>
          </w:p>
        </w:tc>
        <w:tc>
          <w:tcPr>
            <w:tcW w:w="1820" w:type="dxa"/>
            <w:tcBorders>
              <w:top w:val="single" w:sz="3" w:space="0" w:color="00000A"/>
              <w:left w:val="single" w:sz="3" w:space="0" w:color="00000A"/>
              <w:bottom w:val="single" w:sz="3" w:space="0" w:color="00000A"/>
              <w:right w:val="single" w:sz="3" w:space="0" w:color="00000A"/>
            </w:tcBorders>
            <w:shd w:val="clear" w:color="000000" w:fill="BFBFBF"/>
          </w:tcPr>
          <w:p w14:paraId="7B44FE54" w14:textId="2F71EA71" w:rsidR="008321D6" w:rsidRPr="0019563F" w:rsidRDefault="008321D6"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800965">
              <w:rPr>
                <w:rFonts w:ascii="Arial Narrow" w:hAnsi="Arial Narrow" w:cs="Arial Narrow"/>
                <w:sz w:val="20"/>
                <w:szCs w:val="20"/>
                <w:lang w:val="en"/>
              </w:rPr>
              <w:t>-</w:t>
            </w:r>
          </w:p>
        </w:tc>
        <w:tc>
          <w:tcPr>
            <w:tcW w:w="1843" w:type="dxa"/>
            <w:tcBorders>
              <w:top w:val="single" w:sz="3" w:space="0" w:color="00000A"/>
              <w:left w:val="single" w:sz="3" w:space="0" w:color="00000A"/>
              <w:bottom w:val="single" w:sz="3" w:space="0" w:color="00000A"/>
              <w:right w:val="single" w:sz="3" w:space="0" w:color="00000A"/>
            </w:tcBorders>
            <w:shd w:val="clear" w:color="000000" w:fill="BFBFBF"/>
          </w:tcPr>
          <w:p w14:paraId="20DDC6B1" w14:textId="403BC592" w:rsidR="008321D6" w:rsidRPr="0019563F" w:rsidRDefault="008321D6"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800965">
              <w:rPr>
                <w:rFonts w:ascii="Arial Narrow" w:hAnsi="Arial Narrow" w:cs="Arial Narrow"/>
                <w:sz w:val="20"/>
                <w:szCs w:val="20"/>
                <w:lang w:val="en"/>
              </w:rPr>
              <w:t>-</w:t>
            </w:r>
          </w:p>
        </w:tc>
        <w:tc>
          <w:tcPr>
            <w:tcW w:w="2079" w:type="dxa"/>
            <w:tcBorders>
              <w:top w:val="single" w:sz="3" w:space="0" w:color="00000A"/>
              <w:left w:val="single" w:sz="3" w:space="0" w:color="00000A"/>
              <w:bottom w:val="single" w:sz="3" w:space="0" w:color="00000A"/>
              <w:right w:val="single" w:sz="3" w:space="0" w:color="00000A"/>
            </w:tcBorders>
            <w:shd w:val="clear" w:color="000000" w:fill="BFBFBF"/>
          </w:tcPr>
          <w:p w14:paraId="771C369C" w14:textId="5017532F" w:rsidR="008321D6" w:rsidRPr="0019563F" w:rsidRDefault="008321D6"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800965">
              <w:rPr>
                <w:rFonts w:ascii="Arial Narrow" w:hAnsi="Arial Narrow" w:cs="Arial Narrow"/>
                <w:sz w:val="20"/>
                <w:szCs w:val="20"/>
                <w:lang w:val="en"/>
              </w:rPr>
              <w:t>-</w:t>
            </w:r>
          </w:p>
        </w:tc>
      </w:tr>
      <w:tr w:rsidR="00B51828" w:rsidRPr="00367295" w14:paraId="7AE10D0A"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7F3C9978"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73059</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52D882A2"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$43.00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57186C5F"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1,629</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5F026B73"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$59,021</w:t>
            </w:r>
          </w:p>
        </w:tc>
      </w:tr>
      <w:tr w:rsidR="00B51828" w:rsidRPr="00367295" w14:paraId="66DFA6C7"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26BE38E9"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73060</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6A9A1B48"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$57.35</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351594CA"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2,006</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17F9D7FC"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$94,584</w:t>
            </w:r>
          </w:p>
        </w:tc>
      </w:tr>
      <w:tr w:rsidR="00B51828" w:rsidRPr="00367295" w14:paraId="664CF1A4"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2D0DFE08"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73061</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0CD7354D"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$51.20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37248DE2"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336</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1063F8D0"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$14,396</w:t>
            </w:r>
          </w:p>
        </w:tc>
      </w:tr>
      <w:tr w:rsidR="00B51828" w:rsidRPr="00367295" w14:paraId="2E113000"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30DF159E"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73064</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794D1D98"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$71.70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1E755033"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1,092</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1592714C"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$64,137</w:t>
            </w:r>
          </w:p>
        </w:tc>
      </w:tr>
      <w:tr w:rsidR="00B51828" w:rsidRPr="00367295" w14:paraId="2E321F09"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646B3D19" w14:textId="77777777" w:rsidR="00B51828" w:rsidRPr="00A05231" w:rsidRDefault="00B51828" w:rsidP="00443A7E">
            <w:pPr>
              <w:keepNext/>
              <w:suppressAutoHyphens/>
              <w:autoSpaceDE w:val="0"/>
              <w:autoSpaceDN w:val="0"/>
              <w:adjustRightInd w:val="0"/>
              <w:spacing w:before="20" w:after="20"/>
              <w:ind w:left="0"/>
              <w:rPr>
                <w:rFonts w:ascii="Arial Narrow" w:hAnsi="Arial Narrow" w:cs="Arial Narrow"/>
                <w:sz w:val="20"/>
                <w:szCs w:val="20"/>
                <w:lang w:val="en"/>
              </w:rPr>
            </w:pPr>
            <w:r w:rsidRPr="00A05231">
              <w:rPr>
                <w:rFonts w:ascii="Arial Narrow" w:hAnsi="Arial Narrow" w:cs="Arial Narrow"/>
                <w:sz w:val="20"/>
                <w:szCs w:val="20"/>
                <w:lang w:val="en"/>
              </w:rPr>
              <w:t>73065</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0113E4C4"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$86.00</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733BF044"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479</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5D7D6254"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$34,570</w:t>
            </w:r>
          </w:p>
        </w:tc>
      </w:tr>
      <w:tr w:rsidR="00B51828" w:rsidRPr="00367295" w14:paraId="6EC625C3" w14:textId="77777777" w:rsidTr="00D9575B">
        <w:trPr>
          <w:trHeight w:val="1"/>
        </w:trPr>
        <w:tc>
          <w:tcPr>
            <w:tcW w:w="2574" w:type="dxa"/>
            <w:tcBorders>
              <w:top w:val="single" w:sz="3" w:space="0" w:color="00000A"/>
              <w:left w:val="single" w:sz="3" w:space="0" w:color="00000A"/>
              <w:bottom w:val="single" w:sz="3" w:space="0" w:color="00000A"/>
              <w:right w:val="single" w:sz="3" w:space="0" w:color="00000A"/>
            </w:tcBorders>
            <w:shd w:val="clear" w:color="000000" w:fill="FFFFFF"/>
          </w:tcPr>
          <w:p w14:paraId="71930725" w14:textId="4B6646EC" w:rsidR="00B51828" w:rsidRPr="00443A7E" w:rsidRDefault="00B51828" w:rsidP="00443A7E">
            <w:pPr>
              <w:keepNext/>
              <w:spacing w:before="20" w:after="20"/>
              <w:ind w:left="0"/>
              <w:rPr>
                <w:rFonts w:ascii="Arial Narrow" w:hAnsi="Arial Narrow" w:cs="Arial Narrow"/>
                <w:b/>
                <w:sz w:val="20"/>
                <w:szCs w:val="20"/>
                <w:lang w:val="en"/>
              </w:rPr>
            </w:pPr>
            <w:r w:rsidRPr="00A05231">
              <w:rPr>
                <w:rFonts w:ascii="Arial Narrow" w:hAnsi="Arial Narrow" w:cs="Arial Narrow"/>
                <w:b/>
                <w:sz w:val="20"/>
                <w:szCs w:val="20"/>
                <w:lang w:val="en"/>
              </w:rPr>
              <w:t>Total</w:t>
            </w:r>
            <w:r w:rsidR="00443A7E">
              <w:rPr>
                <w:rFonts w:ascii="Arial Narrow" w:hAnsi="Arial Narrow" w:cs="Arial Narrow"/>
                <w:b/>
                <w:sz w:val="20"/>
                <w:szCs w:val="20"/>
                <w:lang w:val="en"/>
              </w:rPr>
              <w:t xml:space="preserve"> – </w:t>
            </w:r>
            <w:r w:rsidRPr="00A05231">
              <w:rPr>
                <w:rFonts w:ascii="Arial Narrow" w:hAnsi="Arial Narrow" w:cs="Arial Narrow"/>
                <w:sz w:val="20"/>
                <w:szCs w:val="20"/>
                <w:lang w:val="en"/>
              </w:rPr>
              <w:t>All ancillary items</w:t>
            </w:r>
          </w:p>
        </w:tc>
        <w:tc>
          <w:tcPr>
            <w:tcW w:w="1820" w:type="dxa"/>
            <w:tcBorders>
              <w:top w:val="single" w:sz="3" w:space="0" w:color="00000A"/>
              <w:left w:val="single" w:sz="3" w:space="0" w:color="00000A"/>
              <w:bottom w:val="single" w:sz="3" w:space="0" w:color="00000A"/>
              <w:right w:val="single" w:sz="3" w:space="0" w:color="00000A"/>
            </w:tcBorders>
            <w:shd w:val="clear" w:color="000000" w:fill="FFFFFF"/>
          </w:tcPr>
          <w:p w14:paraId="3085FF58"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w:t>
            </w:r>
          </w:p>
        </w:tc>
        <w:tc>
          <w:tcPr>
            <w:tcW w:w="1843" w:type="dxa"/>
            <w:tcBorders>
              <w:top w:val="single" w:sz="3" w:space="0" w:color="00000A"/>
              <w:left w:val="single" w:sz="3" w:space="0" w:color="00000A"/>
              <w:bottom w:val="single" w:sz="3" w:space="0" w:color="00000A"/>
              <w:right w:val="single" w:sz="3" w:space="0" w:color="00000A"/>
            </w:tcBorders>
            <w:shd w:val="clear" w:color="000000" w:fill="FFFFFF"/>
          </w:tcPr>
          <w:p w14:paraId="1FA191D6"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5,542</w:t>
            </w:r>
          </w:p>
        </w:tc>
        <w:tc>
          <w:tcPr>
            <w:tcW w:w="2079" w:type="dxa"/>
            <w:tcBorders>
              <w:top w:val="single" w:sz="3" w:space="0" w:color="00000A"/>
              <w:left w:val="single" w:sz="3" w:space="0" w:color="00000A"/>
              <w:bottom w:val="single" w:sz="3" w:space="0" w:color="00000A"/>
              <w:right w:val="single" w:sz="3" w:space="0" w:color="00000A"/>
            </w:tcBorders>
            <w:shd w:val="clear" w:color="000000" w:fill="FFFFFF"/>
          </w:tcPr>
          <w:p w14:paraId="1464816E" w14:textId="77777777" w:rsidR="00B51828" w:rsidRPr="00A05231" w:rsidRDefault="00B51828" w:rsidP="00D9575B">
            <w:pPr>
              <w:keepNext/>
              <w:suppressAutoHyphens/>
              <w:autoSpaceDE w:val="0"/>
              <w:autoSpaceDN w:val="0"/>
              <w:adjustRightInd w:val="0"/>
              <w:spacing w:before="20" w:after="20"/>
              <w:ind w:left="0"/>
              <w:jc w:val="right"/>
              <w:rPr>
                <w:rFonts w:ascii="Arial Narrow" w:hAnsi="Arial Narrow" w:cs="Arial Narrow"/>
                <w:sz w:val="20"/>
                <w:szCs w:val="20"/>
                <w:lang w:val="en"/>
              </w:rPr>
            </w:pPr>
            <w:r w:rsidRPr="00A05231">
              <w:rPr>
                <w:rFonts w:ascii="Arial Narrow" w:hAnsi="Arial Narrow" w:cs="Arial Narrow"/>
                <w:sz w:val="20"/>
                <w:szCs w:val="20"/>
                <w:lang w:val="en"/>
              </w:rPr>
              <w:t>$266,709</w:t>
            </w:r>
          </w:p>
        </w:tc>
      </w:tr>
    </w:tbl>
    <w:p w14:paraId="42A38AA6" w14:textId="77777777" w:rsidR="00B51828" w:rsidRPr="00F8363F" w:rsidRDefault="00B51828" w:rsidP="00DB4FF8">
      <w:pPr>
        <w:keepNext/>
        <w:suppressAutoHyphens/>
        <w:autoSpaceDE w:val="0"/>
        <w:autoSpaceDN w:val="0"/>
        <w:adjustRightInd w:val="0"/>
        <w:spacing w:before="20" w:after="0" w:line="100" w:lineRule="atLeast"/>
        <w:ind w:left="709"/>
        <w:rPr>
          <w:rFonts w:ascii="Arial Narrow" w:hAnsi="Arial Narrow" w:cs="Arial Narrow"/>
          <w:sz w:val="18"/>
          <w:szCs w:val="18"/>
          <w:lang w:val="en"/>
        </w:rPr>
      </w:pPr>
      <w:r w:rsidRPr="00F8363F">
        <w:rPr>
          <w:rFonts w:ascii="Arial Narrow" w:hAnsi="Arial Narrow" w:cs="Arial Narrow"/>
          <w:sz w:val="18"/>
          <w:szCs w:val="18"/>
          <w:lang w:val="en"/>
        </w:rPr>
        <w:t>Abbreviations: MBS, Medicare Benefits Schedule</w:t>
      </w:r>
      <w:r w:rsidRPr="00F8363F">
        <w:rPr>
          <w:rFonts w:ascii="Arial Narrow" w:hAnsi="Arial Narrow" w:cs="Arial Narrow"/>
          <w:sz w:val="18"/>
          <w:szCs w:val="18"/>
          <w:lang w:val="en"/>
        </w:rPr>
        <w:br/>
        <w:t>Data Source: Medicare Australia Statistics website.</w:t>
      </w:r>
    </w:p>
    <w:p w14:paraId="170ACFDC" w14:textId="77777777" w:rsidR="00B51828" w:rsidRPr="00F8363F" w:rsidRDefault="00B51828" w:rsidP="002101D2">
      <w:pPr>
        <w:widowControl w:val="0"/>
        <w:suppressAutoHyphens/>
        <w:autoSpaceDE w:val="0"/>
        <w:autoSpaceDN w:val="0"/>
        <w:adjustRightInd w:val="0"/>
        <w:spacing w:after="360" w:line="100" w:lineRule="atLeast"/>
        <w:ind w:left="709"/>
        <w:rPr>
          <w:rFonts w:ascii="Arial Narrow" w:hAnsi="Arial Narrow" w:cs="Arial Narrow"/>
          <w:sz w:val="18"/>
          <w:szCs w:val="18"/>
          <w:lang w:val="en"/>
        </w:rPr>
      </w:pPr>
      <w:r w:rsidRPr="00F8363F">
        <w:rPr>
          <w:rFonts w:ascii="Arial Narrow" w:hAnsi="Arial Narrow" w:cs="Arial Narrow"/>
          <w:sz w:val="18"/>
          <w:szCs w:val="18"/>
          <w:lang w:val="en"/>
        </w:rPr>
        <w:t>Note: Group P5 ancillary items (e.g. item 72846 for immunohistochemical stains) are also regularly claimed in conjunction with the core bone marrow items (65084-65087) in Group P1.</w:t>
      </w:r>
    </w:p>
    <w:p w14:paraId="14D4DE53" w14:textId="77777777" w:rsidR="00B51828" w:rsidRDefault="00B51828" w:rsidP="00B51828">
      <w:pPr>
        <w:pStyle w:val="Heading3"/>
        <w:numPr>
          <w:ilvl w:val="2"/>
          <w:numId w:val="1"/>
        </w:numPr>
        <w:rPr>
          <w:lang w:val="en"/>
        </w:rPr>
      </w:pPr>
      <w:bookmarkStart w:id="205" w:name="_Ref393290940"/>
      <w:r>
        <w:rPr>
          <w:lang w:val="en"/>
        </w:rPr>
        <w:lastRenderedPageBreak/>
        <w:t>Health outcomes</w:t>
      </w:r>
      <w:bookmarkEnd w:id="205"/>
    </w:p>
    <w:p w14:paraId="4561E0DB" w14:textId="64AF3E2B"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The economic evaluation, for reasons provided above, relies on intermediate, rather than final, health outcomes. Specifically, the model calculates the incremental cost per significant (clinically</w:t>
      </w:r>
      <w:r w:rsidR="0053670C">
        <w:rPr>
          <w:rFonts w:cs="Garamond"/>
          <w:szCs w:val="24"/>
          <w:lang w:val="en"/>
        </w:rPr>
        <w:t xml:space="preserve"> </w:t>
      </w:r>
      <w:r>
        <w:rPr>
          <w:rFonts w:cs="Garamond"/>
          <w:szCs w:val="24"/>
          <w:lang w:val="en"/>
        </w:rPr>
        <w:t>relevant) change in diagnosis or interpretation.</w:t>
      </w:r>
    </w:p>
    <w:p w14:paraId="56FC0F11" w14:textId="671AE4E4"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As is described in detail below, this was derived from the rate of major discrepancies from the original (provisional) diagnosis generated from the initial pathology sample. Such cases are representative of those which could potentially results in a change in clinical management from the initial pathology opinion. Moreover, these cases are often those in which diagnosis is modified from benign to malignant or vice</w:t>
      </w:r>
      <w:r w:rsidR="00DB23AB">
        <w:rPr>
          <w:rFonts w:cs="Garamond"/>
          <w:szCs w:val="24"/>
          <w:lang w:val="en"/>
        </w:rPr>
        <w:t xml:space="preserve"> </w:t>
      </w:r>
      <w:r>
        <w:rPr>
          <w:rFonts w:cs="Garamond"/>
          <w:szCs w:val="24"/>
          <w:lang w:val="en"/>
        </w:rPr>
        <w:t>versa and can, therefore, be thought of as ‘significant’.</w:t>
      </w:r>
    </w:p>
    <w:p w14:paraId="1EDAF364" w14:textId="77777777" w:rsidR="00B51828" w:rsidRDefault="00B51828" w:rsidP="00B51828">
      <w:pPr>
        <w:pStyle w:val="Heading3"/>
        <w:numPr>
          <w:ilvl w:val="2"/>
          <w:numId w:val="1"/>
        </w:numPr>
        <w:rPr>
          <w:lang w:val="en"/>
        </w:rPr>
      </w:pPr>
      <w:r>
        <w:rPr>
          <w:lang w:val="en"/>
        </w:rPr>
        <w:t>Transition probabilities</w:t>
      </w:r>
    </w:p>
    <w:p w14:paraId="50B8129A" w14:textId="77777777"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The transition probabilities applied to the economic evaluation comprise those governing the proportion of patients requiring expert opinion, the complexity level of expert opinions, the proportion of expert opinions with a need for ancillary tests, and the proportion of patients who have their diagnosis confirmed or changed. The latter are calculated from the major discrepancy rates presented in the included studies from Section </w:t>
      </w:r>
      <w:r>
        <w:rPr>
          <w:rFonts w:cs="Garamond"/>
          <w:szCs w:val="24"/>
          <w:lang w:val="en"/>
        </w:rPr>
        <w:fldChar w:fldCharType="begin"/>
      </w:r>
      <w:r>
        <w:rPr>
          <w:rFonts w:cs="Garamond"/>
          <w:szCs w:val="24"/>
          <w:lang w:val="en"/>
        </w:rPr>
        <w:instrText xml:space="preserve"> REF _Ref395188697 \r \h </w:instrText>
      </w:r>
      <w:r>
        <w:rPr>
          <w:rFonts w:cs="Garamond"/>
          <w:szCs w:val="24"/>
          <w:lang w:val="en"/>
        </w:rPr>
      </w:r>
      <w:r>
        <w:rPr>
          <w:rFonts w:cs="Garamond"/>
          <w:szCs w:val="24"/>
          <w:lang w:val="en"/>
        </w:rPr>
        <w:fldChar w:fldCharType="separate"/>
      </w:r>
      <w:r w:rsidR="0044620B">
        <w:rPr>
          <w:rFonts w:cs="Garamond"/>
          <w:szCs w:val="24"/>
          <w:lang w:val="en"/>
        </w:rPr>
        <w:t>B.6.2</w:t>
      </w:r>
      <w:r>
        <w:rPr>
          <w:rFonts w:cs="Garamond"/>
          <w:szCs w:val="24"/>
          <w:lang w:val="en"/>
        </w:rPr>
        <w:fldChar w:fldCharType="end"/>
      </w:r>
      <w:r>
        <w:rPr>
          <w:rFonts w:cs="Garamond"/>
          <w:szCs w:val="24"/>
          <w:lang w:val="en"/>
        </w:rPr>
        <w:t xml:space="preserve"> (as described below), while the others are derived from the Expert Opinion Survey undertaken in preparation for this Assessment Report (see </w:t>
      </w:r>
      <w:r>
        <w:rPr>
          <w:rFonts w:cs="Garamond"/>
          <w:szCs w:val="24"/>
          <w:lang w:val="en"/>
        </w:rPr>
        <w:fldChar w:fldCharType="begin"/>
      </w:r>
      <w:r>
        <w:rPr>
          <w:rFonts w:cs="Garamond"/>
          <w:szCs w:val="24"/>
          <w:lang w:val="en"/>
        </w:rPr>
        <w:instrText xml:space="preserve"> REF _Ref393290918 \w \h  \* MERGEFORMAT </w:instrText>
      </w:r>
      <w:r>
        <w:rPr>
          <w:rFonts w:cs="Garamond"/>
          <w:szCs w:val="24"/>
          <w:lang w:val="en"/>
        </w:rPr>
      </w:r>
      <w:r>
        <w:rPr>
          <w:rFonts w:cs="Garamond"/>
          <w:szCs w:val="24"/>
          <w:lang w:val="en"/>
        </w:rPr>
        <w:fldChar w:fldCharType="separate"/>
      </w:r>
      <w:r w:rsidR="0044620B">
        <w:rPr>
          <w:rFonts w:cs="Garamond"/>
          <w:szCs w:val="24"/>
          <w:lang w:val="en"/>
        </w:rPr>
        <w:t>Section C</w:t>
      </w:r>
      <w:r>
        <w:rPr>
          <w:rFonts w:cs="Garamond"/>
          <w:szCs w:val="24"/>
          <w:lang w:val="en"/>
        </w:rPr>
        <w:fldChar w:fldCharType="end"/>
      </w:r>
      <w:r>
        <w:rPr>
          <w:rFonts w:cs="Garamond"/>
          <w:szCs w:val="24"/>
          <w:lang w:val="en"/>
        </w:rPr>
        <w:t xml:space="preserve"> </w:t>
      </w:r>
      <w:r w:rsidRPr="000B01BB">
        <w:rPr>
          <w:rFonts w:cs="Garamond"/>
          <w:szCs w:val="24"/>
          <w:lang w:val="en"/>
        </w:rPr>
        <w:t>and Appendix 5).</w:t>
      </w:r>
      <w:r>
        <w:rPr>
          <w:rFonts w:cs="Garamond"/>
          <w:szCs w:val="24"/>
          <w:lang w:val="en"/>
        </w:rPr>
        <w:t xml:space="preserve"> </w:t>
      </w:r>
    </w:p>
    <w:p w14:paraId="40AE7E87" w14:textId="1260A246"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As described in Section </w:t>
      </w:r>
      <w:r>
        <w:rPr>
          <w:rFonts w:cs="Garamond"/>
          <w:szCs w:val="24"/>
          <w:lang w:val="en"/>
        </w:rPr>
        <w:fldChar w:fldCharType="begin"/>
      </w:r>
      <w:r>
        <w:rPr>
          <w:rFonts w:cs="Garamond"/>
          <w:szCs w:val="24"/>
          <w:lang w:val="en"/>
        </w:rPr>
        <w:instrText xml:space="preserve"> REF _Ref393290940 \w \h  \* MERGEFORMAT </w:instrText>
      </w:r>
      <w:r>
        <w:rPr>
          <w:rFonts w:cs="Garamond"/>
          <w:szCs w:val="24"/>
          <w:lang w:val="en"/>
        </w:rPr>
      </w:r>
      <w:r>
        <w:rPr>
          <w:rFonts w:cs="Garamond"/>
          <w:szCs w:val="24"/>
          <w:lang w:val="en"/>
        </w:rPr>
        <w:fldChar w:fldCharType="separate"/>
      </w:r>
      <w:r w:rsidR="0044620B">
        <w:rPr>
          <w:rFonts w:cs="Garamond"/>
          <w:szCs w:val="24"/>
          <w:lang w:val="en"/>
        </w:rPr>
        <w:t>D.3.2</w:t>
      </w:r>
      <w:r>
        <w:rPr>
          <w:rFonts w:cs="Garamond"/>
          <w:szCs w:val="24"/>
          <w:lang w:val="en"/>
        </w:rPr>
        <w:fldChar w:fldCharType="end"/>
      </w:r>
      <w:r>
        <w:rPr>
          <w:rFonts w:cs="Garamond"/>
          <w:szCs w:val="24"/>
          <w:lang w:val="en"/>
        </w:rPr>
        <w:t xml:space="preserve"> above, the economic model calculates the incremental cost per significant (clinically</w:t>
      </w:r>
      <w:r w:rsidR="0053670C">
        <w:rPr>
          <w:rFonts w:cs="Garamond"/>
          <w:szCs w:val="24"/>
          <w:lang w:val="en"/>
        </w:rPr>
        <w:t xml:space="preserve"> </w:t>
      </w:r>
      <w:r>
        <w:rPr>
          <w:rFonts w:cs="Garamond"/>
          <w:szCs w:val="24"/>
          <w:lang w:val="en"/>
        </w:rPr>
        <w:t>relevant) change in diagnosis or interpretation. To do this, data relating to major discrepancies in cases with a provisional diagnosis were applied to the economic model. Note, it is not clear that definitive diagnoses following second, expert opinion lead to treatment changes in cases of non-provisional diagnoses (e.g. no diagnosis). Moreover, there are no data available which could be used to shed light on this consideration. Consequently, the economic evaluation must give focus to major discrepancies in provisional cases alone if it is to be used to calculate the incremental cost per significant (clinically</w:t>
      </w:r>
      <w:r w:rsidR="0053670C">
        <w:rPr>
          <w:rFonts w:cs="Garamond"/>
          <w:szCs w:val="24"/>
          <w:lang w:val="en"/>
        </w:rPr>
        <w:t xml:space="preserve"> </w:t>
      </w:r>
      <w:r>
        <w:rPr>
          <w:rFonts w:cs="Garamond"/>
          <w:szCs w:val="24"/>
          <w:lang w:val="en"/>
        </w:rPr>
        <w:t xml:space="preserve">relevant) change in diagnosis or interpretation. The impact of this is tested in the sensitivity analyses presented in Section </w:t>
      </w:r>
      <w:r>
        <w:rPr>
          <w:rFonts w:cs="Garamond"/>
          <w:szCs w:val="24"/>
          <w:lang w:val="en"/>
        </w:rPr>
        <w:fldChar w:fldCharType="begin"/>
      </w:r>
      <w:r>
        <w:rPr>
          <w:rFonts w:cs="Garamond"/>
          <w:szCs w:val="24"/>
          <w:lang w:val="en"/>
        </w:rPr>
        <w:instrText xml:space="preserve"> REF _Ref393290979 \w \h  \* MERGEFORMAT </w:instrText>
      </w:r>
      <w:r>
        <w:rPr>
          <w:rFonts w:cs="Garamond"/>
          <w:szCs w:val="24"/>
          <w:lang w:val="en"/>
        </w:rPr>
      </w:r>
      <w:r>
        <w:rPr>
          <w:rFonts w:cs="Garamond"/>
          <w:szCs w:val="24"/>
          <w:lang w:val="en"/>
        </w:rPr>
        <w:fldChar w:fldCharType="separate"/>
      </w:r>
      <w:r w:rsidR="0044620B">
        <w:rPr>
          <w:rFonts w:cs="Garamond"/>
          <w:szCs w:val="24"/>
          <w:lang w:val="en"/>
        </w:rPr>
        <w:t>D.5</w:t>
      </w:r>
      <w:r>
        <w:rPr>
          <w:rFonts w:cs="Garamond"/>
          <w:szCs w:val="24"/>
          <w:lang w:val="en"/>
        </w:rPr>
        <w:fldChar w:fldCharType="end"/>
      </w:r>
      <w:r>
        <w:rPr>
          <w:rFonts w:cs="Garamond"/>
          <w:szCs w:val="24"/>
          <w:lang w:val="en"/>
        </w:rPr>
        <w:t>.</w:t>
      </w:r>
    </w:p>
    <w:p w14:paraId="0138E00E" w14:textId="77E72D0F" w:rsidR="00B51828" w:rsidRDefault="00B51828" w:rsidP="002101D2">
      <w:pPr>
        <w:widowControl w:val="0"/>
        <w:suppressAutoHyphens/>
        <w:autoSpaceDE w:val="0"/>
        <w:autoSpaceDN w:val="0"/>
        <w:adjustRightInd w:val="0"/>
        <w:spacing w:line="100" w:lineRule="atLeast"/>
        <w:ind w:left="733"/>
        <w:rPr>
          <w:rFonts w:cs="Garamond"/>
          <w:szCs w:val="24"/>
          <w:lang w:val="en"/>
        </w:rPr>
      </w:pPr>
      <w:r>
        <w:rPr>
          <w:rFonts w:cs="Garamond"/>
          <w:szCs w:val="24"/>
          <w:lang w:val="en"/>
        </w:rPr>
        <w:t xml:space="preserve">The health outcomes data used in the economic evaluation are based on data presented in Section </w:t>
      </w:r>
      <w:r>
        <w:rPr>
          <w:rFonts w:cs="Garamond"/>
          <w:szCs w:val="24"/>
          <w:lang w:val="en"/>
        </w:rPr>
        <w:fldChar w:fldCharType="begin"/>
      </w:r>
      <w:r>
        <w:rPr>
          <w:rFonts w:cs="Garamond"/>
          <w:szCs w:val="24"/>
          <w:lang w:val="en"/>
        </w:rPr>
        <w:instrText xml:space="preserve"> REF _Ref395188697 \r \h </w:instrText>
      </w:r>
      <w:r>
        <w:rPr>
          <w:rFonts w:cs="Garamond"/>
          <w:szCs w:val="24"/>
          <w:lang w:val="en"/>
        </w:rPr>
      </w:r>
      <w:r>
        <w:rPr>
          <w:rFonts w:cs="Garamond"/>
          <w:szCs w:val="24"/>
          <w:lang w:val="en"/>
        </w:rPr>
        <w:fldChar w:fldCharType="separate"/>
      </w:r>
      <w:r w:rsidR="0044620B">
        <w:rPr>
          <w:rFonts w:cs="Garamond"/>
          <w:szCs w:val="24"/>
          <w:lang w:val="en"/>
        </w:rPr>
        <w:t>B.6.2</w:t>
      </w:r>
      <w:r>
        <w:rPr>
          <w:rFonts w:cs="Garamond"/>
          <w:szCs w:val="24"/>
          <w:lang w:val="en"/>
        </w:rPr>
        <w:fldChar w:fldCharType="end"/>
      </w:r>
      <w:r>
        <w:rPr>
          <w:rFonts w:cs="Garamond"/>
          <w:szCs w:val="24"/>
          <w:lang w:val="en"/>
        </w:rPr>
        <w:t xml:space="preserve"> of this Assessment Report. The data applied to the base case analysis are presented in </w:t>
      </w:r>
      <w:r>
        <w:rPr>
          <w:rFonts w:cs="Garamond"/>
          <w:szCs w:val="24"/>
          <w:lang w:val="en"/>
        </w:rPr>
        <w:fldChar w:fldCharType="begin"/>
      </w:r>
      <w:r>
        <w:rPr>
          <w:rFonts w:cs="Garamond"/>
          <w:szCs w:val="24"/>
          <w:lang w:val="en"/>
        </w:rPr>
        <w:instrText xml:space="preserve"> REF _Ref393291737 \h  \* MERGEFORMAT </w:instrText>
      </w:r>
      <w:r>
        <w:rPr>
          <w:rFonts w:cs="Garamond"/>
          <w:szCs w:val="24"/>
          <w:lang w:val="en"/>
        </w:rPr>
      </w:r>
      <w:r>
        <w:rPr>
          <w:rFonts w:cs="Garamond"/>
          <w:szCs w:val="24"/>
          <w:lang w:val="en"/>
        </w:rPr>
        <w:fldChar w:fldCharType="separate"/>
      </w:r>
      <w:r w:rsidR="0044620B" w:rsidRPr="0044620B">
        <w:rPr>
          <w:rFonts w:cs="Garamond"/>
          <w:szCs w:val="24"/>
          <w:lang w:val="en"/>
        </w:rPr>
        <w:t>Table D.3</w:t>
      </w:r>
      <w:r w:rsidR="0044620B" w:rsidRPr="0044620B">
        <w:rPr>
          <w:rFonts w:cs="Garamond"/>
          <w:szCs w:val="24"/>
          <w:lang w:val="en"/>
        </w:rPr>
        <w:noBreakHyphen/>
        <w:t>3</w:t>
      </w:r>
      <w:r>
        <w:rPr>
          <w:rFonts w:cs="Garamond"/>
          <w:szCs w:val="24"/>
          <w:lang w:val="en"/>
        </w:rPr>
        <w:fldChar w:fldCharType="end"/>
      </w:r>
      <w:r>
        <w:rPr>
          <w:rFonts w:cs="Garamond"/>
          <w:szCs w:val="24"/>
          <w:lang w:val="en"/>
        </w:rPr>
        <w:t xml:space="preserve"> for transparency.</w:t>
      </w:r>
    </w:p>
    <w:p w14:paraId="7DF838D9" w14:textId="77777777" w:rsidR="00B51828" w:rsidRDefault="00B51828" w:rsidP="002101D2">
      <w:pPr>
        <w:pStyle w:val="Caption"/>
      </w:pPr>
      <w:bookmarkStart w:id="206" w:name="_Ref393291737"/>
      <w:bookmarkStart w:id="207" w:name="_Toc396211755"/>
      <w:r>
        <w:t xml:space="preserve">Table </w:t>
      </w:r>
      <w:fldSimple w:instr=" STYLEREF 2 \s ">
        <w:r w:rsidR="0044620B">
          <w:rPr>
            <w:noProof/>
          </w:rPr>
          <w:t>D.3</w:t>
        </w:r>
      </w:fldSimple>
      <w:r>
        <w:noBreakHyphen/>
      </w:r>
      <w:fldSimple w:instr=" SEQ Table \* ARABIC \s 2 ">
        <w:r w:rsidR="0044620B">
          <w:rPr>
            <w:noProof/>
          </w:rPr>
          <w:t>3</w:t>
        </w:r>
      </w:fldSimple>
      <w:bookmarkEnd w:id="206"/>
      <w:r>
        <w:tab/>
        <w:t>Major discrepancies with provisional diagnosis applied to the base case economic evaluation</w:t>
      </w:r>
      <w:bookmarkEnd w:id="207"/>
    </w:p>
    <w:tbl>
      <w:tblPr>
        <w:tblW w:w="8372" w:type="dxa"/>
        <w:tblInd w:w="706" w:type="dxa"/>
        <w:tblLayout w:type="fixed"/>
        <w:tblLook w:val="0000" w:firstRow="0" w:lastRow="0" w:firstColumn="0" w:lastColumn="0" w:noHBand="0" w:noVBand="0"/>
        <w:tblCaption w:val="Major discrepancies with provisional diagnosis applied to the base case economic evaluation"/>
        <w:tblDescription w:val="The major discrepancy rates reported by two studies of all surgical pathology specimens "/>
      </w:tblPr>
      <w:tblGrid>
        <w:gridCol w:w="1134"/>
        <w:gridCol w:w="2725"/>
        <w:gridCol w:w="2803"/>
        <w:gridCol w:w="1710"/>
      </w:tblGrid>
      <w:tr w:rsidR="00B51828" w:rsidRPr="00367295" w14:paraId="74221232" w14:textId="77777777" w:rsidTr="00D9575B">
        <w:trPr>
          <w:trHeight w:val="1"/>
          <w:tblHeader/>
        </w:trPr>
        <w:tc>
          <w:tcPr>
            <w:tcW w:w="1134" w:type="dxa"/>
            <w:tcBorders>
              <w:top w:val="single" w:sz="2" w:space="0" w:color="000000"/>
              <w:left w:val="single" w:sz="2" w:space="0" w:color="000000"/>
              <w:bottom w:val="single" w:sz="2" w:space="0" w:color="000000"/>
              <w:right w:val="nil"/>
            </w:tcBorders>
            <w:shd w:val="clear" w:color="000000" w:fill="auto"/>
          </w:tcPr>
          <w:p w14:paraId="36A9CCC7" w14:textId="77777777" w:rsidR="00B51828" w:rsidRPr="00A05231" w:rsidRDefault="00B51828" w:rsidP="00B8213B">
            <w:pPr>
              <w:keepNext/>
              <w:spacing w:before="20" w:after="20"/>
              <w:ind w:left="0"/>
              <w:rPr>
                <w:rFonts w:ascii="Arial Narrow" w:hAnsi="Arial Narrow"/>
                <w:b/>
                <w:sz w:val="20"/>
                <w:szCs w:val="20"/>
              </w:rPr>
            </w:pPr>
            <w:r w:rsidRPr="00A05231">
              <w:rPr>
                <w:rFonts w:ascii="Arial Narrow" w:hAnsi="Arial Narrow"/>
                <w:b/>
                <w:sz w:val="20"/>
                <w:szCs w:val="20"/>
              </w:rPr>
              <w:t>Study ID</w:t>
            </w:r>
          </w:p>
        </w:tc>
        <w:tc>
          <w:tcPr>
            <w:tcW w:w="2725" w:type="dxa"/>
            <w:tcBorders>
              <w:top w:val="single" w:sz="2" w:space="0" w:color="000000"/>
              <w:left w:val="single" w:sz="2" w:space="0" w:color="000000"/>
              <w:bottom w:val="single" w:sz="2" w:space="0" w:color="000000"/>
              <w:right w:val="nil"/>
            </w:tcBorders>
            <w:shd w:val="clear" w:color="000000" w:fill="auto"/>
          </w:tcPr>
          <w:p w14:paraId="2B21BB8C" w14:textId="77777777" w:rsidR="00B51828" w:rsidRPr="00A05231" w:rsidRDefault="00B51828" w:rsidP="00B8213B">
            <w:pPr>
              <w:keepNext/>
              <w:spacing w:before="20" w:after="20"/>
              <w:ind w:left="0"/>
              <w:jc w:val="center"/>
              <w:rPr>
                <w:rFonts w:ascii="Arial Narrow" w:hAnsi="Arial Narrow"/>
                <w:b/>
                <w:sz w:val="20"/>
                <w:szCs w:val="20"/>
              </w:rPr>
            </w:pPr>
            <w:r w:rsidRPr="00A05231">
              <w:rPr>
                <w:rFonts w:ascii="Arial Narrow" w:hAnsi="Arial Narrow"/>
                <w:b/>
                <w:sz w:val="20"/>
                <w:szCs w:val="20"/>
              </w:rPr>
              <w:t>Population (N)</w:t>
            </w:r>
          </w:p>
        </w:tc>
        <w:tc>
          <w:tcPr>
            <w:tcW w:w="2803" w:type="dxa"/>
            <w:tcBorders>
              <w:top w:val="single" w:sz="2" w:space="0" w:color="000000"/>
              <w:left w:val="single" w:sz="2" w:space="0" w:color="000000"/>
              <w:bottom w:val="single" w:sz="2" w:space="0" w:color="000000"/>
              <w:right w:val="nil"/>
            </w:tcBorders>
            <w:shd w:val="clear" w:color="000000" w:fill="auto"/>
          </w:tcPr>
          <w:p w14:paraId="4824A7C0" w14:textId="77777777" w:rsidR="00B51828" w:rsidRPr="00A05231" w:rsidRDefault="00B51828" w:rsidP="00B8213B">
            <w:pPr>
              <w:keepNext/>
              <w:spacing w:before="20" w:after="20"/>
              <w:ind w:left="0"/>
              <w:jc w:val="center"/>
              <w:rPr>
                <w:rFonts w:ascii="Arial Narrow" w:hAnsi="Arial Narrow"/>
                <w:b/>
                <w:sz w:val="20"/>
                <w:szCs w:val="20"/>
              </w:rPr>
            </w:pPr>
            <w:r w:rsidRPr="00A05231">
              <w:rPr>
                <w:rFonts w:ascii="Arial Narrow" w:hAnsi="Arial Narrow"/>
                <w:b/>
                <w:sz w:val="20"/>
                <w:szCs w:val="20"/>
              </w:rPr>
              <w:t>Outcome</w:t>
            </w:r>
          </w:p>
        </w:tc>
        <w:tc>
          <w:tcPr>
            <w:tcW w:w="1710" w:type="dxa"/>
            <w:tcBorders>
              <w:top w:val="single" w:sz="2" w:space="0" w:color="000000"/>
              <w:left w:val="single" w:sz="2" w:space="0" w:color="000000"/>
              <w:bottom w:val="single" w:sz="2" w:space="0" w:color="000000"/>
              <w:right w:val="single" w:sz="2" w:space="0" w:color="000000"/>
            </w:tcBorders>
            <w:shd w:val="clear" w:color="000000" w:fill="auto"/>
          </w:tcPr>
          <w:p w14:paraId="41444BF0" w14:textId="77777777" w:rsidR="00B51828" w:rsidRPr="00A05231" w:rsidRDefault="00B51828" w:rsidP="00D9575B">
            <w:pPr>
              <w:keepNext/>
              <w:spacing w:before="20" w:after="20"/>
              <w:ind w:left="0"/>
              <w:jc w:val="right"/>
              <w:rPr>
                <w:rFonts w:ascii="Arial Narrow" w:hAnsi="Arial Narrow"/>
                <w:b/>
                <w:sz w:val="20"/>
                <w:szCs w:val="20"/>
              </w:rPr>
            </w:pPr>
            <w:r w:rsidRPr="00A05231">
              <w:rPr>
                <w:rFonts w:ascii="Arial Narrow" w:hAnsi="Arial Narrow"/>
                <w:b/>
                <w:sz w:val="20"/>
                <w:szCs w:val="20"/>
              </w:rPr>
              <w:t>Results n/N (%)</w:t>
            </w:r>
          </w:p>
        </w:tc>
      </w:tr>
      <w:tr w:rsidR="00B51828" w:rsidRPr="00367295" w14:paraId="0FC9E4C8" w14:textId="77777777" w:rsidTr="00D9575B">
        <w:trPr>
          <w:trHeight w:val="1"/>
        </w:trPr>
        <w:tc>
          <w:tcPr>
            <w:tcW w:w="1134" w:type="dxa"/>
            <w:tcBorders>
              <w:top w:val="single" w:sz="2" w:space="0" w:color="000000"/>
              <w:left w:val="single" w:sz="2" w:space="0" w:color="000000"/>
              <w:bottom w:val="single" w:sz="2" w:space="0" w:color="000000"/>
              <w:right w:val="nil"/>
            </w:tcBorders>
            <w:shd w:val="clear" w:color="000000" w:fill="auto"/>
          </w:tcPr>
          <w:p w14:paraId="5A210A77"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67295">
              <w:rPr>
                <w:rFonts w:ascii="Arial Narrow" w:hAnsi="Arial Narrow" w:cs="Arial Narrow"/>
                <w:sz w:val="20"/>
                <w:szCs w:val="20"/>
                <w:lang w:val="en"/>
              </w:rPr>
              <w:t>Cook 2001</w:t>
            </w:r>
          </w:p>
        </w:tc>
        <w:tc>
          <w:tcPr>
            <w:tcW w:w="2725" w:type="dxa"/>
            <w:tcBorders>
              <w:top w:val="single" w:sz="2" w:space="0" w:color="000000"/>
              <w:left w:val="single" w:sz="2" w:space="0" w:color="000000"/>
              <w:bottom w:val="single" w:sz="2" w:space="0" w:color="000000"/>
              <w:right w:val="nil"/>
            </w:tcBorders>
            <w:shd w:val="clear" w:color="000000" w:fill="auto"/>
          </w:tcPr>
          <w:p w14:paraId="409B4C46" w14:textId="77777777" w:rsidR="00B51828" w:rsidRPr="00367295" w:rsidRDefault="00B51828" w:rsidP="002101D2">
            <w:pPr>
              <w:keepNext/>
              <w:widowControl w:val="0"/>
              <w:suppressAutoHyphens/>
              <w:autoSpaceDE w:val="0"/>
              <w:autoSpaceDN w:val="0"/>
              <w:adjustRightInd w:val="0"/>
              <w:spacing w:before="20" w:after="20"/>
              <w:ind w:left="0"/>
              <w:rPr>
                <w:rFonts w:ascii="Arial Narrow" w:hAnsi="Arial Narrow" w:cs="Arial Narrow"/>
                <w:sz w:val="20"/>
                <w:szCs w:val="20"/>
                <w:lang w:val="en"/>
              </w:rPr>
            </w:pPr>
            <w:r w:rsidRPr="00367295">
              <w:rPr>
                <w:rFonts w:ascii="Arial Narrow" w:hAnsi="Arial Narrow" w:cs="Arial Narrow"/>
                <w:sz w:val="20"/>
                <w:szCs w:val="20"/>
                <w:lang w:val="en"/>
              </w:rPr>
              <w:t>All histopathology; any organ system</w:t>
            </w:r>
          </w:p>
          <w:p w14:paraId="20C9F97D"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67295">
              <w:rPr>
                <w:rFonts w:ascii="Arial Narrow" w:hAnsi="Arial Narrow" w:cs="Arial Narrow"/>
                <w:sz w:val="20"/>
                <w:szCs w:val="20"/>
                <w:lang w:val="en"/>
              </w:rPr>
              <w:t>N=128 cases</w:t>
            </w:r>
          </w:p>
        </w:tc>
        <w:tc>
          <w:tcPr>
            <w:tcW w:w="2803" w:type="dxa"/>
            <w:tcBorders>
              <w:top w:val="single" w:sz="2" w:space="0" w:color="000000"/>
              <w:left w:val="single" w:sz="2" w:space="0" w:color="000000"/>
              <w:bottom w:val="single" w:sz="2" w:space="0" w:color="000000"/>
              <w:right w:val="nil"/>
            </w:tcBorders>
            <w:shd w:val="clear" w:color="000000" w:fill="auto"/>
          </w:tcPr>
          <w:p w14:paraId="7F750500"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67295">
              <w:rPr>
                <w:rFonts w:ascii="Arial Narrow" w:hAnsi="Arial Narrow" w:cs="Arial Narrow"/>
                <w:sz w:val="20"/>
                <w:szCs w:val="20"/>
                <w:lang w:val="en"/>
              </w:rPr>
              <w:t>Major discrepancy in cases with provisional diagnosis</w:t>
            </w:r>
          </w:p>
        </w:tc>
        <w:tc>
          <w:tcPr>
            <w:tcW w:w="1710" w:type="dxa"/>
            <w:tcBorders>
              <w:top w:val="single" w:sz="2" w:space="0" w:color="000000"/>
              <w:left w:val="single" w:sz="2" w:space="0" w:color="000000"/>
              <w:bottom w:val="single" w:sz="2" w:space="0" w:color="000000"/>
              <w:right w:val="single" w:sz="2" w:space="0" w:color="000000"/>
            </w:tcBorders>
            <w:shd w:val="clear" w:color="000000" w:fill="auto"/>
          </w:tcPr>
          <w:p w14:paraId="474DD3F9" w14:textId="77777777" w:rsidR="00B51828" w:rsidRPr="00367295" w:rsidRDefault="00B51828" w:rsidP="00D9575B">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10/55 (18.2%)</w:t>
            </w:r>
          </w:p>
        </w:tc>
      </w:tr>
      <w:tr w:rsidR="00B51828" w:rsidRPr="00367295" w14:paraId="7E2560D3" w14:textId="77777777" w:rsidTr="00D9575B">
        <w:trPr>
          <w:trHeight w:val="1"/>
        </w:trPr>
        <w:tc>
          <w:tcPr>
            <w:tcW w:w="1134" w:type="dxa"/>
            <w:tcBorders>
              <w:top w:val="single" w:sz="2" w:space="0" w:color="000000"/>
              <w:left w:val="single" w:sz="2" w:space="0" w:color="000000"/>
              <w:bottom w:val="single" w:sz="2" w:space="0" w:color="000000"/>
              <w:right w:val="nil"/>
            </w:tcBorders>
            <w:shd w:val="clear" w:color="000000" w:fill="auto"/>
          </w:tcPr>
          <w:p w14:paraId="4F5A80A8"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67295">
              <w:rPr>
                <w:rFonts w:ascii="Arial Narrow" w:hAnsi="Arial Narrow" w:cs="Arial Narrow"/>
                <w:sz w:val="20"/>
                <w:szCs w:val="20"/>
                <w:lang w:val="en"/>
              </w:rPr>
              <w:t>Hsu 2010</w:t>
            </w:r>
          </w:p>
        </w:tc>
        <w:tc>
          <w:tcPr>
            <w:tcW w:w="2725" w:type="dxa"/>
            <w:tcBorders>
              <w:top w:val="single" w:sz="2" w:space="0" w:color="000000"/>
              <w:left w:val="single" w:sz="2" w:space="0" w:color="000000"/>
              <w:bottom w:val="single" w:sz="2" w:space="0" w:color="000000"/>
              <w:right w:val="nil"/>
            </w:tcBorders>
            <w:shd w:val="clear" w:color="000000" w:fill="auto"/>
          </w:tcPr>
          <w:p w14:paraId="5E06891E" w14:textId="77777777" w:rsidR="00B51828" w:rsidRDefault="00B51828" w:rsidP="002101D2">
            <w:pPr>
              <w:keepNext/>
              <w:widowControl w:val="0"/>
              <w:suppressAutoHyphens/>
              <w:autoSpaceDE w:val="0"/>
              <w:autoSpaceDN w:val="0"/>
              <w:adjustRightInd w:val="0"/>
              <w:spacing w:before="20" w:after="20"/>
              <w:ind w:left="0"/>
              <w:rPr>
                <w:rFonts w:ascii="Arial Narrow" w:hAnsi="Arial Narrow" w:cs="Arial Narrow"/>
                <w:sz w:val="20"/>
                <w:szCs w:val="20"/>
                <w:lang w:val="en"/>
              </w:rPr>
            </w:pPr>
            <w:r w:rsidRPr="00367295">
              <w:rPr>
                <w:rFonts w:ascii="Arial Narrow" w:hAnsi="Arial Narrow" w:cs="Arial Narrow"/>
                <w:sz w:val="20"/>
                <w:szCs w:val="20"/>
                <w:lang w:val="en"/>
              </w:rPr>
              <w:t>Anatomic pathology; any organ system</w:t>
            </w:r>
            <w:r>
              <w:rPr>
                <w:rFonts w:ascii="Arial Narrow" w:hAnsi="Arial Narrow" w:cs="Arial Narrow"/>
                <w:sz w:val="20"/>
                <w:szCs w:val="20"/>
                <w:lang w:val="en"/>
              </w:rPr>
              <w:t xml:space="preserve">  </w:t>
            </w:r>
          </w:p>
          <w:p w14:paraId="3BC726CE"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67295">
              <w:rPr>
                <w:rFonts w:ascii="Arial Narrow" w:hAnsi="Arial Narrow" w:cs="Arial Narrow"/>
                <w:sz w:val="20"/>
                <w:szCs w:val="20"/>
                <w:lang w:val="en"/>
              </w:rPr>
              <w:t>N=2</w:t>
            </w:r>
            <w:r>
              <w:rPr>
                <w:rFonts w:ascii="Arial Narrow" w:hAnsi="Arial Narrow" w:cs="Arial Narrow"/>
                <w:sz w:val="20"/>
                <w:szCs w:val="20"/>
                <w:lang w:val="en"/>
              </w:rPr>
              <w:t>,</w:t>
            </w:r>
            <w:r w:rsidRPr="00367295">
              <w:rPr>
                <w:rFonts w:ascii="Arial Narrow" w:hAnsi="Arial Narrow" w:cs="Arial Narrow"/>
                <w:sz w:val="20"/>
                <w:szCs w:val="20"/>
                <w:lang w:val="en"/>
              </w:rPr>
              <w:t>686 cases</w:t>
            </w:r>
          </w:p>
        </w:tc>
        <w:tc>
          <w:tcPr>
            <w:tcW w:w="2803" w:type="dxa"/>
            <w:tcBorders>
              <w:top w:val="single" w:sz="2" w:space="0" w:color="000000"/>
              <w:left w:val="single" w:sz="2" w:space="0" w:color="000000"/>
              <w:bottom w:val="single" w:sz="2" w:space="0" w:color="000000"/>
              <w:right w:val="nil"/>
            </w:tcBorders>
            <w:shd w:val="clear" w:color="000000" w:fill="auto"/>
          </w:tcPr>
          <w:p w14:paraId="62287DAF" w14:textId="77777777" w:rsidR="00B51828" w:rsidRPr="00367295"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67295">
              <w:rPr>
                <w:rFonts w:ascii="Arial Narrow" w:hAnsi="Arial Narrow" w:cs="Arial Narrow"/>
                <w:sz w:val="20"/>
                <w:szCs w:val="20"/>
                <w:lang w:val="en"/>
              </w:rPr>
              <w:t>Major discrepancy in cases with a 'specific' provisional diagnosis</w:t>
            </w:r>
          </w:p>
        </w:tc>
        <w:tc>
          <w:tcPr>
            <w:tcW w:w="1710" w:type="dxa"/>
            <w:tcBorders>
              <w:top w:val="single" w:sz="2" w:space="0" w:color="000000"/>
              <w:left w:val="single" w:sz="2" w:space="0" w:color="000000"/>
              <w:bottom w:val="single" w:sz="2" w:space="0" w:color="000000"/>
              <w:right w:val="single" w:sz="2" w:space="0" w:color="000000"/>
            </w:tcBorders>
            <w:shd w:val="clear" w:color="000000" w:fill="auto"/>
          </w:tcPr>
          <w:p w14:paraId="466A7C0A" w14:textId="77777777" w:rsidR="00B51828" w:rsidRPr="00367295" w:rsidRDefault="00B51828" w:rsidP="00D9575B">
            <w:pPr>
              <w:keepNext/>
              <w:widowControl w:val="0"/>
              <w:suppressAutoHyphens/>
              <w:autoSpaceDE w:val="0"/>
              <w:autoSpaceDN w:val="0"/>
              <w:adjustRightInd w:val="0"/>
              <w:spacing w:before="20" w:after="20"/>
              <w:ind w:left="0"/>
              <w:jc w:val="right"/>
              <w:rPr>
                <w:rFonts w:ascii="Calibri" w:hAnsi="Calibri" w:cs="Calibri"/>
                <w:sz w:val="22"/>
                <w:lang w:val="en"/>
              </w:rPr>
            </w:pPr>
            <w:r w:rsidRPr="00367295">
              <w:rPr>
                <w:rFonts w:ascii="Arial Narrow" w:hAnsi="Arial Narrow" w:cs="Arial Narrow"/>
                <w:sz w:val="20"/>
                <w:szCs w:val="20"/>
                <w:lang w:val="en"/>
              </w:rPr>
              <w:t>205/1670 (12.3%)</w:t>
            </w:r>
          </w:p>
        </w:tc>
      </w:tr>
      <w:tr w:rsidR="00D9575B" w:rsidRPr="00367295" w14:paraId="4BC3E82B" w14:textId="77777777" w:rsidTr="00D9575B">
        <w:trPr>
          <w:trHeight w:val="1"/>
        </w:trPr>
        <w:tc>
          <w:tcPr>
            <w:tcW w:w="1134" w:type="dxa"/>
            <w:tcBorders>
              <w:top w:val="single" w:sz="2" w:space="0" w:color="000000"/>
              <w:left w:val="single" w:sz="2" w:space="0" w:color="000000"/>
              <w:bottom w:val="single" w:sz="2" w:space="0" w:color="000000"/>
              <w:right w:val="nil"/>
            </w:tcBorders>
            <w:shd w:val="clear" w:color="000000" w:fill="auto"/>
          </w:tcPr>
          <w:p w14:paraId="461EF2B7" w14:textId="23BC48E8" w:rsidR="00D9575B" w:rsidRPr="00367295" w:rsidRDefault="00D9575B" w:rsidP="002101D2">
            <w:pPr>
              <w:keepNext/>
              <w:widowControl w:val="0"/>
              <w:suppressAutoHyphens/>
              <w:autoSpaceDE w:val="0"/>
              <w:autoSpaceDN w:val="0"/>
              <w:adjustRightInd w:val="0"/>
              <w:spacing w:before="20" w:after="20"/>
              <w:ind w:left="0"/>
              <w:rPr>
                <w:rFonts w:ascii="Arial Narrow" w:hAnsi="Arial Narrow" w:cs="Arial Narrow"/>
                <w:sz w:val="20"/>
                <w:szCs w:val="20"/>
                <w:lang w:val="en"/>
              </w:rPr>
            </w:pPr>
            <w:r w:rsidRPr="00367295">
              <w:rPr>
                <w:rFonts w:ascii="Arial Narrow" w:hAnsi="Arial Narrow" w:cs="Arial Narrow"/>
                <w:sz w:val="20"/>
                <w:szCs w:val="20"/>
                <w:lang w:val="en"/>
              </w:rPr>
              <w:t>Average</w:t>
            </w:r>
          </w:p>
        </w:tc>
        <w:tc>
          <w:tcPr>
            <w:tcW w:w="2725" w:type="dxa"/>
            <w:tcBorders>
              <w:top w:val="single" w:sz="2" w:space="0" w:color="000000"/>
              <w:left w:val="single" w:sz="2" w:space="0" w:color="000000"/>
              <w:bottom w:val="single" w:sz="2" w:space="0" w:color="000000"/>
              <w:right w:val="nil"/>
            </w:tcBorders>
            <w:shd w:val="clear" w:color="000000" w:fill="auto"/>
          </w:tcPr>
          <w:p w14:paraId="2C523A49" w14:textId="4F127DF8" w:rsidR="00D9575B" w:rsidRPr="00367295" w:rsidRDefault="00B1247F" w:rsidP="002101D2">
            <w:pPr>
              <w:keepNext/>
              <w:widowControl w:val="0"/>
              <w:suppressAutoHyphens/>
              <w:autoSpaceDE w:val="0"/>
              <w:autoSpaceDN w:val="0"/>
              <w:adjustRightInd w:val="0"/>
              <w:spacing w:before="20" w:after="20"/>
              <w:ind w:left="0"/>
              <w:rPr>
                <w:rFonts w:ascii="Arial Narrow" w:hAnsi="Arial Narrow" w:cs="Arial Narrow"/>
                <w:sz w:val="20"/>
                <w:szCs w:val="20"/>
                <w:lang w:val="en"/>
              </w:rPr>
            </w:pPr>
            <w:r>
              <w:rPr>
                <w:rFonts w:ascii="Arial Narrow" w:hAnsi="Arial Narrow" w:cs="Arial Narrow"/>
                <w:sz w:val="20"/>
                <w:szCs w:val="20"/>
                <w:lang w:val="en"/>
              </w:rPr>
              <w:t>-</w:t>
            </w:r>
          </w:p>
        </w:tc>
        <w:tc>
          <w:tcPr>
            <w:tcW w:w="2803" w:type="dxa"/>
            <w:tcBorders>
              <w:top w:val="single" w:sz="2" w:space="0" w:color="000000"/>
              <w:left w:val="single" w:sz="2" w:space="0" w:color="000000"/>
              <w:bottom w:val="single" w:sz="2" w:space="0" w:color="000000"/>
              <w:right w:val="nil"/>
            </w:tcBorders>
            <w:shd w:val="clear" w:color="000000" w:fill="auto"/>
          </w:tcPr>
          <w:p w14:paraId="6992DA42" w14:textId="1377673E" w:rsidR="00D9575B" w:rsidRPr="00367295" w:rsidRDefault="00B1247F" w:rsidP="002101D2">
            <w:pPr>
              <w:keepNext/>
              <w:widowControl w:val="0"/>
              <w:suppressAutoHyphens/>
              <w:autoSpaceDE w:val="0"/>
              <w:autoSpaceDN w:val="0"/>
              <w:adjustRightInd w:val="0"/>
              <w:spacing w:before="20" w:after="20"/>
              <w:ind w:left="0"/>
              <w:rPr>
                <w:rFonts w:ascii="Arial Narrow" w:hAnsi="Arial Narrow" w:cs="Arial Narrow"/>
                <w:sz w:val="20"/>
                <w:szCs w:val="20"/>
                <w:lang w:val="en"/>
              </w:rPr>
            </w:pPr>
            <w:r>
              <w:rPr>
                <w:rFonts w:ascii="Arial Narrow" w:hAnsi="Arial Narrow" w:cs="Arial Narrow"/>
                <w:sz w:val="20"/>
                <w:szCs w:val="20"/>
                <w:lang w:val="en"/>
              </w:rPr>
              <w:t>-</w:t>
            </w:r>
          </w:p>
        </w:tc>
        <w:tc>
          <w:tcPr>
            <w:tcW w:w="1710" w:type="dxa"/>
            <w:tcBorders>
              <w:top w:val="single" w:sz="2" w:space="0" w:color="000000"/>
              <w:left w:val="single" w:sz="2" w:space="0" w:color="000000"/>
              <w:bottom w:val="single" w:sz="2" w:space="0" w:color="000000"/>
              <w:right w:val="single" w:sz="2" w:space="0" w:color="000000"/>
            </w:tcBorders>
            <w:shd w:val="clear" w:color="000000" w:fill="auto"/>
          </w:tcPr>
          <w:p w14:paraId="41CC0AB7" w14:textId="620D4466" w:rsidR="00D9575B" w:rsidRPr="00367295" w:rsidRDefault="00D9575B" w:rsidP="00D9575B">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67295">
              <w:rPr>
                <w:rFonts w:ascii="Arial Narrow" w:hAnsi="Arial Narrow" w:cs="Arial Narrow"/>
                <w:sz w:val="20"/>
                <w:szCs w:val="20"/>
                <w:lang w:val="en"/>
              </w:rPr>
              <w:t>215/1725 (12.5%)</w:t>
            </w:r>
          </w:p>
        </w:tc>
      </w:tr>
    </w:tbl>
    <w:p w14:paraId="515E8C7A" w14:textId="7AB88EC2" w:rsidR="00B51828" w:rsidRPr="00F8363F" w:rsidRDefault="00B51828" w:rsidP="00DB4FF8">
      <w:pPr>
        <w:spacing w:before="20"/>
        <w:rPr>
          <w:rFonts w:ascii="Arial Narrow" w:hAnsi="Arial Narrow" w:cs="Arial Narrow"/>
          <w:sz w:val="18"/>
          <w:szCs w:val="18"/>
          <w:lang w:val="en"/>
        </w:rPr>
      </w:pPr>
      <w:r w:rsidRPr="00F8363F">
        <w:rPr>
          <w:rFonts w:ascii="Arial Narrow" w:hAnsi="Arial Narrow" w:cs="Arial Narrow"/>
          <w:sz w:val="18"/>
          <w:szCs w:val="18"/>
          <w:lang w:val="en"/>
        </w:rPr>
        <w:t xml:space="preserve">Source: </w:t>
      </w:r>
      <w:r w:rsidRPr="00F8363F">
        <w:rPr>
          <w:rFonts w:ascii="Arial Narrow" w:hAnsi="Arial Narrow" w:cs="Arial Narrow"/>
          <w:sz w:val="18"/>
          <w:szCs w:val="18"/>
          <w:lang w:val="en"/>
        </w:rPr>
        <w:fldChar w:fldCharType="begin"/>
      </w:r>
      <w:r w:rsidRPr="00F8363F">
        <w:rPr>
          <w:rFonts w:ascii="Arial Narrow" w:hAnsi="Arial Narrow" w:cs="Arial Narrow"/>
          <w:sz w:val="18"/>
          <w:szCs w:val="18"/>
          <w:lang w:val="en"/>
        </w:rPr>
        <w:instrText xml:space="preserve"> REF _Ref395256161 \h  \* MERGEFORMAT </w:instrText>
      </w:r>
      <w:r w:rsidRPr="00F8363F">
        <w:rPr>
          <w:rFonts w:ascii="Arial Narrow" w:hAnsi="Arial Narrow" w:cs="Arial Narrow"/>
          <w:sz w:val="18"/>
          <w:szCs w:val="18"/>
          <w:lang w:val="en"/>
        </w:rPr>
      </w:r>
      <w:r w:rsidRPr="00F8363F">
        <w:rPr>
          <w:rFonts w:ascii="Arial Narrow" w:hAnsi="Arial Narrow" w:cs="Arial Narrow"/>
          <w:sz w:val="18"/>
          <w:szCs w:val="18"/>
          <w:lang w:val="en"/>
        </w:rPr>
        <w:fldChar w:fldCharType="separate"/>
      </w:r>
      <w:r w:rsidR="0044620B" w:rsidRPr="0044620B">
        <w:rPr>
          <w:rFonts w:ascii="Arial Narrow" w:hAnsi="Arial Narrow" w:cs="Arial Narrow"/>
          <w:sz w:val="18"/>
          <w:szCs w:val="18"/>
          <w:lang w:val="en"/>
        </w:rPr>
        <w:t>Table B.6</w:t>
      </w:r>
      <w:r w:rsidR="0044620B" w:rsidRPr="0044620B">
        <w:rPr>
          <w:rFonts w:ascii="Arial Narrow" w:hAnsi="Arial Narrow" w:cs="Arial Narrow"/>
          <w:sz w:val="18"/>
          <w:szCs w:val="18"/>
          <w:lang w:val="en"/>
        </w:rPr>
        <w:noBreakHyphen/>
        <w:t>5</w:t>
      </w:r>
      <w:r w:rsidRPr="00F8363F">
        <w:rPr>
          <w:rFonts w:ascii="Arial Narrow" w:hAnsi="Arial Narrow" w:cs="Arial Narrow"/>
          <w:sz w:val="18"/>
          <w:szCs w:val="18"/>
          <w:lang w:val="en"/>
        </w:rPr>
        <w:fldChar w:fldCharType="end"/>
      </w:r>
      <w:r w:rsidRPr="00F8363F">
        <w:rPr>
          <w:rFonts w:ascii="Arial Narrow" w:hAnsi="Arial Narrow" w:cs="Arial Narrow"/>
          <w:sz w:val="18"/>
          <w:szCs w:val="18"/>
          <w:lang w:val="en"/>
        </w:rPr>
        <w:t xml:space="preserve"> of the Assessment Report</w:t>
      </w:r>
    </w:p>
    <w:p w14:paraId="333FF7B7"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 xml:space="preserve">The base case data relate to studies reporting major discrepancies in surgical pathology. Further, they relate to second, expert opinion sought by pathologists rather than </w:t>
      </w:r>
      <w:r>
        <w:rPr>
          <w:rFonts w:cs="Garamond"/>
          <w:szCs w:val="24"/>
          <w:lang w:val="en"/>
        </w:rPr>
        <w:lastRenderedPageBreak/>
        <w:t xml:space="preserve">clinicians (i.e. </w:t>
      </w:r>
      <w:r w:rsidRPr="004A60EE">
        <w:rPr>
          <w:rFonts w:cs="Garamond"/>
          <w:i/>
          <w:szCs w:val="24"/>
          <w:lang w:val="en"/>
        </w:rPr>
        <w:t>Scenario 1</w:t>
      </w:r>
      <w:r>
        <w:rPr>
          <w:rFonts w:cs="Garamond"/>
          <w:szCs w:val="24"/>
          <w:lang w:val="en"/>
        </w:rPr>
        <w:t xml:space="preserve">). Nonetheless, due to the limited data available, it was assumed for the purposes of this evaluation that there is no difference in the major discrepancy rates between </w:t>
      </w:r>
      <w:r w:rsidRPr="004A60EE">
        <w:rPr>
          <w:rFonts w:cs="Garamond"/>
          <w:i/>
          <w:szCs w:val="24"/>
          <w:lang w:val="en"/>
        </w:rPr>
        <w:t>Scenario 1</w:t>
      </w:r>
      <w:r>
        <w:rPr>
          <w:rFonts w:cs="Garamond"/>
          <w:szCs w:val="24"/>
          <w:lang w:val="en"/>
        </w:rPr>
        <w:t xml:space="preserve"> and </w:t>
      </w:r>
      <w:r w:rsidRPr="004A60EE">
        <w:rPr>
          <w:rFonts w:cs="Garamond"/>
          <w:i/>
          <w:szCs w:val="24"/>
          <w:lang w:val="en"/>
        </w:rPr>
        <w:t>Scenario 2</w:t>
      </w:r>
      <w:r>
        <w:rPr>
          <w:rFonts w:cs="Garamond"/>
          <w:szCs w:val="24"/>
          <w:lang w:val="en"/>
        </w:rPr>
        <w:t xml:space="preserve">. The impact of this assumption is tested in the sensitivity analyses presented in Section </w:t>
      </w:r>
      <w:r>
        <w:rPr>
          <w:rFonts w:cs="Garamond"/>
          <w:szCs w:val="24"/>
          <w:lang w:val="en"/>
        </w:rPr>
        <w:fldChar w:fldCharType="begin"/>
      </w:r>
      <w:r>
        <w:rPr>
          <w:rFonts w:cs="Garamond"/>
          <w:szCs w:val="24"/>
          <w:lang w:val="en"/>
        </w:rPr>
        <w:instrText xml:space="preserve"> REF _Ref393291790 \w \h </w:instrText>
      </w:r>
      <w:r>
        <w:rPr>
          <w:rFonts w:cs="Garamond"/>
          <w:szCs w:val="24"/>
          <w:lang w:val="en"/>
        </w:rPr>
      </w:r>
      <w:r>
        <w:rPr>
          <w:rFonts w:cs="Garamond"/>
          <w:szCs w:val="24"/>
          <w:lang w:val="en"/>
        </w:rPr>
        <w:fldChar w:fldCharType="separate"/>
      </w:r>
      <w:r w:rsidR="0044620B">
        <w:rPr>
          <w:rFonts w:cs="Garamond"/>
          <w:szCs w:val="24"/>
          <w:lang w:val="en"/>
        </w:rPr>
        <w:t>D.5</w:t>
      </w:r>
      <w:r>
        <w:rPr>
          <w:rFonts w:cs="Garamond"/>
          <w:szCs w:val="24"/>
          <w:lang w:val="en"/>
        </w:rPr>
        <w:fldChar w:fldCharType="end"/>
      </w:r>
      <w:r>
        <w:rPr>
          <w:rFonts w:cs="Garamond"/>
          <w:szCs w:val="24"/>
          <w:lang w:val="en"/>
        </w:rPr>
        <w:t>.</w:t>
      </w:r>
    </w:p>
    <w:p w14:paraId="380F07B0" w14:textId="77777777" w:rsidR="00B51828" w:rsidRDefault="00B51828" w:rsidP="002101D2">
      <w:pPr>
        <w:widowControl w:val="0"/>
        <w:suppressAutoHyphens/>
        <w:autoSpaceDE w:val="0"/>
        <w:autoSpaceDN w:val="0"/>
        <w:adjustRightInd w:val="0"/>
        <w:spacing w:line="100" w:lineRule="atLeast"/>
        <w:ind w:left="769"/>
        <w:rPr>
          <w:rFonts w:cs="Garamond"/>
          <w:szCs w:val="24"/>
          <w:lang w:val="en"/>
        </w:rPr>
      </w:pPr>
      <w:r>
        <w:rPr>
          <w:rFonts w:cs="Garamond"/>
          <w:szCs w:val="24"/>
          <w:lang w:val="en"/>
        </w:rPr>
        <w:t>As there are no analogous data relating to cytopathology, the incremental cost-effectiveness in cytopathology cases cannot be reliably estimated; the base case considers tissue pathology only. The uncertain cost-effectiveness estimate in cytopathology cases is investigated in the sensitivity analyses.</w:t>
      </w:r>
    </w:p>
    <w:p w14:paraId="33A6CD78" w14:textId="77777777" w:rsidR="00B51828" w:rsidRDefault="00B51828" w:rsidP="002101D2">
      <w:pPr>
        <w:widowControl w:val="0"/>
        <w:suppressAutoHyphens/>
        <w:autoSpaceDE w:val="0"/>
        <w:autoSpaceDN w:val="0"/>
        <w:adjustRightInd w:val="0"/>
        <w:spacing w:line="100" w:lineRule="atLeast"/>
        <w:ind w:left="757"/>
        <w:rPr>
          <w:rFonts w:cs="Garamond"/>
          <w:szCs w:val="24"/>
          <w:lang w:val="en"/>
        </w:rPr>
      </w:pPr>
      <w:r>
        <w:rPr>
          <w:rFonts w:cs="Garamond"/>
          <w:szCs w:val="24"/>
          <w:lang w:val="en"/>
        </w:rPr>
        <w:t xml:space="preserve">As described in </w:t>
      </w:r>
      <w:r>
        <w:rPr>
          <w:rFonts w:cs="Garamond"/>
          <w:szCs w:val="24"/>
          <w:lang w:val="en"/>
        </w:rPr>
        <w:fldChar w:fldCharType="begin"/>
      </w:r>
      <w:r>
        <w:rPr>
          <w:rFonts w:cs="Garamond"/>
          <w:szCs w:val="24"/>
          <w:lang w:val="en"/>
        </w:rPr>
        <w:instrText xml:space="preserve"> REF _Ref393291821 \w \h </w:instrText>
      </w:r>
      <w:r>
        <w:rPr>
          <w:rFonts w:cs="Garamond"/>
          <w:szCs w:val="24"/>
          <w:lang w:val="en"/>
        </w:rPr>
      </w:r>
      <w:r>
        <w:rPr>
          <w:rFonts w:cs="Garamond"/>
          <w:szCs w:val="24"/>
          <w:lang w:val="en"/>
        </w:rPr>
        <w:fldChar w:fldCharType="separate"/>
      </w:r>
      <w:r w:rsidR="0044620B">
        <w:rPr>
          <w:rFonts w:cs="Garamond"/>
          <w:szCs w:val="24"/>
          <w:lang w:val="en"/>
        </w:rPr>
        <w:t>Section C</w:t>
      </w:r>
      <w:r>
        <w:rPr>
          <w:rFonts w:cs="Garamond"/>
          <w:szCs w:val="24"/>
          <w:lang w:val="en"/>
        </w:rPr>
        <w:fldChar w:fldCharType="end"/>
      </w:r>
      <w:r>
        <w:rPr>
          <w:rFonts w:cs="Garamond"/>
          <w:szCs w:val="24"/>
          <w:lang w:val="en"/>
        </w:rPr>
        <w:t xml:space="preserve">, the aim of the Expert Opinion Survey was to obtain information about the number and nature of pathology cases referred for second, expert opinion in Australia. </w:t>
      </w:r>
      <w:r>
        <w:rPr>
          <w:rFonts w:cs="Garamond"/>
          <w:szCs w:val="24"/>
          <w:lang w:val="en"/>
        </w:rPr>
        <w:fldChar w:fldCharType="begin"/>
      </w:r>
      <w:r>
        <w:rPr>
          <w:rFonts w:cs="Garamond"/>
          <w:szCs w:val="24"/>
          <w:lang w:val="en"/>
        </w:rPr>
        <w:instrText xml:space="preserve"> REF _Ref393292743 \h </w:instrText>
      </w:r>
      <w:r>
        <w:rPr>
          <w:rFonts w:cs="Garamond"/>
          <w:szCs w:val="24"/>
          <w:lang w:val="en"/>
        </w:rPr>
      </w:r>
      <w:r>
        <w:rPr>
          <w:rFonts w:cs="Garamond"/>
          <w:szCs w:val="24"/>
          <w:lang w:val="en"/>
        </w:rPr>
        <w:fldChar w:fldCharType="separate"/>
      </w:r>
      <w:r w:rsidR="0044620B">
        <w:t xml:space="preserve">Table </w:t>
      </w:r>
      <w:r w:rsidR="0044620B">
        <w:rPr>
          <w:noProof/>
        </w:rPr>
        <w:t>D.3</w:t>
      </w:r>
      <w:r w:rsidR="0044620B">
        <w:noBreakHyphen/>
      </w:r>
      <w:r w:rsidR="0044620B">
        <w:rPr>
          <w:noProof/>
        </w:rPr>
        <w:t>4</w:t>
      </w:r>
      <w:r>
        <w:rPr>
          <w:rFonts w:cs="Garamond"/>
          <w:szCs w:val="24"/>
          <w:lang w:val="en"/>
        </w:rPr>
        <w:fldChar w:fldCharType="end"/>
      </w:r>
      <w:r>
        <w:rPr>
          <w:rFonts w:cs="Garamond"/>
          <w:szCs w:val="24"/>
          <w:lang w:val="en"/>
        </w:rPr>
        <w:t xml:space="preserve"> repeats the data summarised in Section C for transparency, as applied to the base case analysis. These were derived from the tissue pathology responses of the survey.</w:t>
      </w:r>
    </w:p>
    <w:p w14:paraId="212548F7" w14:textId="77777777" w:rsidR="00B51828" w:rsidRDefault="00B51828" w:rsidP="002101D2">
      <w:pPr>
        <w:pStyle w:val="Caption"/>
      </w:pPr>
      <w:bookmarkStart w:id="208" w:name="_Ref393292743"/>
      <w:bookmarkStart w:id="209" w:name="_Toc396211756"/>
      <w:r>
        <w:t xml:space="preserve">Table </w:t>
      </w:r>
      <w:fldSimple w:instr=" STYLEREF 2 \s ">
        <w:r w:rsidR="0044620B">
          <w:rPr>
            <w:noProof/>
          </w:rPr>
          <w:t>D.3</w:t>
        </w:r>
      </w:fldSimple>
      <w:r>
        <w:noBreakHyphen/>
      </w:r>
      <w:fldSimple w:instr=" SEQ Table \* ARABIC \s 2 ">
        <w:r w:rsidR="0044620B">
          <w:rPr>
            <w:noProof/>
          </w:rPr>
          <w:t>4</w:t>
        </w:r>
      </w:fldSimple>
      <w:bookmarkEnd w:id="208"/>
      <w:r>
        <w:tab/>
        <w:t>Data from the Expert Opinion Survey used to inform the base case economic evaluation</w:t>
      </w:r>
      <w:bookmarkEnd w:id="209"/>
    </w:p>
    <w:tbl>
      <w:tblPr>
        <w:tblW w:w="8378" w:type="dxa"/>
        <w:tblInd w:w="706" w:type="dxa"/>
        <w:tblLayout w:type="fixed"/>
        <w:tblCellMar>
          <w:left w:w="57" w:type="dxa"/>
          <w:right w:w="57" w:type="dxa"/>
        </w:tblCellMar>
        <w:tblLook w:val="0000" w:firstRow="0" w:lastRow="0" w:firstColumn="0" w:lastColumn="0" w:noHBand="0" w:noVBand="0"/>
        <w:tblCaption w:val="Data from the Expert Opinion Survey"/>
        <w:tblDescription w:val="Data from the Expert Opinion Survey used to inform the base case economic evaluation"/>
      </w:tblPr>
      <w:tblGrid>
        <w:gridCol w:w="4678"/>
        <w:gridCol w:w="1843"/>
        <w:gridCol w:w="1857"/>
      </w:tblGrid>
      <w:tr w:rsidR="00B51828" w:rsidRPr="003760B8" w14:paraId="3BDA9662" w14:textId="77777777" w:rsidTr="00B1247F">
        <w:trPr>
          <w:trHeight w:val="1"/>
          <w:tblHeader/>
        </w:trPr>
        <w:tc>
          <w:tcPr>
            <w:tcW w:w="4678" w:type="dxa"/>
            <w:tcBorders>
              <w:top w:val="single" w:sz="2" w:space="0" w:color="000000"/>
              <w:left w:val="single" w:sz="2" w:space="0" w:color="000000"/>
              <w:bottom w:val="single" w:sz="2" w:space="0" w:color="000000"/>
              <w:right w:val="nil"/>
            </w:tcBorders>
            <w:shd w:val="clear" w:color="000000" w:fill="auto"/>
          </w:tcPr>
          <w:p w14:paraId="2E6CF370" w14:textId="77777777" w:rsidR="00B51828" w:rsidRPr="00FB20FF" w:rsidRDefault="00B51828" w:rsidP="002101D2">
            <w:pPr>
              <w:keepNext/>
              <w:widowControl w:val="0"/>
              <w:suppressAutoHyphens/>
              <w:autoSpaceDE w:val="0"/>
              <w:autoSpaceDN w:val="0"/>
              <w:adjustRightInd w:val="0"/>
              <w:spacing w:before="20" w:after="20"/>
              <w:ind w:left="0"/>
              <w:rPr>
                <w:rFonts w:ascii="Calibri" w:hAnsi="Calibri" w:cs="Calibri"/>
                <w:b/>
                <w:sz w:val="22"/>
                <w:lang w:val="en"/>
              </w:rPr>
            </w:pPr>
            <w:r>
              <w:rPr>
                <w:rFonts w:ascii="Arial Narrow" w:hAnsi="Arial Narrow" w:cs="Arial Narrow"/>
                <w:b/>
                <w:sz w:val="20"/>
                <w:szCs w:val="20"/>
                <w:lang w:val="en"/>
              </w:rPr>
              <w:t xml:space="preserve">Types </w:t>
            </w:r>
            <w:r w:rsidRPr="00FB20FF">
              <w:rPr>
                <w:rFonts w:ascii="Arial Narrow" w:hAnsi="Arial Narrow" w:cs="Arial Narrow"/>
                <w:b/>
                <w:sz w:val="20"/>
                <w:szCs w:val="20"/>
                <w:lang w:val="en"/>
              </w:rPr>
              <w:t>of cases</w:t>
            </w:r>
          </w:p>
        </w:tc>
        <w:tc>
          <w:tcPr>
            <w:tcW w:w="1843" w:type="dxa"/>
            <w:tcBorders>
              <w:top w:val="single" w:sz="2" w:space="0" w:color="000000"/>
              <w:left w:val="single" w:sz="2" w:space="0" w:color="000000"/>
              <w:bottom w:val="single" w:sz="2" w:space="0" w:color="000000"/>
              <w:right w:val="nil"/>
            </w:tcBorders>
            <w:shd w:val="clear" w:color="000000" w:fill="auto"/>
          </w:tcPr>
          <w:p w14:paraId="24C3E302" w14:textId="77777777" w:rsidR="00B51828" w:rsidRPr="00A05231" w:rsidRDefault="00B51828" w:rsidP="00B1247F">
            <w:pPr>
              <w:spacing w:before="20" w:after="20"/>
              <w:ind w:left="0"/>
              <w:jc w:val="right"/>
              <w:rPr>
                <w:rFonts w:ascii="Arial Narrow" w:hAnsi="Arial Narrow"/>
                <w:b/>
                <w:sz w:val="20"/>
                <w:szCs w:val="20"/>
              </w:rPr>
            </w:pPr>
            <w:r w:rsidRPr="00A05231">
              <w:rPr>
                <w:rFonts w:ascii="Arial Narrow" w:hAnsi="Arial Narrow"/>
                <w:b/>
                <w:sz w:val="20"/>
                <w:szCs w:val="20"/>
              </w:rPr>
              <w:t>Average under the proposed funding arrangements</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09E89CF8" w14:textId="77777777" w:rsidR="00B51828" w:rsidRPr="00A05231" w:rsidRDefault="00B51828" w:rsidP="00B1247F">
            <w:pPr>
              <w:spacing w:before="20" w:after="20"/>
              <w:ind w:left="0"/>
              <w:jc w:val="right"/>
              <w:rPr>
                <w:rFonts w:ascii="Arial Narrow" w:hAnsi="Arial Narrow"/>
                <w:b/>
                <w:sz w:val="20"/>
                <w:szCs w:val="20"/>
              </w:rPr>
            </w:pPr>
            <w:r w:rsidRPr="00A05231">
              <w:rPr>
                <w:rFonts w:ascii="Arial Narrow" w:hAnsi="Arial Narrow"/>
                <w:b/>
                <w:sz w:val="20"/>
                <w:szCs w:val="20"/>
              </w:rPr>
              <w:t>Average under the current funding arrangements</w:t>
            </w:r>
          </w:p>
        </w:tc>
      </w:tr>
      <w:tr w:rsidR="00B51828" w:rsidRPr="003760B8" w14:paraId="03C838FF"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4BC80199"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Proportion of cases referred for </w:t>
            </w:r>
            <w:r>
              <w:rPr>
                <w:rFonts w:ascii="Arial Narrow" w:hAnsi="Arial Narrow" w:cs="Arial Narrow"/>
                <w:sz w:val="20"/>
                <w:szCs w:val="20"/>
                <w:lang w:val="en"/>
              </w:rPr>
              <w:t>second, expert opinion</w:t>
            </w:r>
          </w:p>
        </w:tc>
        <w:tc>
          <w:tcPr>
            <w:tcW w:w="1843" w:type="dxa"/>
            <w:tcBorders>
              <w:top w:val="single" w:sz="2" w:space="0" w:color="000000"/>
              <w:left w:val="single" w:sz="2" w:space="0" w:color="000000"/>
              <w:bottom w:val="single" w:sz="2" w:space="0" w:color="000000"/>
              <w:right w:val="nil"/>
            </w:tcBorders>
            <w:shd w:val="clear" w:color="000000" w:fill="auto"/>
          </w:tcPr>
          <w:p w14:paraId="52F215CF"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0.0141</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2C3B8E20"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0.0057</w:t>
            </w:r>
          </w:p>
        </w:tc>
      </w:tr>
      <w:tr w:rsidR="00B51828" w:rsidRPr="003760B8" w14:paraId="3E5DF8AC"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333F3A2C"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Proportion of cases initiated by Pathologist (</w:t>
            </w:r>
            <w:r w:rsidRPr="004A60EE">
              <w:rPr>
                <w:rFonts w:ascii="Arial Narrow" w:hAnsi="Arial Narrow" w:cs="Arial Narrow"/>
                <w:i/>
                <w:sz w:val="20"/>
                <w:szCs w:val="20"/>
                <w:lang w:val="en"/>
              </w:rPr>
              <w:t>Scenario 1</w:t>
            </w:r>
            <w:r w:rsidRPr="003760B8">
              <w:rPr>
                <w:rFonts w:ascii="Arial Narrow" w:hAnsi="Arial Narrow" w:cs="Arial Narrow"/>
                <w:sz w:val="20"/>
                <w:szCs w:val="20"/>
                <w:lang w:val="en"/>
              </w:rPr>
              <w:t>)</w:t>
            </w:r>
          </w:p>
        </w:tc>
        <w:tc>
          <w:tcPr>
            <w:tcW w:w="1843" w:type="dxa"/>
            <w:tcBorders>
              <w:top w:val="single" w:sz="2" w:space="0" w:color="000000"/>
              <w:left w:val="single" w:sz="2" w:space="0" w:color="000000"/>
              <w:bottom w:val="single" w:sz="2" w:space="0" w:color="000000"/>
              <w:right w:val="nil"/>
            </w:tcBorders>
            <w:shd w:val="clear" w:color="000000" w:fill="auto"/>
          </w:tcPr>
          <w:p w14:paraId="1BA771EB"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0.7438</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01CA063D"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0.6438</w:t>
            </w:r>
          </w:p>
        </w:tc>
      </w:tr>
      <w:tr w:rsidR="00B51828" w:rsidRPr="003760B8" w14:paraId="70FAEF5E"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3619C643"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Proportion of cases initiated by Clinician (</w:t>
            </w:r>
            <w:r w:rsidRPr="004A60EE">
              <w:rPr>
                <w:rFonts w:ascii="Arial Narrow" w:hAnsi="Arial Narrow" w:cs="Arial Narrow"/>
                <w:i/>
                <w:sz w:val="20"/>
                <w:szCs w:val="20"/>
                <w:lang w:val="en"/>
              </w:rPr>
              <w:t>Scenario 2</w:t>
            </w:r>
            <w:r w:rsidRPr="003760B8">
              <w:rPr>
                <w:rFonts w:ascii="Arial Narrow" w:hAnsi="Arial Narrow" w:cs="Arial Narrow"/>
                <w:sz w:val="20"/>
                <w:szCs w:val="20"/>
                <w:lang w:val="en"/>
              </w:rPr>
              <w:t>)</w:t>
            </w:r>
          </w:p>
        </w:tc>
        <w:tc>
          <w:tcPr>
            <w:tcW w:w="1843" w:type="dxa"/>
            <w:tcBorders>
              <w:top w:val="single" w:sz="2" w:space="0" w:color="000000"/>
              <w:left w:val="single" w:sz="2" w:space="0" w:color="000000"/>
              <w:bottom w:val="single" w:sz="2" w:space="0" w:color="000000"/>
              <w:right w:val="nil"/>
            </w:tcBorders>
            <w:shd w:val="clear" w:color="000000" w:fill="auto"/>
          </w:tcPr>
          <w:p w14:paraId="15D7D8C7"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0.2563</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14A3F501"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0.3563</w:t>
            </w:r>
          </w:p>
        </w:tc>
      </w:tr>
      <w:tr w:rsidR="00B51828" w:rsidRPr="003760B8" w14:paraId="51B3FC54"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65BDD857"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Proportion of </w:t>
            </w:r>
            <w:r>
              <w:rPr>
                <w:rFonts w:ascii="Arial Narrow" w:hAnsi="Arial Narrow" w:cs="Arial Narrow"/>
                <w:sz w:val="20"/>
                <w:szCs w:val="20"/>
                <w:lang w:val="en"/>
              </w:rPr>
              <w:t xml:space="preserve">cases which are </w:t>
            </w:r>
            <w:r w:rsidRPr="004A60EE">
              <w:rPr>
                <w:rFonts w:ascii="Arial Narrow" w:hAnsi="Arial Narrow" w:cs="Arial Narrow"/>
                <w:i/>
                <w:sz w:val="20"/>
                <w:szCs w:val="20"/>
                <w:lang w:val="en"/>
              </w:rPr>
              <w:t>Scenario 1</w:t>
            </w:r>
            <w:r w:rsidRPr="003760B8">
              <w:rPr>
                <w:rFonts w:ascii="Arial Narrow" w:hAnsi="Arial Narrow" w:cs="Arial Narrow"/>
                <w:sz w:val="20"/>
                <w:szCs w:val="20"/>
                <w:lang w:val="en"/>
              </w:rPr>
              <w:t xml:space="preserve"> </w:t>
            </w:r>
            <w:r>
              <w:rPr>
                <w:rFonts w:ascii="Arial Narrow" w:hAnsi="Arial Narrow" w:cs="Arial Narrow"/>
                <w:sz w:val="20"/>
                <w:szCs w:val="20"/>
                <w:lang w:val="en"/>
              </w:rPr>
              <w:t>and ‘complex’</w:t>
            </w:r>
          </w:p>
        </w:tc>
        <w:tc>
          <w:tcPr>
            <w:tcW w:w="1843" w:type="dxa"/>
            <w:tcBorders>
              <w:top w:val="single" w:sz="2" w:space="0" w:color="000000"/>
              <w:left w:val="single" w:sz="2" w:space="0" w:color="000000"/>
              <w:bottom w:val="single" w:sz="2" w:space="0" w:color="000000"/>
              <w:right w:val="nil"/>
            </w:tcBorders>
            <w:shd w:val="clear" w:color="000000" w:fill="auto"/>
          </w:tcPr>
          <w:p w14:paraId="3F2170B9"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0.3998</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00EE515D"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0.3863</w:t>
            </w:r>
          </w:p>
        </w:tc>
      </w:tr>
      <w:tr w:rsidR="00B51828" w:rsidRPr="003760B8" w14:paraId="3DB616FB"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00E40E6B"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Proportion of</w:t>
            </w:r>
            <w:r>
              <w:rPr>
                <w:rFonts w:ascii="Arial Narrow" w:hAnsi="Arial Narrow" w:cs="Arial Narrow"/>
                <w:sz w:val="20"/>
                <w:szCs w:val="20"/>
                <w:lang w:val="en"/>
              </w:rPr>
              <w:t xml:space="preserve"> cases which are</w:t>
            </w:r>
            <w:r w:rsidRPr="003760B8">
              <w:rPr>
                <w:rFonts w:ascii="Arial Narrow" w:hAnsi="Arial Narrow" w:cs="Arial Narrow"/>
                <w:sz w:val="20"/>
                <w:szCs w:val="20"/>
                <w:lang w:val="en"/>
              </w:rPr>
              <w:t xml:space="preserve"> </w:t>
            </w:r>
            <w:r w:rsidRPr="004A60EE">
              <w:rPr>
                <w:rFonts w:ascii="Arial Narrow" w:hAnsi="Arial Narrow" w:cs="Arial Narrow"/>
                <w:i/>
                <w:sz w:val="20"/>
                <w:szCs w:val="20"/>
                <w:lang w:val="en"/>
              </w:rPr>
              <w:t>Scenario 1</w:t>
            </w:r>
            <w:r w:rsidRPr="003760B8">
              <w:rPr>
                <w:rFonts w:ascii="Arial Narrow" w:hAnsi="Arial Narrow" w:cs="Arial Narrow"/>
                <w:sz w:val="20"/>
                <w:szCs w:val="20"/>
                <w:lang w:val="en"/>
              </w:rPr>
              <w:t xml:space="preserve"> </w:t>
            </w:r>
            <w:r>
              <w:rPr>
                <w:rFonts w:ascii="Arial Narrow" w:hAnsi="Arial Narrow" w:cs="Arial Narrow"/>
                <w:sz w:val="20"/>
                <w:szCs w:val="20"/>
                <w:lang w:val="en"/>
              </w:rPr>
              <w:t>and ‘non-complex’</w:t>
            </w:r>
          </w:p>
        </w:tc>
        <w:tc>
          <w:tcPr>
            <w:tcW w:w="1843" w:type="dxa"/>
            <w:tcBorders>
              <w:top w:val="single" w:sz="2" w:space="0" w:color="000000"/>
              <w:left w:val="single" w:sz="2" w:space="0" w:color="000000"/>
              <w:bottom w:val="single" w:sz="2" w:space="0" w:color="000000"/>
              <w:right w:val="nil"/>
            </w:tcBorders>
            <w:shd w:val="clear" w:color="000000" w:fill="auto"/>
          </w:tcPr>
          <w:p w14:paraId="4809CD07"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0.3440</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3B0B5B30"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0.2575</w:t>
            </w:r>
          </w:p>
        </w:tc>
      </w:tr>
      <w:tr w:rsidR="00B51828" w:rsidRPr="003760B8" w14:paraId="374D4F6D"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0D9C6D29"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Proportion of</w:t>
            </w:r>
            <w:r>
              <w:rPr>
                <w:rFonts w:ascii="Arial Narrow" w:hAnsi="Arial Narrow" w:cs="Arial Narrow"/>
                <w:sz w:val="20"/>
                <w:szCs w:val="20"/>
                <w:lang w:val="en"/>
              </w:rPr>
              <w:t xml:space="preserve"> cases which are</w:t>
            </w:r>
            <w:r w:rsidRPr="003760B8">
              <w:rPr>
                <w:rFonts w:ascii="Arial Narrow" w:hAnsi="Arial Narrow" w:cs="Arial Narrow"/>
                <w:sz w:val="20"/>
                <w:szCs w:val="20"/>
                <w:lang w:val="en"/>
              </w:rPr>
              <w:t xml:space="preserve"> </w:t>
            </w:r>
            <w:r w:rsidRPr="004A60EE">
              <w:rPr>
                <w:rFonts w:ascii="Arial Narrow" w:hAnsi="Arial Narrow" w:cs="Arial Narrow"/>
                <w:i/>
                <w:sz w:val="20"/>
                <w:szCs w:val="20"/>
                <w:lang w:val="en"/>
              </w:rPr>
              <w:t>Scenario 2</w:t>
            </w:r>
            <w:r w:rsidRPr="003760B8">
              <w:rPr>
                <w:rFonts w:ascii="Arial Narrow" w:hAnsi="Arial Narrow" w:cs="Arial Narrow"/>
                <w:sz w:val="20"/>
                <w:szCs w:val="20"/>
                <w:lang w:val="en"/>
              </w:rPr>
              <w:t xml:space="preserve"> </w:t>
            </w:r>
            <w:r>
              <w:rPr>
                <w:rFonts w:ascii="Arial Narrow" w:hAnsi="Arial Narrow" w:cs="Arial Narrow"/>
                <w:sz w:val="20"/>
                <w:szCs w:val="20"/>
                <w:lang w:val="en"/>
              </w:rPr>
              <w:t>and ‘complex’</w:t>
            </w:r>
          </w:p>
        </w:tc>
        <w:tc>
          <w:tcPr>
            <w:tcW w:w="1843" w:type="dxa"/>
            <w:tcBorders>
              <w:top w:val="single" w:sz="2" w:space="0" w:color="000000"/>
              <w:left w:val="single" w:sz="2" w:space="0" w:color="000000"/>
              <w:bottom w:val="single" w:sz="2" w:space="0" w:color="000000"/>
              <w:right w:val="nil"/>
            </w:tcBorders>
            <w:shd w:val="clear" w:color="000000" w:fill="auto"/>
          </w:tcPr>
          <w:p w14:paraId="4514666E"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0.0769</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3AAA6E11"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0.1113</w:t>
            </w:r>
          </w:p>
        </w:tc>
      </w:tr>
      <w:tr w:rsidR="00B51828" w:rsidRPr="003760B8" w14:paraId="6F74B3F8"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2BECECDA"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Proportion of</w:t>
            </w:r>
            <w:r>
              <w:rPr>
                <w:rFonts w:ascii="Arial Narrow" w:hAnsi="Arial Narrow" w:cs="Arial Narrow"/>
                <w:sz w:val="20"/>
                <w:szCs w:val="20"/>
                <w:lang w:val="en"/>
              </w:rPr>
              <w:t xml:space="preserve"> cases which are</w:t>
            </w:r>
            <w:r w:rsidRPr="003760B8">
              <w:rPr>
                <w:rFonts w:ascii="Arial Narrow" w:hAnsi="Arial Narrow" w:cs="Arial Narrow"/>
                <w:sz w:val="20"/>
                <w:szCs w:val="20"/>
                <w:lang w:val="en"/>
              </w:rPr>
              <w:t xml:space="preserve"> </w:t>
            </w:r>
            <w:r w:rsidRPr="004A60EE">
              <w:rPr>
                <w:rFonts w:ascii="Arial Narrow" w:hAnsi="Arial Narrow" w:cs="Arial Narrow"/>
                <w:i/>
                <w:sz w:val="20"/>
                <w:szCs w:val="20"/>
                <w:lang w:val="en"/>
              </w:rPr>
              <w:t>Scenario 2</w:t>
            </w:r>
            <w:r w:rsidRPr="003760B8">
              <w:rPr>
                <w:rFonts w:ascii="Arial Narrow" w:hAnsi="Arial Narrow" w:cs="Arial Narrow"/>
                <w:sz w:val="20"/>
                <w:szCs w:val="20"/>
                <w:lang w:val="en"/>
              </w:rPr>
              <w:t xml:space="preserve"> </w:t>
            </w:r>
            <w:r>
              <w:rPr>
                <w:rFonts w:ascii="Arial Narrow" w:hAnsi="Arial Narrow" w:cs="Arial Narrow"/>
                <w:sz w:val="20"/>
                <w:szCs w:val="20"/>
                <w:lang w:val="en"/>
              </w:rPr>
              <w:t>and ‘non-complex’</w:t>
            </w:r>
          </w:p>
        </w:tc>
        <w:tc>
          <w:tcPr>
            <w:tcW w:w="1843" w:type="dxa"/>
            <w:tcBorders>
              <w:top w:val="single" w:sz="2" w:space="0" w:color="000000"/>
              <w:left w:val="single" w:sz="2" w:space="0" w:color="000000"/>
              <w:bottom w:val="single" w:sz="2" w:space="0" w:color="000000"/>
              <w:right w:val="nil"/>
            </w:tcBorders>
            <w:shd w:val="clear" w:color="000000" w:fill="auto"/>
          </w:tcPr>
          <w:p w14:paraId="3B474262"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0.1794</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37CA859D"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0.2449</w:t>
            </w:r>
          </w:p>
        </w:tc>
      </w:tr>
      <w:tr w:rsidR="00B51828" w:rsidRPr="003760B8" w14:paraId="5451E88E"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6B292C6C"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Proportion of ‘non-complex’</w:t>
            </w:r>
            <w:r w:rsidRPr="003760B8">
              <w:rPr>
                <w:rFonts w:ascii="Arial Narrow" w:hAnsi="Arial Narrow" w:cs="Arial Narrow"/>
                <w:sz w:val="20"/>
                <w:szCs w:val="20"/>
                <w:lang w:val="en"/>
              </w:rPr>
              <w:t xml:space="preserve"> cases requiring ancillary tests</w:t>
            </w:r>
          </w:p>
        </w:tc>
        <w:tc>
          <w:tcPr>
            <w:tcW w:w="1843" w:type="dxa"/>
            <w:tcBorders>
              <w:top w:val="single" w:sz="2" w:space="0" w:color="000000"/>
              <w:left w:val="single" w:sz="2" w:space="0" w:color="000000"/>
              <w:bottom w:val="single" w:sz="2" w:space="0" w:color="000000"/>
              <w:right w:val="nil"/>
            </w:tcBorders>
            <w:shd w:val="clear" w:color="000000" w:fill="auto"/>
          </w:tcPr>
          <w:p w14:paraId="259A2AD7"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0.2375</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266A3A79"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0.2500</w:t>
            </w:r>
          </w:p>
        </w:tc>
      </w:tr>
      <w:tr w:rsidR="00B51828" w:rsidRPr="003760B8" w14:paraId="5C1C87DA"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65537D0E"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Proportion of ‘non-complex’</w:t>
            </w:r>
            <w:r w:rsidRPr="003760B8">
              <w:rPr>
                <w:rFonts w:ascii="Arial Narrow" w:hAnsi="Arial Narrow" w:cs="Arial Narrow"/>
                <w:sz w:val="20"/>
                <w:szCs w:val="20"/>
                <w:lang w:val="en"/>
              </w:rPr>
              <w:t xml:space="preserve"> cases not requiring ancillary tests</w:t>
            </w:r>
          </w:p>
        </w:tc>
        <w:tc>
          <w:tcPr>
            <w:tcW w:w="1843" w:type="dxa"/>
            <w:tcBorders>
              <w:top w:val="single" w:sz="2" w:space="0" w:color="000000"/>
              <w:left w:val="single" w:sz="2" w:space="0" w:color="000000"/>
              <w:bottom w:val="single" w:sz="2" w:space="0" w:color="000000"/>
              <w:right w:val="nil"/>
            </w:tcBorders>
            <w:shd w:val="clear" w:color="000000" w:fill="auto"/>
          </w:tcPr>
          <w:p w14:paraId="4EF16A63"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0.7625</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1E8B2BD0"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0.7500</w:t>
            </w:r>
          </w:p>
        </w:tc>
      </w:tr>
      <w:tr w:rsidR="00B51828" w:rsidRPr="003760B8" w14:paraId="64DB7033"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4D94A65D"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Proportion of ‘complex’</w:t>
            </w:r>
            <w:r w:rsidRPr="003760B8">
              <w:rPr>
                <w:rFonts w:ascii="Arial Narrow" w:hAnsi="Arial Narrow" w:cs="Arial Narrow"/>
                <w:sz w:val="20"/>
                <w:szCs w:val="20"/>
                <w:lang w:val="en"/>
              </w:rPr>
              <w:t xml:space="preserve"> cases requiring ancillary tests</w:t>
            </w:r>
          </w:p>
        </w:tc>
        <w:tc>
          <w:tcPr>
            <w:tcW w:w="1843" w:type="dxa"/>
            <w:tcBorders>
              <w:top w:val="single" w:sz="2" w:space="0" w:color="000000"/>
              <w:left w:val="single" w:sz="2" w:space="0" w:color="000000"/>
              <w:bottom w:val="single" w:sz="2" w:space="0" w:color="000000"/>
              <w:right w:val="nil"/>
            </w:tcBorders>
            <w:shd w:val="clear" w:color="000000" w:fill="auto"/>
          </w:tcPr>
          <w:p w14:paraId="5ABF1467"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0.6250</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6F7E8C5B"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0.6263</w:t>
            </w:r>
          </w:p>
        </w:tc>
      </w:tr>
      <w:tr w:rsidR="00B51828" w:rsidRPr="003760B8" w14:paraId="6BEAB0A2" w14:textId="77777777" w:rsidTr="00B1247F">
        <w:trPr>
          <w:trHeight w:val="1"/>
        </w:trPr>
        <w:tc>
          <w:tcPr>
            <w:tcW w:w="4678" w:type="dxa"/>
            <w:tcBorders>
              <w:top w:val="single" w:sz="2" w:space="0" w:color="000000"/>
              <w:left w:val="single" w:sz="2" w:space="0" w:color="000000"/>
              <w:bottom w:val="single" w:sz="2" w:space="0" w:color="000000"/>
              <w:right w:val="nil"/>
            </w:tcBorders>
            <w:shd w:val="clear" w:color="000000" w:fill="auto"/>
          </w:tcPr>
          <w:p w14:paraId="516C3928"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Proportion of ‘complex’</w:t>
            </w:r>
            <w:r w:rsidRPr="003760B8">
              <w:rPr>
                <w:rFonts w:ascii="Arial Narrow" w:hAnsi="Arial Narrow" w:cs="Arial Narrow"/>
                <w:sz w:val="20"/>
                <w:szCs w:val="20"/>
                <w:lang w:val="en"/>
              </w:rPr>
              <w:t xml:space="preserve"> cases not requiring ancillary tests</w:t>
            </w:r>
          </w:p>
        </w:tc>
        <w:tc>
          <w:tcPr>
            <w:tcW w:w="1843" w:type="dxa"/>
            <w:tcBorders>
              <w:top w:val="single" w:sz="2" w:space="0" w:color="000000"/>
              <w:left w:val="single" w:sz="2" w:space="0" w:color="000000"/>
              <w:bottom w:val="single" w:sz="2" w:space="0" w:color="000000"/>
              <w:right w:val="nil"/>
            </w:tcBorders>
            <w:shd w:val="clear" w:color="000000" w:fill="auto"/>
          </w:tcPr>
          <w:p w14:paraId="3FD98B33"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0.3750</w:t>
            </w:r>
          </w:p>
        </w:tc>
        <w:tc>
          <w:tcPr>
            <w:tcW w:w="1857" w:type="dxa"/>
            <w:tcBorders>
              <w:top w:val="single" w:sz="2" w:space="0" w:color="000000"/>
              <w:left w:val="single" w:sz="2" w:space="0" w:color="000000"/>
              <w:bottom w:val="single" w:sz="2" w:space="0" w:color="000000"/>
              <w:right w:val="single" w:sz="2" w:space="0" w:color="000000"/>
            </w:tcBorders>
            <w:shd w:val="clear" w:color="000000" w:fill="auto"/>
          </w:tcPr>
          <w:p w14:paraId="17BDEAF0" w14:textId="77777777" w:rsidR="00B51828" w:rsidRPr="003760B8" w:rsidRDefault="00B51828" w:rsidP="00B1247F">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0.3738</w:t>
            </w:r>
          </w:p>
        </w:tc>
      </w:tr>
    </w:tbl>
    <w:p w14:paraId="25872094" w14:textId="1549A17D" w:rsidR="00B51828" w:rsidRPr="00F8363F" w:rsidRDefault="00B51828" w:rsidP="00DB4FF8">
      <w:pPr>
        <w:spacing w:before="20"/>
        <w:rPr>
          <w:rFonts w:ascii="Arial Narrow" w:hAnsi="Arial Narrow" w:cs="Arial Narrow"/>
          <w:sz w:val="18"/>
          <w:szCs w:val="18"/>
          <w:lang w:val="en"/>
        </w:rPr>
      </w:pPr>
      <w:r w:rsidRPr="00F8363F">
        <w:rPr>
          <w:rFonts w:ascii="Arial Narrow" w:hAnsi="Arial Narrow" w:cs="Arial Narrow"/>
          <w:sz w:val="18"/>
          <w:szCs w:val="18"/>
          <w:lang w:val="en"/>
        </w:rPr>
        <w:t xml:space="preserve">Source: </w:t>
      </w:r>
      <w:r w:rsidRPr="00F8363F">
        <w:rPr>
          <w:rFonts w:ascii="Arial Narrow" w:hAnsi="Arial Narrow" w:cs="Arial Narrow"/>
          <w:sz w:val="18"/>
          <w:szCs w:val="18"/>
          <w:lang w:val="en"/>
        </w:rPr>
        <w:fldChar w:fldCharType="begin"/>
      </w:r>
      <w:r w:rsidRPr="00F8363F">
        <w:rPr>
          <w:rFonts w:ascii="Arial Narrow" w:hAnsi="Arial Narrow" w:cs="Arial Narrow"/>
          <w:sz w:val="18"/>
          <w:szCs w:val="18"/>
          <w:lang w:val="en"/>
        </w:rPr>
        <w:instrText xml:space="preserve"> REF _Ref395372913 \h  \* MERGEFORMAT </w:instrText>
      </w:r>
      <w:r w:rsidRPr="00F8363F">
        <w:rPr>
          <w:rFonts w:ascii="Arial Narrow" w:hAnsi="Arial Narrow" w:cs="Arial Narrow"/>
          <w:sz w:val="18"/>
          <w:szCs w:val="18"/>
          <w:lang w:val="en"/>
        </w:rPr>
      </w:r>
      <w:r w:rsidRPr="00F8363F">
        <w:rPr>
          <w:rFonts w:ascii="Arial Narrow" w:hAnsi="Arial Narrow" w:cs="Arial Narrow"/>
          <w:sz w:val="18"/>
          <w:szCs w:val="18"/>
          <w:lang w:val="en"/>
        </w:rPr>
        <w:fldChar w:fldCharType="separate"/>
      </w:r>
      <w:r w:rsidR="0044620B" w:rsidRPr="0044620B">
        <w:rPr>
          <w:rFonts w:ascii="Arial Narrow" w:hAnsi="Arial Narrow" w:cs="Arial Narrow"/>
          <w:sz w:val="18"/>
          <w:szCs w:val="18"/>
          <w:lang w:val="en"/>
        </w:rPr>
        <w:t>Table C.4</w:t>
      </w:r>
      <w:r w:rsidR="0044620B" w:rsidRPr="0044620B">
        <w:rPr>
          <w:rFonts w:ascii="Arial Narrow" w:hAnsi="Arial Narrow" w:cs="Arial Narrow"/>
          <w:sz w:val="18"/>
          <w:szCs w:val="18"/>
          <w:lang w:val="en"/>
        </w:rPr>
        <w:noBreakHyphen/>
        <w:t>1</w:t>
      </w:r>
      <w:r w:rsidRPr="00F8363F">
        <w:rPr>
          <w:rFonts w:ascii="Arial Narrow" w:hAnsi="Arial Narrow" w:cs="Arial Narrow"/>
          <w:sz w:val="18"/>
          <w:szCs w:val="18"/>
          <w:lang w:val="en"/>
        </w:rPr>
        <w:fldChar w:fldCharType="end"/>
      </w:r>
      <w:r w:rsidRPr="00F8363F">
        <w:rPr>
          <w:rFonts w:ascii="Arial Narrow" w:hAnsi="Arial Narrow" w:cs="Arial Narrow"/>
          <w:sz w:val="18"/>
          <w:szCs w:val="18"/>
          <w:lang w:val="en"/>
        </w:rPr>
        <w:t>, Appendix 5 of the Assessment Report</w:t>
      </w:r>
    </w:p>
    <w:p w14:paraId="4BF98CA1" w14:textId="77777777" w:rsidR="00B51828" w:rsidRPr="00367295" w:rsidRDefault="00B51828" w:rsidP="002101D2">
      <w:pPr>
        <w:rPr>
          <w:lang w:val="en"/>
        </w:rPr>
      </w:pPr>
      <w:r>
        <w:rPr>
          <w:rFonts w:cs="Garamond"/>
          <w:szCs w:val="24"/>
          <w:lang w:val="en"/>
        </w:rPr>
        <w:t xml:space="preserve">By applying these data to the economic evaluation, the model allows for the estimation of the incremental cost-effectiveness of </w:t>
      </w:r>
      <w:r w:rsidRPr="004A60EE">
        <w:rPr>
          <w:rFonts w:cs="Garamond"/>
          <w:i/>
          <w:szCs w:val="24"/>
          <w:lang w:val="en"/>
        </w:rPr>
        <w:t>Scenario 1</w:t>
      </w:r>
      <w:r>
        <w:rPr>
          <w:rFonts w:cs="Garamond"/>
          <w:szCs w:val="24"/>
          <w:lang w:val="en"/>
        </w:rPr>
        <w:t xml:space="preserve"> and </w:t>
      </w:r>
      <w:r w:rsidRPr="004A60EE">
        <w:rPr>
          <w:rFonts w:cs="Garamond"/>
          <w:i/>
          <w:szCs w:val="24"/>
          <w:lang w:val="en"/>
        </w:rPr>
        <w:t>Scenario 2</w:t>
      </w:r>
      <w:r>
        <w:rPr>
          <w:rFonts w:cs="Garamond"/>
          <w:szCs w:val="24"/>
          <w:lang w:val="en"/>
        </w:rPr>
        <w:t xml:space="preserve"> simultaneously, accounting for the proportionate split between these (as per the survey responses).</w:t>
      </w:r>
    </w:p>
    <w:p w14:paraId="3F94E58A" w14:textId="77777777" w:rsidR="00B51828" w:rsidRDefault="00B51828" w:rsidP="00B51828">
      <w:pPr>
        <w:pStyle w:val="Heading2"/>
        <w:numPr>
          <w:ilvl w:val="1"/>
          <w:numId w:val="1"/>
        </w:numPr>
      </w:pPr>
      <w:bookmarkStart w:id="210" w:name="_Ref393293693"/>
      <w:bookmarkStart w:id="211" w:name="_Toc396211708"/>
      <w:r>
        <w:t>Results of the economic evaluation</w:t>
      </w:r>
      <w:bookmarkEnd w:id="210"/>
      <w:bookmarkEnd w:id="211"/>
    </w:p>
    <w:p w14:paraId="4E36ABEF"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 xml:space="preserve">As described previously, the economic evaluation considers </w:t>
      </w:r>
      <w:r w:rsidRPr="004A60EE">
        <w:rPr>
          <w:rFonts w:cs="Garamond"/>
          <w:i/>
          <w:szCs w:val="24"/>
          <w:lang w:val="en"/>
        </w:rPr>
        <w:t>Scenario 1</w:t>
      </w:r>
      <w:r>
        <w:rPr>
          <w:rFonts w:cs="Garamond"/>
          <w:szCs w:val="24"/>
          <w:lang w:val="en"/>
        </w:rPr>
        <w:t xml:space="preserve"> and </w:t>
      </w:r>
      <w:r w:rsidRPr="004A60EE">
        <w:rPr>
          <w:rFonts w:cs="Garamond"/>
          <w:i/>
          <w:szCs w:val="24"/>
          <w:lang w:val="en"/>
        </w:rPr>
        <w:t>Scenario 2</w:t>
      </w:r>
      <w:r>
        <w:rPr>
          <w:rFonts w:cs="Garamond"/>
          <w:szCs w:val="24"/>
          <w:lang w:val="en"/>
        </w:rPr>
        <w:t xml:space="preserve"> simultaneously using the data obtained via the survey. Alternatively, the cost-effectiveness of tissue pathology and cytopathology are considered separately, with data limitations being such that the base case considers tissue pathology only. In doing so, the economic evaluation presents a single base case analysis, supplemented by a series of sensitivity analyses.</w:t>
      </w:r>
    </w:p>
    <w:p w14:paraId="226ED0A2" w14:textId="77777777" w:rsidR="00B51828" w:rsidRDefault="00B51828" w:rsidP="005E5757">
      <w:pPr>
        <w:suppressAutoHyphens/>
        <w:autoSpaceDE w:val="0"/>
        <w:autoSpaceDN w:val="0"/>
        <w:adjustRightInd w:val="0"/>
        <w:spacing w:line="100" w:lineRule="atLeast"/>
        <w:rPr>
          <w:rFonts w:cs="Garamond"/>
          <w:szCs w:val="24"/>
          <w:lang w:val="en"/>
        </w:rPr>
      </w:pPr>
      <w:r>
        <w:rPr>
          <w:rFonts w:cs="Garamond"/>
          <w:szCs w:val="24"/>
          <w:lang w:val="en"/>
        </w:rPr>
        <w:t xml:space="preserve">While a series of independent base case analyses of multiple populations (e.g. different pathology types) may be preferred </w:t>
      </w:r>
      <w:r>
        <w:rPr>
          <w:rFonts w:cs="Garamond"/>
          <w:i/>
          <w:iCs/>
          <w:szCs w:val="24"/>
          <w:lang w:val="en"/>
        </w:rPr>
        <w:t>a priori</w:t>
      </w:r>
      <w:r>
        <w:rPr>
          <w:rFonts w:cs="Garamond"/>
          <w:szCs w:val="24"/>
          <w:lang w:val="en"/>
        </w:rPr>
        <w:t xml:space="preserve">, uncertainty due to data limitations means that there would be very real risks of misrepresenting the cost-effectiveness of second, expert opinion. So, while it may be reasonable to assume discrepancy rates are similar in </w:t>
      </w:r>
      <w:r w:rsidRPr="004A60EE">
        <w:rPr>
          <w:rFonts w:cs="Garamond"/>
          <w:i/>
          <w:szCs w:val="24"/>
          <w:lang w:val="en"/>
        </w:rPr>
        <w:t>Scenario 1</w:t>
      </w:r>
      <w:r>
        <w:rPr>
          <w:rFonts w:cs="Garamond"/>
          <w:szCs w:val="24"/>
          <w:lang w:val="en"/>
        </w:rPr>
        <w:t xml:space="preserve"> and </w:t>
      </w:r>
      <w:r w:rsidRPr="004A60EE">
        <w:rPr>
          <w:rFonts w:cs="Garamond"/>
          <w:i/>
          <w:szCs w:val="24"/>
          <w:lang w:val="en"/>
        </w:rPr>
        <w:t>Scenario 2</w:t>
      </w:r>
      <w:r>
        <w:rPr>
          <w:rFonts w:cs="Garamond"/>
          <w:szCs w:val="24"/>
          <w:lang w:val="en"/>
        </w:rPr>
        <w:t xml:space="preserve"> (when considering supplementary sensitivity analyses), it is not </w:t>
      </w:r>
      <w:r>
        <w:rPr>
          <w:rFonts w:cs="Garamond"/>
          <w:szCs w:val="24"/>
          <w:lang w:val="en"/>
        </w:rPr>
        <w:lastRenderedPageBreak/>
        <w:t xml:space="preserve">reasonable to assume the same of tissue pathology and cytopathology. As such, the latter is considered in Section </w:t>
      </w:r>
      <w:r>
        <w:rPr>
          <w:rFonts w:cs="Garamond"/>
          <w:szCs w:val="24"/>
          <w:lang w:val="en"/>
        </w:rPr>
        <w:fldChar w:fldCharType="begin"/>
      </w:r>
      <w:r>
        <w:rPr>
          <w:rFonts w:cs="Garamond"/>
          <w:szCs w:val="24"/>
          <w:lang w:val="en"/>
        </w:rPr>
        <w:instrText xml:space="preserve"> REF _Ref393292847 \n \h </w:instrText>
      </w:r>
      <w:r>
        <w:rPr>
          <w:rFonts w:cs="Garamond"/>
          <w:szCs w:val="24"/>
          <w:lang w:val="en"/>
        </w:rPr>
      </w:r>
      <w:r>
        <w:rPr>
          <w:rFonts w:cs="Garamond"/>
          <w:szCs w:val="24"/>
          <w:lang w:val="en"/>
        </w:rPr>
        <w:fldChar w:fldCharType="separate"/>
      </w:r>
      <w:r w:rsidR="0044620B">
        <w:rPr>
          <w:rFonts w:cs="Garamond"/>
          <w:szCs w:val="24"/>
          <w:lang w:val="en"/>
        </w:rPr>
        <w:t>D.5</w:t>
      </w:r>
      <w:r>
        <w:rPr>
          <w:rFonts w:cs="Garamond"/>
          <w:szCs w:val="24"/>
          <w:lang w:val="en"/>
        </w:rPr>
        <w:fldChar w:fldCharType="end"/>
      </w:r>
      <w:r>
        <w:rPr>
          <w:rFonts w:cs="Garamond"/>
          <w:szCs w:val="24"/>
          <w:lang w:val="en"/>
        </w:rPr>
        <w:t>.</w:t>
      </w:r>
    </w:p>
    <w:p w14:paraId="1046A468"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Similarly, while further differentiation of the base case could be informative on the basis of disease type, comprehensive data such as these were not available at the time of the analysis. Again, where possible, this is considered in sensitivity analyses.</w:t>
      </w:r>
    </w:p>
    <w:p w14:paraId="011DDD30" w14:textId="4C67CB5B" w:rsidR="00B51828" w:rsidRDefault="00B51828" w:rsidP="002101D2">
      <w:pPr>
        <w:rPr>
          <w:rFonts w:cs="Garamond"/>
          <w:szCs w:val="24"/>
          <w:lang w:val="en"/>
        </w:rPr>
      </w:pPr>
      <w:r>
        <w:rPr>
          <w:rFonts w:cs="Garamond"/>
          <w:szCs w:val="24"/>
          <w:lang w:val="en"/>
        </w:rPr>
        <w:t>The results of the base case economic evaluation are presented below. To ensure transparency, these are provided in a disaggregated manner presenting costs and outcomes in turn before presenting the incremental cost per significant (clinically</w:t>
      </w:r>
      <w:r w:rsidR="0053670C">
        <w:rPr>
          <w:rFonts w:cs="Garamond"/>
          <w:szCs w:val="24"/>
          <w:lang w:val="en"/>
        </w:rPr>
        <w:t xml:space="preserve"> </w:t>
      </w:r>
      <w:r>
        <w:rPr>
          <w:rFonts w:cs="Garamond"/>
          <w:szCs w:val="24"/>
          <w:lang w:val="en"/>
        </w:rPr>
        <w:t>relevant) change in diagnosis or interpretation.</w:t>
      </w:r>
    </w:p>
    <w:p w14:paraId="71BB1EC6" w14:textId="77777777" w:rsidR="00B51828" w:rsidRDefault="00B51828" w:rsidP="00B51828">
      <w:pPr>
        <w:pStyle w:val="Heading3"/>
        <w:numPr>
          <w:ilvl w:val="2"/>
          <w:numId w:val="1"/>
        </w:numPr>
      </w:pPr>
      <w:r>
        <w:t>Costs</w:t>
      </w:r>
    </w:p>
    <w:p w14:paraId="329895CE" w14:textId="2D3B12DA"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fldChar w:fldCharType="begin"/>
      </w:r>
      <w:r>
        <w:rPr>
          <w:rFonts w:cs="Garamond"/>
          <w:szCs w:val="24"/>
          <w:lang w:val="en"/>
        </w:rPr>
        <w:instrText xml:space="preserve"> REF _Ref393293171 \h </w:instrText>
      </w:r>
      <w:r>
        <w:rPr>
          <w:rFonts w:cs="Garamond"/>
          <w:szCs w:val="24"/>
          <w:lang w:val="en"/>
        </w:rPr>
      </w:r>
      <w:r>
        <w:rPr>
          <w:rFonts w:cs="Garamond"/>
          <w:szCs w:val="24"/>
          <w:lang w:val="en"/>
        </w:rPr>
        <w:fldChar w:fldCharType="separate"/>
      </w:r>
      <w:r w:rsidR="0044620B">
        <w:t xml:space="preserve">Table </w:t>
      </w:r>
      <w:r w:rsidR="0044620B">
        <w:rPr>
          <w:noProof/>
        </w:rPr>
        <w:t>D.4</w:t>
      </w:r>
      <w:r w:rsidR="0044620B">
        <w:noBreakHyphen/>
      </w:r>
      <w:r w:rsidR="0044620B">
        <w:rPr>
          <w:noProof/>
        </w:rPr>
        <w:t>1</w:t>
      </w:r>
      <w:r>
        <w:rPr>
          <w:rFonts w:cs="Garamond"/>
          <w:szCs w:val="24"/>
          <w:lang w:val="en"/>
        </w:rPr>
        <w:fldChar w:fldCharType="end"/>
      </w:r>
      <w:r>
        <w:rPr>
          <w:rFonts w:cs="Garamond"/>
          <w:szCs w:val="24"/>
          <w:lang w:val="en"/>
        </w:rPr>
        <w:t xml:space="preserve"> presents the average cost per p</w:t>
      </w:r>
      <w:r w:rsidR="009D263E">
        <w:rPr>
          <w:rFonts w:cs="Garamond"/>
          <w:szCs w:val="24"/>
          <w:lang w:val="en"/>
        </w:rPr>
        <w:t>atient, disaggregated by health</w:t>
      </w:r>
      <w:r>
        <w:rPr>
          <w:rFonts w:cs="Garamond"/>
          <w:szCs w:val="24"/>
          <w:lang w:val="en"/>
        </w:rPr>
        <w:t xml:space="preserve">care resource item in each arm of the model. </w:t>
      </w:r>
      <w:r>
        <w:rPr>
          <w:rFonts w:cs="Garamond"/>
          <w:szCs w:val="24"/>
          <w:lang w:val="en"/>
        </w:rPr>
        <w:fldChar w:fldCharType="begin"/>
      </w:r>
      <w:r>
        <w:rPr>
          <w:rFonts w:cs="Garamond"/>
          <w:szCs w:val="24"/>
          <w:lang w:val="en"/>
        </w:rPr>
        <w:instrText xml:space="preserve"> REF _Ref393293257 \h </w:instrText>
      </w:r>
      <w:r>
        <w:rPr>
          <w:rFonts w:cs="Garamond"/>
          <w:szCs w:val="24"/>
          <w:lang w:val="en"/>
        </w:rPr>
      </w:r>
      <w:r>
        <w:rPr>
          <w:rFonts w:cs="Garamond"/>
          <w:szCs w:val="24"/>
          <w:lang w:val="en"/>
        </w:rPr>
        <w:fldChar w:fldCharType="separate"/>
      </w:r>
      <w:r w:rsidR="0044620B">
        <w:t xml:space="preserve">Table </w:t>
      </w:r>
      <w:r w:rsidR="0044620B">
        <w:rPr>
          <w:noProof/>
        </w:rPr>
        <w:t>D.4</w:t>
      </w:r>
      <w:r w:rsidR="0044620B">
        <w:noBreakHyphen/>
      </w:r>
      <w:r w:rsidR="0044620B">
        <w:rPr>
          <w:noProof/>
        </w:rPr>
        <w:t>2</w:t>
      </w:r>
      <w:r>
        <w:rPr>
          <w:rFonts w:cs="Garamond"/>
          <w:szCs w:val="24"/>
          <w:lang w:val="en"/>
        </w:rPr>
        <w:fldChar w:fldCharType="end"/>
      </w:r>
      <w:r>
        <w:rPr>
          <w:rFonts w:cs="Garamond"/>
          <w:szCs w:val="24"/>
          <w:lang w:val="en"/>
        </w:rPr>
        <w:t xml:space="preserve"> presents the average cost per patient, disaggregated by health state of the economic evaluation.</w:t>
      </w:r>
    </w:p>
    <w:p w14:paraId="22B7D93A" w14:textId="77777777" w:rsidR="00B51828" w:rsidRDefault="00B51828" w:rsidP="002101D2">
      <w:pPr>
        <w:rPr>
          <w:rFonts w:cs="Garamond"/>
          <w:szCs w:val="24"/>
          <w:lang w:val="en"/>
        </w:rPr>
      </w:pPr>
      <w:r>
        <w:rPr>
          <w:rFonts w:cs="Garamond"/>
          <w:szCs w:val="24"/>
          <w:lang w:val="en"/>
        </w:rPr>
        <w:t>As can be seen from each of these tables, the cost of second, expert opinion is the largest cost driver. Ancillary costs, due to their relative use, comprise only a small portion of the total incremental cost. Further, with the low relative use of second, expert opinion – even with MBS funding – the average cost of second, expert opinion per patient is low compared with the unit cost.</w:t>
      </w:r>
    </w:p>
    <w:p w14:paraId="0215544D" w14:textId="48C74C0A" w:rsidR="00B51828" w:rsidRDefault="00B51828" w:rsidP="002101D2">
      <w:pPr>
        <w:pStyle w:val="Caption"/>
      </w:pPr>
      <w:bookmarkStart w:id="212" w:name="_Ref393293171"/>
      <w:bookmarkStart w:id="213" w:name="_Toc396211757"/>
      <w:r>
        <w:t xml:space="preserve">Table </w:t>
      </w:r>
      <w:fldSimple w:instr=" STYLEREF 2 \s ">
        <w:r w:rsidR="0044620B">
          <w:rPr>
            <w:noProof/>
          </w:rPr>
          <w:t>D.4</w:t>
        </w:r>
      </w:fldSimple>
      <w:r>
        <w:noBreakHyphen/>
      </w:r>
      <w:fldSimple w:instr=" SEQ Table \* ARABIC \s 2 ">
        <w:r w:rsidR="0044620B">
          <w:rPr>
            <w:noProof/>
          </w:rPr>
          <w:t>1</w:t>
        </w:r>
      </w:fldSimple>
      <w:bookmarkEnd w:id="212"/>
      <w:r w:rsidR="009D263E">
        <w:tab/>
        <w:t>Health</w:t>
      </w:r>
      <w:r>
        <w:t>care resource items and summary of incremental cost, average cost per patient</w:t>
      </w:r>
      <w:bookmarkEnd w:id="213"/>
    </w:p>
    <w:tbl>
      <w:tblPr>
        <w:tblW w:w="8222" w:type="dxa"/>
        <w:tblInd w:w="706" w:type="dxa"/>
        <w:tblLayout w:type="fixed"/>
        <w:tblCellMar>
          <w:left w:w="27" w:type="dxa"/>
          <w:right w:w="57" w:type="dxa"/>
        </w:tblCellMar>
        <w:tblLook w:val="0000" w:firstRow="0" w:lastRow="0" w:firstColumn="0" w:lastColumn="0" w:noHBand="0" w:noVBand="0"/>
        <w:tblCaption w:val="Healthcare resource items and summary of incremental cost, average cost per patient"/>
        <w:tblDescription w:val="The average cost per patient, disaggregated by healthcare resource item in each arm of the model"/>
      </w:tblPr>
      <w:tblGrid>
        <w:gridCol w:w="3544"/>
        <w:gridCol w:w="1701"/>
        <w:gridCol w:w="1559"/>
        <w:gridCol w:w="1418"/>
      </w:tblGrid>
      <w:tr w:rsidR="00B51828" w:rsidRPr="003760B8" w14:paraId="31B0E465" w14:textId="77777777" w:rsidTr="002101D2">
        <w:trPr>
          <w:trHeight w:val="1"/>
        </w:trPr>
        <w:tc>
          <w:tcPr>
            <w:tcW w:w="3544" w:type="dxa"/>
            <w:tcBorders>
              <w:top w:val="single" w:sz="2" w:space="0" w:color="000000"/>
              <w:left w:val="single" w:sz="2" w:space="0" w:color="000000"/>
              <w:bottom w:val="single" w:sz="2" w:space="0" w:color="000000"/>
              <w:right w:val="nil"/>
            </w:tcBorders>
            <w:shd w:val="clear" w:color="000000" w:fill="auto"/>
          </w:tcPr>
          <w:p w14:paraId="074FB35E" w14:textId="77777777" w:rsidR="00B51828" w:rsidRPr="00A05231" w:rsidRDefault="00B51828" w:rsidP="002101D2">
            <w:pPr>
              <w:spacing w:before="20" w:after="20"/>
              <w:ind w:left="0"/>
              <w:rPr>
                <w:rFonts w:ascii="Arial Narrow" w:hAnsi="Arial Narrow"/>
                <w:b/>
                <w:sz w:val="20"/>
                <w:szCs w:val="20"/>
              </w:rPr>
            </w:pPr>
            <w:r w:rsidRPr="00A05231">
              <w:rPr>
                <w:rFonts w:ascii="Arial Narrow" w:hAnsi="Arial Narrow"/>
                <w:b/>
                <w:sz w:val="20"/>
                <w:szCs w:val="20"/>
              </w:rPr>
              <w:t>Type of resource item</w:t>
            </w:r>
          </w:p>
        </w:tc>
        <w:tc>
          <w:tcPr>
            <w:tcW w:w="1701" w:type="dxa"/>
            <w:tcBorders>
              <w:top w:val="single" w:sz="2" w:space="0" w:color="000000"/>
              <w:left w:val="single" w:sz="2" w:space="0" w:color="000000"/>
              <w:bottom w:val="single" w:sz="2" w:space="0" w:color="000000"/>
              <w:right w:val="nil"/>
            </w:tcBorders>
            <w:shd w:val="clear" w:color="000000" w:fill="auto"/>
          </w:tcPr>
          <w:p w14:paraId="17A0C2C4" w14:textId="77777777" w:rsidR="00B51828" w:rsidRPr="00A05231" w:rsidRDefault="00B51828" w:rsidP="002101D2">
            <w:pPr>
              <w:spacing w:before="20" w:after="20"/>
              <w:ind w:left="0"/>
              <w:jc w:val="right"/>
              <w:rPr>
                <w:rFonts w:ascii="Arial Narrow" w:hAnsi="Arial Narrow"/>
                <w:b/>
                <w:sz w:val="20"/>
                <w:szCs w:val="20"/>
              </w:rPr>
            </w:pPr>
            <w:r w:rsidRPr="00A05231">
              <w:rPr>
                <w:rFonts w:ascii="Arial Narrow" w:hAnsi="Arial Narrow"/>
                <w:b/>
                <w:sz w:val="20"/>
                <w:szCs w:val="20"/>
              </w:rPr>
              <w:t>Proposed funding arrangements</w:t>
            </w:r>
          </w:p>
        </w:tc>
        <w:tc>
          <w:tcPr>
            <w:tcW w:w="1559" w:type="dxa"/>
            <w:tcBorders>
              <w:top w:val="single" w:sz="2" w:space="0" w:color="000000"/>
              <w:left w:val="single" w:sz="2" w:space="0" w:color="000000"/>
              <w:bottom w:val="single" w:sz="2" w:space="0" w:color="000000"/>
              <w:right w:val="nil"/>
            </w:tcBorders>
            <w:shd w:val="clear" w:color="000000" w:fill="auto"/>
          </w:tcPr>
          <w:p w14:paraId="0D5CAAB8" w14:textId="77777777" w:rsidR="00B51828" w:rsidRPr="00A05231" w:rsidRDefault="00B51828" w:rsidP="002101D2">
            <w:pPr>
              <w:spacing w:before="20" w:after="20"/>
              <w:ind w:left="0"/>
              <w:jc w:val="right"/>
              <w:rPr>
                <w:rFonts w:ascii="Arial Narrow" w:hAnsi="Arial Narrow"/>
                <w:b/>
                <w:sz w:val="20"/>
                <w:szCs w:val="20"/>
              </w:rPr>
            </w:pPr>
            <w:r w:rsidRPr="00A05231">
              <w:rPr>
                <w:rFonts w:ascii="Arial Narrow" w:hAnsi="Arial Narrow"/>
                <w:b/>
                <w:sz w:val="20"/>
                <w:szCs w:val="20"/>
              </w:rPr>
              <w:t>Current funding arrangements</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370E110D" w14:textId="77777777" w:rsidR="00B51828" w:rsidRPr="00A05231" w:rsidRDefault="00B51828" w:rsidP="002101D2">
            <w:pPr>
              <w:spacing w:before="20" w:after="20"/>
              <w:ind w:left="0"/>
              <w:jc w:val="right"/>
              <w:rPr>
                <w:rFonts w:ascii="Arial Narrow" w:hAnsi="Arial Narrow"/>
                <w:b/>
                <w:sz w:val="20"/>
                <w:szCs w:val="20"/>
              </w:rPr>
            </w:pPr>
            <w:r w:rsidRPr="00A05231">
              <w:rPr>
                <w:rFonts w:ascii="Arial Narrow" w:hAnsi="Arial Narrow"/>
                <w:b/>
                <w:sz w:val="20"/>
                <w:szCs w:val="20"/>
              </w:rPr>
              <w:t>Incremental cost</w:t>
            </w:r>
          </w:p>
        </w:tc>
      </w:tr>
      <w:tr w:rsidR="00B51828" w:rsidRPr="003760B8" w14:paraId="23D055EF" w14:textId="77777777" w:rsidTr="002101D2">
        <w:trPr>
          <w:trHeight w:val="1"/>
        </w:trPr>
        <w:tc>
          <w:tcPr>
            <w:tcW w:w="3544" w:type="dxa"/>
            <w:tcBorders>
              <w:top w:val="single" w:sz="2" w:space="0" w:color="000000"/>
              <w:left w:val="single" w:sz="2" w:space="0" w:color="000000"/>
              <w:bottom w:val="single" w:sz="2" w:space="0" w:color="000000"/>
              <w:right w:val="nil"/>
            </w:tcBorders>
            <w:shd w:val="clear" w:color="000000" w:fill="C0C0C0"/>
          </w:tcPr>
          <w:p w14:paraId="6A36CF8E" w14:textId="77777777" w:rsidR="00B51828" w:rsidRPr="00E30311" w:rsidRDefault="00B51828" w:rsidP="002101D2">
            <w:pPr>
              <w:spacing w:before="20" w:after="20"/>
              <w:ind w:left="0"/>
              <w:rPr>
                <w:rFonts w:ascii="Calibri" w:hAnsi="Calibri" w:cs="Calibri"/>
                <w:sz w:val="22"/>
                <w:lang w:val="en"/>
              </w:rPr>
            </w:pPr>
            <w:r w:rsidRPr="00E30311">
              <w:rPr>
                <w:rFonts w:ascii="Arial Narrow" w:hAnsi="Arial Narrow"/>
                <w:sz w:val="20"/>
                <w:szCs w:val="20"/>
              </w:rPr>
              <w:t>Intervention</w:t>
            </w:r>
          </w:p>
        </w:tc>
        <w:tc>
          <w:tcPr>
            <w:tcW w:w="1701" w:type="dxa"/>
            <w:tcBorders>
              <w:top w:val="single" w:sz="2" w:space="0" w:color="000000"/>
              <w:left w:val="single" w:sz="2" w:space="0" w:color="000000"/>
              <w:bottom w:val="single" w:sz="2" w:space="0" w:color="000000"/>
              <w:right w:val="nil"/>
            </w:tcBorders>
            <w:shd w:val="clear" w:color="000000" w:fill="C0C0C0"/>
          </w:tcPr>
          <w:p w14:paraId="53C564C2"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Pr>
                <w:rFonts w:ascii="Calibri" w:hAnsi="Calibri" w:cs="Calibri"/>
                <w:sz w:val="22"/>
                <w:lang w:val="en"/>
              </w:rPr>
              <w:t>-</w:t>
            </w:r>
          </w:p>
        </w:tc>
        <w:tc>
          <w:tcPr>
            <w:tcW w:w="1559" w:type="dxa"/>
            <w:tcBorders>
              <w:top w:val="single" w:sz="2" w:space="0" w:color="000000"/>
              <w:left w:val="single" w:sz="2" w:space="0" w:color="000000"/>
              <w:bottom w:val="single" w:sz="2" w:space="0" w:color="000000"/>
              <w:right w:val="nil"/>
            </w:tcBorders>
            <w:shd w:val="clear" w:color="000000" w:fill="C0C0C0"/>
          </w:tcPr>
          <w:p w14:paraId="56B74F13"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Pr>
                <w:rFonts w:ascii="Calibri" w:hAnsi="Calibri" w:cs="Calibri"/>
                <w:sz w:val="22"/>
                <w:lang w:val="en"/>
              </w:rPr>
              <w:t>-</w:t>
            </w:r>
          </w:p>
        </w:tc>
        <w:tc>
          <w:tcPr>
            <w:tcW w:w="1418" w:type="dxa"/>
            <w:tcBorders>
              <w:top w:val="single" w:sz="2" w:space="0" w:color="000000"/>
              <w:left w:val="single" w:sz="2" w:space="0" w:color="000000"/>
              <w:bottom w:val="single" w:sz="2" w:space="0" w:color="000000"/>
              <w:right w:val="single" w:sz="2" w:space="0" w:color="000000"/>
            </w:tcBorders>
            <w:shd w:val="clear" w:color="000000" w:fill="C0C0C0"/>
          </w:tcPr>
          <w:p w14:paraId="51617B9F"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Pr>
                <w:rFonts w:ascii="Calibri" w:hAnsi="Calibri" w:cs="Calibri"/>
                <w:sz w:val="22"/>
                <w:lang w:val="en"/>
              </w:rPr>
              <w:t>-</w:t>
            </w:r>
          </w:p>
        </w:tc>
      </w:tr>
      <w:tr w:rsidR="00B51828" w:rsidRPr="003760B8" w14:paraId="686184E6" w14:textId="77777777" w:rsidTr="002101D2">
        <w:trPr>
          <w:trHeight w:val="1"/>
        </w:trPr>
        <w:tc>
          <w:tcPr>
            <w:tcW w:w="3544" w:type="dxa"/>
            <w:tcBorders>
              <w:top w:val="single" w:sz="2" w:space="0" w:color="000000"/>
              <w:left w:val="single" w:sz="2" w:space="0" w:color="000000"/>
              <w:bottom w:val="single" w:sz="2" w:space="0" w:color="000000"/>
              <w:right w:val="nil"/>
            </w:tcBorders>
            <w:shd w:val="clear" w:color="000000" w:fill="auto"/>
          </w:tcPr>
          <w:p w14:paraId="0A7D7D21"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Second, expert opinion (current funding arrangements)</w:t>
            </w:r>
          </w:p>
        </w:tc>
        <w:tc>
          <w:tcPr>
            <w:tcW w:w="1701" w:type="dxa"/>
            <w:tcBorders>
              <w:top w:val="single" w:sz="2" w:space="0" w:color="000000"/>
              <w:left w:val="single" w:sz="2" w:space="0" w:color="000000"/>
              <w:bottom w:val="single" w:sz="2" w:space="0" w:color="000000"/>
              <w:right w:val="nil"/>
            </w:tcBorders>
            <w:shd w:val="clear" w:color="000000" w:fill="auto"/>
          </w:tcPr>
          <w:p w14:paraId="0B362386"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w:t>
            </w:r>
          </w:p>
        </w:tc>
        <w:tc>
          <w:tcPr>
            <w:tcW w:w="1559" w:type="dxa"/>
            <w:tcBorders>
              <w:top w:val="single" w:sz="2" w:space="0" w:color="000000"/>
              <w:left w:val="single" w:sz="2" w:space="0" w:color="000000"/>
              <w:bottom w:val="single" w:sz="2" w:space="0" w:color="000000"/>
              <w:right w:val="nil"/>
            </w:tcBorders>
            <w:shd w:val="clear" w:color="000000" w:fill="auto"/>
          </w:tcPr>
          <w:p w14:paraId="36FD7890"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3506FE96"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w:t>
            </w:r>
          </w:p>
        </w:tc>
      </w:tr>
      <w:tr w:rsidR="00B51828" w:rsidRPr="003760B8" w14:paraId="47BD69A0" w14:textId="77777777" w:rsidTr="002101D2">
        <w:trPr>
          <w:trHeight w:val="1"/>
        </w:trPr>
        <w:tc>
          <w:tcPr>
            <w:tcW w:w="3544" w:type="dxa"/>
            <w:tcBorders>
              <w:top w:val="single" w:sz="2" w:space="0" w:color="000000"/>
              <w:left w:val="single" w:sz="2" w:space="0" w:color="000000"/>
              <w:bottom w:val="single" w:sz="2" w:space="0" w:color="000000"/>
              <w:right w:val="nil"/>
            </w:tcBorders>
            <w:shd w:val="clear" w:color="000000" w:fill="auto"/>
          </w:tcPr>
          <w:p w14:paraId="0034658B"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Second, expert opinion (proposed funding arrangements), </w:t>
            </w:r>
            <w:r>
              <w:rPr>
                <w:rFonts w:ascii="Arial Narrow" w:hAnsi="Arial Narrow" w:cs="Arial Narrow"/>
                <w:sz w:val="20"/>
                <w:szCs w:val="20"/>
                <w:lang w:val="en"/>
              </w:rPr>
              <w:t>‘</w:t>
            </w:r>
            <w:r w:rsidRPr="003760B8">
              <w:rPr>
                <w:rFonts w:ascii="Arial Narrow" w:hAnsi="Arial Narrow" w:cs="Arial Narrow"/>
                <w:sz w:val="20"/>
                <w:szCs w:val="20"/>
                <w:lang w:val="en"/>
              </w:rPr>
              <w:t>complex</w:t>
            </w:r>
            <w:r>
              <w:rPr>
                <w:rFonts w:ascii="Arial Narrow" w:hAnsi="Arial Narrow" w:cs="Arial Narrow"/>
                <w:sz w:val="20"/>
                <w:szCs w:val="20"/>
                <w:lang w:val="en"/>
              </w:rPr>
              <w:t>’ (&gt;30 minutes)</w:t>
            </w:r>
          </w:p>
        </w:tc>
        <w:tc>
          <w:tcPr>
            <w:tcW w:w="1701" w:type="dxa"/>
            <w:tcBorders>
              <w:top w:val="single" w:sz="2" w:space="0" w:color="000000"/>
              <w:left w:val="single" w:sz="2" w:space="0" w:color="000000"/>
              <w:bottom w:val="single" w:sz="2" w:space="0" w:color="000000"/>
              <w:right w:val="nil"/>
            </w:tcBorders>
            <w:shd w:val="clear" w:color="000000" w:fill="auto"/>
          </w:tcPr>
          <w:p w14:paraId="75282DE1"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$2.49</w:t>
            </w:r>
          </w:p>
        </w:tc>
        <w:tc>
          <w:tcPr>
            <w:tcW w:w="1559" w:type="dxa"/>
            <w:tcBorders>
              <w:top w:val="single" w:sz="2" w:space="0" w:color="000000"/>
              <w:left w:val="single" w:sz="2" w:space="0" w:color="000000"/>
              <w:bottom w:val="single" w:sz="2" w:space="0" w:color="000000"/>
              <w:right w:val="nil"/>
            </w:tcBorders>
            <w:shd w:val="clear" w:color="000000" w:fill="auto"/>
          </w:tcPr>
          <w:p w14:paraId="21750D46"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228AF3F3"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$2.49</w:t>
            </w:r>
          </w:p>
        </w:tc>
      </w:tr>
      <w:tr w:rsidR="00B51828" w:rsidRPr="003760B8" w14:paraId="3BD7D478" w14:textId="77777777" w:rsidTr="002101D2">
        <w:trPr>
          <w:trHeight w:val="1"/>
        </w:trPr>
        <w:tc>
          <w:tcPr>
            <w:tcW w:w="3544" w:type="dxa"/>
            <w:tcBorders>
              <w:top w:val="single" w:sz="2" w:space="0" w:color="000000"/>
              <w:left w:val="single" w:sz="2" w:space="0" w:color="000000"/>
              <w:bottom w:val="single" w:sz="2" w:space="0" w:color="000000"/>
              <w:right w:val="nil"/>
            </w:tcBorders>
            <w:shd w:val="clear" w:color="000000" w:fill="auto"/>
          </w:tcPr>
          <w:p w14:paraId="4889E961"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Second, expert opinion (proposed funding arrangements), </w:t>
            </w:r>
            <w:r>
              <w:rPr>
                <w:rFonts w:ascii="Arial Narrow" w:hAnsi="Arial Narrow" w:cs="Arial Narrow"/>
                <w:sz w:val="20"/>
                <w:szCs w:val="20"/>
                <w:lang w:val="en"/>
              </w:rPr>
              <w:t>‘non-complex’ (≤30 minutes)</w:t>
            </w:r>
          </w:p>
        </w:tc>
        <w:tc>
          <w:tcPr>
            <w:tcW w:w="1701" w:type="dxa"/>
            <w:tcBorders>
              <w:top w:val="single" w:sz="2" w:space="0" w:color="000000"/>
              <w:left w:val="single" w:sz="2" w:space="0" w:color="000000"/>
              <w:bottom w:val="single" w:sz="2" w:space="0" w:color="000000"/>
              <w:right w:val="nil"/>
            </w:tcBorders>
            <w:shd w:val="clear" w:color="000000" w:fill="auto"/>
          </w:tcPr>
          <w:p w14:paraId="6DCB084D"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$1.33</w:t>
            </w:r>
          </w:p>
        </w:tc>
        <w:tc>
          <w:tcPr>
            <w:tcW w:w="1559" w:type="dxa"/>
            <w:tcBorders>
              <w:top w:val="single" w:sz="2" w:space="0" w:color="000000"/>
              <w:left w:val="single" w:sz="2" w:space="0" w:color="000000"/>
              <w:bottom w:val="single" w:sz="2" w:space="0" w:color="000000"/>
              <w:right w:val="nil"/>
            </w:tcBorders>
            <w:shd w:val="clear" w:color="000000" w:fill="auto"/>
          </w:tcPr>
          <w:p w14:paraId="210A588D"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24F3E653"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$1.33</w:t>
            </w:r>
          </w:p>
        </w:tc>
      </w:tr>
      <w:tr w:rsidR="00B51828" w:rsidRPr="003760B8" w14:paraId="48AB2A8D" w14:textId="77777777" w:rsidTr="002101D2">
        <w:trPr>
          <w:trHeight w:val="1"/>
        </w:trPr>
        <w:tc>
          <w:tcPr>
            <w:tcW w:w="3544" w:type="dxa"/>
            <w:tcBorders>
              <w:top w:val="single" w:sz="2" w:space="0" w:color="000000"/>
              <w:left w:val="single" w:sz="2" w:space="0" w:color="000000"/>
              <w:bottom w:val="single" w:sz="2" w:space="0" w:color="000000"/>
              <w:right w:val="nil"/>
            </w:tcBorders>
            <w:shd w:val="clear" w:color="000000" w:fill="C0C0C0"/>
          </w:tcPr>
          <w:p w14:paraId="61FEE306" w14:textId="77777777" w:rsidR="00B51828" w:rsidRPr="00E30311" w:rsidRDefault="00B51828" w:rsidP="002101D2">
            <w:pPr>
              <w:spacing w:before="20" w:after="20"/>
              <w:ind w:left="0"/>
              <w:rPr>
                <w:rFonts w:ascii="Calibri" w:hAnsi="Calibri" w:cs="Calibri"/>
                <w:sz w:val="22"/>
                <w:lang w:val="en"/>
              </w:rPr>
            </w:pPr>
            <w:r w:rsidRPr="00E30311">
              <w:rPr>
                <w:rFonts w:ascii="Arial Narrow" w:hAnsi="Arial Narrow"/>
                <w:sz w:val="20"/>
                <w:szCs w:val="20"/>
              </w:rPr>
              <w:t>Other relevant services</w:t>
            </w:r>
          </w:p>
        </w:tc>
        <w:tc>
          <w:tcPr>
            <w:tcW w:w="1701" w:type="dxa"/>
            <w:tcBorders>
              <w:top w:val="single" w:sz="2" w:space="0" w:color="000000"/>
              <w:left w:val="single" w:sz="2" w:space="0" w:color="000000"/>
              <w:bottom w:val="single" w:sz="2" w:space="0" w:color="000000"/>
              <w:right w:val="nil"/>
            </w:tcBorders>
            <w:shd w:val="clear" w:color="000000" w:fill="C0C0C0"/>
          </w:tcPr>
          <w:p w14:paraId="0A583872"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Pr>
                <w:rFonts w:ascii="Calibri" w:hAnsi="Calibri" w:cs="Calibri"/>
                <w:sz w:val="22"/>
                <w:lang w:val="en"/>
              </w:rPr>
              <w:t>-</w:t>
            </w:r>
          </w:p>
        </w:tc>
        <w:tc>
          <w:tcPr>
            <w:tcW w:w="1559" w:type="dxa"/>
            <w:tcBorders>
              <w:top w:val="single" w:sz="2" w:space="0" w:color="000000"/>
              <w:left w:val="single" w:sz="2" w:space="0" w:color="000000"/>
              <w:bottom w:val="single" w:sz="2" w:space="0" w:color="000000"/>
              <w:right w:val="nil"/>
            </w:tcBorders>
            <w:shd w:val="clear" w:color="000000" w:fill="C0C0C0"/>
          </w:tcPr>
          <w:p w14:paraId="757A2A07"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Pr>
                <w:rFonts w:ascii="Calibri" w:hAnsi="Calibri" w:cs="Calibri"/>
                <w:sz w:val="22"/>
                <w:lang w:val="en"/>
              </w:rPr>
              <w:t>-</w:t>
            </w:r>
          </w:p>
        </w:tc>
        <w:tc>
          <w:tcPr>
            <w:tcW w:w="1418" w:type="dxa"/>
            <w:tcBorders>
              <w:top w:val="single" w:sz="2" w:space="0" w:color="000000"/>
              <w:left w:val="single" w:sz="2" w:space="0" w:color="000000"/>
              <w:bottom w:val="single" w:sz="2" w:space="0" w:color="000000"/>
              <w:right w:val="single" w:sz="2" w:space="0" w:color="000000"/>
            </w:tcBorders>
            <w:shd w:val="clear" w:color="000000" w:fill="C0C0C0"/>
          </w:tcPr>
          <w:p w14:paraId="6AAB4CB8"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Pr>
                <w:rFonts w:ascii="Calibri" w:hAnsi="Calibri" w:cs="Calibri"/>
                <w:sz w:val="22"/>
                <w:lang w:val="en"/>
              </w:rPr>
              <w:t>-</w:t>
            </w:r>
          </w:p>
        </w:tc>
      </w:tr>
      <w:tr w:rsidR="00B51828" w:rsidRPr="003760B8" w14:paraId="6893A4BA" w14:textId="77777777" w:rsidTr="002101D2">
        <w:trPr>
          <w:trHeight w:val="1"/>
        </w:trPr>
        <w:tc>
          <w:tcPr>
            <w:tcW w:w="3544" w:type="dxa"/>
            <w:tcBorders>
              <w:top w:val="single" w:sz="2" w:space="0" w:color="000000"/>
              <w:left w:val="single" w:sz="2" w:space="0" w:color="000000"/>
              <w:bottom w:val="single" w:sz="2" w:space="0" w:color="000000"/>
              <w:right w:val="nil"/>
            </w:tcBorders>
            <w:shd w:val="clear" w:color="000000" w:fill="auto"/>
          </w:tcPr>
          <w:p w14:paraId="698C38CA"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Ancillary testing</w:t>
            </w:r>
          </w:p>
        </w:tc>
        <w:tc>
          <w:tcPr>
            <w:tcW w:w="1701" w:type="dxa"/>
            <w:tcBorders>
              <w:top w:val="single" w:sz="2" w:space="0" w:color="000000"/>
              <w:left w:val="single" w:sz="2" w:space="0" w:color="000000"/>
              <w:bottom w:val="single" w:sz="2" w:space="0" w:color="000000"/>
              <w:right w:val="nil"/>
            </w:tcBorders>
            <w:shd w:val="clear" w:color="000000" w:fill="auto"/>
          </w:tcPr>
          <w:p w14:paraId="436B87DB"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$0.37</w:t>
            </w:r>
          </w:p>
        </w:tc>
        <w:tc>
          <w:tcPr>
            <w:tcW w:w="1559" w:type="dxa"/>
            <w:tcBorders>
              <w:top w:val="single" w:sz="2" w:space="0" w:color="000000"/>
              <w:left w:val="single" w:sz="2" w:space="0" w:color="000000"/>
              <w:bottom w:val="single" w:sz="2" w:space="0" w:color="000000"/>
              <w:right w:val="nil"/>
            </w:tcBorders>
            <w:shd w:val="clear" w:color="000000" w:fill="auto"/>
          </w:tcPr>
          <w:p w14:paraId="0F47BAAC"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$0.15</w:t>
            </w:r>
          </w:p>
        </w:tc>
        <w:tc>
          <w:tcPr>
            <w:tcW w:w="1418" w:type="dxa"/>
            <w:tcBorders>
              <w:top w:val="single" w:sz="2" w:space="0" w:color="000000"/>
              <w:left w:val="single" w:sz="2" w:space="0" w:color="000000"/>
              <w:bottom w:val="single" w:sz="2" w:space="0" w:color="000000"/>
              <w:right w:val="single" w:sz="2" w:space="0" w:color="000000"/>
            </w:tcBorders>
            <w:shd w:val="clear" w:color="000000" w:fill="auto"/>
          </w:tcPr>
          <w:p w14:paraId="4DD1115B" w14:textId="77777777" w:rsidR="00B51828" w:rsidRPr="003760B8" w:rsidRDefault="00B51828" w:rsidP="002101D2">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$0.21</w:t>
            </w:r>
          </w:p>
        </w:tc>
      </w:tr>
      <w:tr w:rsidR="00B51828" w:rsidRPr="00E56204" w14:paraId="7F0B96AF" w14:textId="77777777" w:rsidTr="002101D2">
        <w:trPr>
          <w:trHeight w:val="1"/>
        </w:trPr>
        <w:tc>
          <w:tcPr>
            <w:tcW w:w="3544" w:type="dxa"/>
            <w:tcBorders>
              <w:top w:val="single" w:sz="2" w:space="0" w:color="000000"/>
              <w:left w:val="single" w:sz="2" w:space="0" w:color="000000"/>
              <w:bottom w:val="single" w:sz="2" w:space="0" w:color="000000"/>
              <w:right w:val="nil"/>
            </w:tcBorders>
            <w:shd w:val="clear" w:color="000000" w:fill="C0C0C0"/>
          </w:tcPr>
          <w:p w14:paraId="03235727" w14:textId="77777777" w:rsidR="00B51828" w:rsidRPr="0019563F" w:rsidRDefault="00B51828" w:rsidP="002101D2">
            <w:pPr>
              <w:spacing w:before="20" w:after="20"/>
              <w:ind w:left="0"/>
              <w:rPr>
                <w:rFonts w:ascii="Calibri" w:hAnsi="Calibri" w:cs="Calibri"/>
                <w:b/>
                <w:i/>
                <w:sz w:val="22"/>
                <w:lang w:val="en"/>
              </w:rPr>
            </w:pPr>
            <w:r w:rsidRPr="0019563F">
              <w:rPr>
                <w:rFonts w:ascii="Arial Narrow" w:hAnsi="Arial Narrow"/>
                <w:b/>
                <w:i/>
                <w:sz w:val="20"/>
                <w:szCs w:val="20"/>
              </w:rPr>
              <w:t>Total</w:t>
            </w:r>
          </w:p>
        </w:tc>
        <w:tc>
          <w:tcPr>
            <w:tcW w:w="1701" w:type="dxa"/>
            <w:tcBorders>
              <w:top w:val="single" w:sz="2" w:space="0" w:color="000000"/>
              <w:left w:val="single" w:sz="2" w:space="0" w:color="000000"/>
              <w:bottom w:val="single" w:sz="2" w:space="0" w:color="000000"/>
              <w:right w:val="nil"/>
            </w:tcBorders>
            <w:shd w:val="clear" w:color="000000" w:fill="C0C0C0"/>
          </w:tcPr>
          <w:p w14:paraId="7DD33600" w14:textId="77777777" w:rsidR="00B51828" w:rsidRPr="0019563F" w:rsidRDefault="00B51828" w:rsidP="002101D2">
            <w:pPr>
              <w:keepNext/>
              <w:widowControl w:val="0"/>
              <w:suppressAutoHyphens/>
              <w:autoSpaceDE w:val="0"/>
              <w:autoSpaceDN w:val="0"/>
              <w:adjustRightInd w:val="0"/>
              <w:spacing w:before="20" w:after="20"/>
              <w:ind w:left="0"/>
              <w:jc w:val="right"/>
              <w:rPr>
                <w:rFonts w:ascii="Calibri" w:hAnsi="Calibri" w:cs="Calibri"/>
                <w:b/>
                <w:i/>
                <w:sz w:val="22"/>
                <w:lang w:val="en"/>
              </w:rPr>
            </w:pPr>
            <w:r w:rsidRPr="0019563F">
              <w:rPr>
                <w:rFonts w:ascii="Arial Narrow" w:hAnsi="Arial Narrow" w:cs="Arial Narrow"/>
                <w:b/>
                <w:bCs/>
                <w:i/>
                <w:sz w:val="20"/>
                <w:szCs w:val="20"/>
                <w:lang w:val="en"/>
              </w:rPr>
              <w:t>$4.19</w:t>
            </w:r>
          </w:p>
        </w:tc>
        <w:tc>
          <w:tcPr>
            <w:tcW w:w="1559" w:type="dxa"/>
            <w:tcBorders>
              <w:top w:val="single" w:sz="2" w:space="0" w:color="000000"/>
              <w:left w:val="single" w:sz="2" w:space="0" w:color="000000"/>
              <w:bottom w:val="single" w:sz="2" w:space="0" w:color="000000"/>
              <w:right w:val="nil"/>
            </w:tcBorders>
            <w:shd w:val="clear" w:color="000000" w:fill="C0C0C0"/>
          </w:tcPr>
          <w:p w14:paraId="2ACB9F1B" w14:textId="77777777" w:rsidR="00B51828" w:rsidRPr="0019563F" w:rsidRDefault="00B51828" w:rsidP="002101D2">
            <w:pPr>
              <w:keepNext/>
              <w:widowControl w:val="0"/>
              <w:suppressAutoHyphens/>
              <w:autoSpaceDE w:val="0"/>
              <w:autoSpaceDN w:val="0"/>
              <w:adjustRightInd w:val="0"/>
              <w:spacing w:before="20" w:after="20"/>
              <w:ind w:left="0"/>
              <w:jc w:val="right"/>
              <w:rPr>
                <w:rFonts w:ascii="Calibri" w:hAnsi="Calibri" w:cs="Calibri"/>
                <w:b/>
                <w:i/>
                <w:sz w:val="22"/>
                <w:lang w:val="en"/>
              </w:rPr>
            </w:pPr>
            <w:r w:rsidRPr="0019563F">
              <w:rPr>
                <w:rFonts w:ascii="Arial Narrow" w:hAnsi="Arial Narrow" w:cs="Arial Narrow"/>
                <w:b/>
                <w:bCs/>
                <w:i/>
                <w:sz w:val="20"/>
                <w:szCs w:val="20"/>
                <w:lang w:val="en"/>
              </w:rPr>
              <w:t>$0.15</w:t>
            </w:r>
          </w:p>
        </w:tc>
        <w:tc>
          <w:tcPr>
            <w:tcW w:w="1418" w:type="dxa"/>
            <w:tcBorders>
              <w:top w:val="single" w:sz="2" w:space="0" w:color="000000"/>
              <w:left w:val="single" w:sz="2" w:space="0" w:color="000000"/>
              <w:bottom w:val="single" w:sz="2" w:space="0" w:color="000000"/>
              <w:right w:val="single" w:sz="2" w:space="0" w:color="000000"/>
            </w:tcBorders>
            <w:shd w:val="clear" w:color="000000" w:fill="C0C0C0"/>
          </w:tcPr>
          <w:p w14:paraId="60A39803" w14:textId="77777777" w:rsidR="00B51828" w:rsidRPr="0019563F" w:rsidRDefault="00B51828" w:rsidP="002101D2">
            <w:pPr>
              <w:keepNext/>
              <w:widowControl w:val="0"/>
              <w:suppressAutoHyphens/>
              <w:autoSpaceDE w:val="0"/>
              <w:autoSpaceDN w:val="0"/>
              <w:adjustRightInd w:val="0"/>
              <w:spacing w:before="20" w:after="20"/>
              <w:ind w:left="0"/>
              <w:jc w:val="right"/>
              <w:rPr>
                <w:rFonts w:ascii="Calibri" w:hAnsi="Calibri" w:cs="Calibri"/>
                <w:b/>
                <w:i/>
                <w:sz w:val="22"/>
                <w:lang w:val="en"/>
              </w:rPr>
            </w:pPr>
            <w:r w:rsidRPr="0019563F">
              <w:rPr>
                <w:rFonts w:ascii="Arial Narrow" w:hAnsi="Arial Narrow" w:cs="Arial Narrow"/>
                <w:b/>
                <w:bCs/>
                <w:i/>
                <w:sz w:val="20"/>
                <w:szCs w:val="20"/>
                <w:lang w:val="en"/>
              </w:rPr>
              <w:t>$4.04</w:t>
            </w:r>
          </w:p>
        </w:tc>
      </w:tr>
    </w:tbl>
    <w:p w14:paraId="7AA0B17B" w14:textId="77777777" w:rsidR="00B51828" w:rsidRPr="00F8363F" w:rsidRDefault="00B51828" w:rsidP="00DB4FF8">
      <w:pPr>
        <w:spacing w:before="20"/>
        <w:rPr>
          <w:rFonts w:ascii="Arial Narrow" w:hAnsi="Arial Narrow" w:cs="Arial Narrow"/>
          <w:sz w:val="18"/>
          <w:szCs w:val="18"/>
          <w:lang w:val="en"/>
        </w:rPr>
      </w:pPr>
      <w:r w:rsidRPr="00F8363F">
        <w:rPr>
          <w:rFonts w:ascii="Arial Narrow" w:hAnsi="Arial Narrow" w:cs="Arial Narrow"/>
          <w:sz w:val="18"/>
          <w:szCs w:val="18"/>
          <w:lang w:val="en"/>
        </w:rPr>
        <w:t>Note: Figures may not sum due to rounding</w:t>
      </w:r>
    </w:p>
    <w:p w14:paraId="01C5A9E8" w14:textId="77777777" w:rsidR="00B51828" w:rsidRDefault="00B51828" w:rsidP="002101D2">
      <w:pPr>
        <w:pStyle w:val="Caption"/>
      </w:pPr>
      <w:bookmarkStart w:id="214" w:name="_Ref393293257"/>
      <w:bookmarkStart w:id="215" w:name="_Toc396211758"/>
      <w:r>
        <w:lastRenderedPageBreak/>
        <w:t xml:space="preserve">Table </w:t>
      </w:r>
      <w:fldSimple w:instr=" STYLEREF 2 \s ">
        <w:r w:rsidR="0044620B">
          <w:rPr>
            <w:noProof/>
          </w:rPr>
          <w:t>D.4</w:t>
        </w:r>
      </w:fldSimple>
      <w:r>
        <w:noBreakHyphen/>
      </w:r>
      <w:fldSimple w:instr=" SEQ Table \* ARABIC \s 2 ">
        <w:r w:rsidR="0044620B">
          <w:rPr>
            <w:noProof/>
          </w:rPr>
          <w:t>2</w:t>
        </w:r>
      </w:fldSimple>
      <w:bookmarkEnd w:id="214"/>
      <w:r>
        <w:tab/>
        <w:t>Health states and summary of cost impacts</w:t>
      </w:r>
      <w:bookmarkEnd w:id="215"/>
    </w:p>
    <w:tbl>
      <w:tblPr>
        <w:tblW w:w="8222" w:type="dxa"/>
        <w:tblInd w:w="706" w:type="dxa"/>
        <w:tblLayout w:type="fixed"/>
        <w:tblCellMar>
          <w:left w:w="57" w:type="dxa"/>
          <w:right w:w="57" w:type="dxa"/>
        </w:tblCellMar>
        <w:tblLook w:val="0000" w:firstRow="0" w:lastRow="0" w:firstColumn="0" w:lastColumn="0" w:noHBand="0" w:noVBand="0"/>
        <w:tblCaption w:val="Health states and summary of cost impacts"/>
        <w:tblDescription w:val="The average cost per patient, disaggregated by health state of the economic evaluation."/>
      </w:tblPr>
      <w:tblGrid>
        <w:gridCol w:w="3827"/>
        <w:gridCol w:w="1701"/>
        <w:gridCol w:w="1560"/>
        <w:gridCol w:w="1134"/>
      </w:tblGrid>
      <w:tr w:rsidR="00B51828" w:rsidRPr="003760B8" w14:paraId="73E2B469" w14:textId="77777777" w:rsidTr="004F5752">
        <w:trPr>
          <w:trHeight w:val="1"/>
          <w:tblHeader/>
        </w:trPr>
        <w:tc>
          <w:tcPr>
            <w:tcW w:w="3827" w:type="dxa"/>
            <w:tcBorders>
              <w:top w:val="single" w:sz="2" w:space="0" w:color="000000"/>
              <w:left w:val="single" w:sz="2" w:space="0" w:color="000000"/>
              <w:bottom w:val="single" w:sz="2" w:space="0" w:color="000000"/>
              <w:right w:val="nil"/>
            </w:tcBorders>
            <w:shd w:val="clear" w:color="000000" w:fill="auto"/>
          </w:tcPr>
          <w:p w14:paraId="1713E441" w14:textId="77777777" w:rsidR="00B51828" w:rsidRPr="003760B8" w:rsidRDefault="00B51828" w:rsidP="004F5752">
            <w:pPr>
              <w:keepNext/>
              <w:tabs>
                <w:tab w:val="left" w:pos="3593"/>
              </w:tabs>
              <w:suppressAutoHyphens/>
              <w:autoSpaceDE w:val="0"/>
              <w:autoSpaceDN w:val="0"/>
              <w:adjustRightInd w:val="0"/>
              <w:spacing w:before="20" w:after="20"/>
              <w:ind w:left="0" w:right="120"/>
              <w:rPr>
                <w:rFonts w:ascii="Calibri" w:hAnsi="Calibri" w:cs="Calibri"/>
                <w:sz w:val="22"/>
                <w:lang w:val="en"/>
              </w:rPr>
            </w:pPr>
            <w:r w:rsidRPr="003760B8">
              <w:rPr>
                <w:rFonts w:ascii="Arial Narrow" w:hAnsi="Arial Narrow" w:cs="Arial Narrow"/>
                <w:b/>
                <w:bCs/>
                <w:sz w:val="20"/>
                <w:szCs w:val="20"/>
                <w:lang w:val="en"/>
              </w:rPr>
              <w:t>Health state in model</w:t>
            </w:r>
          </w:p>
        </w:tc>
        <w:tc>
          <w:tcPr>
            <w:tcW w:w="1701" w:type="dxa"/>
            <w:tcBorders>
              <w:top w:val="single" w:sz="2" w:space="0" w:color="000000"/>
              <w:left w:val="single" w:sz="2" w:space="0" w:color="000000"/>
              <w:bottom w:val="single" w:sz="2" w:space="0" w:color="000000"/>
              <w:right w:val="nil"/>
            </w:tcBorders>
            <w:shd w:val="clear" w:color="000000" w:fill="auto"/>
          </w:tcPr>
          <w:p w14:paraId="71284337"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b/>
                <w:sz w:val="20"/>
                <w:szCs w:val="20"/>
                <w:lang w:val="en"/>
              </w:rPr>
            </w:pPr>
            <w:r w:rsidRPr="004F5752">
              <w:rPr>
                <w:rFonts w:ascii="Arial Narrow" w:hAnsi="Arial Narrow" w:cs="Arial Narrow"/>
                <w:b/>
                <w:sz w:val="20"/>
                <w:szCs w:val="20"/>
                <w:lang w:val="en"/>
              </w:rPr>
              <w:t>Proposed funding arrangements</w:t>
            </w:r>
          </w:p>
        </w:tc>
        <w:tc>
          <w:tcPr>
            <w:tcW w:w="1560" w:type="dxa"/>
            <w:tcBorders>
              <w:top w:val="single" w:sz="2" w:space="0" w:color="000000"/>
              <w:left w:val="single" w:sz="2" w:space="0" w:color="000000"/>
              <w:bottom w:val="single" w:sz="2" w:space="0" w:color="000000"/>
              <w:right w:val="nil"/>
            </w:tcBorders>
            <w:shd w:val="clear" w:color="000000" w:fill="auto"/>
          </w:tcPr>
          <w:p w14:paraId="30A78F44"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b/>
                <w:sz w:val="20"/>
                <w:szCs w:val="20"/>
                <w:lang w:val="en"/>
              </w:rPr>
            </w:pPr>
            <w:r w:rsidRPr="004F5752">
              <w:rPr>
                <w:rFonts w:ascii="Arial Narrow" w:hAnsi="Arial Narrow" w:cs="Arial Narrow"/>
                <w:b/>
                <w:sz w:val="20"/>
                <w:szCs w:val="20"/>
                <w:lang w:val="en"/>
              </w:rPr>
              <w:t>Current funding arrangements</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272FE7F7"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b/>
                <w:sz w:val="20"/>
                <w:szCs w:val="20"/>
                <w:lang w:val="en"/>
              </w:rPr>
            </w:pPr>
            <w:r w:rsidRPr="004F5752">
              <w:rPr>
                <w:rFonts w:ascii="Arial Narrow" w:hAnsi="Arial Narrow" w:cs="Arial Narrow"/>
                <w:b/>
                <w:sz w:val="20"/>
                <w:szCs w:val="20"/>
                <w:lang w:val="en"/>
              </w:rPr>
              <w:t>Incremental cost</w:t>
            </w:r>
          </w:p>
        </w:tc>
      </w:tr>
      <w:tr w:rsidR="00B51828" w:rsidRPr="003760B8" w14:paraId="06AEDE9E"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5B301D80" w14:textId="77777777" w:rsidR="00B51828" w:rsidRPr="003760B8" w:rsidRDefault="00B51828" w:rsidP="004F5752">
            <w:pPr>
              <w:keepNext/>
              <w:tabs>
                <w:tab w:val="left" w:pos="3593"/>
              </w:tabs>
              <w:suppressAutoHyphens/>
              <w:autoSpaceDE w:val="0"/>
              <w:autoSpaceDN w:val="0"/>
              <w:adjustRightInd w:val="0"/>
              <w:spacing w:before="20" w:after="20"/>
              <w:ind w:left="0" w:right="120"/>
              <w:rPr>
                <w:rFonts w:ascii="Calibri" w:hAnsi="Calibri" w:cs="Calibri"/>
                <w:sz w:val="22"/>
                <w:lang w:val="en"/>
              </w:rPr>
            </w:pPr>
            <w:r w:rsidRPr="003760B8">
              <w:rPr>
                <w:rFonts w:ascii="Arial Narrow" w:hAnsi="Arial Narrow" w:cs="Arial Narrow"/>
                <w:sz w:val="20"/>
                <w:szCs w:val="20"/>
                <w:lang w:val="en"/>
              </w:rPr>
              <w:t>No second, expert opinion sought</w:t>
            </w:r>
          </w:p>
        </w:tc>
        <w:tc>
          <w:tcPr>
            <w:tcW w:w="1701" w:type="dxa"/>
            <w:tcBorders>
              <w:top w:val="single" w:sz="2" w:space="0" w:color="000000"/>
              <w:left w:val="single" w:sz="2" w:space="0" w:color="000000"/>
              <w:bottom w:val="single" w:sz="2" w:space="0" w:color="000000"/>
              <w:right w:val="nil"/>
            </w:tcBorders>
            <w:shd w:val="clear" w:color="000000" w:fill="auto"/>
          </w:tcPr>
          <w:p w14:paraId="5FE88CFE"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w:t>
            </w:r>
          </w:p>
        </w:tc>
        <w:tc>
          <w:tcPr>
            <w:tcW w:w="1560" w:type="dxa"/>
            <w:tcBorders>
              <w:top w:val="single" w:sz="2" w:space="0" w:color="000000"/>
              <w:left w:val="single" w:sz="2" w:space="0" w:color="000000"/>
              <w:bottom w:val="single" w:sz="2" w:space="0" w:color="000000"/>
              <w:right w:val="nil"/>
            </w:tcBorders>
            <w:shd w:val="clear" w:color="000000" w:fill="auto"/>
          </w:tcPr>
          <w:p w14:paraId="7775CFC6"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7DB0E785"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w:t>
            </w:r>
          </w:p>
        </w:tc>
      </w:tr>
      <w:tr w:rsidR="00B51828" w:rsidRPr="003760B8" w14:paraId="30B671EC"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7D9F0C44" w14:textId="77777777" w:rsidR="00B51828" w:rsidRPr="003760B8" w:rsidRDefault="00B51828" w:rsidP="004F5752">
            <w:pPr>
              <w:keepNext/>
              <w:tabs>
                <w:tab w:val="left" w:pos="3593"/>
              </w:tabs>
              <w:suppressAutoHyphens/>
              <w:autoSpaceDE w:val="0"/>
              <w:autoSpaceDN w:val="0"/>
              <w:adjustRightInd w:val="0"/>
              <w:spacing w:before="20" w:after="20"/>
              <w:ind w:left="0" w:right="120"/>
              <w:rPr>
                <w:rFonts w:ascii="Calibri" w:hAnsi="Calibri" w:cs="Calibri"/>
                <w:sz w:val="22"/>
                <w:lang w:val="en"/>
              </w:rPr>
            </w:pPr>
            <w:r w:rsidRPr="003760B8">
              <w:rPr>
                <w:rFonts w:ascii="Arial Narrow" w:hAnsi="Arial Narrow" w:cs="Arial Narrow"/>
                <w:sz w:val="20"/>
                <w:szCs w:val="20"/>
                <w:lang w:val="en"/>
              </w:rPr>
              <w:t>Complex second, expert opinion sought and ancillary tests required, diagnosis confirmed</w:t>
            </w:r>
          </w:p>
        </w:tc>
        <w:tc>
          <w:tcPr>
            <w:tcW w:w="1701" w:type="dxa"/>
            <w:tcBorders>
              <w:top w:val="single" w:sz="2" w:space="0" w:color="000000"/>
              <w:left w:val="single" w:sz="2" w:space="0" w:color="000000"/>
              <w:bottom w:val="single" w:sz="2" w:space="0" w:color="000000"/>
              <w:right w:val="nil"/>
            </w:tcBorders>
            <w:shd w:val="clear" w:color="000000" w:fill="auto"/>
          </w:tcPr>
          <w:p w14:paraId="59A687BC"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$1.59</w:t>
            </w:r>
          </w:p>
        </w:tc>
        <w:tc>
          <w:tcPr>
            <w:tcW w:w="1560" w:type="dxa"/>
            <w:tcBorders>
              <w:top w:val="single" w:sz="2" w:space="0" w:color="000000"/>
              <w:left w:val="single" w:sz="2" w:space="0" w:color="000000"/>
              <w:bottom w:val="single" w:sz="2" w:space="0" w:color="000000"/>
              <w:right w:val="nil"/>
            </w:tcBorders>
            <w:shd w:val="clear" w:color="000000" w:fill="auto"/>
          </w:tcPr>
          <w:p w14:paraId="64B21B06"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$0.10</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1FC3AC51"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$1.49</w:t>
            </w:r>
          </w:p>
        </w:tc>
      </w:tr>
      <w:tr w:rsidR="00B51828" w:rsidRPr="003760B8" w14:paraId="706A8C20"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623D440C" w14:textId="77777777" w:rsidR="00B51828" w:rsidRPr="003760B8" w:rsidRDefault="00B51828" w:rsidP="004F5752">
            <w:pPr>
              <w:keepNext/>
              <w:tabs>
                <w:tab w:val="left" w:pos="3593"/>
              </w:tabs>
              <w:suppressAutoHyphens/>
              <w:autoSpaceDE w:val="0"/>
              <w:autoSpaceDN w:val="0"/>
              <w:adjustRightInd w:val="0"/>
              <w:spacing w:before="20" w:after="20"/>
              <w:ind w:left="0" w:right="120"/>
              <w:rPr>
                <w:rFonts w:ascii="Calibri" w:hAnsi="Calibri" w:cs="Calibri"/>
                <w:sz w:val="22"/>
                <w:lang w:val="en"/>
              </w:rPr>
            </w:pPr>
            <w:r w:rsidRPr="003760B8">
              <w:rPr>
                <w:rFonts w:ascii="Arial Narrow" w:hAnsi="Arial Narrow" w:cs="Arial Narrow"/>
                <w:sz w:val="20"/>
                <w:szCs w:val="20"/>
                <w:lang w:val="en"/>
              </w:rPr>
              <w:t>Complex second, expert opinion sought and ancillary tests required, diagnosis changed</w:t>
            </w:r>
          </w:p>
        </w:tc>
        <w:tc>
          <w:tcPr>
            <w:tcW w:w="1701" w:type="dxa"/>
            <w:tcBorders>
              <w:top w:val="single" w:sz="2" w:space="0" w:color="000000"/>
              <w:left w:val="single" w:sz="2" w:space="0" w:color="000000"/>
              <w:bottom w:val="single" w:sz="2" w:space="0" w:color="000000"/>
              <w:right w:val="nil"/>
            </w:tcBorders>
            <w:shd w:val="clear" w:color="000000" w:fill="auto"/>
          </w:tcPr>
          <w:p w14:paraId="63686DFA"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$0.23</w:t>
            </w:r>
          </w:p>
        </w:tc>
        <w:tc>
          <w:tcPr>
            <w:tcW w:w="1560" w:type="dxa"/>
            <w:tcBorders>
              <w:top w:val="single" w:sz="2" w:space="0" w:color="000000"/>
              <w:left w:val="single" w:sz="2" w:space="0" w:color="000000"/>
              <w:bottom w:val="single" w:sz="2" w:space="0" w:color="000000"/>
              <w:right w:val="nil"/>
            </w:tcBorders>
            <w:shd w:val="clear" w:color="000000" w:fill="auto"/>
          </w:tcPr>
          <w:p w14:paraId="3850060F"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$0.01</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7105390D"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$0.21</w:t>
            </w:r>
          </w:p>
        </w:tc>
      </w:tr>
      <w:tr w:rsidR="00B51828" w:rsidRPr="003760B8" w14:paraId="2AA09112"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428E90C0" w14:textId="77777777" w:rsidR="00B51828" w:rsidRPr="003760B8" w:rsidRDefault="00B51828" w:rsidP="004F5752">
            <w:pPr>
              <w:keepNext/>
              <w:tabs>
                <w:tab w:val="left" w:pos="3593"/>
              </w:tabs>
              <w:suppressAutoHyphens/>
              <w:autoSpaceDE w:val="0"/>
              <w:autoSpaceDN w:val="0"/>
              <w:adjustRightInd w:val="0"/>
              <w:spacing w:before="20" w:after="20"/>
              <w:ind w:left="0" w:right="120"/>
              <w:rPr>
                <w:rFonts w:ascii="Calibri" w:hAnsi="Calibri" w:cs="Calibri"/>
                <w:sz w:val="22"/>
                <w:lang w:val="en"/>
              </w:rPr>
            </w:pPr>
            <w:r w:rsidRPr="003760B8">
              <w:rPr>
                <w:rFonts w:ascii="Arial Narrow" w:hAnsi="Arial Narrow" w:cs="Arial Narrow"/>
                <w:sz w:val="20"/>
                <w:szCs w:val="20"/>
                <w:lang w:val="en"/>
              </w:rPr>
              <w:t xml:space="preserve">Complex second, expert opinion sought and ancillary tests </w:t>
            </w:r>
            <w:r>
              <w:rPr>
                <w:rFonts w:ascii="Arial Narrow" w:hAnsi="Arial Narrow" w:cs="Arial Narrow"/>
                <w:sz w:val="20"/>
                <w:szCs w:val="20"/>
                <w:lang w:val="en"/>
              </w:rPr>
              <w:t xml:space="preserve">not </w:t>
            </w:r>
            <w:r w:rsidRPr="003760B8">
              <w:rPr>
                <w:rFonts w:ascii="Arial Narrow" w:hAnsi="Arial Narrow" w:cs="Arial Narrow"/>
                <w:sz w:val="20"/>
                <w:szCs w:val="20"/>
                <w:lang w:val="en"/>
              </w:rPr>
              <w:t>required, diagnosis confirmed</w:t>
            </w:r>
          </w:p>
        </w:tc>
        <w:tc>
          <w:tcPr>
            <w:tcW w:w="1701" w:type="dxa"/>
            <w:tcBorders>
              <w:top w:val="single" w:sz="2" w:space="0" w:color="000000"/>
              <w:left w:val="single" w:sz="2" w:space="0" w:color="000000"/>
              <w:bottom w:val="single" w:sz="2" w:space="0" w:color="000000"/>
              <w:right w:val="nil"/>
            </w:tcBorders>
            <w:shd w:val="clear" w:color="000000" w:fill="auto"/>
          </w:tcPr>
          <w:p w14:paraId="7253E998"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$0.82</w:t>
            </w:r>
          </w:p>
        </w:tc>
        <w:tc>
          <w:tcPr>
            <w:tcW w:w="1560" w:type="dxa"/>
            <w:tcBorders>
              <w:top w:val="single" w:sz="2" w:space="0" w:color="000000"/>
              <w:left w:val="single" w:sz="2" w:space="0" w:color="000000"/>
              <w:bottom w:val="single" w:sz="2" w:space="0" w:color="000000"/>
              <w:right w:val="nil"/>
            </w:tcBorders>
            <w:shd w:val="clear" w:color="000000" w:fill="auto"/>
          </w:tcPr>
          <w:p w14:paraId="18354FE0"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50460E54"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$0.82</w:t>
            </w:r>
          </w:p>
        </w:tc>
      </w:tr>
      <w:tr w:rsidR="00B51828" w:rsidRPr="003760B8" w14:paraId="149F6AD2"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6CEA303C" w14:textId="77777777" w:rsidR="00B51828" w:rsidRPr="003760B8" w:rsidRDefault="00B51828" w:rsidP="004F5752">
            <w:pPr>
              <w:keepNext/>
              <w:tabs>
                <w:tab w:val="left" w:pos="3593"/>
              </w:tabs>
              <w:suppressAutoHyphens/>
              <w:autoSpaceDE w:val="0"/>
              <w:autoSpaceDN w:val="0"/>
              <w:adjustRightInd w:val="0"/>
              <w:spacing w:before="20" w:after="20"/>
              <w:ind w:left="0" w:right="120"/>
              <w:rPr>
                <w:rFonts w:ascii="Calibri" w:hAnsi="Calibri" w:cs="Calibri"/>
                <w:sz w:val="22"/>
                <w:lang w:val="en"/>
              </w:rPr>
            </w:pPr>
            <w:r w:rsidRPr="003760B8">
              <w:rPr>
                <w:rFonts w:ascii="Arial Narrow" w:hAnsi="Arial Narrow" w:cs="Arial Narrow"/>
                <w:sz w:val="20"/>
                <w:szCs w:val="20"/>
                <w:lang w:val="en"/>
              </w:rPr>
              <w:t>Complex second, expert opinion sought and ancillary tests</w:t>
            </w:r>
            <w:r>
              <w:rPr>
                <w:rFonts w:ascii="Arial Narrow" w:hAnsi="Arial Narrow" w:cs="Arial Narrow"/>
                <w:sz w:val="20"/>
                <w:szCs w:val="20"/>
                <w:lang w:val="en"/>
              </w:rPr>
              <w:t xml:space="preserve"> not</w:t>
            </w:r>
            <w:r w:rsidRPr="003760B8">
              <w:rPr>
                <w:rFonts w:ascii="Arial Narrow" w:hAnsi="Arial Narrow" w:cs="Arial Narrow"/>
                <w:sz w:val="20"/>
                <w:szCs w:val="20"/>
                <w:lang w:val="en"/>
              </w:rPr>
              <w:t xml:space="preserve"> required, diagnosis changed</w:t>
            </w:r>
          </w:p>
        </w:tc>
        <w:tc>
          <w:tcPr>
            <w:tcW w:w="1701" w:type="dxa"/>
            <w:tcBorders>
              <w:top w:val="single" w:sz="2" w:space="0" w:color="000000"/>
              <w:left w:val="single" w:sz="2" w:space="0" w:color="000000"/>
              <w:bottom w:val="single" w:sz="2" w:space="0" w:color="000000"/>
              <w:right w:val="nil"/>
            </w:tcBorders>
            <w:shd w:val="clear" w:color="000000" w:fill="auto"/>
          </w:tcPr>
          <w:p w14:paraId="6F495FAF"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$0.12</w:t>
            </w:r>
          </w:p>
        </w:tc>
        <w:tc>
          <w:tcPr>
            <w:tcW w:w="1560" w:type="dxa"/>
            <w:tcBorders>
              <w:top w:val="single" w:sz="2" w:space="0" w:color="000000"/>
              <w:left w:val="single" w:sz="2" w:space="0" w:color="000000"/>
              <w:bottom w:val="single" w:sz="2" w:space="0" w:color="000000"/>
              <w:right w:val="nil"/>
            </w:tcBorders>
            <w:shd w:val="clear" w:color="000000" w:fill="auto"/>
          </w:tcPr>
          <w:p w14:paraId="6CE8C05F"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3828E9D5"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$0.12</w:t>
            </w:r>
          </w:p>
        </w:tc>
      </w:tr>
      <w:tr w:rsidR="00B51828" w:rsidRPr="003760B8" w14:paraId="3434991B"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42D1B6FB" w14:textId="77777777" w:rsidR="00B51828" w:rsidRPr="003760B8" w:rsidRDefault="00B51828" w:rsidP="004F5752">
            <w:pPr>
              <w:keepNext/>
              <w:tabs>
                <w:tab w:val="left" w:pos="3593"/>
              </w:tabs>
              <w:suppressAutoHyphens/>
              <w:autoSpaceDE w:val="0"/>
              <w:autoSpaceDN w:val="0"/>
              <w:adjustRightInd w:val="0"/>
              <w:spacing w:before="20" w:after="20"/>
              <w:ind w:left="0" w:right="120"/>
              <w:rPr>
                <w:rFonts w:ascii="Calibri" w:hAnsi="Calibri" w:cs="Calibri"/>
                <w:sz w:val="22"/>
                <w:lang w:val="en"/>
              </w:rPr>
            </w:pPr>
            <w:r w:rsidRPr="003760B8">
              <w:rPr>
                <w:rFonts w:ascii="Arial Narrow" w:hAnsi="Arial Narrow" w:cs="Arial Narrow"/>
                <w:sz w:val="20"/>
                <w:szCs w:val="20"/>
                <w:lang w:val="en"/>
              </w:rPr>
              <w:t>Non-complex second, expert opinion sought and ancillary tests required, diagnosis confirmed</w:t>
            </w:r>
          </w:p>
        </w:tc>
        <w:tc>
          <w:tcPr>
            <w:tcW w:w="1701" w:type="dxa"/>
            <w:tcBorders>
              <w:top w:val="single" w:sz="2" w:space="0" w:color="000000"/>
              <w:left w:val="single" w:sz="2" w:space="0" w:color="000000"/>
              <w:bottom w:val="single" w:sz="2" w:space="0" w:color="000000"/>
              <w:right w:val="nil"/>
            </w:tcBorders>
            <w:shd w:val="clear" w:color="000000" w:fill="auto"/>
          </w:tcPr>
          <w:p w14:paraId="026599F9"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$0.37</w:t>
            </w:r>
          </w:p>
        </w:tc>
        <w:tc>
          <w:tcPr>
            <w:tcW w:w="1560" w:type="dxa"/>
            <w:tcBorders>
              <w:top w:val="single" w:sz="2" w:space="0" w:color="000000"/>
              <w:left w:val="single" w:sz="2" w:space="0" w:color="000000"/>
              <w:bottom w:val="single" w:sz="2" w:space="0" w:color="000000"/>
              <w:right w:val="nil"/>
            </w:tcBorders>
            <w:shd w:val="clear" w:color="000000" w:fill="auto"/>
          </w:tcPr>
          <w:p w14:paraId="0ED09052"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$0.04</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723D495E"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$0.33</w:t>
            </w:r>
          </w:p>
        </w:tc>
      </w:tr>
      <w:tr w:rsidR="00B51828" w:rsidRPr="003760B8" w14:paraId="4FF6DF80"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60E26152" w14:textId="77777777" w:rsidR="00B51828" w:rsidRPr="003760B8" w:rsidRDefault="00B51828" w:rsidP="004F5752">
            <w:pPr>
              <w:keepNext/>
              <w:tabs>
                <w:tab w:val="left" w:pos="3593"/>
              </w:tabs>
              <w:suppressAutoHyphens/>
              <w:autoSpaceDE w:val="0"/>
              <w:autoSpaceDN w:val="0"/>
              <w:adjustRightInd w:val="0"/>
              <w:spacing w:before="20" w:after="20"/>
              <w:ind w:left="0" w:right="60"/>
              <w:rPr>
                <w:rFonts w:ascii="Calibri" w:hAnsi="Calibri" w:cs="Calibri"/>
                <w:sz w:val="22"/>
                <w:lang w:val="en"/>
              </w:rPr>
            </w:pPr>
            <w:r w:rsidRPr="003760B8">
              <w:rPr>
                <w:rFonts w:ascii="Arial Narrow" w:hAnsi="Arial Narrow" w:cs="Arial Narrow"/>
                <w:sz w:val="20"/>
                <w:szCs w:val="20"/>
                <w:lang w:val="en"/>
              </w:rPr>
              <w:t>Non-complex second, expert opinion sought and ancillary tests required, diagnosis changed</w:t>
            </w:r>
          </w:p>
        </w:tc>
        <w:tc>
          <w:tcPr>
            <w:tcW w:w="1701" w:type="dxa"/>
            <w:tcBorders>
              <w:top w:val="single" w:sz="2" w:space="0" w:color="000000"/>
              <w:left w:val="single" w:sz="2" w:space="0" w:color="000000"/>
              <w:bottom w:val="single" w:sz="2" w:space="0" w:color="000000"/>
              <w:right w:val="nil"/>
            </w:tcBorders>
            <w:shd w:val="clear" w:color="000000" w:fill="auto"/>
          </w:tcPr>
          <w:p w14:paraId="67BC6FB0"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$0.05</w:t>
            </w:r>
          </w:p>
        </w:tc>
        <w:tc>
          <w:tcPr>
            <w:tcW w:w="1560" w:type="dxa"/>
            <w:tcBorders>
              <w:top w:val="single" w:sz="2" w:space="0" w:color="000000"/>
              <w:left w:val="single" w:sz="2" w:space="0" w:color="000000"/>
              <w:bottom w:val="single" w:sz="2" w:space="0" w:color="000000"/>
              <w:right w:val="nil"/>
            </w:tcBorders>
            <w:shd w:val="clear" w:color="000000" w:fill="auto"/>
          </w:tcPr>
          <w:p w14:paraId="4315982A"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$0.01</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2E7B6C4F"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$0.05</w:t>
            </w:r>
          </w:p>
        </w:tc>
      </w:tr>
      <w:tr w:rsidR="00B51828" w:rsidRPr="003760B8" w14:paraId="54F4CF1E"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4CE9124F" w14:textId="77777777" w:rsidR="00B51828" w:rsidRPr="003760B8" w:rsidRDefault="00B51828" w:rsidP="004F5752">
            <w:pPr>
              <w:keepNext/>
              <w:tabs>
                <w:tab w:val="left" w:pos="3593"/>
              </w:tabs>
              <w:suppressAutoHyphens/>
              <w:autoSpaceDE w:val="0"/>
              <w:autoSpaceDN w:val="0"/>
              <w:adjustRightInd w:val="0"/>
              <w:spacing w:before="20" w:after="20"/>
              <w:ind w:left="0" w:right="120"/>
              <w:rPr>
                <w:rFonts w:ascii="Calibri" w:hAnsi="Calibri" w:cs="Calibri"/>
                <w:sz w:val="22"/>
                <w:lang w:val="en"/>
              </w:rPr>
            </w:pPr>
            <w:r w:rsidRPr="003760B8">
              <w:rPr>
                <w:rFonts w:ascii="Arial Narrow" w:hAnsi="Arial Narrow" w:cs="Arial Narrow"/>
                <w:sz w:val="20"/>
                <w:szCs w:val="20"/>
                <w:lang w:val="en"/>
              </w:rPr>
              <w:t xml:space="preserve">Non-complex second, expert opinion sought and ancillary tests </w:t>
            </w:r>
            <w:r>
              <w:rPr>
                <w:rFonts w:ascii="Arial Narrow" w:hAnsi="Arial Narrow" w:cs="Arial Narrow"/>
                <w:sz w:val="20"/>
                <w:szCs w:val="20"/>
                <w:lang w:val="en"/>
              </w:rPr>
              <w:t xml:space="preserve">not </w:t>
            </w:r>
            <w:r w:rsidRPr="003760B8">
              <w:rPr>
                <w:rFonts w:ascii="Arial Narrow" w:hAnsi="Arial Narrow" w:cs="Arial Narrow"/>
                <w:sz w:val="20"/>
                <w:szCs w:val="20"/>
                <w:lang w:val="en"/>
              </w:rPr>
              <w:t>required, diagnosis confirmed</w:t>
            </w:r>
          </w:p>
        </w:tc>
        <w:tc>
          <w:tcPr>
            <w:tcW w:w="1701" w:type="dxa"/>
            <w:tcBorders>
              <w:top w:val="single" w:sz="2" w:space="0" w:color="000000"/>
              <w:left w:val="single" w:sz="2" w:space="0" w:color="000000"/>
              <w:bottom w:val="single" w:sz="2" w:space="0" w:color="000000"/>
              <w:right w:val="nil"/>
            </w:tcBorders>
            <w:shd w:val="clear" w:color="000000" w:fill="auto"/>
          </w:tcPr>
          <w:p w14:paraId="24702E41"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$0.89</w:t>
            </w:r>
          </w:p>
        </w:tc>
        <w:tc>
          <w:tcPr>
            <w:tcW w:w="1560" w:type="dxa"/>
            <w:tcBorders>
              <w:top w:val="single" w:sz="2" w:space="0" w:color="000000"/>
              <w:left w:val="single" w:sz="2" w:space="0" w:color="000000"/>
              <w:bottom w:val="single" w:sz="2" w:space="0" w:color="000000"/>
              <w:right w:val="nil"/>
            </w:tcBorders>
            <w:shd w:val="clear" w:color="000000" w:fill="auto"/>
          </w:tcPr>
          <w:p w14:paraId="7EAB2703"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07048F29"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$0.89</w:t>
            </w:r>
          </w:p>
        </w:tc>
      </w:tr>
      <w:tr w:rsidR="00B51828" w:rsidRPr="003760B8" w14:paraId="46E1115A"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4EBA86B7" w14:textId="77777777" w:rsidR="00B51828" w:rsidRPr="003760B8" w:rsidRDefault="00B51828" w:rsidP="004F5752">
            <w:pPr>
              <w:keepNext/>
              <w:tabs>
                <w:tab w:val="left" w:pos="3593"/>
              </w:tabs>
              <w:suppressAutoHyphens/>
              <w:autoSpaceDE w:val="0"/>
              <w:autoSpaceDN w:val="0"/>
              <w:adjustRightInd w:val="0"/>
              <w:spacing w:before="20" w:after="20"/>
              <w:ind w:left="0" w:right="60"/>
              <w:rPr>
                <w:rFonts w:ascii="Calibri" w:hAnsi="Calibri" w:cs="Calibri"/>
                <w:sz w:val="22"/>
                <w:lang w:val="en"/>
              </w:rPr>
            </w:pPr>
            <w:r w:rsidRPr="003760B8">
              <w:rPr>
                <w:rFonts w:ascii="Arial Narrow" w:hAnsi="Arial Narrow" w:cs="Arial Narrow"/>
                <w:sz w:val="20"/>
                <w:szCs w:val="20"/>
                <w:lang w:val="en"/>
              </w:rPr>
              <w:t>Non-complex second, expert opinion sought and ancillary tests</w:t>
            </w:r>
            <w:r>
              <w:rPr>
                <w:rFonts w:ascii="Arial Narrow" w:hAnsi="Arial Narrow" w:cs="Arial Narrow"/>
                <w:sz w:val="20"/>
                <w:szCs w:val="20"/>
                <w:lang w:val="en"/>
              </w:rPr>
              <w:t xml:space="preserve"> not</w:t>
            </w:r>
            <w:r w:rsidRPr="003760B8">
              <w:rPr>
                <w:rFonts w:ascii="Arial Narrow" w:hAnsi="Arial Narrow" w:cs="Arial Narrow"/>
                <w:sz w:val="20"/>
                <w:szCs w:val="20"/>
                <w:lang w:val="en"/>
              </w:rPr>
              <w:t xml:space="preserve"> required, diagnosis </w:t>
            </w:r>
            <w:r>
              <w:rPr>
                <w:rFonts w:ascii="Arial Narrow" w:hAnsi="Arial Narrow" w:cs="Arial Narrow"/>
                <w:sz w:val="20"/>
                <w:szCs w:val="20"/>
                <w:lang w:val="en"/>
              </w:rPr>
              <w:t>changed</w:t>
            </w:r>
          </w:p>
        </w:tc>
        <w:tc>
          <w:tcPr>
            <w:tcW w:w="1701" w:type="dxa"/>
            <w:tcBorders>
              <w:top w:val="single" w:sz="2" w:space="0" w:color="000000"/>
              <w:left w:val="single" w:sz="2" w:space="0" w:color="000000"/>
              <w:bottom w:val="single" w:sz="2" w:space="0" w:color="000000"/>
              <w:right w:val="nil"/>
            </w:tcBorders>
            <w:shd w:val="clear" w:color="000000" w:fill="auto"/>
          </w:tcPr>
          <w:p w14:paraId="64CF0BFF"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$0.13</w:t>
            </w:r>
          </w:p>
        </w:tc>
        <w:tc>
          <w:tcPr>
            <w:tcW w:w="1560" w:type="dxa"/>
            <w:tcBorders>
              <w:top w:val="single" w:sz="2" w:space="0" w:color="000000"/>
              <w:left w:val="single" w:sz="2" w:space="0" w:color="000000"/>
              <w:bottom w:val="single" w:sz="2" w:space="0" w:color="000000"/>
              <w:right w:val="nil"/>
            </w:tcBorders>
            <w:shd w:val="clear" w:color="000000" w:fill="auto"/>
          </w:tcPr>
          <w:p w14:paraId="760C1697" w14:textId="77777777" w:rsidR="00B51828" w:rsidRPr="00E24C5F"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w:t>
            </w:r>
          </w:p>
        </w:tc>
        <w:tc>
          <w:tcPr>
            <w:tcW w:w="1134" w:type="dxa"/>
            <w:tcBorders>
              <w:top w:val="single" w:sz="2" w:space="0" w:color="000000"/>
              <w:left w:val="single" w:sz="2" w:space="0" w:color="000000"/>
              <w:bottom w:val="single" w:sz="2" w:space="0" w:color="000000"/>
              <w:right w:val="single" w:sz="2" w:space="0" w:color="000000"/>
            </w:tcBorders>
            <w:shd w:val="clear" w:color="000000" w:fill="auto"/>
          </w:tcPr>
          <w:p w14:paraId="48CBA0B5" w14:textId="77777777" w:rsidR="00B51828" w:rsidRPr="006852CB" w:rsidRDefault="00B51828" w:rsidP="004F5752">
            <w:pPr>
              <w:keepNext/>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$0.13</w:t>
            </w:r>
          </w:p>
        </w:tc>
      </w:tr>
      <w:tr w:rsidR="00B51828" w:rsidRPr="00D04AC3" w14:paraId="2BEB8704" w14:textId="77777777" w:rsidTr="004F5752">
        <w:trPr>
          <w:trHeight w:val="1"/>
        </w:trPr>
        <w:tc>
          <w:tcPr>
            <w:tcW w:w="3827" w:type="dxa"/>
            <w:tcBorders>
              <w:top w:val="single" w:sz="2" w:space="0" w:color="000000"/>
              <w:left w:val="single" w:sz="2" w:space="0" w:color="000000"/>
              <w:bottom w:val="single" w:sz="2" w:space="0" w:color="000000"/>
              <w:right w:val="nil"/>
            </w:tcBorders>
            <w:shd w:val="clear" w:color="auto" w:fill="BFBFBF" w:themeFill="background1" w:themeFillShade="BF"/>
          </w:tcPr>
          <w:p w14:paraId="43637C1E" w14:textId="77777777" w:rsidR="00B51828" w:rsidRPr="00D04AC3" w:rsidRDefault="00B51828" w:rsidP="004F5752">
            <w:pPr>
              <w:keepNext/>
              <w:tabs>
                <w:tab w:val="left" w:pos="3593"/>
              </w:tabs>
              <w:suppressAutoHyphens/>
              <w:autoSpaceDE w:val="0"/>
              <w:autoSpaceDN w:val="0"/>
              <w:adjustRightInd w:val="0"/>
              <w:spacing w:before="20" w:after="20"/>
              <w:ind w:left="0" w:right="120"/>
              <w:rPr>
                <w:rFonts w:ascii="Calibri" w:hAnsi="Calibri" w:cs="Calibri"/>
                <w:b/>
                <w:sz w:val="22"/>
                <w:lang w:val="en"/>
              </w:rPr>
            </w:pPr>
            <w:r w:rsidRPr="00D04AC3">
              <w:rPr>
                <w:rFonts w:ascii="Arial Narrow" w:hAnsi="Arial Narrow" w:cs="Arial Narrow"/>
                <w:b/>
                <w:sz w:val="20"/>
                <w:szCs w:val="20"/>
                <w:lang w:val="en"/>
              </w:rPr>
              <w:t>Total</w:t>
            </w:r>
          </w:p>
        </w:tc>
        <w:tc>
          <w:tcPr>
            <w:tcW w:w="1701" w:type="dxa"/>
            <w:tcBorders>
              <w:top w:val="single" w:sz="2" w:space="0" w:color="000000"/>
              <w:left w:val="single" w:sz="2" w:space="0" w:color="000000"/>
              <w:bottom w:val="single" w:sz="2" w:space="0" w:color="000000"/>
              <w:right w:val="nil"/>
            </w:tcBorders>
            <w:shd w:val="clear" w:color="auto" w:fill="BFBFBF" w:themeFill="background1" w:themeFillShade="BF"/>
          </w:tcPr>
          <w:p w14:paraId="5A9D5D3E"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b/>
                <w:sz w:val="20"/>
                <w:szCs w:val="20"/>
                <w:lang w:val="en"/>
              </w:rPr>
            </w:pPr>
            <w:r w:rsidRPr="004F5752">
              <w:rPr>
                <w:rFonts w:ascii="Arial Narrow" w:hAnsi="Arial Narrow" w:cs="Arial Narrow"/>
                <w:b/>
                <w:sz w:val="20"/>
                <w:szCs w:val="20"/>
                <w:lang w:val="en"/>
              </w:rPr>
              <w:t>$4.19</w:t>
            </w:r>
          </w:p>
        </w:tc>
        <w:tc>
          <w:tcPr>
            <w:tcW w:w="1560" w:type="dxa"/>
            <w:tcBorders>
              <w:top w:val="single" w:sz="2" w:space="0" w:color="000000"/>
              <w:left w:val="single" w:sz="2" w:space="0" w:color="000000"/>
              <w:bottom w:val="single" w:sz="2" w:space="0" w:color="000000"/>
              <w:right w:val="nil"/>
            </w:tcBorders>
            <w:shd w:val="clear" w:color="auto" w:fill="BFBFBF" w:themeFill="background1" w:themeFillShade="BF"/>
          </w:tcPr>
          <w:p w14:paraId="620F0543"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b/>
                <w:sz w:val="20"/>
                <w:szCs w:val="20"/>
                <w:lang w:val="en"/>
              </w:rPr>
            </w:pPr>
            <w:r w:rsidRPr="004F5752">
              <w:rPr>
                <w:rFonts w:ascii="Arial Narrow" w:hAnsi="Arial Narrow" w:cs="Arial Narrow"/>
                <w:b/>
                <w:sz w:val="20"/>
                <w:szCs w:val="20"/>
                <w:lang w:val="en"/>
              </w:rPr>
              <w:t>$0.15</w:t>
            </w:r>
          </w:p>
        </w:tc>
        <w:tc>
          <w:tcPr>
            <w:tcW w:w="1134"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Pr>
          <w:p w14:paraId="7549D133" w14:textId="77777777" w:rsidR="00B51828" w:rsidRPr="004F5752" w:rsidRDefault="00B51828" w:rsidP="004F5752">
            <w:pPr>
              <w:keepNext/>
              <w:suppressAutoHyphens/>
              <w:autoSpaceDE w:val="0"/>
              <w:autoSpaceDN w:val="0"/>
              <w:adjustRightInd w:val="0"/>
              <w:spacing w:before="20" w:after="20"/>
              <w:ind w:left="0"/>
              <w:jc w:val="right"/>
              <w:rPr>
                <w:rFonts w:ascii="Arial Narrow" w:hAnsi="Arial Narrow" w:cs="Arial Narrow"/>
                <w:b/>
                <w:sz w:val="20"/>
                <w:szCs w:val="20"/>
                <w:lang w:val="en"/>
              </w:rPr>
            </w:pPr>
            <w:r w:rsidRPr="004F5752">
              <w:rPr>
                <w:rFonts w:ascii="Arial Narrow" w:hAnsi="Arial Narrow" w:cs="Arial Narrow"/>
                <w:b/>
                <w:sz w:val="20"/>
                <w:szCs w:val="20"/>
                <w:lang w:val="en"/>
              </w:rPr>
              <w:t>$4.04</w:t>
            </w:r>
          </w:p>
        </w:tc>
      </w:tr>
    </w:tbl>
    <w:p w14:paraId="05A7771A" w14:textId="77777777" w:rsidR="00B51828" w:rsidRPr="00F8363F" w:rsidRDefault="00B51828" w:rsidP="00DB4FF8">
      <w:pPr>
        <w:spacing w:before="20"/>
        <w:rPr>
          <w:rFonts w:ascii="Arial Narrow" w:hAnsi="Arial Narrow" w:cs="Arial Narrow"/>
          <w:sz w:val="18"/>
          <w:szCs w:val="18"/>
          <w:lang w:val="en"/>
        </w:rPr>
      </w:pPr>
      <w:r w:rsidRPr="00F8363F">
        <w:rPr>
          <w:rFonts w:ascii="Arial Narrow" w:hAnsi="Arial Narrow" w:cs="Arial Narrow"/>
          <w:sz w:val="18"/>
          <w:szCs w:val="18"/>
          <w:lang w:val="en"/>
        </w:rPr>
        <w:t>Note: Figures may not sum due to rounding</w:t>
      </w:r>
    </w:p>
    <w:p w14:paraId="45215F42" w14:textId="77777777" w:rsidR="00B51828" w:rsidRDefault="00B51828" w:rsidP="00B51828">
      <w:pPr>
        <w:pStyle w:val="Heading3"/>
        <w:numPr>
          <w:ilvl w:val="2"/>
          <w:numId w:val="1"/>
        </w:numPr>
      </w:pPr>
      <w:r>
        <w:t>Health outcomes</w:t>
      </w:r>
    </w:p>
    <w:p w14:paraId="2C50379A" w14:textId="77777777" w:rsidR="00B51828" w:rsidRDefault="00B51828" w:rsidP="002101D2">
      <w:pPr>
        <w:rPr>
          <w:rFonts w:cs="Garamond"/>
          <w:szCs w:val="24"/>
          <w:lang w:val="en"/>
        </w:rPr>
      </w:pPr>
      <w:r>
        <w:rPr>
          <w:rFonts w:cs="Garamond"/>
          <w:szCs w:val="24"/>
          <w:lang w:val="en"/>
        </w:rPr>
        <w:t xml:space="preserve">As described previously, the economic evaluation adopts the rate of significant change in diagnosis as the health outcome of interest. </w:t>
      </w:r>
      <w:r>
        <w:rPr>
          <w:rFonts w:cs="Garamond"/>
          <w:szCs w:val="24"/>
          <w:lang w:val="en"/>
        </w:rPr>
        <w:fldChar w:fldCharType="begin"/>
      </w:r>
      <w:r>
        <w:rPr>
          <w:rFonts w:cs="Garamond"/>
          <w:szCs w:val="24"/>
          <w:lang w:val="en"/>
        </w:rPr>
        <w:instrText xml:space="preserve"> REF _Ref393293293 \h </w:instrText>
      </w:r>
      <w:r>
        <w:rPr>
          <w:rFonts w:cs="Garamond"/>
          <w:szCs w:val="24"/>
          <w:lang w:val="en"/>
        </w:rPr>
      </w:r>
      <w:r>
        <w:rPr>
          <w:rFonts w:cs="Garamond"/>
          <w:szCs w:val="24"/>
          <w:lang w:val="en"/>
        </w:rPr>
        <w:fldChar w:fldCharType="separate"/>
      </w:r>
      <w:r w:rsidR="0044620B">
        <w:t xml:space="preserve">Table </w:t>
      </w:r>
      <w:r w:rsidR="0044620B">
        <w:rPr>
          <w:noProof/>
        </w:rPr>
        <w:t>D.4</w:t>
      </w:r>
      <w:r w:rsidR="0044620B">
        <w:noBreakHyphen/>
      </w:r>
      <w:r w:rsidR="0044620B">
        <w:rPr>
          <w:noProof/>
        </w:rPr>
        <w:t>3</w:t>
      </w:r>
      <w:r>
        <w:rPr>
          <w:rFonts w:cs="Garamond"/>
          <w:szCs w:val="24"/>
          <w:lang w:val="en"/>
        </w:rPr>
        <w:fldChar w:fldCharType="end"/>
      </w:r>
      <w:r>
        <w:rPr>
          <w:rFonts w:cs="Garamond"/>
          <w:szCs w:val="24"/>
          <w:lang w:val="en"/>
        </w:rPr>
        <w:t xml:space="preserve"> presents the number of significant changes in diagnosis per patient, disaggregated by health state of the economic evaluation.</w:t>
      </w:r>
    </w:p>
    <w:p w14:paraId="1C71D382" w14:textId="77777777" w:rsidR="00B51828" w:rsidRDefault="00B51828" w:rsidP="002101D2">
      <w:pPr>
        <w:pStyle w:val="Caption"/>
      </w:pPr>
      <w:bookmarkStart w:id="216" w:name="_Ref393293293"/>
      <w:bookmarkStart w:id="217" w:name="_Toc396211759"/>
      <w:r>
        <w:t xml:space="preserve">Table </w:t>
      </w:r>
      <w:fldSimple w:instr=" STYLEREF 2 \s ">
        <w:r w:rsidR="0044620B">
          <w:rPr>
            <w:noProof/>
          </w:rPr>
          <w:t>D.4</w:t>
        </w:r>
      </w:fldSimple>
      <w:r>
        <w:noBreakHyphen/>
      </w:r>
      <w:fldSimple w:instr=" SEQ Table \* ARABIC \s 2 ">
        <w:r w:rsidR="0044620B">
          <w:rPr>
            <w:noProof/>
          </w:rPr>
          <w:t>3</w:t>
        </w:r>
      </w:fldSimple>
      <w:bookmarkEnd w:id="216"/>
      <w:r>
        <w:tab/>
        <w:t>Health states and significant changes in diagnosis, per patient</w:t>
      </w:r>
      <w:bookmarkEnd w:id="217"/>
    </w:p>
    <w:tbl>
      <w:tblPr>
        <w:tblW w:w="8379" w:type="dxa"/>
        <w:tblInd w:w="706" w:type="dxa"/>
        <w:tblLayout w:type="fixed"/>
        <w:tblCellMar>
          <w:left w:w="57" w:type="dxa"/>
          <w:right w:w="57" w:type="dxa"/>
        </w:tblCellMar>
        <w:tblLook w:val="0000" w:firstRow="0" w:lastRow="0" w:firstColumn="0" w:lastColumn="0" w:noHBand="0" w:noVBand="0"/>
        <w:tblCaption w:val="Health states and significant changes in diagnosis, per patient"/>
        <w:tblDescription w:val="The number of significant changes in diagnosis per patient, disaggregated by health state of the economic evaluation."/>
      </w:tblPr>
      <w:tblGrid>
        <w:gridCol w:w="3827"/>
        <w:gridCol w:w="1560"/>
        <w:gridCol w:w="1474"/>
        <w:gridCol w:w="1518"/>
      </w:tblGrid>
      <w:tr w:rsidR="00B51828" w:rsidRPr="003760B8" w14:paraId="49EFD9A9" w14:textId="77777777" w:rsidTr="004F5752">
        <w:trPr>
          <w:trHeight w:val="1"/>
          <w:tblHeader/>
        </w:trPr>
        <w:tc>
          <w:tcPr>
            <w:tcW w:w="3827" w:type="dxa"/>
            <w:tcBorders>
              <w:top w:val="single" w:sz="2" w:space="0" w:color="000000"/>
              <w:left w:val="single" w:sz="2" w:space="0" w:color="000000"/>
              <w:bottom w:val="single" w:sz="2" w:space="0" w:color="000000"/>
              <w:right w:val="nil"/>
            </w:tcBorders>
            <w:shd w:val="clear" w:color="000000" w:fill="auto"/>
          </w:tcPr>
          <w:p w14:paraId="55CBDD6B"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b/>
                <w:bCs/>
                <w:sz w:val="20"/>
                <w:szCs w:val="20"/>
                <w:lang w:val="en"/>
              </w:rPr>
              <w:t>Health state in model</w:t>
            </w:r>
          </w:p>
        </w:tc>
        <w:tc>
          <w:tcPr>
            <w:tcW w:w="1560" w:type="dxa"/>
            <w:tcBorders>
              <w:top w:val="single" w:sz="2" w:space="0" w:color="000000"/>
              <w:left w:val="single" w:sz="2" w:space="0" w:color="000000"/>
              <w:bottom w:val="single" w:sz="2" w:space="0" w:color="000000"/>
              <w:right w:val="nil"/>
            </w:tcBorders>
            <w:shd w:val="clear" w:color="000000" w:fill="auto"/>
          </w:tcPr>
          <w:p w14:paraId="08FA3EBF"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Proposed funding arrangements</w:t>
            </w:r>
          </w:p>
        </w:tc>
        <w:tc>
          <w:tcPr>
            <w:tcW w:w="1474" w:type="dxa"/>
            <w:tcBorders>
              <w:top w:val="single" w:sz="2" w:space="0" w:color="000000"/>
              <w:left w:val="single" w:sz="2" w:space="0" w:color="000000"/>
              <w:bottom w:val="single" w:sz="2" w:space="0" w:color="000000"/>
              <w:right w:val="nil"/>
            </w:tcBorders>
            <w:shd w:val="clear" w:color="000000" w:fill="auto"/>
          </w:tcPr>
          <w:p w14:paraId="0345D5F2"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Current funding arrangements</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292D4D01"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b/>
                <w:bCs/>
                <w:sz w:val="20"/>
                <w:szCs w:val="20"/>
                <w:lang w:val="en"/>
              </w:rPr>
              <w:t>Incremental cost</w:t>
            </w:r>
          </w:p>
        </w:tc>
      </w:tr>
      <w:tr w:rsidR="00B51828" w:rsidRPr="003760B8" w14:paraId="039618D2"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117DFF04"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sz w:val="20"/>
                <w:szCs w:val="20"/>
                <w:lang w:val="en"/>
              </w:rPr>
              <w:t>No second, expert opinion sought</w:t>
            </w:r>
          </w:p>
        </w:tc>
        <w:tc>
          <w:tcPr>
            <w:tcW w:w="1560" w:type="dxa"/>
            <w:tcBorders>
              <w:top w:val="single" w:sz="2" w:space="0" w:color="000000"/>
              <w:left w:val="single" w:sz="2" w:space="0" w:color="000000"/>
              <w:bottom w:val="single" w:sz="2" w:space="0" w:color="000000"/>
              <w:right w:val="nil"/>
            </w:tcBorders>
            <w:shd w:val="clear" w:color="000000" w:fill="auto"/>
          </w:tcPr>
          <w:p w14:paraId="29ACEF08"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474" w:type="dxa"/>
            <w:tcBorders>
              <w:top w:val="single" w:sz="2" w:space="0" w:color="000000"/>
              <w:left w:val="single" w:sz="2" w:space="0" w:color="000000"/>
              <w:bottom w:val="single" w:sz="2" w:space="0" w:color="000000"/>
              <w:right w:val="nil"/>
            </w:tcBorders>
            <w:shd w:val="clear" w:color="000000" w:fill="auto"/>
          </w:tcPr>
          <w:p w14:paraId="6A5AD0AF"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3904AE0E" w14:textId="77777777" w:rsidR="00B51828" w:rsidRPr="003760B8" w:rsidRDefault="00B51828" w:rsidP="000C66B3">
            <w:pPr>
              <w:keepNext/>
              <w:tabs>
                <w:tab w:val="left" w:pos="6846"/>
              </w:tabs>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0.0000</w:t>
            </w:r>
          </w:p>
        </w:tc>
      </w:tr>
      <w:tr w:rsidR="00B51828" w:rsidRPr="003760B8" w14:paraId="25A1B388"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3042D993"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sz w:val="20"/>
                <w:szCs w:val="20"/>
                <w:lang w:val="en"/>
              </w:rPr>
              <w:t>Complex second, expert opinion sought and ancillary tests required, diagnosis confirmed</w:t>
            </w:r>
          </w:p>
        </w:tc>
        <w:tc>
          <w:tcPr>
            <w:tcW w:w="1560" w:type="dxa"/>
            <w:tcBorders>
              <w:top w:val="single" w:sz="2" w:space="0" w:color="000000"/>
              <w:left w:val="single" w:sz="2" w:space="0" w:color="000000"/>
              <w:bottom w:val="single" w:sz="2" w:space="0" w:color="000000"/>
              <w:right w:val="nil"/>
            </w:tcBorders>
            <w:shd w:val="clear" w:color="000000" w:fill="auto"/>
          </w:tcPr>
          <w:p w14:paraId="0FA1B977"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474" w:type="dxa"/>
            <w:tcBorders>
              <w:top w:val="single" w:sz="2" w:space="0" w:color="000000"/>
              <w:left w:val="single" w:sz="2" w:space="0" w:color="000000"/>
              <w:bottom w:val="single" w:sz="2" w:space="0" w:color="000000"/>
              <w:right w:val="nil"/>
            </w:tcBorders>
            <w:shd w:val="clear" w:color="000000" w:fill="auto"/>
          </w:tcPr>
          <w:p w14:paraId="4A54D4A2"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336E32DA"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0.0000</w:t>
            </w:r>
          </w:p>
        </w:tc>
      </w:tr>
      <w:tr w:rsidR="00B51828" w:rsidRPr="003760B8" w14:paraId="29AB4ABA"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4771362F"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sz w:val="20"/>
                <w:szCs w:val="20"/>
                <w:lang w:val="en"/>
              </w:rPr>
              <w:t>Complex second, expert opinion sought and ancillary tests required, diagnosis changed</w:t>
            </w:r>
          </w:p>
        </w:tc>
        <w:tc>
          <w:tcPr>
            <w:tcW w:w="1560" w:type="dxa"/>
            <w:tcBorders>
              <w:top w:val="single" w:sz="2" w:space="0" w:color="000000"/>
              <w:left w:val="single" w:sz="2" w:space="0" w:color="000000"/>
              <w:bottom w:val="single" w:sz="2" w:space="0" w:color="000000"/>
              <w:right w:val="nil"/>
            </w:tcBorders>
            <w:shd w:val="clear" w:color="000000" w:fill="auto"/>
          </w:tcPr>
          <w:p w14:paraId="5D387161"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0.0005</w:t>
            </w:r>
          </w:p>
        </w:tc>
        <w:tc>
          <w:tcPr>
            <w:tcW w:w="1474" w:type="dxa"/>
            <w:tcBorders>
              <w:top w:val="single" w:sz="2" w:space="0" w:color="000000"/>
              <w:left w:val="single" w:sz="2" w:space="0" w:color="000000"/>
              <w:bottom w:val="single" w:sz="2" w:space="0" w:color="000000"/>
              <w:right w:val="nil"/>
            </w:tcBorders>
            <w:shd w:val="clear" w:color="000000" w:fill="auto"/>
          </w:tcPr>
          <w:p w14:paraId="59627AF1"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0.0002</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32134E30"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0.0003</w:t>
            </w:r>
          </w:p>
        </w:tc>
      </w:tr>
      <w:tr w:rsidR="00B51828" w:rsidRPr="003760B8" w14:paraId="517A7CE5"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2B5E7965" w14:textId="77777777" w:rsidR="00B51828" w:rsidRPr="003760B8" w:rsidRDefault="00B51828" w:rsidP="00DB4FF8">
            <w:pPr>
              <w:keepNext/>
              <w:suppressAutoHyphens/>
              <w:autoSpaceDE w:val="0"/>
              <w:autoSpaceDN w:val="0"/>
              <w:adjustRightInd w:val="0"/>
              <w:spacing w:before="20" w:after="20"/>
              <w:ind w:left="0" w:right="181"/>
              <w:rPr>
                <w:rFonts w:ascii="Calibri" w:hAnsi="Calibri" w:cs="Calibri"/>
                <w:sz w:val="22"/>
                <w:lang w:val="en"/>
              </w:rPr>
            </w:pPr>
            <w:r w:rsidRPr="003760B8">
              <w:rPr>
                <w:rFonts w:ascii="Arial Narrow" w:hAnsi="Arial Narrow" w:cs="Arial Narrow"/>
                <w:sz w:val="20"/>
                <w:szCs w:val="20"/>
                <w:lang w:val="en"/>
              </w:rPr>
              <w:t xml:space="preserve">Complex second, expert opinion sought and ancillary tests </w:t>
            </w:r>
            <w:r>
              <w:rPr>
                <w:rFonts w:ascii="Arial Narrow" w:hAnsi="Arial Narrow" w:cs="Arial Narrow"/>
                <w:sz w:val="20"/>
                <w:szCs w:val="20"/>
                <w:lang w:val="en"/>
              </w:rPr>
              <w:t xml:space="preserve">not </w:t>
            </w:r>
            <w:r w:rsidRPr="003760B8">
              <w:rPr>
                <w:rFonts w:ascii="Arial Narrow" w:hAnsi="Arial Narrow" w:cs="Arial Narrow"/>
                <w:sz w:val="20"/>
                <w:szCs w:val="20"/>
                <w:lang w:val="en"/>
              </w:rPr>
              <w:t>required, diagnosis confirmed</w:t>
            </w:r>
          </w:p>
        </w:tc>
        <w:tc>
          <w:tcPr>
            <w:tcW w:w="1560" w:type="dxa"/>
            <w:tcBorders>
              <w:top w:val="single" w:sz="2" w:space="0" w:color="000000"/>
              <w:left w:val="single" w:sz="2" w:space="0" w:color="000000"/>
              <w:bottom w:val="single" w:sz="2" w:space="0" w:color="000000"/>
              <w:right w:val="nil"/>
            </w:tcBorders>
            <w:shd w:val="clear" w:color="000000" w:fill="auto"/>
          </w:tcPr>
          <w:p w14:paraId="6263D787"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474" w:type="dxa"/>
            <w:tcBorders>
              <w:top w:val="single" w:sz="2" w:space="0" w:color="000000"/>
              <w:left w:val="single" w:sz="2" w:space="0" w:color="000000"/>
              <w:bottom w:val="single" w:sz="2" w:space="0" w:color="000000"/>
              <w:right w:val="nil"/>
            </w:tcBorders>
            <w:shd w:val="clear" w:color="000000" w:fill="auto"/>
          </w:tcPr>
          <w:p w14:paraId="2B504CF5"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42A51098"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0.0000</w:t>
            </w:r>
          </w:p>
        </w:tc>
      </w:tr>
      <w:tr w:rsidR="00B51828" w:rsidRPr="003760B8" w14:paraId="0D0CEF1D"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631649B0"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sz w:val="20"/>
                <w:szCs w:val="20"/>
                <w:lang w:val="en"/>
              </w:rPr>
              <w:t xml:space="preserve">Complex second, expert opinion sought and ancillary tests </w:t>
            </w:r>
            <w:r>
              <w:rPr>
                <w:rFonts w:ascii="Arial Narrow" w:hAnsi="Arial Narrow" w:cs="Arial Narrow"/>
                <w:sz w:val="20"/>
                <w:szCs w:val="20"/>
                <w:lang w:val="en"/>
              </w:rPr>
              <w:t xml:space="preserve">not </w:t>
            </w:r>
            <w:r w:rsidRPr="003760B8">
              <w:rPr>
                <w:rFonts w:ascii="Arial Narrow" w:hAnsi="Arial Narrow" w:cs="Arial Narrow"/>
                <w:sz w:val="20"/>
                <w:szCs w:val="20"/>
                <w:lang w:val="en"/>
              </w:rPr>
              <w:t>required, diagnosis changed</w:t>
            </w:r>
          </w:p>
        </w:tc>
        <w:tc>
          <w:tcPr>
            <w:tcW w:w="1560" w:type="dxa"/>
            <w:tcBorders>
              <w:top w:val="single" w:sz="2" w:space="0" w:color="000000"/>
              <w:left w:val="single" w:sz="2" w:space="0" w:color="000000"/>
              <w:bottom w:val="single" w:sz="2" w:space="0" w:color="000000"/>
              <w:right w:val="nil"/>
            </w:tcBorders>
            <w:shd w:val="clear" w:color="000000" w:fill="auto"/>
          </w:tcPr>
          <w:p w14:paraId="6915BF60"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0.0003</w:t>
            </w:r>
          </w:p>
        </w:tc>
        <w:tc>
          <w:tcPr>
            <w:tcW w:w="1474" w:type="dxa"/>
            <w:tcBorders>
              <w:top w:val="single" w:sz="2" w:space="0" w:color="000000"/>
              <w:left w:val="single" w:sz="2" w:space="0" w:color="000000"/>
              <w:bottom w:val="single" w:sz="2" w:space="0" w:color="000000"/>
              <w:right w:val="nil"/>
            </w:tcBorders>
            <w:shd w:val="clear" w:color="000000" w:fill="auto"/>
          </w:tcPr>
          <w:p w14:paraId="025BA8EF"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0.0001</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116C9140"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0.0002</w:t>
            </w:r>
          </w:p>
        </w:tc>
      </w:tr>
      <w:tr w:rsidR="00B51828" w:rsidRPr="003760B8" w14:paraId="7FA81C3D"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443DF21E"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sz w:val="20"/>
                <w:szCs w:val="20"/>
                <w:lang w:val="en"/>
              </w:rPr>
              <w:t>Non-complex second, expert opinion sought and ancillary tests required, diagnosis confirmed</w:t>
            </w:r>
          </w:p>
        </w:tc>
        <w:tc>
          <w:tcPr>
            <w:tcW w:w="1560" w:type="dxa"/>
            <w:tcBorders>
              <w:top w:val="single" w:sz="2" w:space="0" w:color="000000"/>
              <w:left w:val="single" w:sz="2" w:space="0" w:color="000000"/>
              <w:bottom w:val="single" w:sz="2" w:space="0" w:color="000000"/>
              <w:right w:val="nil"/>
            </w:tcBorders>
            <w:shd w:val="clear" w:color="000000" w:fill="auto"/>
          </w:tcPr>
          <w:p w14:paraId="177E46C9"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474" w:type="dxa"/>
            <w:tcBorders>
              <w:top w:val="single" w:sz="2" w:space="0" w:color="000000"/>
              <w:left w:val="single" w:sz="2" w:space="0" w:color="000000"/>
              <w:bottom w:val="single" w:sz="2" w:space="0" w:color="000000"/>
              <w:right w:val="nil"/>
            </w:tcBorders>
            <w:shd w:val="clear" w:color="000000" w:fill="auto"/>
          </w:tcPr>
          <w:p w14:paraId="626E5759"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3E19D25D"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0.0000</w:t>
            </w:r>
          </w:p>
        </w:tc>
      </w:tr>
      <w:tr w:rsidR="00B51828" w:rsidRPr="003760B8" w14:paraId="68A54855"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6F5043EC"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sz w:val="20"/>
                <w:szCs w:val="20"/>
                <w:lang w:val="en"/>
              </w:rPr>
              <w:t>Non-complex second, expert opinion sought and ancillary tests required, diagnosis changed</w:t>
            </w:r>
          </w:p>
        </w:tc>
        <w:tc>
          <w:tcPr>
            <w:tcW w:w="1560" w:type="dxa"/>
            <w:tcBorders>
              <w:top w:val="single" w:sz="2" w:space="0" w:color="000000"/>
              <w:left w:val="single" w:sz="2" w:space="0" w:color="000000"/>
              <w:bottom w:val="single" w:sz="2" w:space="0" w:color="000000"/>
              <w:right w:val="nil"/>
            </w:tcBorders>
            <w:shd w:val="clear" w:color="000000" w:fill="auto"/>
          </w:tcPr>
          <w:p w14:paraId="754AA6FF"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0.0002</w:t>
            </w:r>
          </w:p>
        </w:tc>
        <w:tc>
          <w:tcPr>
            <w:tcW w:w="1474" w:type="dxa"/>
            <w:tcBorders>
              <w:top w:val="single" w:sz="2" w:space="0" w:color="000000"/>
              <w:left w:val="single" w:sz="2" w:space="0" w:color="000000"/>
              <w:bottom w:val="single" w:sz="2" w:space="0" w:color="000000"/>
              <w:right w:val="nil"/>
            </w:tcBorders>
            <w:shd w:val="clear" w:color="000000" w:fill="auto"/>
          </w:tcPr>
          <w:p w14:paraId="4BF584FD"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0.0001</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24FBBD98"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0.0001</w:t>
            </w:r>
          </w:p>
        </w:tc>
      </w:tr>
      <w:tr w:rsidR="00B51828" w:rsidRPr="003760B8" w14:paraId="44C6860B"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000000" w:fill="auto"/>
          </w:tcPr>
          <w:p w14:paraId="27D4D619"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sz w:val="20"/>
                <w:szCs w:val="20"/>
                <w:lang w:val="en"/>
              </w:rPr>
              <w:t xml:space="preserve">Non-complex second, expert opinion sought and ancillary tests </w:t>
            </w:r>
            <w:r>
              <w:rPr>
                <w:rFonts w:ascii="Arial Narrow" w:hAnsi="Arial Narrow" w:cs="Arial Narrow"/>
                <w:sz w:val="20"/>
                <w:szCs w:val="20"/>
                <w:lang w:val="en"/>
              </w:rPr>
              <w:t xml:space="preserve">not </w:t>
            </w:r>
            <w:r w:rsidRPr="003760B8">
              <w:rPr>
                <w:rFonts w:ascii="Arial Narrow" w:hAnsi="Arial Narrow" w:cs="Arial Narrow"/>
                <w:sz w:val="20"/>
                <w:szCs w:val="20"/>
                <w:lang w:val="en"/>
              </w:rPr>
              <w:t>required, diagnosis confirmed</w:t>
            </w:r>
          </w:p>
        </w:tc>
        <w:tc>
          <w:tcPr>
            <w:tcW w:w="1560" w:type="dxa"/>
            <w:tcBorders>
              <w:top w:val="single" w:sz="2" w:space="0" w:color="000000"/>
              <w:left w:val="single" w:sz="2" w:space="0" w:color="000000"/>
              <w:bottom w:val="single" w:sz="2" w:space="0" w:color="000000"/>
              <w:right w:val="nil"/>
            </w:tcBorders>
            <w:shd w:val="clear" w:color="000000" w:fill="auto"/>
          </w:tcPr>
          <w:p w14:paraId="2B26422B"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474" w:type="dxa"/>
            <w:tcBorders>
              <w:top w:val="single" w:sz="2" w:space="0" w:color="000000"/>
              <w:left w:val="single" w:sz="2" w:space="0" w:color="000000"/>
              <w:bottom w:val="single" w:sz="2" w:space="0" w:color="000000"/>
              <w:right w:val="nil"/>
            </w:tcBorders>
            <w:shd w:val="clear" w:color="000000" w:fill="auto"/>
          </w:tcPr>
          <w:p w14:paraId="75C5313A"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0.0000</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28FE7475"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0.0000</w:t>
            </w:r>
          </w:p>
        </w:tc>
      </w:tr>
      <w:tr w:rsidR="00B51828" w:rsidRPr="003760B8" w14:paraId="5A05E8D9" w14:textId="77777777" w:rsidTr="000C66B3">
        <w:trPr>
          <w:trHeight w:val="75"/>
        </w:trPr>
        <w:tc>
          <w:tcPr>
            <w:tcW w:w="3827" w:type="dxa"/>
            <w:tcBorders>
              <w:top w:val="single" w:sz="2" w:space="0" w:color="000000"/>
              <w:left w:val="single" w:sz="2" w:space="0" w:color="000000"/>
              <w:bottom w:val="single" w:sz="2" w:space="0" w:color="000000"/>
              <w:right w:val="nil"/>
            </w:tcBorders>
            <w:shd w:val="clear" w:color="000000" w:fill="auto"/>
          </w:tcPr>
          <w:p w14:paraId="0F113029" w14:textId="77777777" w:rsidR="00B51828" w:rsidRPr="003760B8" w:rsidRDefault="00B51828" w:rsidP="00443A7E">
            <w:pPr>
              <w:keepNext/>
              <w:suppressAutoHyphens/>
              <w:autoSpaceDE w:val="0"/>
              <w:autoSpaceDN w:val="0"/>
              <w:adjustRightInd w:val="0"/>
              <w:spacing w:before="20" w:after="20"/>
              <w:ind w:left="0" w:right="180"/>
              <w:rPr>
                <w:rFonts w:ascii="Calibri" w:hAnsi="Calibri" w:cs="Calibri"/>
                <w:sz w:val="22"/>
                <w:lang w:val="en"/>
              </w:rPr>
            </w:pPr>
            <w:r w:rsidRPr="003760B8">
              <w:rPr>
                <w:rFonts w:ascii="Arial Narrow" w:hAnsi="Arial Narrow" w:cs="Arial Narrow"/>
                <w:sz w:val="20"/>
                <w:szCs w:val="20"/>
                <w:lang w:val="en"/>
              </w:rPr>
              <w:t xml:space="preserve">Non-complex second, expert opinion sought and ancillary tests </w:t>
            </w:r>
            <w:r>
              <w:rPr>
                <w:rFonts w:ascii="Arial Narrow" w:hAnsi="Arial Narrow" w:cs="Arial Narrow"/>
                <w:sz w:val="20"/>
                <w:szCs w:val="20"/>
                <w:lang w:val="en"/>
              </w:rPr>
              <w:t xml:space="preserve">not </w:t>
            </w:r>
            <w:r w:rsidRPr="003760B8">
              <w:rPr>
                <w:rFonts w:ascii="Arial Narrow" w:hAnsi="Arial Narrow" w:cs="Arial Narrow"/>
                <w:sz w:val="20"/>
                <w:szCs w:val="20"/>
                <w:lang w:val="en"/>
              </w:rPr>
              <w:t xml:space="preserve">required, diagnosis </w:t>
            </w:r>
            <w:r>
              <w:rPr>
                <w:rFonts w:ascii="Arial Narrow" w:hAnsi="Arial Narrow" w:cs="Arial Narrow"/>
                <w:sz w:val="20"/>
                <w:szCs w:val="20"/>
                <w:lang w:val="en"/>
              </w:rPr>
              <w:t>changed</w:t>
            </w:r>
          </w:p>
        </w:tc>
        <w:tc>
          <w:tcPr>
            <w:tcW w:w="1560" w:type="dxa"/>
            <w:tcBorders>
              <w:top w:val="single" w:sz="2" w:space="0" w:color="000000"/>
              <w:left w:val="single" w:sz="2" w:space="0" w:color="000000"/>
              <w:bottom w:val="single" w:sz="2" w:space="0" w:color="000000"/>
              <w:right w:val="nil"/>
            </w:tcBorders>
            <w:shd w:val="clear" w:color="000000" w:fill="auto"/>
          </w:tcPr>
          <w:p w14:paraId="21715868"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0.0007</w:t>
            </w:r>
          </w:p>
        </w:tc>
        <w:tc>
          <w:tcPr>
            <w:tcW w:w="1474" w:type="dxa"/>
            <w:tcBorders>
              <w:top w:val="single" w:sz="2" w:space="0" w:color="000000"/>
              <w:left w:val="single" w:sz="2" w:space="0" w:color="000000"/>
              <w:bottom w:val="single" w:sz="2" w:space="0" w:color="000000"/>
              <w:right w:val="nil"/>
            </w:tcBorders>
            <w:shd w:val="clear" w:color="000000" w:fill="auto"/>
          </w:tcPr>
          <w:p w14:paraId="14595A83" w14:textId="77777777" w:rsidR="00B51828" w:rsidRPr="003760B8" w:rsidRDefault="00B51828" w:rsidP="000C66B3">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0.0003</w:t>
            </w:r>
          </w:p>
        </w:tc>
        <w:tc>
          <w:tcPr>
            <w:tcW w:w="1518" w:type="dxa"/>
            <w:tcBorders>
              <w:top w:val="single" w:sz="2" w:space="0" w:color="000000"/>
              <w:left w:val="single" w:sz="2" w:space="0" w:color="000000"/>
              <w:bottom w:val="single" w:sz="2" w:space="0" w:color="000000"/>
              <w:right w:val="single" w:sz="2" w:space="0" w:color="000000"/>
            </w:tcBorders>
            <w:shd w:val="clear" w:color="000000" w:fill="auto"/>
          </w:tcPr>
          <w:p w14:paraId="42F20711" w14:textId="77777777" w:rsidR="00B51828" w:rsidRPr="003760B8" w:rsidRDefault="00B51828" w:rsidP="000C66B3">
            <w:pPr>
              <w:keepNext/>
              <w:suppressAutoHyphens/>
              <w:autoSpaceDE w:val="0"/>
              <w:autoSpaceDN w:val="0"/>
              <w:adjustRightInd w:val="0"/>
              <w:spacing w:before="20" w:after="20"/>
              <w:ind w:left="0" w:right="-11"/>
              <w:jc w:val="right"/>
              <w:rPr>
                <w:rFonts w:ascii="Calibri" w:hAnsi="Calibri" w:cs="Calibri"/>
                <w:sz w:val="22"/>
                <w:lang w:val="en"/>
              </w:rPr>
            </w:pPr>
            <w:r w:rsidRPr="003760B8">
              <w:rPr>
                <w:rFonts w:ascii="Arial Narrow" w:hAnsi="Arial Narrow" w:cs="Arial Narrow"/>
                <w:sz w:val="20"/>
                <w:szCs w:val="20"/>
                <w:lang w:val="en"/>
              </w:rPr>
              <w:t>0.0004</w:t>
            </w:r>
          </w:p>
        </w:tc>
      </w:tr>
      <w:tr w:rsidR="00B51828" w:rsidRPr="00E56204" w14:paraId="130888E9" w14:textId="77777777" w:rsidTr="000C66B3">
        <w:trPr>
          <w:trHeight w:val="1"/>
        </w:trPr>
        <w:tc>
          <w:tcPr>
            <w:tcW w:w="3827" w:type="dxa"/>
            <w:tcBorders>
              <w:top w:val="single" w:sz="2" w:space="0" w:color="000000"/>
              <w:left w:val="single" w:sz="2" w:space="0" w:color="000000"/>
              <w:bottom w:val="single" w:sz="2" w:space="0" w:color="000000"/>
              <w:right w:val="nil"/>
            </w:tcBorders>
            <w:shd w:val="clear" w:color="auto" w:fill="AEAAAA" w:themeFill="background2" w:themeFillShade="BF"/>
          </w:tcPr>
          <w:p w14:paraId="2FC2A639" w14:textId="77777777" w:rsidR="00B51828" w:rsidRPr="0019563F" w:rsidRDefault="00B51828" w:rsidP="00443A7E">
            <w:pPr>
              <w:keepNext/>
              <w:suppressAutoHyphens/>
              <w:autoSpaceDE w:val="0"/>
              <w:autoSpaceDN w:val="0"/>
              <w:adjustRightInd w:val="0"/>
              <w:spacing w:before="20" w:after="20"/>
              <w:ind w:left="0" w:right="180"/>
              <w:rPr>
                <w:rFonts w:ascii="Calibri" w:hAnsi="Calibri" w:cs="Calibri"/>
                <w:b/>
                <w:sz w:val="22"/>
                <w:lang w:val="en"/>
              </w:rPr>
            </w:pPr>
            <w:r w:rsidRPr="0019563F">
              <w:rPr>
                <w:rFonts w:ascii="Arial Narrow" w:hAnsi="Arial Narrow" w:cs="Arial Narrow"/>
                <w:b/>
                <w:sz w:val="20"/>
                <w:szCs w:val="20"/>
                <w:lang w:val="en"/>
              </w:rPr>
              <w:t>Total</w:t>
            </w:r>
          </w:p>
        </w:tc>
        <w:tc>
          <w:tcPr>
            <w:tcW w:w="1560" w:type="dxa"/>
            <w:tcBorders>
              <w:top w:val="single" w:sz="2" w:space="0" w:color="000000"/>
              <w:left w:val="single" w:sz="2" w:space="0" w:color="000000"/>
              <w:bottom w:val="single" w:sz="2" w:space="0" w:color="000000"/>
              <w:right w:val="nil"/>
            </w:tcBorders>
            <w:shd w:val="clear" w:color="auto" w:fill="AEAAAA" w:themeFill="background2" w:themeFillShade="BF"/>
          </w:tcPr>
          <w:p w14:paraId="596FA6EE" w14:textId="77777777" w:rsidR="00B51828" w:rsidRPr="0019563F" w:rsidRDefault="00B51828" w:rsidP="000C66B3">
            <w:pPr>
              <w:keepNext/>
              <w:suppressAutoHyphens/>
              <w:autoSpaceDE w:val="0"/>
              <w:autoSpaceDN w:val="0"/>
              <w:adjustRightInd w:val="0"/>
              <w:spacing w:before="20" w:after="20"/>
              <w:ind w:left="0"/>
              <w:jc w:val="right"/>
              <w:rPr>
                <w:rFonts w:ascii="Calibri" w:hAnsi="Calibri" w:cs="Calibri"/>
                <w:b/>
                <w:sz w:val="22"/>
                <w:lang w:val="en"/>
              </w:rPr>
            </w:pPr>
            <w:r w:rsidRPr="0019563F">
              <w:rPr>
                <w:rFonts w:ascii="Arial Narrow" w:hAnsi="Arial Narrow" w:cs="Arial Narrow"/>
                <w:b/>
                <w:sz w:val="20"/>
                <w:szCs w:val="20"/>
                <w:lang w:val="en"/>
              </w:rPr>
              <w:t>0.0018</w:t>
            </w:r>
          </w:p>
        </w:tc>
        <w:tc>
          <w:tcPr>
            <w:tcW w:w="1474" w:type="dxa"/>
            <w:tcBorders>
              <w:top w:val="single" w:sz="2" w:space="0" w:color="000000"/>
              <w:left w:val="single" w:sz="2" w:space="0" w:color="000000"/>
              <w:bottom w:val="single" w:sz="2" w:space="0" w:color="000000"/>
              <w:right w:val="nil"/>
            </w:tcBorders>
            <w:shd w:val="clear" w:color="auto" w:fill="AEAAAA" w:themeFill="background2" w:themeFillShade="BF"/>
          </w:tcPr>
          <w:p w14:paraId="2B63EA94" w14:textId="77777777" w:rsidR="00B51828" w:rsidRPr="0019563F" w:rsidRDefault="00B51828" w:rsidP="000C66B3">
            <w:pPr>
              <w:keepNext/>
              <w:suppressAutoHyphens/>
              <w:autoSpaceDE w:val="0"/>
              <w:autoSpaceDN w:val="0"/>
              <w:adjustRightInd w:val="0"/>
              <w:spacing w:before="20" w:after="20"/>
              <w:ind w:left="0"/>
              <w:jc w:val="right"/>
              <w:rPr>
                <w:rFonts w:ascii="Calibri" w:hAnsi="Calibri" w:cs="Calibri"/>
                <w:b/>
                <w:sz w:val="22"/>
                <w:lang w:val="en"/>
              </w:rPr>
            </w:pPr>
            <w:r w:rsidRPr="0019563F">
              <w:rPr>
                <w:rFonts w:ascii="Arial Narrow" w:hAnsi="Arial Narrow" w:cs="Arial Narrow"/>
                <w:b/>
                <w:sz w:val="20"/>
                <w:szCs w:val="20"/>
                <w:lang w:val="en"/>
              </w:rPr>
              <w:t>0.0007</w:t>
            </w:r>
          </w:p>
        </w:tc>
        <w:tc>
          <w:tcPr>
            <w:tcW w:w="1518" w:type="dxa"/>
            <w:tcBorders>
              <w:top w:val="single" w:sz="2" w:space="0" w:color="000000"/>
              <w:left w:val="single" w:sz="2" w:space="0" w:color="000000"/>
              <w:bottom w:val="single" w:sz="2" w:space="0" w:color="000000"/>
              <w:right w:val="single" w:sz="2" w:space="0" w:color="000000"/>
            </w:tcBorders>
            <w:shd w:val="clear" w:color="auto" w:fill="AEAAAA" w:themeFill="background2" w:themeFillShade="BF"/>
          </w:tcPr>
          <w:p w14:paraId="332AFBBE" w14:textId="77777777" w:rsidR="00B51828" w:rsidRPr="0019563F" w:rsidRDefault="00B51828" w:rsidP="000C66B3">
            <w:pPr>
              <w:keepNext/>
              <w:suppressAutoHyphens/>
              <w:autoSpaceDE w:val="0"/>
              <w:autoSpaceDN w:val="0"/>
              <w:adjustRightInd w:val="0"/>
              <w:spacing w:before="20" w:after="20"/>
              <w:ind w:left="0" w:right="-11"/>
              <w:jc w:val="right"/>
              <w:rPr>
                <w:rFonts w:ascii="Calibri" w:hAnsi="Calibri" w:cs="Calibri"/>
                <w:b/>
                <w:sz w:val="22"/>
                <w:lang w:val="en"/>
              </w:rPr>
            </w:pPr>
            <w:r w:rsidRPr="0019563F">
              <w:rPr>
                <w:rFonts w:ascii="Arial Narrow" w:hAnsi="Arial Narrow" w:cs="Arial Narrow"/>
                <w:b/>
                <w:sz w:val="20"/>
                <w:szCs w:val="20"/>
                <w:lang w:val="en"/>
              </w:rPr>
              <w:t>0.0011</w:t>
            </w:r>
          </w:p>
        </w:tc>
      </w:tr>
    </w:tbl>
    <w:p w14:paraId="497900CD" w14:textId="77777777" w:rsidR="00B51828" w:rsidRPr="00F8363F" w:rsidRDefault="00B51828" w:rsidP="00DB4FF8">
      <w:pPr>
        <w:spacing w:before="20"/>
        <w:rPr>
          <w:rFonts w:ascii="Arial Narrow" w:hAnsi="Arial Narrow" w:cs="Arial Narrow"/>
          <w:sz w:val="18"/>
          <w:szCs w:val="18"/>
          <w:lang w:val="en"/>
        </w:rPr>
      </w:pPr>
      <w:r w:rsidRPr="00F8363F">
        <w:rPr>
          <w:rFonts w:ascii="Arial Narrow" w:hAnsi="Arial Narrow" w:cs="Arial Narrow"/>
          <w:sz w:val="18"/>
          <w:szCs w:val="18"/>
          <w:lang w:val="en"/>
        </w:rPr>
        <w:t>Note: Figures may not sum due to rounding</w:t>
      </w:r>
    </w:p>
    <w:p w14:paraId="42208E1E" w14:textId="77777777" w:rsidR="00B51828" w:rsidRDefault="00B51828" w:rsidP="002101D2">
      <w:pPr>
        <w:rPr>
          <w:rFonts w:cs="Garamond"/>
          <w:szCs w:val="24"/>
          <w:lang w:val="en"/>
        </w:rPr>
      </w:pPr>
      <w:r>
        <w:rPr>
          <w:rFonts w:cs="Garamond"/>
          <w:szCs w:val="24"/>
          <w:lang w:val="en"/>
        </w:rPr>
        <w:t xml:space="preserve">On average, there are 0.0018 significant changes in diagnosis per patient if second, expert opinions are funded by the MBS. This compares with 0.0007 under the current funding </w:t>
      </w:r>
      <w:r>
        <w:rPr>
          <w:rFonts w:cs="Garamond"/>
          <w:szCs w:val="24"/>
          <w:lang w:val="en"/>
        </w:rPr>
        <w:lastRenderedPageBreak/>
        <w:t>arrangements. In a population of 1,000 patients with a tissue pathology diagnosis, this translates to an additional 1.1 significant changes in diagnosis.</w:t>
      </w:r>
    </w:p>
    <w:p w14:paraId="75F8DFF9" w14:textId="3386ECF9" w:rsidR="00B51828" w:rsidRDefault="00B51828" w:rsidP="00B51828">
      <w:pPr>
        <w:pStyle w:val="Heading3"/>
        <w:keepLines w:val="0"/>
        <w:numPr>
          <w:ilvl w:val="2"/>
          <w:numId w:val="1"/>
        </w:numPr>
      </w:pPr>
      <w:r>
        <w:t>Incremental cost per significant (clinically</w:t>
      </w:r>
      <w:r w:rsidR="0053670C">
        <w:t xml:space="preserve"> </w:t>
      </w:r>
      <w:r>
        <w:t>relevant) change in diagnosis or interpretation</w:t>
      </w:r>
    </w:p>
    <w:p w14:paraId="67B553CF" w14:textId="77777777" w:rsidR="00B51828" w:rsidRDefault="00B51828" w:rsidP="002101D2">
      <w:pPr>
        <w:keepNext/>
        <w:rPr>
          <w:rFonts w:cs="Garamond"/>
          <w:szCs w:val="24"/>
          <w:lang w:val="en"/>
        </w:rPr>
      </w:pPr>
      <w:r>
        <w:rPr>
          <w:rFonts w:cs="Garamond"/>
          <w:szCs w:val="24"/>
          <w:lang w:val="en"/>
        </w:rPr>
        <w:t xml:space="preserve">On the basis of the results above, the incremental cost-effectiveness shown in </w:t>
      </w:r>
      <w:r>
        <w:rPr>
          <w:rFonts w:cs="Garamond"/>
          <w:szCs w:val="24"/>
          <w:lang w:val="en"/>
        </w:rPr>
        <w:fldChar w:fldCharType="begin"/>
      </w:r>
      <w:r>
        <w:rPr>
          <w:rFonts w:cs="Garamond"/>
          <w:szCs w:val="24"/>
          <w:lang w:val="en"/>
        </w:rPr>
        <w:instrText xml:space="preserve"> REF _Ref393293496 \h </w:instrText>
      </w:r>
      <w:r>
        <w:rPr>
          <w:rFonts w:cs="Garamond"/>
          <w:szCs w:val="24"/>
          <w:lang w:val="en"/>
        </w:rPr>
      </w:r>
      <w:r>
        <w:rPr>
          <w:rFonts w:cs="Garamond"/>
          <w:szCs w:val="24"/>
          <w:lang w:val="en"/>
        </w:rPr>
        <w:fldChar w:fldCharType="separate"/>
      </w:r>
      <w:r w:rsidR="0044620B">
        <w:t xml:space="preserve">Table </w:t>
      </w:r>
      <w:r w:rsidR="0044620B">
        <w:rPr>
          <w:noProof/>
        </w:rPr>
        <w:t>D.4</w:t>
      </w:r>
      <w:r w:rsidR="0044620B">
        <w:noBreakHyphen/>
      </w:r>
      <w:r w:rsidR="0044620B">
        <w:rPr>
          <w:noProof/>
        </w:rPr>
        <w:t>4</w:t>
      </w:r>
      <w:r>
        <w:rPr>
          <w:rFonts w:cs="Garamond"/>
          <w:szCs w:val="24"/>
          <w:lang w:val="en"/>
        </w:rPr>
        <w:fldChar w:fldCharType="end"/>
      </w:r>
      <w:r>
        <w:rPr>
          <w:rFonts w:cs="Garamond"/>
          <w:szCs w:val="24"/>
          <w:lang w:val="en"/>
        </w:rPr>
        <w:t xml:space="preserve"> was calculated.</w:t>
      </w:r>
    </w:p>
    <w:p w14:paraId="325D0BE2" w14:textId="1D3CADD8" w:rsidR="00B51828" w:rsidRDefault="00B51828" w:rsidP="002101D2">
      <w:pPr>
        <w:pStyle w:val="Caption"/>
      </w:pPr>
      <w:bookmarkStart w:id="218" w:name="_Ref393293496"/>
      <w:bookmarkStart w:id="219" w:name="_Toc396211760"/>
      <w:r>
        <w:t xml:space="preserve">Table </w:t>
      </w:r>
      <w:fldSimple w:instr=" STYLEREF 2 \s ">
        <w:r w:rsidR="0044620B">
          <w:rPr>
            <w:noProof/>
          </w:rPr>
          <w:t>D.4</w:t>
        </w:r>
      </w:fldSimple>
      <w:r>
        <w:noBreakHyphen/>
      </w:r>
      <w:fldSimple w:instr=" SEQ Table \* ARABIC \s 2 ">
        <w:r w:rsidR="0044620B">
          <w:rPr>
            <w:noProof/>
          </w:rPr>
          <w:t>4</w:t>
        </w:r>
      </w:fldSimple>
      <w:bookmarkEnd w:id="218"/>
      <w:r>
        <w:tab/>
        <w:t>Incremental cost per significant (clinically</w:t>
      </w:r>
      <w:r w:rsidR="0053670C">
        <w:t xml:space="preserve"> </w:t>
      </w:r>
      <w:r>
        <w:t>relevant) change in diagnosis or interpretation</w:t>
      </w:r>
      <w:bookmarkEnd w:id="219"/>
    </w:p>
    <w:tbl>
      <w:tblPr>
        <w:tblW w:w="8222" w:type="dxa"/>
        <w:tblInd w:w="706" w:type="dxa"/>
        <w:tblLayout w:type="fixed"/>
        <w:tblCellMar>
          <w:left w:w="27" w:type="dxa"/>
          <w:right w:w="27" w:type="dxa"/>
        </w:tblCellMar>
        <w:tblLook w:val="0000" w:firstRow="0" w:lastRow="0" w:firstColumn="0" w:lastColumn="0" w:noHBand="0" w:noVBand="0"/>
        <w:tblCaption w:val="Incremental cost-effectiveness"/>
        <w:tblDescription w:val="Incremental cost per significant (clinically relevant) change in diagnosis or interpretation"/>
      </w:tblPr>
      <w:tblGrid>
        <w:gridCol w:w="3686"/>
        <w:gridCol w:w="1701"/>
        <w:gridCol w:w="1559"/>
        <w:gridCol w:w="1276"/>
      </w:tblGrid>
      <w:tr w:rsidR="00B51828" w:rsidRPr="003760B8" w14:paraId="01DE470B" w14:textId="77777777" w:rsidTr="00DB4FF8">
        <w:trPr>
          <w:trHeight w:val="1"/>
          <w:tblHeader/>
        </w:trPr>
        <w:tc>
          <w:tcPr>
            <w:tcW w:w="3686" w:type="dxa"/>
            <w:tcBorders>
              <w:top w:val="single" w:sz="2" w:space="0" w:color="000000"/>
              <w:left w:val="single" w:sz="2" w:space="0" w:color="000000"/>
              <w:bottom w:val="single" w:sz="2" w:space="0" w:color="000000"/>
              <w:right w:val="nil"/>
            </w:tcBorders>
            <w:shd w:val="clear" w:color="000000" w:fill="auto"/>
            <w:vAlign w:val="center"/>
          </w:tcPr>
          <w:p w14:paraId="369DB538" w14:textId="77777777" w:rsidR="00B51828" w:rsidRPr="0019563F" w:rsidRDefault="00B51828" w:rsidP="00DB4FF8">
            <w:pPr>
              <w:keepNext/>
              <w:widowControl w:val="0"/>
              <w:suppressAutoHyphens/>
              <w:autoSpaceDE w:val="0"/>
              <w:autoSpaceDN w:val="0"/>
              <w:adjustRightInd w:val="0"/>
              <w:spacing w:before="20" w:after="20"/>
              <w:ind w:left="0" w:right="180"/>
              <w:rPr>
                <w:rFonts w:ascii="Calibri" w:hAnsi="Calibri" w:cs="Calibri"/>
                <w:sz w:val="22"/>
                <w:lang w:val="en"/>
              </w:rPr>
            </w:pPr>
          </w:p>
        </w:tc>
        <w:tc>
          <w:tcPr>
            <w:tcW w:w="1701" w:type="dxa"/>
            <w:tcBorders>
              <w:top w:val="single" w:sz="2" w:space="0" w:color="000000"/>
              <w:left w:val="single" w:sz="2" w:space="0" w:color="000000"/>
              <w:bottom w:val="single" w:sz="2" w:space="0" w:color="000000"/>
              <w:right w:val="nil"/>
            </w:tcBorders>
            <w:shd w:val="clear" w:color="000000" w:fill="auto"/>
          </w:tcPr>
          <w:p w14:paraId="5B3DF032" w14:textId="77777777" w:rsidR="00B51828" w:rsidRPr="003760B8" w:rsidRDefault="00B51828" w:rsidP="002101D2">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b/>
                <w:bCs/>
                <w:sz w:val="20"/>
                <w:szCs w:val="20"/>
                <w:lang w:val="en"/>
              </w:rPr>
              <w:t>Proposed funding arrangements</w:t>
            </w:r>
          </w:p>
        </w:tc>
        <w:tc>
          <w:tcPr>
            <w:tcW w:w="1559" w:type="dxa"/>
            <w:tcBorders>
              <w:top w:val="single" w:sz="2" w:space="0" w:color="000000"/>
              <w:left w:val="single" w:sz="2" w:space="0" w:color="000000"/>
              <w:bottom w:val="single" w:sz="2" w:space="0" w:color="000000"/>
              <w:right w:val="nil"/>
            </w:tcBorders>
            <w:shd w:val="clear" w:color="000000" w:fill="auto"/>
          </w:tcPr>
          <w:p w14:paraId="7234999C" w14:textId="77777777" w:rsidR="00B51828" w:rsidRPr="003760B8" w:rsidRDefault="00B51828" w:rsidP="002101D2">
            <w:pPr>
              <w:keepNext/>
              <w:widowControl w:val="0"/>
              <w:suppressAutoHyphens/>
              <w:autoSpaceDE w:val="0"/>
              <w:autoSpaceDN w:val="0"/>
              <w:adjustRightInd w:val="0"/>
              <w:spacing w:before="20" w:after="20"/>
              <w:ind w:left="132" w:right="120"/>
              <w:jc w:val="right"/>
              <w:rPr>
                <w:rFonts w:ascii="Calibri" w:hAnsi="Calibri" w:cs="Calibri"/>
                <w:sz w:val="22"/>
                <w:lang w:val="en"/>
              </w:rPr>
            </w:pPr>
            <w:r w:rsidRPr="003760B8">
              <w:rPr>
                <w:rFonts w:ascii="Arial Narrow" w:hAnsi="Arial Narrow" w:cs="Arial Narrow"/>
                <w:b/>
                <w:bCs/>
                <w:sz w:val="20"/>
                <w:szCs w:val="20"/>
                <w:lang w:val="en"/>
              </w:rPr>
              <w:t>Current funding arrangements</w:t>
            </w:r>
          </w:p>
        </w:tc>
        <w:tc>
          <w:tcPr>
            <w:tcW w:w="1276" w:type="dxa"/>
            <w:tcBorders>
              <w:top w:val="single" w:sz="2" w:space="0" w:color="000000"/>
              <w:left w:val="single" w:sz="2" w:space="0" w:color="000000"/>
              <w:bottom w:val="single" w:sz="2" w:space="0" w:color="000000"/>
              <w:right w:val="single" w:sz="2" w:space="0" w:color="000000"/>
            </w:tcBorders>
            <w:shd w:val="clear" w:color="000000" w:fill="auto"/>
          </w:tcPr>
          <w:p w14:paraId="66F5E1A4" w14:textId="77777777" w:rsidR="00B51828" w:rsidRPr="003760B8" w:rsidRDefault="00B51828" w:rsidP="002101D2">
            <w:pPr>
              <w:keepNext/>
              <w:widowControl w:val="0"/>
              <w:suppressAutoHyphens/>
              <w:autoSpaceDE w:val="0"/>
              <w:autoSpaceDN w:val="0"/>
              <w:adjustRightInd w:val="0"/>
              <w:spacing w:before="20" w:after="20"/>
              <w:ind w:left="84" w:right="60"/>
              <w:jc w:val="right"/>
              <w:rPr>
                <w:rFonts w:ascii="Calibri" w:hAnsi="Calibri" w:cs="Calibri"/>
                <w:sz w:val="22"/>
                <w:lang w:val="en"/>
              </w:rPr>
            </w:pPr>
            <w:r w:rsidRPr="003760B8">
              <w:rPr>
                <w:rFonts w:ascii="Arial Narrow" w:hAnsi="Arial Narrow" w:cs="Arial Narrow"/>
                <w:b/>
                <w:bCs/>
                <w:sz w:val="20"/>
                <w:szCs w:val="20"/>
                <w:lang w:val="en"/>
              </w:rPr>
              <w:t>Incremental</w:t>
            </w:r>
          </w:p>
        </w:tc>
      </w:tr>
      <w:tr w:rsidR="00B51828" w:rsidRPr="003760B8" w14:paraId="05F2A0C3" w14:textId="77777777" w:rsidTr="004F5752">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47582B24" w14:textId="77777777" w:rsidR="00B51828" w:rsidRPr="00DB4FF8" w:rsidRDefault="00B51828" w:rsidP="00DB4FF8">
            <w:pPr>
              <w:keepNext/>
              <w:suppressAutoHyphens/>
              <w:autoSpaceDE w:val="0"/>
              <w:autoSpaceDN w:val="0"/>
              <w:adjustRightInd w:val="0"/>
              <w:spacing w:before="20" w:after="20"/>
              <w:ind w:left="0" w:right="180"/>
              <w:rPr>
                <w:rFonts w:ascii="Arial Narrow" w:hAnsi="Arial Narrow" w:cs="Arial Narrow"/>
                <w:sz w:val="20"/>
                <w:szCs w:val="20"/>
                <w:lang w:val="en"/>
              </w:rPr>
            </w:pPr>
            <w:r w:rsidRPr="003760B8">
              <w:rPr>
                <w:rFonts w:ascii="Arial Narrow" w:hAnsi="Arial Narrow" w:cs="Arial Narrow"/>
                <w:sz w:val="20"/>
                <w:szCs w:val="20"/>
                <w:lang w:val="en"/>
              </w:rPr>
              <w:t>Average cost per patient</w:t>
            </w:r>
          </w:p>
        </w:tc>
        <w:tc>
          <w:tcPr>
            <w:tcW w:w="1701" w:type="dxa"/>
            <w:tcBorders>
              <w:top w:val="single" w:sz="2" w:space="0" w:color="000000"/>
              <w:left w:val="single" w:sz="2" w:space="0" w:color="000000"/>
              <w:bottom w:val="single" w:sz="2" w:space="0" w:color="000000"/>
              <w:right w:val="nil"/>
            </w:tcBorders>
            <w:shd w:val="clear" w:color="000000" w:fill="auto"/>
          </w:tcPr>
          <w:p w14:paraId="1C7BDC20" w14:textId="77777777" w:rsidR="00B51828" w:rsidRPr="003760B8" w:rsidRDefault="00B51828" w:rsidP="002101D2">
            <w:pPr>
              <w:keepNext/>
              <w:widowControl w:val="0"/>
              <w:suppressAutoHyphens/>
              <w:autoSpaceDE w:val="0"/>
              <w:autoSpaceDN w:val="0"/>
              <w:adjustRightInd w:val="0"/>
              <w:spacing w:before="20" w:after="20"/>
              <w:ind w:left="0" w:right="60"/>
              <w:jc w:val="right"/>
              <w:rPr>
                <w:rFonts w:ascii="Calibri" w:hAnsi="Calibri" w:cs="Calibri"/>
                <w:sz w:val="22"/>
                <w:lang w:val="en"/>
              </w:rPr>
            </w:pPr>
            <w:r w:rsidRPr="003760B8">
              <w:rPr>
                <w:rFonts w:ascii="Arial Narrow" w:hAnsi="Arial Narrow" w:cs="Arial Narrow"/>
                <w:sz w:val="20"/>
                <w:szCs w:val="20"/>
                <w:lang w:val="en"/>
              </w:rPr>
              <w:t>$4.19</w:t>
            </w:r>
          </w:p>
        </w:tc>
        <w:tc>
          <w:tcPr>
            <w:tcW w:w="1559" w:type="dxa"/>
            <w:tcBorders>
              <w:top w:val="single" w:sz="2" w:space="0" w:color="000000"/>
              <w:left w:val="single" w:sz="2" w:space="0" w:color="000000"/>
              <w:bottom w:val="single" w:sz="2" w:space="0" w:color="000000"/>
              <w:right w:val="nil"/>
            </w:tcBorders>
            <w:shd w:val="clear" w:color="000000" w:fill="auto"/>
          </w:tcPr>
          <w:p w14:paraId="56B86C26" w14:textId="77777777" w:rsidR="00B51828" w:rsidRPr="004F5752" w:rsidRDefault="00B51828" w:rsidP="004F5752">
            <w:pPr>
              <w:keepNext/>
              <w:widowControl w:val="0"/>
              <w:suppressAutoHyphens/>
              <w:autoSpaceDE w:val="0"/>
              <w:autoSpaceDN w:val="0"/>
              <w:adjustRightInd w:val="0"/>
              <w:spacing w:before="20" w:after="20"/>
              <w:ind w:left="0" w:right="60"/>
              <w:jc w:val="right"/>
              <w:rPr>
                <w:rFonts w:ascii="Arial Narrow" w:hAnsi="Arial Narrow" w:cs="Arial Narrow"/>
                <w:sz w:val="20"/>
                <w:szCs w:val="20"/>
                <w:lang w:val="en"/>
              </w:rPr>
            </w:pPr>
            <w:r w:rsidRPr="003760B8">
              <w:rPr>
                <w:rFonts w:ascii="Arial Narrow" w:hAnsi="Arial Narrow" w:cs="Arial Narrow"/>
                <w:sz w:val="20"/>
                <w:szCs w:val="20"/>
                <w:lang w:val="en"/>
              </w:rPr>
              <w:t>$0.15</w:t>
            </w:r>
          </w:p>
        </w:tc>
        <w:tc>
          <w:tcPr>
            <w:tcW w:w="1276" w:type="dxa"/>
            <w:tcBorders>
              <w:top w:val="single" w:sz="2" w:space="0" w:color="000000"/>
              <w:left w:val="single" w:sz="2" w:space="0" w:color="000000"/>
              <w:bottom w:val="single" w:sz="2" w:space="0" w:color="000000"/>
              <w:right w:val="single" w:sz="2" w:space="0" w:color="000000"/>
            </w:tcBorders>
            <w:shd w:val="clear" w:color="000000" w:fill="auto"/>
          </w:tcPr>
          <w:p w14:paraId="7C19D44E" w14:textId="77777777" w:rsidR="00B51828" w:rsidRPr="004F5752" w:rsidRDefault="00B51828" w:rsidP="004F5752">
            <w:pPr>
              <w:keepNext/>
              <w:widowControl w:val="0"/>
              <w:suppressAutoHyphens/>
              <w:autoSpaceDE w:val="0"/>
              <w:autoSpaceDN w:val="0"/>
              <w:adjustRightInd w:val="0"/>
              <w:spacing w:before="20" w:after="20"/>
              <w:ind w:left="0" w:right="60"/>
              <w:jc w:val="right"/>
              <w:rPr>
                <w:rFonts w:ascii="Arial Narrow" w:hAnsi="Arial Narrow" w:cs="Arial Narrow"/>
                <w:sz w:val="20"/>
                <w:szCs w:val="20"/>
                <w:lang w:val="en"/>
              </w:rPr>
            </w:pPr>
            <w:r w:rsidRPr="003760B8">
              <w:rPr>
                <w:rFonts w:ascii="Arial Narrow" w:hAnsi="Arial Narrow" w:cs="Arial Narrow"/>
                <w:sz w:val="20"/>
                <w:szCs w:val="20"/>
                <w:lang w:val="en"/>
              </w:rPr>
              <w:t>$4.04</w:t>
            </w:r>
          </w:p>
        </w:tc>
      </w:tr>
      <w:tr w:rsidR="00B51828" w:rsidRPr="003760B8" w14:paraId="389A48D5" w14:textId="77777777" w:rsidTr="004F5752">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480E0605" w14:textId="77777777" w:rsidR="00B51828" w:rsidRPr="00DB4FF8" w:rsidRDefault="00B51828" w:rsidP="00DB4FF8">
            <w:pPr>
              <w:keepNext/>
              <w:suppressAutoHyphens/>
              <w:autoSpaceDE w:val="0"/>
              <w:autoSpaceDN w:val="0"/>
              <w:adjustRightInd w:val="0"/>
              <w:spacing w:before="20" w:after="20"/>
              <w:ind w:left="0" w:right="181"/>
              <w:rPr>
                <w:rFonts w:ascii="Arial Narrow" w:hAnsi="Arial Narrow" w:cs="Arial Narrow"/>
                <w:sz w:val="20"/>
                <w:szCs w:val="20"/>
                <w:lang w:val="en"/>
              </w:rPr>
            </w:pPr>
            <w:r w:rsidRPr="003760B8">
              <w:rPr>
                <w:rFonts w:ascii="Arial Narrow" w:hAnsi="Arial Narrow" w:cs="Arial Narrow"/>
                <w:sz w:val="20"/>
                <w:szCs w:val="20"/>
                <w:lang w:val="en"/>
              </w:rPr>
              <w:t>Average rate of significant change in diagnosis per patient</w:t>
            </w:r>
          </w:p>
        </w:tc>
        <w:tc>
          <w:tcPr>
            <w:tcW w:w="1701" w:type="dxa"/>
            <w:tcBorders>
              <w:top w:val="single" w:sz="2" w:space="0" w:color="000000"/>
              <w:left w:val="single" w:sz="2" w:space="0" w:color="000000"/>
              <w:bottom w:val="single" w:sz="2" w:space="0" w:color="000000"/>
              <w:right w:val="nil"/>
            </w:tcBorders>
            <w:shd w:val="clear" w:color="000000" w:fill="auto"/>
          </w:tcPr>
          <w:p w14:paraId="5D09DBF6" w14:textId="77777777" w:rsidR="00B51828" w:rsidRPr="003760B8" w:rsidRDefault="00B51828" w:rsidP="002101D2">
            <w:pPr>
              <w:keepNext/>
              <w:widowControl w:val="0"/>
              <w:suppressAutoHyphens/>
              <w:autoSpaceDE w:val="0"/>
              <w:autoSpaceDN w:val="0"/>
              <w:adjustRightInd w:val="0"/>
              <w:spacing w:before="20" w:after="20"/>
              <w:ind w:left="0" w:right="60"/>
              <w:jc w:val="right"/>
              <w:rPr>
                <w:rFonts w:ascii="Calibri" w:hAnsi="Calibri" w:cs="Calibri"/>
                <w:sz w:val="22"/>
                <w:lang w:val="en"/>
              </w:rPr>
            </w:pPr>
            <w:r w:rsidRPr="003760B8">
              <w:rPr>
                <w:rFonts w:ascii="Arial Narrow" w:hAnsi="Arial Narrow" w:cs="Arial Narrow"/>
                <w:sz w:val="20"/>
                <w:szCs w:val="20"/>
                <w:lang w:val="en"/>
              </w:rPr>
              <w:t>0.0018</w:t>
            </w:r>
          </w:p>
        </w:tc>
        <w:tc>
          <w:tcPr>
            <w:tcW w:w="1559" w:type="dxa"/>
            <w:tcBorders>
              <w:top w:val="single" w:sz="2" w:space="0" w:color="000000"/>
              <w:left w:val="single" w:sz="2" w:space="0" w:color="000000"/>
              <w:bottom w:val="single" w:sz="2" w:space="0" w:color="000000"/>
              <w:right w:val="nil"/>
            </w:tcBorders>
            <w:shd w:val="clear" w:color="000000" w:fill="auto"/>
          </w:tcPr>
          <w:p w14:paraId="5E4846A7" w14:textId="77777777" w:rsidR="00B51828" w:rsidRPr="004F5752" w:rsidRDefault="00B51828" w:rsidP="004F5752">
            <w:pPr>
              <w:keepNext/>
              <w:widowControl w:val="0"/>
              <w:suppressAutoHyphens/>
              <w:autoSpaceDE w:val="0"/>
              <w:autoSpaceDN w:val="0"/>
              <w:adjustRightInd w:val="0"/>
              <w:spacing w:before="20" w:after="20"/>
              <w:ind w:left="0" w:right="60"/>
              <w:jc w:val="right"/>
              <w:rPr>
                <w:rFonts w:ascii="Arial Narrow" w:hAnsi="Arial Narrow" w:cs="Arial Narrow"/>
                <w:sz w:val="20"/>
                <w:szCs w:val="20"/>
                <w:lang w:val="en"/>
              </w:rPr>
            </w:pPr>
            <w:r w:rsidRPr="003760B8">
              <w:rPr>
                <w:rFonts w:ascii="Arial Narrow" w:hAnsi="Arial Narrow" w:cs="Arial Narrow"/>
                <w:sz w:val="20"/>
                <w:szCs w:val="20"/>
                <w:lang w:val="en"/>
              </w:rPr>
              <w:t>0.0007</w:t>
            </w:r>
          </w:p>
        </w:tc>
        <w:tc>
          <w:tcPr>
            <w:tcW w:w="1276" w:type="dxa"/>
            <w:tcBorders>
              <w:top w:val="single" w:sz="2" w:space="0" w:color="000000"/>
              <w:left w:val="single" w:sz="2" w:space="0" w:color="000000"/>
              <w:bottom w:val="single" w:sz="2" w:space="0" w:color="000000"/>
              <w:right w:val="single" w:sz="2" w:space="0" w:color="000000"/>
            </w:tcBorders>
            <w:shd w:val="clear" w:color="000000" w:fill="auto"/>
          </w:tcPr>
          <w:p w14:paraId="15CB7027" w14:textId="77777777" w:rsidR="00B51828" w:rsidRPr="004F5752" w:rsidRDefault="00B51828" w:rsidP="002101D2">
            <w:pPr>
              <w:keepNext/>
              <w:widowControl w:val="0"/>
              <w:suppressAutoHyphens/>
              <w:autoSpaceDE w:val="0"/>
              <w:autoSpaceDN w:val="0"/>
              <w:adjustRightInd w:val="0"/>
              <w:spacing w:before="20" w:after="20"/>
              <w:ind w:left="0" w:right="6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r>
      <w:tr w:rsidR="004F5752" w:rsidRPr="003760B8" w14:paraId="7179B3F8" w14:textId="77777777" w:rsidTr="004F5752">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3FB98F9D" w14:textId="702C4345" w:rsidR="004F5752" w:rsidRPr="003760B8" w:rsidRDefault="004F5752" w:rsidP="00DB4FF8">
            <w:pPr>
              <w:keepNext/>
              <w:suppressAutoHyphens/>
              <w:autoSpaceDE w:val="0"/>
              <w:autoSpaceDN w:val="0"/>
              <w:adjustRightInd w:val="0"/>
              <w:spacing w:before="20" w:after="20"/>
              <w:ind w:left="0" w:right="180"/>
              <w:rPr>
                <w:rFonts w:ascii="Arial Narrow" w:hAnsi="Arial Narrow" w:cs="Arial Narrow"/>
                <w:sz w:val="20"/>
                <w:szCs w:val="20"/>
                <w:lang w:val="en"/>
              </w:rPr>
            </w:pPr>
            <w:r w:rsidRPr="003760B8">
              <w:rPr>
                <w:rFonts w:ascii="Arial Narrow" w:hAnsi="Arial Narrow" w:cs="Arial Narrow"/>
                <w:sz w:val="20"/>
                <w:szCs w:val="20"/>
                <w:lang w:val="en"/>
              </w:rPr>
              <w:t xml:space="preserve">Incremental cost per significant </w:t>
            </w:r>
            <w:r>
              <w:rPr>
                <w:rFonts w:ascii="Arial Narrow" w:hAnsi="Arial Narrow" w:cs="Arial Narrow"/>
                <w:sz w:val="20"/>
                <w:szCs w:val="20"/>
                <w:lang w:val="en"/>
              </w:rPr>
              <w:t xml:space="preserve">(clinically relevant) </w:t>
            </w:r>
            <w:r w:rsidRPr="003760B8">
              <w:rPr>
                <w:rFonts w:ascii="Arial Narrow" w:hAnsi="Arial Narrow" w:cs="Arial Narrow"/>
                <w:sz w:val="20"/>
                <w:szCs w:val="20"/>
                <w:lang w:val="en"/>
              </w:rPr>
              <w:t>change in diagnosis</w:t>
            </w:r>
            <w:r>
              <w:rPr>
                <w:rFonts w:ascii="Arial Narrow" w:hAnsi="Arial Narrow" w:cs="Arial Narrow"/>
                <w:sz w:val="20"/>
                <w:szCs w:val="20"/>
                <w:lang w:val="en"/>
              </w:rPr>
              <w:t xml:space="preserve"> or interpretation</w:t>
            </w:r>
          </w:p>
        </w:tc>
        <w:tc>
          <w:tcPr>
            <w:tcW w:w="1701" w:type="dxa"/>
            <w:tcBorders>
              <w:top w:val="single" w:sz="2" w:space="0" w:color="000000"/>
              <w:left w:val="single" w:sz="2" w:space="0" w:color="000000"/>
              <w:bottom w:val="single" w:sz="2" w:space="0" w:color="000000"/>
              <w:right w:val="nil"/>
            </w:tcBorders>
            <w:shd w:val="clear" w:color="000000" w:fill="auto"/>
          </w:tcPr>
          <w:p w14:paraId="4CC73E12" w14:textId="6D1D98FD" w:rsidR="004F5752" w:rsidRPr="003760B8" w:rsidRDefault="004F5752" w:rsidP="002101D2">
            <w:pPr>
              <w:keepNext/>
              <w:widowControl w:val="0"/>
              <w:suppressAutoHyphens/>
              <w:autoSpaceDE w:val="0"/>
              <w:autoSpaceDN w:val="0"/>
              <w:adjustRightInd w:val="0"/>
              <w:spacing w:before="20" w:after="20"/>
              <w:ind w:left="0" w:right="60"/>
              <w:jc w:val="right"/>
              <w:rPr>
                <w:rFonts w:ascii="Arial Narrow" w:hAnsi="Arial Narrow" w:cs="Arial Narrow"/>
                <w:sz w:val="20"/>
                <w:szCs w:val="20"/>
                <w:lang w:val="en"/>
              </w:rPr>
            </w:pPr>
            <w:r>
              <w:rPr>
                <w:rFonts w:ascii="Arial Narrow" w:hAnsi="Arial Narrow" w:cs="Arial Narrow"/>
                <w:sz w:val="20"/>
                <w:szCs w:val="20"/>
                <w:lang w:val="en"/>
              </w:rPr>
              <w:t>-</w:t>
            </w:r>
          </w:p>
        </w:tc>
        <w:tc>
          <w:tcPr>
            <w:tcW w:w="1559" w:type="dxa"/>
            <w:tcBorders>
              <w:top w:val="single" w:sz="2" w:space="0" w:color="000000"/>
              <w:left w:val="single" w:sz="2" w:space="0" w:color="000000"/>
              <w:bottom w:val="single" w:sz="2" w:space="0" w:color="000000"/>
              <w:right w:val="nil"/>
            </w:tcBorders>
            <w:shd w:val="clear" w:color="000000" w:fill="auto"/>
          </w:tcPr>
          <w:p w14:paraId="12A50FAF" w14:textId="2383038B" w:rsidR="004F5752" w:rsidRPr="003760B8" w:rsidRDefault="004F5752" w:rsidP="004F5752">
            <w:pPr>
              <w:keepNext/>
              <w:widowControl w:val="0"/>
              <w:suppressAutoHyphens/>
              <w:autoSpaceDE w:val="0"/>
              <w:autoSpaceDN w:val="0"/>
              <w:adjustRightInd w:val="0"/>
              <w:spacing w:before="20" w:after="20"/>
              <w:ind w:left="0" w:right="60"/>
              <w:jc w:val="right"/>
              <w:rPr>
                <w:rFonts w:ascii="Arial Narrow" w:hAnsi="Arial Narrow" w:cs="Arial Narrow"/>
                <w:sz w:val="20"/>
                <w:szCs w:val="20"/>
                <w:lang w:val="en"/>
              </w:rPr>
            </w:pPr>
            <w:r>
              <w:rPr>
                <w:rFonts w:ascii="Arial Narrow" w:hAnsi="Arial Narrow" w:cs="Arial Narrow"/>
                <w:sz w:val="20"/>
                <w:szCs w:val="20"/>
                <w:lang w:val="en"/>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auto"/>
          </w:tcPr>
          <w:p w14:paraId="61576990" w14:textId="265A9E29" w:rsidR="004F5752" w:rsidRPr="003760B8" w:rsidRDefault="004F5752" w:rsidP="002101D2">
            <w:pPr>
              <w:keepNext/>
              <w:widowControl w:val="0"/>
              <w:suppressAutoHyphens/>
              <w:autoSpaceDE w:val="0"/>
              <w:autoSpaceDN w:val="0"/>
              <w:adjustRightInd w:val="0"/>
              <w:spacing w:before="20" w:after="20"/>
              <w:ind w:left="0" w:right="6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838.26</w:t>
            </w:r>
          </w:p>
        </w:tc>
      </w:tr>
    </w:tbl>
    <w:p w14:paraId="31F27459" w14:textId="77777777" w:rsidR="00B51828" w:rsidRPr="00F8363F" w:rsidRDefault="00B51828" w:rsidP="00DB4FF8">
      <w:pPr>
        <w:spacing w:before="20"/>
        <w:rPr>
          <w:rFonts w:ascii="Arial Narrow" w:hAnsi="Arial Narrow" w:cs="Arial Narrow"/>
          <w:sz w:val="18"/>
          <w:szCs w:val="18"/>
          <w:lang w:val="en"/>
        </w:rPr>
      </w:pPr>
      <w:r w:rsidRPr="00F8363F">
        <w:rPr>
          <w:rFonts w:ascii="Arial Narrow" w:hAnsi="Arial Narrow" w:cs="Arial Narrow"/>
          <w:sz w:val="18"/>
          <w:szCs w:val="18"/>
          <w:lang w:val="en"/>
        </w:rPr>
        <w:t>Note: Figures may not sum due to rounding</w:t>
      </w:r>
    </w:p>
    <w:p w14:paraId="3D66584B" w14:textId="68D7575E"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The economic evaluation demonstrates that if second, expert opinions were to be funded by the MBS as per the requested listing, it would cost an additional $3,838 to generate</w:t>
      </w:r>
      <w:r w:rsidR="008321D6">
        <w:rPr>
          <w:rFonts w:cs="Garamond"/>
          <w:szCs w:val="24"/>
          <w:lang w:val="en"/>
        </w:rPr>
        <w:t xml:space="preserve"> one</w:t>
      </w:r>
      <w:r>
        <w:rPr>
          <w:rFonts w:cs="Garamond"/>
          <w:szCs w:val="24"/>
          <w:lang w:val="en"/>
        </w:rPr>
        <w:t xml:space="preserve"> significant change in diagnosis in the case of tissue pathology. </w:t>
      </w:r>
    </w:p>
    <w:p w14:paraId="1A56068C" w14:textId="0173BA95" w:rsidR="00B51828" w:rsidRPr="003760B8" w:rsidRDefault="00B51828" w:rsidP="002101D2">
      <w:r>
        <w:rPr>
          <w:rFonts w:cs="Garamond"/>
          <w:szCs w:val="24"/>
          <w:lang w:val="en"/>
        </w:rPr>
        <w:t>Importantly, this analysis assumes that there is a zero cost associated with second, expert opinions under the current funding arrangements. As such, it represents a worst-case scenario in that sense. If the analysis were able to also include these costs, and the frequency with which they are incurred by respective parties, the incremental cost would be lower per patient, thereby improving the incremental cost per significant (clinically</w:t>
      </w:r>
      <w:r w:rsidR="0053670C">
        <w:rPr>
          <w:rFonts w:cs="Garamond"/>
          <w:szCs w:val="24"/>
          <w:lang w:val="en"/>
        </w:rPr>
        <w:t xml:space="preserve"> </w:t>
      </w:r>
      <w:r>
        <w:rPr>
          <w:rFonts w:cs="Garamond"/>
          <w:szCs w:val="24"/>
          <w:lang w:val="en"/>
        </w:rPr>
        <w:t xml:space="preserve">relevant) change in diagnosis or interpretation. This, and other sensitivity analyses, is investigated in Section </w:t>
      </w:r>
      <w:r>
        <w:rPr>
          <w:rFonts w:cs="Garamond"/>
          <w:szCs w:val="24"/>
          <w:lang w:val="en"/>
        </w:rPr>
        <w:fldChar w:fldCharType="begin"/>
      </w:r>
      <w:r>
        <w:rPr>
          <w:rFonts w:cs="Garamond"/>
          <w:szCs w:val="24"/>
          <w:lang w:val="en"/>
        </w:rPr>
        <w:instrText xml:space="preserve"> REF _Ref393293590 \n \h </w:instrText>
      </w:r>
      <w:r>
        <w:rPr>
          <w:rFonts w:cs="Garamond"/>
          <w:szCs w:val="24"/>
          <w:lang w:val="en"/>
        </w:rPr>
      </w:r>
      <w:r>
        <w:rPr>
          <w:rFonts w:cs="Garamond"/>
          <w:szCs w:val="24"/>
          <w:lang w:val="en"/>
        </w:rPr>
        <w:fldChar w:fldCharType="separate"/>
      </w:r>
      <w:r w:rsidR="0044620B">
        <w:rPr>
          <w:rFonts w:cs="Garamond"/>
          <w:szCs w:val="24"/>
          <w:lang w:val="en"/>
        </w:rPr>
        <w:t>D.5</w:t>
      </w:r>
      <w:r>
        <w:rPr>
          <w:rFonts w:cs="Garamond"/>
          <w:szCs w:val="24"/>
          <w:lang w:val="en"/>
        </w:rPr>
        <w:fldChar w:fldCharType="end"/>
      </w:r>
      <w:r>
        <w:rPr>
          <w:rFonts w:cs="Garamond"/>
          <w:szCs w:val="24"/>
          <w:lang w:val="en"/>
        </w:rPr>
        <w:t xml:space="preserve"> below.</w:t>
      </w:r>
    </w:p>
    <w:p w14:paraId="7145DF68" w14:textId="77777777" w:rsidR="00B51828" w:rsidRDefault="00B51828" w:rsidP="00B51828">
      <w:pPr>
        <w:pStyle w:val="Heading2"/>
        <w:numPr>
          <w:ilvl w:val="1"/>
          <w:numId w:val="1"/>
        </w:numPr>
      </w:pPr>
      <w:bookmarkStart w:id="220" w:name="_Ref393267029"/>
      <w:bookmarkStart w:id="221" w:name="_Ref393290461"/>
      <w:bookmarkStart w:id="222" w:name="_Ref393290979"/>
      <w:bookmarkStart w:id="223" w:name="_Ref393291790"/>
      <w:bookmarkStart w:id="224" w:name="_Ref393292847"/>
      <w:bookmarkStart w:id="225" w:name="_Ref393293590"/>
      <w:bookmarkStart w:id="226" w:name="_Toc396211709"/>
      <w:r>
        <w:t>Sensitivity analyses</w:t>
      </w:r>
      <w:bookmarkEnd w:id="220"/>
      <w:bookmarkEnd w:id="221"/>
      <w:bookmarkEnd w:id="222"/>
      <w:bookmarkEnd w:id="223"/>
      <w:bookmarkEnd w:id="224"/>
      <w:bookmarkEnd w:id="225"/>
      <w:bookmarkEnd w:id="226"/>
    </w:p>
    <w:p w14:paraId="20987B9D"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 xml:space="preserve">To better inform decision-makers on the incremental cost-effectiveness of MBS funding of second, expert opinions, a series of sensitivity analyses were conducted to highlight potential areas of uncertainty with regards to the base case presented in Section </w:t>
      </w:r>
      <w:r>
        <w:rPr>
          <w:rFonts w:cs="Garamond"/>
          <w:szCs w:val="24"/>
          <w:lang w:val="en"/>
        </w:rPr>
        <w:fldChar w:fldCharType="begin"/>
      </w:r>
      <w:r>
        <w:rPr>
          <w:rFonts w:cs="Garamond"/>
          <w:szCs w:val="24"/>
          <w:lang w:val="en"/>
        </w:rPr>
        <w:instrText xml:space="preserve"> REF _Ref393293693 \n \h </w:instrText>
      </w:r>
      <w:r>
        <w:rPr>
          <w:rFonts w:cs="Garamond"/>
          <w:szCs w:val="24"/>
          <w:lang w:val="en"/>
        </w:rPr>
      </w:r>
      <w:r>
        <w:rPr>
          <w:rFonts w:cs="Garamond"/>
          <w:szCs w:val="24"/>
          <w:lang w:val="en"/>
        </w:rPr>
        <w:fldChar w:fldCharType="separate"/>
      </w:r>
      <w:r w:rsidR="0044620B">
        <w:rPr>
          <w:rFonts w:cs="Garamond"/>
          <w:szCs w:val="24"/>
          <w:lang w:val="en"/>
        </w:rPr>
        <w:t>D.4</w:t>
      </w:r>
      <w:r>
        <w:rPr>
          <w:rFonts w:cs="Garamond"/>
          <w:szCs w:val="24"/>
          <w:lang w:val="en"/>
        </w:rPr>
        <w:fldChar w:fldCharType="end"/>
      </w:r>
      <w:r>
        <w:rPr>
          <w:rFonts w:cs="Garamond"/>
          <w:szCs w:val="24"/>
          <w:lang w:val="en"/>
        </w:rPr>
        <w:t>.</w:t>
      </w:r>
    </w:p>
    <w:p w14:paraId="14CAFFFE" w14:textId="77777777" w:rsidR="00B51828" w:rsidRDefault="00B51828" w:rsidP="002101D2">
      <w:pPr>
        <w:widowControl w:val="0"/>
        <w:suppressAutoHyphens/>
        <w:autoSpaceDE w:val="0"/>
        <w:autoSpaceDN w:val="0"/>
        <w:adjustRightInd w:val="0"/>
        <w:spacing w:line="100" w:lineRule="atLeast"/>
        <w:rPr>
          <w:rFonts w:cs="Garamond"/>
          <w:szCs w:val="24"/>
          <w:lang w:val="en"/>
        </w:rPr>
      </w:pPr>
      <w:r>
        <w:rPr>
          <w:rFonts w:cs="Garamond"/>
          <w:szCs w:val="24"/>
          <w:lang w:val="en"/>
        </w:rPr>
        <w:t xml:space="preserve">The first of these analyses presents the potential cost-effectiveness of second, expert opinion in cytopathology. This was omitted from consideration in the base case, as described previously, due to a lack of reliable data upon which the analysis could be based. Specifically, there were no data relating to the rate of change in diagnosis (analogous to the major discrepancy rates for any organ system tissue pathology presented in </w:t>
      </w:r>
      <w:r>
        <w:rPr>
          <w:rFonts w:cs="Garamond"/>
          <w:szCs w:val="24"/>
          <w:lang w:val="en"/>
        </w:rPr>
        <w:fldChar w:fldCharType="begin"/>
      </w:r>
      <w:r>
        <w:rPr>
          <w:rFonts w:cs="Garamond"/>
          <w:szCs w:val="24"/>
          <w:lang w:val="en"/>
        </w:rPr>
        <w:instrText xml:space="preserve"> REF _Ref393291737 \h </w:instrText>
      </w:r>
      <w:r>
        <w:rPr>
          <w:rFonts w:cs="Garamond"/>
          <w:szCs w:val="24"/>
          <w:lang w:val="en"/>
        </w:rPr>
      </w:r>
      <w:r>
        <w:rPr>
          <w:rFonts w:cs="Garamond"/>
          <w:szCs w:val="24"/>
          <w:lang w:val="en"/>
        </w:rPr>
        <w:fldChar w:fldCharType="separate"/>
      </w:r>
      <w:r w:rsidR="0044620B">
        <w:t xml:space="preserve">Table </w:t>
      </w:r>
      <w:r w:rsidR="0044620B">
        <w:rPr>
          <w:noProof/>
        </w:rPr>
        <w:t>D.3</w:t>
      </w:r>
      <w:r w:rsidR="0044620B">
        <w:noBreakHyphen/>
      </w:r>
      <w:r w:rsidR="0044620B">
        <w:rPr>
          <w:noProof/>
        </w:rPr>
        <w:t>3</w:t>
      </w:r>
      <w:r>
        <w:rPr>
          <w:rFonts w:cs="Garamond"/>
          <w:szCs w:val="24"/>
          <w:lang w:val="en"/>
        </w:rPr>
        <w:fldChar w:fldCharType="end"/>
      </w:r>
      <w:r>
        <w:rPr>
          <w:rFonts w:cs="Garamond"/>
          <w:szCs w:val="24"/>
          <w:lang w:val="en"/>
        </w:rPr>
        <w:t xml:space="preserve">). The analysis presented in this Section, while unsuitable for a base case analysis, assumed that the rate of change in diagnosis for cytopathology is equal to that observed in surgical pathology (i.e. from Cook et al, 2001, and Hsu et al, 2010). While such an analysis is not without fault, it is presented here in the event that it could be informative to decision-makers since it demonstrates the sensitivity of the incremental cost-effectiveness to the cytopathology-specific responses generated by the Expert Opinion Survey discussed in </w:t>
      </w:r>
      <w:r>
        <w:rPr>
          <w:rFonts w:cs="Garamond"/>
          <w:szCs w:val="24"/>
          <w:lang w:val="en"/>
        </w:rPr>
        <w:fldChar w:fldCharType="begin"/>
      </w:r>
      <w:r>
        <w:rPr>
          <w:rFonts w:cs="Garamond"/>
          <w:szCs w:val="24"/>
          <w:lang w:val="en"/>
        </w:rPr>
        <w:instrText xml:space="preserve"> REF _Ref393293972 \w \h </w:instrText>
      </w:r>
      <w:r>
        <w:rPr>
          <w:rFonts w:cs="Garamond"/>
          <w:szCs w:val="24"/>
          <w:lang w:val="en"/>
        </w:rPr>
      </w:r>
      <w:r>
        <w:rPr>
          <w:rFonts w:cs="Garamond"/>
          <w:szCs w:val="24"/>
          <w:lang w:val="en"/>
        </w:rPr>
        <w:fldChar w:fldCharType="separate"/>
      </w:r>
      <w:r w:rsidR="0044620B">
        <w:rPr>
          <w:rFonts w:cs="Garamond"/>
          <w:szCs w:val="24"/>
          <w:lang w:val="en"/>
        </w:rPr>
        <w:t>Section C</w:t>
      </w:r>
      <w:r>
        <w:rPr>
          <w:rFonts w:cs="Garamond"/>
          <w:szCs w:val="24"/>
          <w:lang w:val="en"/>
        </w:rPr>
        <w:fldChar w:fldCharType="end"/>
      </w:r>
      <w:r>
        <w:rPr>
          <w:rFonts w:cs="Garamond"/>
          <w:szCs w:val="24"/>
          <w:lang w:val="en"/>
        </w:rPr>
        <w:t xml:space="preserve"> (</w:t>
      </w:r>
      <w:r w:rsidRPr="005E05AF">
        <w:rPr>
          <w:rFonts w:cs="Garamond"/>
          <w:szCs w:val="24"/>
          <w:lang w:val="en"/>
        </w:rPr>
        <w:t>and Appendix 5).</w:t>
      </w:r>
      <w:r>
        <w:rPr>
          <w:rFonts w:cs="Garamond"/>
          <w:szCs w:val="24"/>
          <w:lang w:val="en"/>
        </w:rPr>
        <w:t xml:space="preserve"> </w:t>
      </w:r>
    </w:p>
    <w:p w14:paraId="4ACB7177" w14:textId="77777777" w:rsidR="00B51828" w:rsidRDefault="00B51828" w:rsidP="002101D2">
      <w:pPr>
        <w:rPr>
          <w:rFonts w:cs="Garamond"/>
          <w:szCs w:val="24"/>
          <w:lang w:val="en"/>
        </w:rPr>
      </w:pPr>
      <w:r>
        <w:rPr>
          <w:rFonts w:cs="Garamond"/>
          <w:szCs w:val="24"/>
          <w:lang w:val="en"/>
        </w:rPr>
        <w:t xml:space="preserve">To undertake this analysis, the data from </w:t>
      </w:r>
      <w:r>
        <w:rPr>
          <w:rFonts w:cs="Garamond"/>
          <w:szCs w:val="24"/>
          <w:lang w:val="en"/>
        </w:rPr>
        <w:fldChar w:fldCharType="begin"/>
      </w:r>
      <w:r>
        <w:rPr>
          <w:rFonts w:cs="Garamond"/>
          <w:szCs w:val="24"/>
          <w:lang w:val="en"/>
        </w:rPr>
        <w:instrText xml:space="preserve"> REF _Ref393291737 \h </w:instrText>
      </w:r>
      <w:r>
        <w:rPr>
          <w:rFonts w:cs="Garamond"/>
          <w:szCs w:val="24"/>
          <w:lang w:val="en"/>
        </w:rPr>
      </w:r>
      <w:r>
        <w:rPr>
          <w:rFonts w:cs="Garamond"/>
          <w:szCs w:val="24"/>
          <w:lang w:val="en"/>
        </w:rPr>
        <w:fldChar w:fldCharType="separate"/>
      </w:r>
      <w:r w:rsidR="0044620B">
        <w:t xml:space="preserve">Table </w:t>
      </w:r>
      <w:r w:rsidR="0044620B">
        <w:rPr>
          <w:noProof/>
        </w:rPr>
        <w:t>D.3</w:t>
      </w:r>
      <w:r w:rsidR="0044620B">
        <w:noBreakHyphen/>
      </w:r>
      <w:r w:rsidR="0044620B">
        <w:rPr>
          <w:noProof/>
        </w:rPr>
        <w:t>3</w:t>
      </w:r>
      <w:r>
        <w:rPr>
          <w:rFonts w:cs="Garamond"/>
          <w:szCs w:val="24"/>
          <w:lang w:val="en"/>
        </w:rPr>
        <w:fldChar w:fldCharType="end"/>
      </w:r>
      <w:r>
        <w:rPr>
          <w:rFonts w:cs="Garamond"/>
          <w:szCs w:val="24"/>
          <w:lang w:val="en"/>
        </w:rPr>
        <w:t xml:space="preserve"> were used in conjunction with the appropriate Expert Opinion Survey data presented in </w:t>
      </w:r>
      <w:r>
        <w:rPr>
          <w:rFonts w:cs="Garamond"/>
          <w:szCs w:val="24"/>
          <w:lang w:val="en"/>
        </w:rPr>
        <w:fldChar w:fldCharType="begin"/>
      </w:r>
      <w:r>
        <w:rPr>
          <w:rFonts w:cs="Garamond"/>
          <w:szCs w:val="24"/>
          <w:lang w:val="en"/>
        </w:rPr>
        <w:instrText xml:space="preserve"> REF _Ref393266798 \h </w:instrText>
      </w:r>
      <w:r>
        <w:rPr>
          <w:rFonts w:cs="Garamond"/>
          <w:szCs w:val="24"/>
          <w:lang w:val="en"/>
        </w:rPr>
      </w:r>
      <w:r>
        <w:rPr>
          <w:rFonts w:cs="Garamond"/>
          <w:szCs w:val="24"/>
          <w:lang w:val="en"/>
        </w:rPr>
        <w:fldChar w:fldCharType="separate"/>
      </w:r>
      <w:r w:rsidR="0044620B">
        <w:t xml:space="preserve">Table </w:t>
      </w:r>
      <w:r w:rsidR="0044620B">
        <w:rPr>
          <w:noProof/>
        </w:rPr>
        <w:t>C.4</w:t>
      </w:r>
      <w:r w:rsidR="0044620B">
        <w:noBreakHyphen/>
      </w:r>
      <w:r w:rsidR="0044620B">
        <w:rPr>
          <w:noProof/>
        </w:rPr>
        <w:t>1</w:t>
      </w:r>
      <w:r>
        <w:rPr>
          <w:rFonts w:cs="Garamond"/>
          <w:szCs w:val="24"/>
          <w:lang w:val="en"/>
        </w:rPr>
        <w:fldChar w:fldCharType="end"/>
      </w:r>
      <w:r>
        <w:rPr>
          <w:rFonts w:cs="Garamond"/>
          <w:szCs w:val="24"/>
          <w:lang w:val="en"/>
        </w:rPr>
        <w:t xml:space="preserve"> and the appropriate </w:t>
      </w:r>
      <w:r>
        <w:rPr>
          <w:rFonts w:cs="Garamond"/>
          <w:szCs w:val="24"/>
          <w:lang w:val="en"/>
        </w:rPr>
        <w:lastRenderedPageBreak/>
        <w:t xml:space="preserve">unit cost data for ancillary tests from </w:t>
      </w:r>
      <w:r>
        <w:rPr>
          <w:rFonts w:cs="Garamond"/>
          <w:szCs w:val="24"/>
          <w:lang w:val="en"/>
        </w:rPr>
        <w:fldChar w:fldCharType="begin"/>
      </w:r>
      <w:r>
        <w:rPr>
          <w:rFonts w:cs="Garamond"/>
          <w:szCs w:val="24"/>
          <w:lang w:val="en"/>
        </w:rPr>
        <w:instrText xml:space="preserve"> REF _Ref393286551 \h </w:instrText>
      </w:r>
      <w:r>
        <w:rPr>
          <w:rFonts w:cs="Garamond"/>
          <w:szCs w:val="24"/>
          <w:lang w:val="en"/>
        </w:rPr>
      </w:r>
      <w:r>
        <w:rPr>
          <w:rFonts w:cs="Garamond"/>
          <w:szCs w:val="24"/>
          <w:lang w:val="en"/>
        </w:rPr>
        <w:fldChar w:fldCharType="separate"/>
      </w:r>
      <w:r w:rsidR="0044620B">
        <w:t xml:space="preserve">Table </w:t>
      </w:r>
      <w:r w:rsidR="0044620B">
        <w:rPr>
          <w:noProof/>
        </w:rPr>
        <w:t>D.3</w:t>
      </w:r>
      <w:r w:rsidR="0044620B">
        <w:noBreakHyphen/>
      </w:r>
      <w:r w:rsidR="0044620B">
        <w:rPr>
          <w:noProof/>
        </w:rPr>
        <w:t>1</w:t>
      </w:r>
      <w:r>
        <w:rPr>
          <w:rFonts w:cs="Garamond"/>
          <w:szCs w:val="24"/>
          <w:lang w:val="en"/>
        </w:rPr>
        <w:fldChar w:fldCharType="end"/>
      </w:r>
      <w:r>
        <w:rPr>
          <w:rFonts w:cs="Garamond"/>
          <w:szCs w:val="24"/>
          <w:lang w:val="en"/>
        </w:rPr>
        <w:t xml:space="preserve">. The cytopathology data from the survey are presented again in </w:t>
      </w:r>
      <w:r>
        <w:rPr>
          <w:rFonts w:cs="Garamond"/>
          <w:szCs w:val="24"/>
          <w:lang w:val="en"/>
        </w:rPr>
        <w:fldChar w:fldCharType="begin"/>
      </w:r>
      <w:r>
        <w:rPr>
          <w:rFonts w:cs="Garamond"/>
          <w:szCs w:val="24"/>
          <w:lang w:val="en"/>
        </w:rPr>
        <w:instrText xml:space="preserve"> REF _Ref393294037 \h </w:instrText>
      </w:r>
      <w:r>
        <w:rPr>
          <w:rFonts w:cs="Garamond"/>
          <w:szCs w:val="24"/>
          <w:lang w:val="en"/>
        </w:rPr>
      </w:r>
      <w:r>
        <w:rPr>
          <w:rFonts w:cs="Garamond"/>
          <w:szCs w:val="24"/>
          <w:lang w:val="en"/>
        </w:rPr>
        <w:fldChar w:fldCharType="separate"/>
      </w:r>
      <w:r w:rsidR="0044620B">
        <w:t xml:space="preserve">Table </w:t>
      </w:r>
      <w:r w:rsidR="0044620B">
        <w:rPr>
          <w:noProof/>
        </w:rPr>
        <w:t>D.5</w:t>
      </w:r>
      <w:r w:rsidR="0044620B">
        <w:noBreakHyphen/>
      </w:r>
      <w:r w:rsidR="0044620B">
        <w:rPr>
          <w:noProof/>
        </w:rPr>
        <w:t>1</w:t>
      </w:r>
      <w:r>
        <w:rPr>
          <w:rFonts w:cs="Garamond"/>
          <w:szCs w:val="24"/>
          <w:lang w:val="en"/>
        </w:rPr>
        <w:fldChar w:fldCharType="end"/>
      </w:r>
      <w:r>
        <w:rPr>
          <w:rFonts w:cs="Garamond"/>
          <w:szCs w:val="24"/>
          <w:lang w:val="en"/>
        </w:rPr>
        <w:t xml:space="preserve"> for transparency.</w:t>
      </w:r>
    </w:p>
    <w:p w14:paraId="79CCB2ED" w14:textId="77777777" w:rsidR="00B51828" w:rsidRDefault="00B51828" w:rsidP="002101D2">
      <w:pPr>
        <w:pStyle w:val="Caption"/>
      </w:pPr>
      <w:bookmarkStart w:id="227" w:name="_Ref393294037"/>
      <w:bookmarkStart w:id="228" w:name="_Toc396211761"/>
      <w:r>
        <w:t xml:space="preserve">Table </w:t>
      </w:r>
      <w:fldSimple w:instr=" STYLEREF 2 \s ">
        <w:r w:rsidR="0044620B">
          <w:rPr>
            <w:noProof/>
          </w:rPr>
          <w:t>D.5</w:t>
        </w:r>
      </w:fldSimple>
      <w:r>
        <w:noBreakHyphen/>
      </w:r>
      <w:fldSimple w:instr=" SEQ Table \* ARABIC \s 2 ">
        <w:r w:rsidR="0044620B">
          <w:rPr>
            <w:noProof/>
          </w:rPr>
          <w:t>1</w:t>
        </w:r>
      </w:fldSimple>
      <w:bookmarkEnd w:id="227"/>
      <w:r>
        <w:tab/>
        <w:t>Data from the Expert Opinion Survey used to inform the sensitivity analysis, cytopathology</w:t>
      </w:r>
      <w:bookmarkEnd w:id="228"/>
    </w:p>
    <w:tbl>
      <w:tblPr>
        <w:tblW w:w="8222" w:type="dxa"/>
        <w:tblInd w:w="706" w:type="dxa"/>
        <w:tblLayout w:type="fixed"/>
        <w:tblCellMar>
          <w:left w:w="57" w:type="dxa"/>
          <w:right w:w="57" w:type="dxa"/>
        </w:tblCellMar>
        <w:tblLook w:val="0000" w:firstRow="0" w:lastRow="0" w:firstColumn="0" w:lastColumn="0" w:noHBand="0" w:noVBand="0"/>
        <w:tblCaption w:val="Cytopathology data from the Expert Opinion Survey"/>
        <w:tblDescription w:val="Data from the Expert Opinion Survey used to inform the sensitivity analysis"/>
      </w:tblPr>
      <w:tblGrid>
        <w:gridCol w:w="4820"/>
        <w:gridCol w:w="1701"/>
        <w:gridCol w:w="1701"/>
      </w:tblGrid>
      <w:tr w:rsidR="00B51828" w:rsidRPr="003760B8" w14:paraId="02BE7461" w14:textId="77777777" w:rsidTr="00DB4FF8">
        <w:trPr>
          <w:trHeight w:val="1"/>
          <w:tblHeader/>
        </w:trPr>
        <w:tc>
          <w:tcPr>
            <w:tcW w:w="4820" w:type="dxa"/>
            <w:tcBorders>
              <w:top w:val="single" w:sz="2" w:space="0" w:color="000000"/>
              <w:left w:val="single" w:sz="2" w:space="0" w:color="000000"/>
              <w:bottom w:val="single" w:sz="2" w:space="0" w:color="000000"/>
              <w:right w:val="nil"/>
            </w:tcBorders>
            <w:shd w:val="clear" w:color="000000" w:fill="auto"/>
          </w:tcPr>
          <w:p w14:paraId="3CF91FFD" w14:textId="77777777" w:rsidR="00B51828" w:rsidRPr="00FB20FF" w:rsidRDefault="00B51828" w:rsidP="002101D2">
            <w:pPr>
              <w:keepNext/>
              <w:widowControl w:val="0"/>
              <w:suppressAutoHyphens/>
              <w:autoSpaceDE w:val="0"/>
              <w:autoSpaceDN w:val="0"/>
              <w:adjustRightInd w:val="0"/>
              <w:spacing w:before="20" w:after="20"/>
              <w:ind w:left="0"/>
              <w:rPr>
                <w:rFonts w:ascii="Arial Narrow" w:hAnsi="Arial Narrow" w:cs="Calibri"/>
                <w:b/>
                <w:sz w:val="20"/>
                <w:szCs w:val="20"/>
                <w:lang w:val="en"/>
              </w:rPr>
            </w:pPr>
            <w:r>
              <w:rPr>
                <w:rFonts w:ascii="Arial Narrow" w:hAnsi="Arial Narrow" w:cs="Calibri"/>
                <w:b/>
                <w:sz w:val="20"/>
                <w:szCs w:val="20"/>
                <w:lang w:val="en"/>
              </w:rPr>
              <w:t xml:space="preserve">Types </w:t>
            </w:r>
            <w:r w:rsidRPr="00FB20FF">
              <w:rPr>
                <w:rFonts w:ascii="Arial Narrow" w:hAnsi="Arial Narrow" w:cs="Calibri"/>
                <w:b/>
                <w:sz w:val="20"/>
                <w:szCs w:val="20"/>
                <w:lang w:val="en"/>
              </w:rPr>
              <w:t>of cases</w:t>
            </w:r>
          </w:p>
        </w:tc>
        <w:tc>
          <w:tcPr>
            <w:tcW w:w="1701" w:type="dxa"/>
            <w:tcBorders>
              <w:top w:val="single" w:sz="2" w:space="0" w:color="000000"/>
              <w:left w:val="single" w:sz="2" w:space="0" w:color="000000"/>
              <w:bottom w:val="single" w:sz="2" w:space="0" w:color="000000"/>
              <w:right w:val="nil"/>
            </w:tcBorders>
            <w:shd w:val="clear" w:color="000000" w:fill="auto"/>
          </w:tcPr>
          <w:p w14:paraId="3C4D0A59" w14:textId="77777777" w:rsidR="00B51828" w:rsidRPr="003760B8" w:rsidRDefault="00B51828" w:rsidP="00DB4FF8">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Average under the proposed funding arrangements</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7292BF36" w14:textId="77777777" w:rsidR="00B51828" w:rsidRPr="003760B8" w:rsidRDefault="00B51828" w:rsidP="00DB4FF8">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Average under the current funding arrangements</w:t>
            </w:r>
          </w:p>
        </w:tc>
      </w:tr>
      <w:tr w:rsidR="00B51828" w:rsidRPr="003760B8" w14:paraId="413780E9"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5F836728"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Proportion of cases referred for </w:t>
            </w:r>
            <w:r>
              <w:rPr>
                <w:rFonts w:ascii="Arial Narrow" w:hAnsi="Arial Narrow" w:cs="Arial Narrow"/>
                <w:sz w:val="20"/>
                <w:szCs w:val="20"/>
                <w:lang w:val="en"/>
              </w:rPr>
              <w:t>second, expert opinion</w:t>
            </w:r>
          </w:p>
        </w:tc>
        <w:tc>
          <w:tcPr>
            <w:tcW w:w="1701" w:type="dxa"/>
            <w:tcBorders>
              <w:top w:val="single" w:sz="2" w:space="0" w:color="000000"/>
              <w:left w:val="single" w:sz="2" w:space="0" w:color="000000"/>
              <w:bottom w:val="single" w:sz="2" w:space="0" w:color="000000"/>
              <w:right w:val="nil"/>
            </w:tcBorders>
            <w:shd w:val="clear" w:color="000000" w:fill="auto"/>
          </w:tcPr>
          <w:p w14:paraId="4F195308"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0.0117</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19934129"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0.0033</w:t>
            </w:r>
          </w:p>
        </w:tc>
      </w:tr>
      <w:tr w:rsidR="00B51828" w:rsidRPr="003760B8" w14:paraId="6EF5E914"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09593B45"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Proportion of cases initiated by Pathologist (</w:t>
            </w:r>
            <w:r w:rsidRPr="004A60EE">
              <w:rPr>
                <w:rFonts w:ascii="Arial Narrow" w:hAnsi="Arial Narrow" w:cs="Arial Narrow"/>
                <w:i/>
                <w:sz w:val="20"/>
                <w:szCs w:val="20"/>
                <w:lang w:val="en"/>
              </w:rPr>
              <w:t>Scenario 1</w:t>
            </w:r>
            <w:r w:rsidRPr="003760B8">
              <w:rPr>
                <w:rFonts w:ascii="Arial Narrow" w:hAnsi="Arial Narrow" w:cs="Arial Narrow"/>
                <w:sz w:val="20"/>
                <w:szCs w:val="20"/>
                <w:lang w:val="en"/>
              </w:rPr>
              <w:t>)</w:t>
            </w:r>
          </w:p>
        </w:tc>
        <w:tc>
          <w:tcPr>
            <w:tcW w:w="1701" w:type="dxa"/>
            <w:tcBorders>
              <w:top w:val="single" w:sz="2" w:space="0" w:color="000000"/>
              <w:left w:val="single" w:sz="2" w:space="0" w:color="000000"/>
              <w:bottom w:val="single" w:sz="2" w:space="0" w:color="000000"/>
              <w:right w:val="nil"/>
            </w:tcBorders>
            <w:shd w:val="clear" w:color="000000" w:fill="auto"/>
          </w:tcPr>
          <w:p w14:paraId="3F438AA0"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0.5886</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1D29FDAF"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0.7643</w:t>
            </w:r>
          </w:p>
        </w:tc>
      </w:tr>
      <w:tr w:rsidR="00B51828" w:rsidRPr="003760B8" w14:paraId="33DFD9E8"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6AFBA18B"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Proportion of cases initiated by Clinician (</w:t>
            </w:r>
            <w:r w:rsidRPr="004A60EE">
              <w:rPr>
                <w:rFonts w:ascii="Arial Narrow" w:hAnsi="Arial Narrow" w:cs="Arial Narrow"/>
                <w:i/>
                <w:sz w:val="20"/>
                <w:szCs w:val="20"/>
                <w:lang w:val="en"/>
              </w:rPr>
              <w:t>Scenario 2</w:t>
            </w:r>
            <w:r w:rsidRPr="003760B8">
              <w:rPr>
                <w:rFonts w:ascii="Arial Narrow" w:hAnsi="Arial Narrow" w:cs="Arial Narrow"/>
                <w:sz w:val="20"/>
                <w:szCs w:val="20"/>
                <w:lang w:val="en"/>
              </w:rPr>
              <w:t>)</w:t>
            </w:r>
          </w:p>
        </w:tc>
        <w:tc>
          <w:tcPr>
            <w:tcW w:w="1701" w:type="dxa"/>
            <w:tcBorders>
              <w:top w:val="single" w:sz="2" w:space="0" w:color="000000"/>
              <w:left w:val="single" w:sz="2" w:space="0" w:color="000000"/>
              <w:bottom w:val="single" w:sz="2" w:space="0" w:color="000000"/>
              <w:right w:val="nil"/>
            </w:tcBorders>
            <w:shd w:val="clear" w:color="000000" w:fill="auto"/>
          </w:tcPr>
          <w:p w14:paraId="5271464F"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0.4114</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5EA3256E"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0.2357</w:t>
            </w:r>
          </w:p>
        </w:tc>
      </w:tr>
      <w:tr w:rsidR="00B51828" w:rsidRPr="003760B8" w14:paraId="15589E3C"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2DB7772B"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Proportion of </w:t>
            </w:r>
            <w:r w:rsidRPr="004A60EE">
              <w:rPr>
                <w:rFonts w:ascii="Arial Narrow" w:hAnsi="Arial Narrow" w:cs="Arial Narrow"/>
                <w:i/>
                <w:sz w:val="20"/>
                <w:szCs w:val="20"/>
                <w:lang w:val="en"/>
              </w:rPr>
              <w:t>Scenario 1</w:t>
            </w:r>
            <w:r>
              <w:rPr>
                <w:rFonts w:ascii="Arial Narrow" w:hAnsi="Arial Narrow" w:cs="Arial Narrow"/>
                <w:sz w:val="20"/>
                <w:szCs w:val="20"/>
                <w:lang w:val="en"/>
              </w:rPr>
              <w:t xml:space="preserve"> cases which are ‘complex’</w:t>
            </w:r>
          </w:p>
        </w:tc>
        <w:tc>
          <w:tcPr>
            <w:tcW w:w="1701" w:type="dxa"/>
            <w:tcBorders>
              <w:top w:val="single" w:sz="2" w:space="0" w:color="000000"/>
              <w:left w:val="single" w:sz="2" w:space="0" w:color="000000"/>
              <w:bottom w:val="single" w:sz="2" w:space="0" w:color="000000"/>
              <w:right w:val="nil"/>
            </w:tcBorders>
            <w:shd w:val="clear" w:color="000000" w:fill="auto"/>
          </w:tcPr>
          <w:p w14:paraId="726376F2"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0.1093</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6CD7294F"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0.1474</w:t>
            </w:r>
          </w:p>
        </w:tc>
      </w:tr>
      <w:tr w:rsidR="00B51828" w:rsidRPr="003760B8" w14:paraId="1C3ED15F"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03BB11E2"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Proportion of </w:t>
            </w:r>
            <w:r w:rsidRPr="004A60EE">
              <w:rPr>
                <w:rFonts w:ascii="Arial Narrow" w:hAnsi="Arial Narrow" w:cs="Arial Narrow"/>
                <w:i/>
                <w:sz w:val="20"/>
                <w:szCs w:val="20"/>
                <w:lang w:val="en"/>
              </w:rPr>
              <w:t>Scenario 1</w:t>
            </w:r>
            <w:r>
              <w:rPr>
                <w:rFonts w:ascii="Arial Narrow" w:hAnsi="Arial Narrow" w:cs="Arial Narrow"/>
                <w:sz w:val="20"/>
                <w:szCs w:val="20"/>
                <w:lang w:val="en"/>
              </w:rPr>
              <w:t xml:space="preserve"> cases which are ‘non-complex’</w:t>
            </w:r>
          </w:p>
        </w:tc>
        <w:tc>
          <w:tcPr>
            <w:tcW w:w="1701" w:type="dxa"/>
            <w:tcBorders>
              <w:top w:val="single" w:sz="2" w:space="0" w:color="000000"/>
              <w:left w:val="single" w:sz="2" w:space="0" w:color="000000"/>
              <w:bottom w:val="single" w:sz="2" w:space="0" w:color="000000"/>
              <w:right w:val="nil"/>
            </w:tcBorders>
            <w:shd w:val="clear" w:color="000000" w:fill="auto"/>
          </w:tcPr>
          <w:p w14:paraId="3AA9B36A"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0.4793</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1B54B8B6"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0.6169</w:t>
            </w:r>
          </w:p>
        </w:tc>
      </w:tr>
      <w:tr w:rsidR="00B51828" w:rsidRPr="003760B8" w14:paraId="210F0DC3"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30F2E648"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Proportion of </w:t>
            </w:r>
            <w:r w:rsidRPr="004A60EE">
              <w:rPr>
                <w:rFonts w:ascii="Arial Narrow" w:hAnsi="Arial Narrow" w:cs="Arial Narrow"/>
                <w:i/>
                <w:sz w:val="20"/>
                <w:szCs w:val="20"/>
                <w:lang w:val="en"/>
              </w:rPr>
              <w:t>Scenario 2</w:t>
            </w:r>
            <w:r>
              <w:rPr>
                <w:rFonts w:ascii="Arial Narrow" w:hAnsi="Arial Narrow" w:cs="Arial Narrow"/>
                <w:sz w:val="20"/>
                <w:szCs w:val="20"/>
                <w:lang w:val="en"/>
              </w:rPr>
              <w:t xml:space="preserve"> cases which are ‘complex’</w:t>
            </w:r>
          </w:p>
        </w:tc>
        <w:tc>
          <w:tcPr>
            <w:tcW w:w="1701" w:type="dxa"/>
            <w:tcBorders>
              <w:top w:val="single" w:sz="2" w:space="0" w:color="000000"/>
              <w:left w:val="single" w:sz="2" w:space="0" w:color="000000"/>
              <w:bottom w:val="single" w:sz="2" w:space="0" w:color="000000"/>
              <w:right w:val="nil"/>
            </w:tcBorders>
            <w:shd w:val="clear" w:color="000000" w:fill="auto"/>
          </w:tcPr>
          <w:p w14:paraId="7179178B"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0.0754</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4D8922F6"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0.0432</w:t>
            </w:r>
          </w:p>
        </w:tc>
      </w:tr>
      <w:tr w:rsidR="00B51828" w:rsidRPr="003760B8" w14:paraId="35C6FB25"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598FB5E0"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Proportion of </w:t>
            </w:r>
            <w:r w:rsidRPr="004A60EE">
              <w:rPr>
                <w:rFonts w:ascii="Arial Narrow" w:hAnsi="Arial Narrow" w:cs="Arial Narrow"/>
                <w:i/>
                <w:sz w:val="20"/>
                <w:szCs w:val="20"/>
                <w:lang w:val="en"/>
              </w:rPr>
              <w:t>Scenario 2</w:t>
            </w:r>
            <w:r>
              <w:rPr>
                <w:rFonts w:ascii="Arial Narrow" w:hAnsi="Arial Narrow" w:cs="Arial Narrow"/>
                <w:sz w:val="20"/>
                <w:szCs w:val="20"/>
                <w:lang w:val="en"/>
              </w:rPr>
              <w:t xml:space="preserve"> cases which are ‘non-complex’</w:t>
            </w:r>
          </w:p>
        </w:tc>
        <w:tc>
          <w:tcPr>
            <w:tcW w:w="1701" w:type="dxa"/>
            <w:tcBorders>
              <w:top w:val="single" w:sz="2" w:space="0" w:color="000000"/>
              <w:left w:val="single" w:sz="2" w:space="0" w:color="000000"/>
              <w:bottom w:val="single" w:sz="2" w:space="0" w:color="000000"/>
              <w:right w:val="nil"/>
            </w:tcBorders>
            <w:shd w:val="clear" w:color="000000" w:fill="auto"/>
          </w:tcPr>
          <w:p w14:paraId="79412983"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0.3360</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53E2904F"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0.1925</w:t>
            </w:r>
          </w:p>
        </w:tc>
      </w:tr>
      <w:tr w:rsidR="00B51828" w:rsidRPr="003760B8" w14:paraId="0206B2CC"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2D9D891E"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Proportion of ‘non-complex’</w:t>
            </w:r>
            <w:r w:rsidRPr="003760B8">
              <w:rPr>
                <w:rFonts w:ascii="Arial Narrow" w:hAnsi="Arial Narrow" w:cs="Arial Narrow"/>
                <w:sz w:val="20"/>
                <w:szCs w:val="20"/>
                <w:lang w:val="en"/>
              </w:rPr>
              <w:t xml:space="preserve"> cases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0FA2131A"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0.1157</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57C37FB2"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0.1014</w:t>
            </w:r>
          </w:p>
        </w:tc>
      </w:tr>
      <w:tr w:rsidR="00B51828" w:rsidRPr="003760B8" w14:paraId="37F26211"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5605FB7F"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Proportion of ‘non-complex’</w:t>
            </w:r>
            <w:r w:rsidRPr="003760B8">
              <w:rPr>
                <w:rFonts w:ascii="Arial Narrow" w:hAnsi="Arial Narrow" w:cs="Arial Narrow"/>
                <w:sz w:val="20"/>
                <w:szCs w:val="20"/>
                <w:lang w:val="en"/>
              </w:rPr>
              <w:t xml:space="preserve"> cases not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3E8E2A9B"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0.8843</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6F054343"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0.8986</w:t>
            </w:r>
          </w:p>
        </w:tc>
      </w:tr>
      <w:tr w:rsidR="00B51828" w:rsidRPr="003760B8" w14:paraId="0653622C"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68A90269"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Proportion of ‘complex’</w:t>
            </w:r>
            <w:r w:rsidRPr="003760B8">
              <w:rPr>
                <w:rFonts w:ascii="Arial Narrow" w:hAnsi="Arial Narrow" w:cs="Arial Narrow"/>
                <w:sz w:val="20"/>
                <w:szCs w:val="20"/>
                <w:lang w:val="en"/>
              </w:rPr>
              <w:t xml:space="preserve"> cases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36CE66FD"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0.3214</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2751C084"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0.3043</w:t>
            </w:r>
          </w:p>
        </w:tc>
      </w:tr>
      <w:tr w:rsidR="00B51828" w:rsidRPr="003760B8" w14:paraId="1EC4075A" w14:textId="77777777" w:rsidTr="00DB4FF8">
        <w:trPr>
          <w:trHeight w:val="1"/>
        </w:trPr>
        <w:tc>
          <w:tcPr>
            <w:tcW w:w="4820" w:type="dxa"/>
            <w:tcBorders>
              <w:top w:val="single" w:sz="2" w:space="0" w:color="000000"/>
              <w:left w:val="single" w:sz="2" w:space="0" w:color="000000"/>
              <w:bottom w:val="single" w:sz="2" w:space="0" w:color="000000"/>
              <w:right w:val="nil"/>
            </w:tcBorders>
            <w:shd w:val="clear" w:color="000000" w:fill="auto"/>
          </w:tcPr>
          <w:p w14:paraId="47E9D9C5"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Pr>
                <w:rFonts w:ascii="Arial Narrow" w:hAnsi="Arial Narrow" w:cs="Arial Narrow"/>
                <w:sz w:val="20"/>
                <w:szCs w:val="20"/>
                <w:lang w:val="en"/>
              </w:rPr>
              <w:t>Proportion of ‘complex’</w:t>
            </w:r>
            <w:r w:rsidRPr="003760B8">
              <w:rPr>
                <w:rFonts w:ascii="Arial Narrow" w:hAnsi="Arial Narrow" w:cs="Arial Narrow"/>
                <w:sz w:val="20"/>
                <w:szCs w:val="20"/>
                <w:lang w:val="en"/>
              </w:rPr>
              <w:t xml:space="preserve"> cases not requiring ancillary tests</w:t>
            </w:r>
          </w:p>
        </w:tc>
        <w:tc>
          <w:tcPr>
            <w:tcW w:w="1701" w:type="dxa"/>
            <w:tcBorders>
              <w:top w:val="single" w:sz="2" w:space="0" w:color="000000"/>
              <w:left w:val="single" w:sz="2" w:space="0" w:color="000000"/>
              <w:bottom w:val="single" w:sz="2" w:space="0" w:color="000000"/>
              <w:right w:val="nil"/>
            </w:tcBorders>
            <w:shd w:val="clear" w:color="000000" w:fill="auto"/>
          </w:tcPr>
          <w:p w14:paraId="715445B6" w14:textId="77777777" w:rsidR="00B51828" w:rsidRPr="003760B8" w:rsidRDefault="00B51828" w:rsidP="00DB4FF8">
            <w:pPr>
              <w:keepNext/>
              <w:widowControl w:val="0"/>
              <w:suppressAutoHyphens/>
              <w:autoSpaceDE w:val="0"/>
              <w:autoSpaceDN w:val="0"/>
              <w:adjustRightInd w:val="0"/>
              <w:spacing w:before="20" w:after="20"/>
              <w:ind w:left="120" w:right="60"/>
              <w:jc w:val="right"/>
              <w:rPr>
                <w:rFonts w:ascii="Calibri" w:hAnsi="Calibri" w:cs="Calibri"/>
                <w:sz w:val="22"/>
                <w:lang w:val="en"/>
              </w:rPr>
            </w:pPr>
            <w:r w:rsidRPr="003760B8">
              <w:rPr>
                <w:rFonts w:ascii="Arial Narrow" w:hAnsi="Arial Narrow" w:cs="Arial Narrow"/>
                <w:sz w:val="20"/>
                <w:szCs w:val="20"/>
                <w:lang w:val="en"/>
              </w:rPr>
              <w:t>0.6786</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49034D94" w14:textId="77777777" w:rsidR="00B51828" w:rsidRPr="003760B8" w:rsidRDefault="00B51828" w:rsidP="00DB4FF8">
            <w:pPr>
              <w:keepNext/>
              <w:widowControl w:val="0"/>
              <w:suppressAutoHyphens/>
              <w:autoSpaceDE w:val="0"/>
              <w:autoSpaceDN w:val="0"/>
              <w:adjustRightInd w:val="0"/>
              <w:spacing w:before="20" w:after="20"/>
              <w:ind w:left="108" w:right="60"/>
              <w:jc w:val="right"/>
              <w:rPr>
                <w:rFonts w:ascii="Calibri" w:hAnsi="Calibri" w:cs="Calibri"/>
                <w:sz w:val="22"/>
                <w:lang w:val="en"/>
              </w:rPr>
            </w:pPr>
            <w:r w:rsidRPr="003760B8">
              <w:rPr>
                <w:rFonts w:ascii="Arial Narrow" w:hAnsi="Arial Narrow" w:cs="Arial Narrow"/>
                <w:sz w:val="20"/>
                <w:szCs w:val="20"/>
                <w:lang w:val="en"/>
              </w:rPr>
              <w:t>0.6957</w:t>
            </w:r>
          </w:p>
        </w:tc>
      </w:tr>
    </w:tbl>
    <w:p w14:paraId="615AC057" w14:textId="77777777" w:rsidR="00B51828" w:rsidRDefault="00B51828" w:rsidP="002101D2">
      <w:pPr>
        <w:rPr>
          <w:rFonts w:ascii="Arial Narrow" w:hAnsi="Arial Narrow" w:cs="Arial Narrow"/>
          <w:sz w:val="16"/>
          <w:szCs w:val="16"/>
          <w:lang w:val="en"/>
        </w:rPr>
      </w:pPr>
    </w:p>
    <w:p w14:paraId="7191AFBB" w14:textId="791D8870"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t xml:space="preserve">Additionally, sensitivity analyses were conducted to examine the uncertainty inherent in the base case regarding the merging of </w:t>
      </w:r>
      <w:r w:rsidRPr="004A60EE">
        <w:rPr>
          <w:rFonts w:cs="Garamond"/>
          <w:i/>
          <w:szCs w:val="24"/>
          <w:lang w:val="en"/>
        </w:rPr>
        <w:t>Scenario 1</w:t>
      </w:r>
      <w:r>
        <w:rPr>
          <w:rFonts w:cs="Garamond"/>
          <w:szCs w:val="24"/>
          <w:lang w:val="en"/>
        </w:rPr>
        <w:t xml:space="preserve"> and </w:t>
      </w:r>
      <w:r w:rsidRPr="004A60EE">
        <w:rPr>
          <w:rFonts w:cs="Garamond"/>
          <w:i/>
          <w:szCs w:val="24"/>
          <w:lang w:val="en"/>
        </w:rPr>
        <w:t>Scenario 2</w:t>
      </w:r>
      <w:r>
        <w:rPr>
          <w:rFonts w:cs="Garamond"/>
          <w:szCs w:val="24"/>
          <w:lang w:val="en"/>
        </w:rPr>
        <w:t xml:space="preserve">. As described previously, major discrepancy data were available for </w:t>
      </w:r>
      <w:r w:rsidRPr="004A60EE">
        <w:rPr>
          <w:rFonts w:cs="Garamond"/>
          <w:i/>
          <w:szCs w:val="24"/>
          <w:lang w:val="en"/>
        </w:rPr>
        <w:t>Scenario 1</w:t>
      </w:r>
      <w:r>
        <w:rPr>
          <w:rFonts w:cs="Garamond"/>
          <w:szCs w:val="24"/>
          <w:lang w:val="en"/>
        </w:rPr>
        <w:t xml:space="preserve"> only. Since no data specific to </w:t>
      </w:r>
      <w:r w:rsidRPr="004A60EE">
        <w:rPr>
          <w:rFonts w:cs="Garamond"/>
          <w:i/>
          <w:szCs w:val="24"/>
          <w:lang w:val="en"/>
        </w:rPr>
        <w:t>Scenario 2</w:t>
      </w:r>
      <w:r>
        <w:rPr>
          <w:rFonts w:cs="Garamond"/>
          <w:szCs w:val="24"/>
          <w:lang w:val="en"/>
        </w:rPr>
        <w:t xml:space="preserve"> – any organ system – were available, it was assumed that the rates were representative of both. An unintended consequence of this approach is that the impact of other data relating to each of the scenarios is masked. That is, even in the absence of major discrepancy data for </w:t>
      </w:r>
      <w:r w:rsidRPr="004A60EE">
        <w:rPr>
          <w:rFonts w:cs="Garamond"/>
          <w:i/>
          <w:szCs w:val="24"/>
          <w:lang w:val="en"/>
        </w:rPr>
        <w:t>Scenario 2</w:t>
      </w:r>
      <w:r>
        <w:rPr>
          <w:rFonts w:cs="Garamond"/>
          <w:szCs w:val="24"/>
          <w:lang w:val="en"/>
        </w:rPr>
        <w:t xml:space="preserve">, it is possible that survey responses uniquely relating to </w:t>
      </w:r>
      <w:r w:rsidRPr="004A60EE">
        <w:rPr>
          <w:rFonts w:cs="Garamond"/>
          <w:i/>
          <w:szCs w:val="24"/>
          <w:lang w:val="en"/>
        </w:rPr>
        <w:t>Scenario 1</w:t>
      </w:r>
      <w:r>
        <w:rPr>
          <w:rFonts w:cs="Garamond"/>
          <w:szCs w:val="24"/>
          <w:lang w:val="en"/>
        </w:rPr>
        <w:t xml:space="preserve"> and </w:t>
      </w:r>
      <w:r w:rsidRPr="004A60EE">
        <w:rPr>
          <w:rFonts w:cs="Garamond"/>
          <w:i/>
          <w:szCs w:val="24"/>
          <w:lang w:val="en"/>
        </w:rPr>
        <w:t>Scenario 2</w:t>
      </w:r>
      <w:r>
        <w:rPr>
          <w:rFonts w:cs="Garamond"/>
          <w:szCs w:val="24"/>
          <w:lang w:val="en"/>
        </w:rPr>
        <w:t xml:space="preserve"> could have a marked impact on the estimated cost per additional significant (clinically</w:t>
      </w:r>
      <w:r w:rsidR="0053670C">
        <w:rPr>
          <w:rFonts w:cs="Garamond"/>
          <w:szCs w:val="24"/>
          <w:lang w:val="en"/>
        </w:rPr>
        <w:t xml:space="preserve"> </w:t>
      </w:r>
      <w:r>
        <w:rPr>
          <w:rFonts w:cs="Garamond"/>
          <w:szCs w:val="24"/>
          <w:lang w:val="en"/>
        </w:rPr>
        <w:t xml:space="preserve">relevant) change in diagnosis or interpretation. To explore this possibility, each is considered independently in a sensitivity analysis. Of course, the result for </w:t>
      </w:r>
      <w:r w:rsidRPr="004A60EE">
        <w:rPr>
          <w:rFonts w:cs="Garamond"/>
          <w:i/>
          <w:szCs w:val="24"/>
          <w:lang w:val="en"/>
        </w:rPr>
        <w:t>Scenario 2</w:t>
      </w:r>
      <w:r>
        <w:rPr>
          <w:rFonts w:cs="Garamond"/>
          <w:szCs w:val="24"/>
          <w:lang w:val="en"/>
        </w:rPr>
        <w:t xml:space="preserve"> alone should be treated with caution as it does not include scenario-specific discrepancy data.</w:t>
      </w:r>
    </w:p>
    <w:p w14:paraId="7D0F88E0" w14:textId="77777777"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t xml:space="preserve">Similarly, sensitivity analyses relating to ‘complex’ (i.e. &gt;30 minutes) second, expert opinions and ‘non-complex’ (i.e. ≤30 minutes) second, expert opinions are independently presented for transparency. Again, while it was not possible to apply differential discrepancy data to each of these categories, these sensitivity analyses were aimed at demonstrating the impact of other data generated from the Expert Opinion Survey as well as the impact of the requested list price on the cost-effectiveness of each of these complexity categories independently. The impact of this data limitation is potentially greater when </w:t>
      </w:r>
      <w:r w:rsidRPr="004A60EE">
        <w:rPr>
          <w:rFonts w:cs="Garamond"/>
          <w:i/>
          <w:szCs w:val="24"/>
          <w:lang w:val="en"/>
        </w:rPr>
        <w:t>Scenario 2</w:t>
      </w:r>
      <w:r>
        <w:rPr>
          <w:rFonts w:cs="Garamond"/>
          <w:szCs w:val="24"/>
          <w:lang w:val="en"/>
        </w:rPr>
        <w:t xml:space="preserve"> is considered in isolation.</w:t>
      </w:r>
    </w:p>
    <w:p w14:paraId="5802E199" w14:textId="77777777"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t>Following this, sensitivity analyses relating to specific diseases are presented. While it would be beneficial to generate incremental cost-effectiveness ratios (ICERs) for a wide range of diseases for which second, expert opinions will be used in clinical practice, the analyses are limited to those for which there are reasonable data available (soft tissue/ sarcoma and dermatology, both of which fall under the tissue pathology heading).</w:t>
      </w:r>
    </w:p>
    <w:p w14:paraId="01959DE7" w14:textId="4ACCB604" w:rsidR="00B51828" w:rsidRDefault="00B51828" w:rsidP="00443A7E">
      <w:pPr>
        <w:suppressAutoHyphens/>
        <w:autoSpaceDE w:val="0"/>
        <w:autoSpaceDN w:val="0"/>
        <w:adjustRightInd w:val="0"/>
        <w:spacing w:line="100" w:lineRule="atLeast"/>
        <w:rPr>
          <w:rFonts w:cs="Garamond"/>
          <w:szCs w:val="24"/>
          <w:lang w:val="en"/>
        </w:rPr>
      </w:pPr>
      <w:r>
        <w:rPr>
          <w:rFonts w:cs="Garamond"/>
          <w:szCs w:val="24"/>
          <w:lang w:val="en"/>
        </w:rPr>
        <w:t xml:space="preserve">The major discrepancy data pertaining to specific diseases (analogous to </w:t>
      </w:r>
      <w:r>
        <w:rPr>
          <w:rFonts w:cs="Garamond"/>
          <w:szCs w:val="24"/>
          <w:lang w:val="en"/>
        </w:rPr>
        <w:fldChar w:fldCharType="begin"/>
      </w:r>
      <w:r>
        <w:rPr>
          <w:rFonts w:cs="Garamond"/>
          <w:szCs w:val="24"/>
          <w:lang w:val="en"/>
        </w:rPr>
        <w:instrText xml:space="preserve"> REF _Ref393291737 \h </w:instrText>
      </w:r>
      <w:r>
        <w:rPr>
          <w:rFonts w:cs="Garamond"/>
          <w:szCs w:val="24"/>
          <w:lang w:val="en"/>
        </w:rPr>
      </w:r>
      <w:r>
        <w:rPr>
          <w:rFonts w:cs="Garamond"/>
          <w:szCs w:val="24"/>
          <w:lang w:val="en"/>
        </w:rPr>
        <w:fldChar w:fldCharType="separate"/>
      </w:r>
      <w:r w:rsidR="0044620B">
        <w:t xml:space="preserve">Table </w:t>
      </w:r>
      <w:r w:rsidR="0044620B">
        <w:rPr>
          <w:noProof/>
        </w:rPr>
        <w:t>D.3</w:t>
      </w:r>
      <w:r w:rsidR="0044620B">
        <w:noBreakHyphen/>
      </w:r>
      <w:r w:rsidR="0044620B">
        <w:rPr>
          <w:noProof/>
        </w:rPr>
        <w:t>3</w:t>
      </w:r>
      <w:r>
        <w:rPr>
          <w:rFonts w:cs="Garamond"/>
          <w:szCs w:val="24"/>
          <w:lang w:val="en"/>
        </w:rPr>
        <w:fldChar w:fldCharType="end"/>
      </w:r>
      <w:r>
        <w:rPr>
          <w:rFonts w:cs="Garamond"/>
          <w:szCs w:val="24"/>
          <w:lang w:val="en"/>
        </w:rPr>
        <w:t xml:space="preserve">) are presented in </w:t>
      </w:r>
      <w:r>
        <w:rPr>
          <w:rFonts w:cs="Garamond"/>
          <w:szCs w:val="24"/>
          <w:lang w:val="en"/>
        </w:rPr>
        <w:fldChar w:fldCharType="begin"/>
      </w:r>
      <w:r>
        <w:rPr>
          <w:rFonts w:cs="Garamond"/>
          <w:szCs w:val="24"/>
          <w:lang w:val="en"/>
        </w:rPr>
        <w:instrText xml:space="preserve"> REF _Ref393294478 \h </w:instrText>
      </w:r>
      <w:r>
        <w:rPr>
          <w:rFonts w:cs="Garamond"/>
          <w:szCs w:val="24"/>
          <w:lang w:val="en"/>
        </w:rPr>
      </w:r>
      <w:r>
        <w:rPr>
          <w:rFonts w:cs="Garamond"/>
          <w:szCs w:val="24"/>
          <w:lang w:val="en"/>
        </w:rPr>
        <w:fldChar w:fldCharType="separate"/>
      </w:r>
      <w:r w:rsidR="0044620B">
        <w:t xml:space="preserve">Table </w:t>
      </w:r>
      <w:r w:rsidR="0044620B">
        <w:rPr>
          <w:noProof/>
        </w:rPr>
        <w:t>D.5</w:t>
      </w:r>
      <w:r w:rsidR="0044620B">
        <w:noBreakHyphen/>
      </w:r>
      <w:r w:rsidR="0044620B">
        <w:rPr>
          <w:noProof/>
        </w:rPr>
        <w:t>2</w:t>
      </w:r>
      <w:r>
        <w:rPr>
          <w:rFonts w:cs="Garamond"/>
          <w:szCs w:val="24"/>
          <w:lang w:val="en"/>
        </w:rPr>
        <w:fldChar w:fldCharType="end"/>
      </w:r>
      <w:r>
        <w:rPr>
          <w:rFonts w:cs="Garamond"/>
          <w:szCs w:val="24"/>
          <w:lang w:val="en"/>
        </w:rPr>
        <w:t xml:space="preserve">. Note that the Ray-Coquard et al (2012) data were based on those discrepancies with zero agreement with initial diagnosis, rather than those with </w:t>
      </w:r>
      <w:r>
        <w:rPr>
          <w:rFonts w:cs="Garamond"/>
          <w:szCs w:val="24"/>
          <w:lang w:val="en"/>
        </w:rPr>
        <w:lastRenderedPageBreak/>
        <w:t>partial agreement; these data appear to better correspond with those from the other studies. Similarly, the Gaudi et al (2013) data relating to dermatology were based on the malignant</w:t>
      </w:r>
      <w:r w:rsidR="0053670C">
        <w:rPr>
          <w:rFonts w:cs="Garamond"/>
          <w:szCs w:val="24"/>
          <w:lang w:val="en"/>
        </w:rPr>
        <w:t xml:space="preserve"> </w:t>
      </w:r>
      <w:r>
        <w:rPr>
          <w:rFonts w:cs="Garamond"/>
          <w:szCs w:val="24"/>
          <w:lang w:val="en"/>
        </w:rPr>
        <w:t>to</w:t>
      </w:r>
      <w:r w:rsidR="0053670C">
        <w:rPr>
          <w:rFonts w:cs="Garamond"/>
          <w:szCs w:val="24"/>
          <w:lang w:val="en"/>
        </w:rPr>
        <w:t xml:space="preserve"> </w:t>
      </w:r>
      <w:r>
        <w:rPr>
          <w:rFonts w:cs="Garamond"/>
          <w:szCs w:val="24"/>
          <w:lang w:val="en"/>
        </w:rPr>
        <w:t>benign and benign</w:t>
      </w:r>
      <w:r w:rsidR="0053670C">
        <w:rPr>
          <w:rFonts w:cs="Garamond"/>
          <w:szCs w:val="24"/>
          <w:lang w:val="en"/>
        </w:rPr>
        <w:t xml:space="preserve"> </w:t>
      </w:r>
      <w:r>
        <w:rPr>
          <w:rFonts w:cs="Garamond"/>
          <w:szCs w:val="24"/>
          <w:lang w:val="en"/>
        </w:rPr>
        <w:t>to</w:t>
      </w:r>
      <w:r w:rsidR="0053670C">
        <w:rPr>
          <w:rFonts w:cs="Garamond"/>
          <w:szCs w:val="24"/>
          <w:lang w:val="en"/>
        </w:rPr>
        <w:t xml:space="preserve"> </w:t>
      </w:r>
      <w:r>
        <w:rPr>
          <w:rFonts w:cs="Garamond"/>
          <w:szCs w:val="24"/>
          <w:lang w:val="en"/>
        </w:rPr>
        <w:t>malignant data only, again because they appeared to better match data available from other studies. The sensitivity analyses for second, expert opinion on soft</w:t>
      </w:r>
      <w:r w:rsidR="00DB23AB">
        <w:rPr>
          <w:rFonts w:cs="Garamond"/>
          <w:szCs w:val="24"/>
          <w:lang w:val="en"/>
        </w:rPr>
        <w:t xml:space="preserve"> </w:t>
      </w:r>
      <w:r>
        <w:rPr>
          <w:rFonts w:cs="Garamond"/>
          <w:szCs w:val="24"/>
          <w:lang w:val="en"/>
        </w:rPr>
        <w:t>tissue/sarcoma and dermatology do not assume that the proportion of expert opinions considered to be ‘complex’ or ‘non-complex’ are any different to the base case analysis for any organ system.</w:t>
      </w:r>
    </w:p>
    <w:p w14:paraId="63D748EF" w14:textId="77777777" w:rsidR="00B51828" w:rsidRDefault="00B51828" w:rsidP="002101D2">
      <w:pPr>
        <w:pStyle w:val="Caption"/>
      </w:pPr>
      <w:bookmarkStart w:id="229" w:name="_Ref393294478"/>
      <w:bookmarkStart w:id="230" w:name="_Toc396211762"/>
      <w:r>
        <w:t xml:space="preserve">Table </w:t>
      </w:r>
      <w:fldSimple w:instr=" STYLEREF 2 \s ">
        <w:r w:rsidR="0044620B">
          <w:rPr>
            <w:noProof/>
          </w:rPr>
          <w:t>D.5</w:t>
        </w:r>
      </w:fldSimple>
      <w:r>
        <w:noBreakHyphen/>
      </w:r>
      <w:fldSimple w:instr=" SEQ Table \* ARABIC \s 2 ">
        <w:r w:rsidR="0044620B">
          <w:rPr>
            <w:noProof/>
          </w:rPr>
          <w:t>2</w:t>
        </w:r>
      </w:fldSimple>
      <w:bookmarkEnd w:id="229"/>
      <w:r>
        <w:tab/>
        <w:t>Major discrepancies with provisional diagnosis applied to the sensitivity analysis</w:t>
      </w:r>
      <w:bookmarkEnd w:id="230"/>
    </w:p>
    <w:tbl>
      <w:tblPr>
        <w:tblW w:w="8222" w:type="dxa"/>
        <w:tblInd w:w="706" w:type="dxa"/>
        <w:tblLayout w:type="fixed"/>
        <w:tblCellMar>
          <w:left w:w="57" w:type="dxa"/>
          <w:right w:w="57" w:type="dxa"/>
        </w:tblCellMar>
        <w:tblLook w:val="0000" w:firstRow="0" w:lastRow="0" w:firstColumn="0" w:lastColumn="0" w:noHBand="0" w:noVBand="0"/>
        <w:tblCaption w:val="Major discrepancy data pertaining to specific diseases"/>
        <w:tblDescription w:val="Major discrepancies with provisional diagnosis applied to the sensitivity analysis"/>
      </w:tblPr>
      <w:tblGrid>
        <w:gridCol w:w="1701"/>
        <w:gridCol w:w="2268"/>
        <w:gridCol w:w="2552"/>
        <w:gridCol w:w="1701"/>
      </w:tblGrid>
      <w:tr w:rsidR="00B51828" w:rsidRPr="003760B8" w14:paraId="1B4BDA55" w14:textId="77777777" w:rsidTr="00DB4FF8">
        <w:trPr>
          <w:trHeight w:val="1"/>
          <w:tblHeader/>
        </w:trPr>
        <w:tc>
          <w:tcPr>
            <w:tcW w:w="1701" w:type="dxa"/>
            <w:tcBorders>
              <w:top w:val="single" w:sz="2" w:space="0" w:color="000000"/>
              <w:left w:val="single" w:sz="2" w:space="0" w:color="000000"/>
              <w:bottom w:val="single" w:sz="2" w:space="0" w:color="000000"/>
              <w:right w:val="nil"/>
            </w:tcBorders>
            <w:shd w:val="clear" w:color="000000" w:fill="auto"/>
          </w:tcPr>
          <w:p w14:paraId="5515E47F"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b/>
                <w:bCs/>
                <w:sz w:val="20"/>
                <w:szCs w:val="20"/>
                <w:lang w:val="en"/>
              </w:rPr>
              <w:t>Study ID</w:t>
            </w:r>
          </w:p>
        </w:tc>
        <w:tc>
          <w:tcPr>
            <w:tcW w:w="2268" w:type="dxa"/>
            <w:tcBorders>
              <w:top w:val="single" w:sz="2" w:space="0" w:color="000000"/>
              <w:left w:val="single" w:sz="2" w:space="0" w:color="000000"/>
              <w:bottom w:val="single" w:sz="2" w:space="0" w:color="000000"/>
              <w:right w:val="nil"/>
            </w:tcBorders>
            <w:shd w:val="clear" w:color="000000" w:fill="auto"/>
          </w:tcPr>
          <w:p w14:paraId="43EBC21D" w14:textId="77777777" w:rsidR="00B51828" w:rsidRPr="003760B8" w:rsidRDefault="00B51828" w:rsidP="002101D2">
            <w:pPr>
              <w:keepNext/>
              <w:widowControl w:val="0"/>
              <w:suppressAutoHyphens/>
              <w:autoSpaceDE w:val="0"/>
              <w:autoSpaceDN w:val="0"/>
              <w:adjustRightInd w:val="0"/>
              <w:spacing w:before="20" w:after="20"/>
              <w:ind w:left="0"/>
              <w:jc w:val="center"/>
              <w:rPr>
                <w:rFonts w:ascii="Calibri" w:hAnsi="Calibri" w:cs="Calibri"/>
                <w:sz w:val="22"/>
                <w:lang w:val="en"/>
              </w:rPr>
            </w:pPr>
            <w:r w:rsidRPr="003760B8">
              <w:rPr>
                <w:rFonts w:ascii="Arial Narrow" w:hAnsi="Arial Narrow" w:cs="Arial Narrow"/>
                <w:b/>
                <w:bCs/>
                <w:sz w:val="20"/>
                <w:szCs w:val="20"/>
                <w:lang w:val="en"/>
              </w:rPr>
              <w:t>Population (N)</w:t>
            </w:r>
          </w:p>
        </w:tc>
        <w:tc>
          <w:tcPr>
            <w:tcW w:w="2552" w:type="dxa"/>
            <w:tcBorders>
              <w:top w:val="single" w:sz="2" w:space="0" w:color="000000"/>
              <w:left w:val="single" w:sz="2" w:space="0" w:color="000000"/>
              <w:bottom w:val="single" w:sz="2" w:space="0" w:color="000000"/>
              <w:right w:val="nil"/>
            </w:tcBorders>
            <w:shd w:val="clear" w:color="000000" w:fill="auto"/>
          </w:tcPr>
          <w:p w14:paraId="4682B48B" w14:textId="77777777" w:rsidR="00B51828" w:rsidRPr="003760B8" w:rsidRDefault="00B51828" w:rsidP="002101D2">
            <w:pPr>
              <w:keepNext/>
              <w:widowControl w:val="0"/>
              <w:suppressAutoHyphens/>
              <w:autoSpaceDE w:val="0"/>
              <w:autoSpaceDN w:val="0"/>
              <w:adjustRightInd w:val="0"/>
              <w:spacing w:before="20" w:after="20"/>
              <w:ind w:left="0"/>
              <w:jc w:val="center"/>
              <w:rPr>
                <w:rFonts w:ascii="Calibri" w:hAnsi="Calibri" w:cs="Calibri"/>
                <w:sz w:val="22"/>
                <w:lang w:val="en"/>
              </w:rPr>
            </w:pPr>
            <w:r w:rsidRPr="003760B8">
              <w:rPr>
                <w:rFonts w:ascii="Arial Narrow" w:hAnsi="Arial Narrow" w:cs="Arial Narrow"/>
                <w:b/>
                <w:bCs/>
                <w:sz w:val="20"/>
                <w:szCs w:val="20"/>
                <w:lang w:val="en"/>
              </w:rPr>
              <w:t>Outcome</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1F550274" w14:textId="77777777" w:rsidR="00B51828" w:rsidRPr="003760B8" w:rsidRDefault="00B51828" w:rsidP="00DB4FF8">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Results n/N (%)</w:t>
            </w:r>
          </w:p>
        </w:tc>
      </w:tr>
      <w:tr w:rsidR="00B51828" w:rsidRPr="003760B8" w14:paraId="7B86920C"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C0C0C0"/>
          </w:tcPr>
          <w:p w14:paraId="4803BF94" w14:textId="77777777" w:rsidR="00B51828" w:rsidRPr="00265D96"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265D96">
              <w:rPr>
                <w:rFonts w:ascii="Arial Narrow" w:hAnsi="Arial Narrow" w:cs="Arial Narrow"/>
                <w:sz w:val="20"/>
                <w:szCs w:val="20"/>
                <w:lang w:val="en"/>
              </w:rPr>
              <w:t>Soft tissue/sarcoma</w:t>
            </w:r>
          </w:p>
        </w:tc>
        <w:tc>
          <w:tcPr>
            <w:tcW w:w="2268" w:type="dxa"/>
            <w:tcBorders>
              <w:top w:val="single" w:sz="2" w:space="0" w:color="000000"/>
              <w:left w:val="single" w:sz="2" w:space="0" w:color="000000"/>
              <w:bottom w:val="single" w:sz="2" w:space="0" w:color="000000"/>
              <w:right w:val="nil"/>
            </w:tcBorders>
            <w:shd w:val="clear" w:color="000000" w:fill="C0C0C0"/>
          </w:tcPr>
          <w:p w14:paraId="52D95C4B" w14:textId="77777777" w:rsidR="00B51828" w:rsidRPr="00265D96" w:rsidRDefault="00B51828" w:rsidP="00A15F7D">
            <w:pPr>
              <w:keepNext/>
              <w:widowControl w:val="0"/>
              <w:suppressAutoHyphens/>
              <w:autoSpaceDE w:val="0"/>
              <w:autoSpaceDN w:val="0"/>
              <w:adjustRightInd w:val="0"/>
              <w:spacing w:before="20" w:after="20"/>
              <w:ind w:left="0"/>
              <w:rPr>
                <w:rFonts w:ascii="Calibri" w:hAnsi="Calibri" w:cs="Calibri"/>
                <w:sz w:val="22"/>
                <w:lang w:val="en"/>
              </w:rPr>
            </w:pPr>
            <w:r>
              <w:rPr>
                <w:rFonts w:ascii="Calibri" w:hAnsi="Calibri" w:cs="Calibri"/>
                <w:sz w:val="22"/>
                <w:lang w:val="en"/>
              </w:rPr>
              <w:t>-</w:t>
            </w:r>
          </w:p>
        </w:tc>
        <w:tc>
          <w:tcPr>
            <w:tcW w:w="2552" w:type="dxa"/>
            <w:tcBorders>
              <w:top w:val="single" w:sz="2" w:space="0" w:color="000000"/>
              <w:left w:val="single" w:sz="2" w:space="0" w:color="000000"/>
              <w:bottom w:val="single" w:sz="2" w:space="0" w:color="000000"/>
              <w:right w:val="nil"/>
            </w:tcBorders>
            <w:shd w:val="clear" w:color="000000" w:fill="C0C0C0"/>
          </w:tcPr>
          <w:p w14:paraId="77B686AE" w14:textId="77777777" w:rsidR="00B51828" w:rsidRPr="00265D96" w:rsidRDefault="00B51828" w:rsidP="00A15F7D">
            <w:pPr>
              <w:keepNext/>
              <w:widowControl w:val="0"/>
              <w:suppressAutoHyphens/>
              <w:autoSpaceDE w:val="0"/>
              <w:autoSpaceDN w:val="0"/>
              <w:adjustRightInd w:val="0"/>
              <w:spacing w:before="20" w:after="20"/>
              <w:ind w:left="0"/>
              <w:rPr>
                <w:rFonts w:ascii="Calibri" w:hAnsi="Calibri" w:cs="Calibri"/>
                <w:sz w:val="22"/>
                <w:lang w:val="en"/>
              </w:rPr>
            </w:pPr>
            <w:r>
              <w:rPr>
                <w:rFonts w:ascii="Calibri" w:hAnsi="Calibri" w:cs="Calibri"/>
                <w:sz w:val="22"/>
                <w:lang w:val="en"/>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C0C0C0"/>
          </w:tcPr>
          <w:p w14:paraId="3059AE75" w14:textId="77777777" w:rsidR="00B51828" w:rsidRPr="00265D96" w:rsidRDefault="00B51828" w:rsidP="00DB4FF8">
            <w:pPr>
              <w:keepNext/>
              <w:widowControl w:val="0"/>
              <w:suppressAutoHyphens/>
              <w:autoSpaceDE w:val="0"/>
              <w:autoSpaceDN w:val="0"/>
              <w:adjustRightInd w:val="0"/>
              <w:spacing w:before="20" w:after="20"/>
              <w:ind w:left="0"/>
              <w:jc w:val="right"/>
              <w:rPr>
                <w:rFonts w:ascii="Calibri" w:hAnsi="Calibri" w:cs="Calibri"/>
                <w:sz w:val="22"/>
                <w:lang w:val="en"/>
              </w:rPr>
            </w:pPr>
            <w:r>
              <w:rPr>
                <w:rFonts w:ascii="Calibri" w:hAnsi="Calibri" w:cs="Calibri"/>
                <w:sz w:val="22"/>
                <w:lang w:val="en"/>
              </w:rPr>
              <w:t>-</w:t>
            </w:r>
          </w:p>
        </w:tc>
      </w:tr>
      <w:tr w:rsidR="00B51828" w:rsidRPr="003760B8" w14:paraId="0B3671D0"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749DC480"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Hsu 2010</w:t>
            </w:r>
          </w:p>
        </w:tc>
        <w:tc>
          <w:tcPr>
            <w:tcW w:w="2268" w:type="dxa"/>
            <w:tcBorders>
              <w:top w:val="single" w:sz="2" w:space="0" w:color="000000"/>
              <w:left w:val="single" w:sz="2" w:space="0" w:color="000000"/>
              <w:bottom w:val="single" w:sz="2" w:space="0" w:color="000000"/>
              <w:right w:val="nil"/>
            </w:tcBorders>
            <w:shd w:val="clear" w:color="000000" w:fill="auto"/>
          </w:tcPr>
          <w:p w14:paraId="6388634D" w14:textId="77777777" w:rsidR="00B51828" w:rsidRPr="003760B8" w:rsidRDefault="00B51828" w:rsidP="00A15F7D">
            <w:pPr>
              <w:widowControl w:val="0"/>
              <w:suppressAutoHyphens/>
              <w:autoSpaceDE w:val="0"/>
              <w:autoSpaceDN w:val="0"/>
              <w:adjustRightInd w:val="0"/>
              <w:spacing w:before="20" w:after="20"/>
              <w:ind w:left="0"/>
              <w:rPr>
                <w:rFonts w:ascii="Arial Narrow" w:hAnsi="Arial Narrow" w:cs="Arial Narrow"/>
                <w:sz w:val="20"/>
                <w:szCs w:val="20"/>
                <w:lang w:val="en"/>
              </w:rPr>
            </w:pPr>
            <w:r w:rsidRPr="003760B8">
              <w:rPr>
                <w:rFonts w:ascii="Arial Narrow" w:hAnsi="Arial Narrow" w:cs="Arial Narrow"/>
                <w:sz w:val="20"/>
                <w:szCs w:val="20"/>
                <w:lang w:val="en"/>
              </w:rPr>
              <w:t>Anatomic pathology; any organ system</w:t>
            </w:r>
          </w:p>
          <w:p w14:paraId="0256641B"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N=2686 cases</w:t>
            </w:r>
          </w:p>
        </w:tc>
        <w:tc>
          <w:tcPr>
            <w:tcW w:w="2552" w:type="dxa"/>
            <w:tcBorders>
              <w:top w:val="single" w:sz="2" w:space="0" w:color="000000"/>
              <w:left w:val="single" w:sz="2" w:space="0" w:color="000000"/>
              <w:bottom w:val="single" w:sz="2" w:space="0" w:color="000000"/>
              <w:right w:val="nil"/>
            </w:tcBorders>
            <w:shd w:val="clear" w:color="000000" w:fill="auto"/>
          </w:tcPr>
          <w:p w14:paraId="474B1F33"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Major discrepancy in bone and soft tissue cases with a specific provisional diagnosis</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27F8B4A2" w14:textId="77777777" w:rsidR="00B51828" w:rsidRPr="003760B8" w:rsidRDefault="00B51828" w:rsidP="00DB4FF8">
            <w:pPr>
              <w:widowControl w:val="0"/>
              <w:suppressAutoHyphens/>
              <w:autoSpaceDE w:val="0"/>
              <w:autoSpaceDN w:val="0"/>
              <w:adjustRightInd w:val="0"/>
              <w:spacing w:before="20" w:after="20"/>
              <w:ind w:left="257"/>
              <w:jc w:val="right"/>
              <w:rPr>
                <w:rFonts w:ascii="Calibri" w:hAnsi="Calibri" w:cs="Calibri"/>
                <w:sz w:val="22"/>
                <w:lang w:val="en"/>
              </w:rPr>
            </w:pPr>
            <w:r w:rsidRPr="003760B8">
              <w:rPr>
                <w:rFonts w:ascii="Arial Narrow" w:hAnsi="Arial Narrow" w:cs="Arial Narrow"/>
                <w:sz w:val="20"/>
                <w:szCs w:val="20"/>
                <w:lang w:val="en"/>
              </w:rPr>
              <w:t>21/218 (9.6%)</w:t>
            </w:r>
          </w:p>
        </w:tc>
      </w:tr>
      <w:tr w:rsidR="00B51828" w:rsidRPr="003760B8" w14:paraId="637DA69B"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42B8EC90"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Arbiser 2001</w:t>
            </w:r>
          </w:p>
        </w:tc>
        <w:tc>
          <w:tcPr>
            <w:tcW w:w="2268" w:type="dxa"/>
            <w:tcBorders>
              <w:top w:val="single" w:sz="2" w:space="0" w:color="000000"/>
              <w:left w:val="single" w:sz="2" w:space="0" w:color="000000"/>
              <w:bottom w:val="single" w:sz="2" w:space="0" w:color="000000"/>
              <w:right w:val="nil"/>
            </w:tcBorders>
            <w:shd w:val="clear" w:color="000000" w:fill="auto"/>
          </w:tcPr>
          <w:p w14:paraId="4B582C66" w14:textId="77777777" w:rsidR="00B51828" w:rsidRPr="003760B8" w:rsidRDefault="00B51828" w:rsidP="00A15F7D">
            <w:pPr>
              <w:widowControl w:val="0"/>
              <w:suppressAutoHyphens/>
              <w:autoSpaceDE w:val="0"/>
              <w:autoSpaceDN w:val="0"/>
              <w:adjustRightInd w:val="0"/>
              <w:spacing w:before="20" w:after="20"/>
              <w:ind w:left="0"/>
              <w:rPr>
                <w:rFonts w:ascii="Arial Narrow" w:hAnsi="Arial Narrow" w:cs="Arial Narrow"/>
                <w:sz w:val="20"/>
                <w:szCs w:val="20"/>
                <w:lang w:val="en"/>
              </w:rPr>
            </w:pPr>
            <w:r w:rsidRPr="003760B8">
              <w:rPr>
                <w:rFonts w:ascii="Arial Narrow" w:hAnsi="Arial Narrow" w:cs="Arial Narrow"/>
                <w:sz w:val="20"/>
                <w:szCs w:val="20"/>
                <w:lang w:val="en"/>
              </w:rPr>
              <w:t xml:space="preserve">Soft tissue lesions </w:t>
            </w:r>
          </w:p>
          <w:p w14:paraId="10AC27F7"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N=500 cases</w:t>
            </w:r>
          </w:p>
        </w:tc>
        <w:tc>
          <w:tcPr>
            <w:tcW w:w="2552" w:type="dxa"/>
            <w:tcBorders>
              <w:top w:val="single" w:sz="2" w:space="0" w:color="000000"/>
              <w:left w:val="single" w:sz="2" w:space="0" w:color="000000"/>
              <w:bottom w:val="single" w:sz="2" w:space="0" w:color="000000"/>
              <w:right w:val="nil"/>
            </w:tcBorders>
            <w:shd w:val="clear" w:color="000000" w:fill="auto"/>
          </w:tcPr>
          <w:p w14:paraId="3785D937"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Major discrepancy</w:t>
            </w:r>
            <w:r w:rsidRPr="003760B8">
              <w:rPr>
                <w:rFonts w:ascii="Arial Narrow" w:hAnsi="Arial Narrow" w:cs="Arial Narrow"/>
                <w:sz w:val="20"/>
                <w:szCs w:val="20"/>
                <w:vertAlign w:val="superscript"/>
                <w:lang w:val="en"/>
              </w:rPr>
              <w:t xml:space="preserve"> </w:t>
            </w:r>
            <w:r w:rsidRPr="003760B8">
              <w:rPr>
                <w:rFonts w:ascii="Arial Narrow" w:hAnsi="Arial Narrow" w:cs="Arial Narrow"/>
                <w:sz w:val="20"/>
                <w:szCs w:val="20"/>
                <w:lang w:val="en"/>
              </w:rPr>
              <w:t xml:space="preserve">in cases with a provisional diagnosis </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24EAEC72" w14:textId="77777777" w:rsidR="00B51828" w:rsidRPr="003760B8" w:rsidRDefault="00B51828" w:rsidP="00DB4FF8">
            <w:pPr>
              <w:keepNext/>
              <w:widowControl w:val="0"/>
              <w:suppressAutoHyphens/>
              <w:autoSpaceDE w:val="0"/>
              <w:autoSpaceDN w:val="0"/>
              <w:adjustRightInd w:val="0"/>
              <w:spacing w:before="20" w:after="20"/>
              <w:ind w:left="257"/>
              <w:jc w:val="right"/>
              <w:rPr>
                <w:rFonts w:ascii="Calibri" w:hAnsi="Calibri" w:cs="Calibri"/>
                <w:sz w:val="22"/>
                <w:lang w:val="en"/>
              </w:rPr>
            </w:pPr>
            <w:r w:rsidRPr="003760B8">
              <w:rPr>
                <w:rFonts w:ascii="Arial Narrow" w:hAnsi="Arial Narrow" w:cs="Arial Narrow"/>
                <w:sz w:val="20"/>
                <w:szCs w:val="20"/>
                <w:lang w:val="en"/>
              </w:rPr>
              <w:t>65/266 (24.4%)</w:t>
            </w:r>
          </w:p>
        </w:tc>
      </w:tr>
      <w:tr w:rsidR="00B51828" w:rsidRPr="003760B8" w14:paraId="73FC0804"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666D764D"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Ray-Coquard 2012</w:t>
            </w:r>
          </w:p>
        </w:tc>
        <w:tc>
          <w:tcPr>
            <w:tcW w:w="2268" w:type="dxa"/>
            <w:tcBorders>
              <w:top w:val="single" w:sz="2" w:space="0" w:color="000000"/>
              <w:left w:val="single" w:sz="2" w:space="0" w:color="000000"/>
              <w:bottom w:val="single" w:sz="2" w:space="0" w:color="000000"/>
              <w:right w:val="nil"/>
            </w:tcBorders>
            <w:shd w:val="clear" w:color="000000" w:fill="auto"/>
          </w:tcPr>
          <w:p w14:paraId="10605AB1" w14:textId="77777777" w:rsidR="00B51828" w:rsidRPr="003760B8" w:rsidRDefault="00B51828" w:rsidP="00A15F7D">
            <w:pPr>
              <w:widowControl w:val="0"/>
              <w:suppressAutoHyphens/>
              <w:autoSpaceDE w:val="0"/>
              <w:autoSpaceDN w:val="0"/>
              <w:adjustRightInd w:val="0"/>
              <w:spacing w:before="20" w:after="20"/>
              <w:ind w:left="0"/>
              <w:rPr>
                <w:rFonts w:ascii="Arial Narrow" w:hAnsi="Arial Narrow" w:cs="Arial Narrow"/>
                <w:sz w:val="20"/>
                <w:szCs w:val="20"/>
                <w:lang w:val="en"/>
              </w:rPr>
            </w:pPr>
            <w:r w:rsidRPr="003760B8">
              <w:rPr>
                <w:rFonts w:ascii="Arial Narrow" w:hAnsi="Arial Narrow" w:cs="Arial Narrow"/>
                <w:sz w:val="20"/>
                <w:szCs w:val="20"/>
                <w:lang w:val="en"/>
              </w:rPr>
              <w:t xml:space="preserve">Soft tissue or visceral sarcoma </w:t>
            </w:r>
          </w:p>
          <w:p w14:paraId="5B83EF4C"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N=1463 cases</w:t>
            </w:r>
          </w:p>
        </w:tc>
        <w:tc>
          <w:tcPr>
            <w:tcW w:w="2552" w:type="dxa"/>
            <w:tcBorders>
              <w:top w:val="single" w:sz="2" w:space="0" w:color="000000"/>
              <w:left w:val="single" w:sz="2" w:space="0" w:color="000000"/>
              <w:bottom w:val="single" w:sz="2" w:space="0" w:color="000000"/>
              <w:right w:val="nil"/>
            </w:tcBorders>
            <w:shd w:val="clear" w:color="000000" w:fill="auto"/>
          </w:tcPr>
          <w:p w14:paraId="6F801CE2"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Zero agreement with initial diagnosis</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20E107FC" w14:textId="77777777" w:rsidR="00B51828" w:rsidRPr="003760B8" w:rsidRDefault="00B51828" w:rsidP="00DB4FF8">
            <w:pPr>
              <w:widowControl w:val="0"/>
              <w:suppressAutoHyphens/>
              <w:autoSpaceDE w:val="0"/>
              <w:autoSpaceDN w:val="0"/>
              <w:adjustRightInd w:val="0"/>
              <w:spacing w:before="20" w:after="20"/>
              <w:ind w:left="257"/>
              <w:jc w:val="right"/>
              <w:rPr>
                <w:rFonts w:ascii="Calibri" w:hAnsi="Calibri" w:cs="Calibri"/>
                <w:sz w:val="22"/>
                <w:lang w:val="en"/>
              </w:rPr>
            </w:pPr>
            <w:r w:rsidRPr="003760B8">
              <w:rPr>
                <w:rFonts w:ascii="Arial Narrow" w:hAnsi="Arial Narrow" w:cs="Arial Narrow"/>
                <w:sz w:val="20"/>
                <w:szCs w:val="20"/>
                <w:lang w:val="en"/>
              </w:rPr>
              <w:t>71/564 (12.6%)</w:t>
            </w:r>
          </w:p>
        </w:tc>
      </w:tr>
      <w:tr w:rsidR="00D74ADF" w:rsidRPr="00433AC2" w14:paraId="767EC5AD"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31DC0F32" w14:textId="77777777" w:rsidR="00D74ADF" w:rsidRPr="00845A5D" w:rsidRDefault="00D74ADF" w:rsidP="002101D2">
            <w:pPr>
              <w:keepNext/>
              <w:widowControl w:val="0"/>
              <w:suppressAutoHyphens/>
              <w:autoSpaceDE w:val="0"/>
              <w:autoSpaceDN w:val="0"/>
              <w:adjustRightInd w:val="0"/>
              <w:spacing w:before="20" w:after="20"/>
              <w:ind w:left="0"/>
              <w:rPr>
                <w:rFonts w:ascii="Calibri" w:hAnsi="Calibri" w:cs="Calibri"/>
                <w:b/>
                <w:i/>
                <w:sz w:val="22"/>
                <w:lang w:val="en"/>
              </w:rPr>
            </w:pPr>
            <w:r w:rsidRPr="00845A5D">
              <w:rPr>
                <w:rFonts w:ascii="Arial Narrow" w:hAnsi="Arial Narrow" w:cs="Arial Narrow"/>
                <w:b/>
                <w:i/>
                <w:sz w:val="20"/>
                <w:szCs w:val="20"/>
                <w:lang w:val="en"/>
              </w:rPr>
              <w:t>Average</w:t>
            </w:r>
          </w:p>
        </w:tc>
        <w:tc>
          <w:tcPr>
            <w:tcW w:w="2268" w:type="dxa"/>
            <w:tcBorders>
              <w:top w:val="single" w:sz="2" w:space="0" w:color="000000"/>
              <w:left w:val="single" w:sz="2" w:space="0" w:color="000000"/>
              <w:bottom w:val="single" w:sz="2" w:space="0" w:color="000000"/>
              <w:right w:val="nil"/>
            </w:tcBorders>
            <w:shd w:val="clear" w:color="000000" w:fill="auto"/>
          </w:tcPr>
          <w:p w14:paraId="5B776D90" w14:textId="76DBBC3D" w:rsidR="00D74ADF" w:rsidRPr="00845A5D" w:rsidRDefault="00D74ADF" w:rsidP="00A15F7D">
            <w:pPr>
              <w:keepNext/>
              <w:widowControl w:val="0"/>
              <w:suppressAutoHyphens/>
              <w:autoSpaceDE w:val="0"/>
              <w:autoSpaceDN w:val="0"/>
              <w:adjustRightInd w:val="0"/>
              <w:spacing w:before="20" w:after="20"/>
              <w:ind w:left="0"/>
              <w:rPr>
                <w:rFonts w:ascii="Calibri" w:hAnsi="Calibri" w:cs="Calibri"/>
                <w:b/>
                <w:i/>
                <w:sz w:val="22"/>
                <w:lang w:val="en"/>
              </w:rPr>
            </w:pPr>
            <w:r>
              <w:rPr>
                <w:rFonts w:ascii="Calibri" w:hAnsi="Calibri" w:cs="Calibri"/>
                <w:b/>
                <w:i/>
                <w:sz w:val="22"/>
                <w:lang w:val="en"/>
              </w:rPr>
              <w:t>-</w:t>
            </w:r>
          </w:p>
        </w:tc>
        <w:tc>
          <w:tcPr>
            <w:tcW w:w="2552" w:type="dxa"/>
            <w:tcBorders>
              <w:top w:val="single" w:sz="2" w:space="0" w:color="000000"/>
              <w:left w:val="single" w:sz="2" w:space="0" w:color="000000"/>
              <w:bottom w:val="single" w:sz="2" w:space="0" w:color="000000"/>
              <w:right w:val="nil"/>
            </w:tcBorders>
            <w:shd w:val="clear" w:color="000000" w:fill="auto"/>
          </w:tcPr>
          <w:p w14:paraId="26CC6782" w14:textId="66D17262" w:rsidR="00D74ADF" w:rsidRPr="00845A5D" w:rsidRDefault="00D74ADF" w:rsidP="00A15F7D">
            <w:pPr>
              <w:widowControl w:val="0"/>
              <w:suppressAutoHyphens/>
              <w:autoSpaceDE w:val="0"/>
              <w:autoSpaceDN w:val="0"/>
              <w:adjustRightInd w:val="0"/>
              <w:spacing w:before="20" w:after="20"/>
              <w:ind w:left="0"/>
              <w:rPr>
                <w:rFonts w:ascii="Calibri" w:hAnsi="Calibri" w:cs="Calibri"/>
                <w:b/>
                <w:i/>
                <w:sz w:val="22"/>
                <w:lang w:val="en"/>
              </w:rPr>
            </w:pPr>
            <w:r>
              <w:rPr>
                <w:rFonts w:ascii="Calibri" w:hAnsi="Calibri" w:cs="Calibri"/>
                <w:b/>
                <w:i/>
                <w:sz w:val="22"/>
                <w:lang w:val="en"/>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0AABA8FE" w14:textId="77777777" w:rsidR="00D74ADF" w:rsidRPr="00845A5D" w:rsidRDefault="00D74ADF" w:rsidP="00DB4FF8">
            <w:pPr>
              <w:keepNext/>
              <w:widowControl w:val="0"/>
              <w:suppressAutoHyphens/>
              <w:autoSpaceDE w:val="0"/>
              <w:autoSpaceDN w:val="0"/>
              <w:adjustRightInd w:val="0"/>
              <w:spacing w:before="20" w:after="20"/>
              <w:ind w:left="0"/>
              <w:jc w:val="right"/>
              <w:rPr>
                <w:rFonts w:ascii="Calibri" w:hAnsi="Calibri" w:cs="Calibri"/>
                <w:b/>
                <w:i/>
                <w:sz w:val="22"/>
                <w:lang w:val="en"/>
              </w:rPr>
            </w:pPr>
            <w:r w:rsidRPr="00845A5D">
              <w:rPr>
                <w:rFonts w:ascii="Arial Narrow" w:hAnsi="Arial Narrow" w:cs="Arial Narrow"/>
                <w:b/>
                <w:i/>
                <w:sz w:val="20"/>
                <w:szCs w:val="20"/>
                <w:lang w:val="en"/>
              </w:rPr>
              <w:t>157/1048 (15.0%)</w:t>
            </w:r>
          </w:p>
        </w:tc>
      </w:tr>
      <w:tr w:rsidR="00B51828" w:rsidRPr="003760B8" w14:paraId="7417246C"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C0C0C0"/>
          </w:tcPr>
          <w:p w14:paraId="787280E5" w14:textId="77777777" w:rsidR="00B51828" w:rsidRPr="00265D96"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265D96">
              <w:rPr>
                <w:rFonts w:ascii="Arial Narrow" w:hAnsi="Arial Narrow" w:cs="Arial Narrow"/>
                <w:sz w:val="20"/>
                <w:szCs w:val="20"/>
                <w:lang w:val="en"/>
              </w:rPr>
              <w:t>Dermatology</w:t>
            </w:r>
          </w:p>
        </w:tc>
        <w:tc>
          <w:tcPr>
            <w:tcW w:w="2268" w:type="dxa"/>
            <w:tcBorders>
              <w:top w:val="single" w:sz="2" w:space="0" w:color="000000"/>
              <w:left w:val="single" w:sz="2" w:space="0" w:color="000000"/>
              <w:bottom w:val="single" w:sz="2" w:space="0" w:color="000000"/>
              <w:right w:val="nil"/>
            </w:tcBorders>
            <w:shd w:val="clear" w:color="000000" w:fill="C0C0C0"/>
          </w:tcPr>
          <w:p w14:paraId="5BC7C58E" w14:textId="77777777" w:rsidR="00B51828" w:rsidRPr="00265D96" w:rsidRDefault="00B51828" w:rsidP="00A15F7D">
            <w:pPr>
              <w:keepNext/>
              <w:widowControl w:val="0"/>
              <w:suppressAutoHyphens/>
              <w:autoSpaceDE w:val="0"/>
              <w:autoSpaceDN w:val="0"/>
              <w:adjustRightInd w:val="0"/>
              <w:spacing w:before="20" w:after="20"/>
              <w:ind w:left="0"/>
              <w:rPr>
                <w:rFonts w:ascii="Calibri" w:hAnsi="Calibri" w:cs="Calibri"/>
                <w:sz w:val="22"/>
                <w:lang w:val="en"/>
              </w:rPr>
            </w:pPr>
            <w:r>
              <w:rPr>
                <w:rFonts w:ascii="Calibri" w:hAnsi="Calibri" w:cs="Calibri"/>
                <w:sz w:val="22"/>
                <w:lang w:val="en"/>
              </w:rPr>
              <w:t>-</w:t>
            </w:r>
          </w:p>
        </w:tc>
        <w:tc>
          <w:tcPr>
            <w:tcW w:w="2552" w:type="dxa"/>
            <w:tcBorders>
              <w:top w:val="single" w:sz="2" w:space="0" w:color="000000"/>
              <w:left w:val="single" w:sz="2" w:space="0" w:color="000000"/>
              <w:bottom w:val="single" w:sz="2" w:space="0" w:color="000000"/>
              <w:right w:val="nil"/>
            </w:tcBorders>
            <w:shd w:val="clear" w:color="000000" w:fill="C0C0C0"/>
          </w:tcPr>
          <w:p w14:paraId="19F2B5E0" w14:textId="77777777" w:rsidR="00B51828" w:rsidRPr="00265D96" w:rsidRDefault="00B51828" w:rsidP="00A15F7D">
            <w:pPr>
              <w:keepNext/>
              <w:widowControl w:val="0"/>
              <w:suppressAutoHyphens/>
              <w:autoSpaceDE w:val="0"/>
              <w:autoSpaceDN w:val="0"/>
              <w:adjustRightInd w:val="0"/>
              <w:spacing w:before="20" w:after="20"/>
              <w:ind w:left="0"/>
              <w:rPr>
                <w:rFonts w:ascii="Calibri" w:hAnsi="Calibri" w:cs="Calibri"/>
                <w:sz w:val="22"/>
                <w:lang w:val="en"/>
              </w:rPr>
            </w:pPr>
            <w:r>
              <w:rPr>
                <w:rFonts w:ascii="Calibri" w:hAnsi="Calibri" w:cs="Calibri"/>
                <w:sz w:val="22"/>
                <w:lang w:val="en"/>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C0C0C0"/>
          </w:tcPr>
          <w:p w14:paraId="0F380B53" w14:textId="16602E8A" w:rsidR="00B51828" w:rsidRPr="00265D96" w:rsidRDefault="00A15F7D" w:rsidP="00DB4FF8">
            <w:pPr>
              <w:keepNext/>
              <w:widowControl w:val="0"/>
              <w:suppressAutoHyphens/>
              <w:autoSpaceDE w:val="0"/>
              <w:autoSpaceDN w:val="0"/>
              <w:adjustRightInd w:val="0"/>
              <w:spacing w:before="20" w:after="20"/>
              <w:ind w:left="0"/>
              <w:jc w:val="right"/>
              <w:rPr>
                <w:rFonts w:ascii="Calibri" w:hAnsi="Calibri" w:cs="Calibri"/>
                <w:sz w:val="22"/>
                <w:lang w:val="en"/>
              </w:rPr>
            </w:pPr>
            <w:r>
              <w:rPr>
                <w:rFonts w:ascii="Calibri" w:hAnsi="Calibri" w:cs="Calibri"/>
                <w:sz w:val="22"/>
                <w:lang w:val="en"/>
              </w:rPr>
              <w:t>-</w:t>
            </w:r>
          </w:p>
        </w:tc>
      </w:tr>
      <w:tr w:rsidR="00B51828" w:rsidRPr="003760B8" w14:paraId="3DA76F23"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36DD490F"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Hsu 2010</w:t>
            </w:r>
          </w:p>
        </w:tc>
        <w:tc>
          <w:tcPr>
            <w:tcW w:w="2268" w:type="dxa"/>
            <w:tcBorders>
              <w:top w:val="single" w:sz="2" w:space="0" w:color="000000"/>
              <w:left w:val="single" w:sz="2" w:space="0" w:color="000000"/>
              <w:bottom w:val="single" w:sz="2" w:space="0" w:color="000000"/>
              <w:right w:val="nil"/>
            </w:tcBorders>
            <w:shd w:val="clear" w:color="000000" w:fill="auto"/>
          </w:tcPr>
          <w:p w14:paraId="624887CF" w14:textId="77777777" w:rsidR="00B51828" w:rsidRPr="003760B8" w:rsidRDefault="00B51828" w:rsidP="00A15F7D">
            <w:pPr>
              <w:widowControl w:val="0"/>
              <w:suppressAutoHyphens/>
              <w:autoSpaceDE w:val="0"/>
              <w:autoSpaceDN w:val="0"/>
              <w:adjustRightInd w:val="0"/>
              <w:spacing w:before="20" w:after="20"/>
              <w:ind w:left="0"/>
              <w:rPr>
                <w:rFonts w:ascii="Arial Narrow" w:hAnsi="Arial Narrow" w:cs="Arial Narrow"/>
                <w:sz w:val="20"/>
                <w:szCs w:val="20"/>
                <w:lang w:val="en"/>
              </w:rPr>
            </w:pPr>
            <w:r w:rsidRPr="003760B8">
              <w:rPr>
                <w:rFonts w:ascii="Arial Narrow" w:hAnsi="Arial Narrow" w:cs="Arial Narrow"/>
                <w:sz w:val="20"/>
                <w:szCs w:val="20"/>
                <w:lang w:val="en"/>
              </w:rPr>
              <w:t>Anatomic pathology; any organ system</w:t>
            </w:r>
          </w:p>
          <w:p w14:paraId="138EF55B"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N=2686 cases</w:t>
            </w:r>
          </w:p>
        </w:tc>
        <w:tc>
          <w:tcPr>
            <w:tcW w:w="2552" w:type="dxa"/>
            <w:tcBorders>
              <w:top w:val="single" w:sz="2" w:space="0" w:color="000000"/>
              <w:left w:val="single" w:sz="2" w:space="0" w:color="000000"/>
              <w:bottom w:val="single" w:sz="2" w:space="0" w:color="000000"/>
              <w:right w:val="nil"/>
            </w:tcBorders>
            <w:shd w:val="clear" w:color="000000" w:fill="auto"/>
          </w:tcPr>
          <w:p w14:paraId="6E675FC6" w14:textId="77777777" w:rsidR="00B51828" w:rsidRPr="003760B8" w:rsidRDefault="00B51828" w:rsidP="00A15F7D">
            <w:pPr>
              <w:widowControl w:val="0"/>
              <w:suppressAutoHyphens/>
              <w:autoSpaceDE w:val="0"/>
              <w:autoSpaceDN w:val="0"/>
              <w:adjustRightInd w:val="0"/>
              <w:spacing w:before="20" w:after="20"/>
              <w:ind w:left="0"/>
              <w:rPr>
                <w:rFonts w:ascii="Arial Narrow" w:hAnsi="Arial Narrow" w:cs="Arial Narrow"/>
                <w:sz w:val="20"/>
                <w:szCs w:val="20"/>
                <w:lang w:val="en"/>
              </w:rPr>
            </w:pPr>
            <w:r w:rsidRPr="003760B8">
              <w:rPr>
                <w:rFonts w:ascii="Arial Narrow" w:hAnsi="Arial Narrow" w:cs="Arial Narrow"/>
                <w:sz w:val="20"/>
                <w:szCs w:val="20"/>
                <w:lang w:val="en"/>
              </w:rPr>
              <w:t>Major discrepancy in skin (dermatology) cases with a specific provisional diagnosis</w:t>
            </w:r>
          </w:p>
          <w:p w14:paraId="0ED22638" w14:textId="77777777" w:rsidR="00B51828" w:rsidRPr="003760B8" w:rsidRDefault="00B51828" w:rsidP="00A15F7D">
            <w:pPr>
              <w:widowControl w:val="0"/>
              <w:suppressAutoHyphens/>
              <w:autoSpaceDE w:val="0"/>
              <w:autoSpaceDN w:val="0"/>
              <w:adjustRightInd w:val="0"/>
              <w:spacing w:before="20" w:after="20"/>
              <w:rPr>
                <w:rFonts w:ascii="Calibri" w:hAnsi="Calibri" w:cs="Calibri"/>
                <w:sz w:val="22"/>
                <w:lang w:val="en"/>
              </w:rPr>
            </w:pP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2F10EC6A" w14:textId="77777777" w:rsidR="00B51828" w:rsidRPr="003760B8" w:rsidRDefault="00B51828" w:rsidP="00DB4FF8">
            <w:pPr>
              <w:widowControl w:val="0"/>
              <w:suppressAutoHyphens/>
              <w:autoSpaceDE w:val="0"/>
              <w:autoSpaceDN w:val="0"/>
              <w:adjustRightInd w:val="0"/>
              <w:spacing w:before="20" w:after="20"/>
              <w:ind w:left="257"/>
              <w:jc w:val="right"/>
              <w:rPr>
                <w:rFonts w:ascii="Arial Narrow" w:hAnsi="Arial Narrow" w:cs="Arial Narrow"/>
                <w:sz w:val="20"/>
                <w:szCs w:val="20"/>
                <w:lang w:val="en"/>
              </w:rPr>
            </w:pPr>
            <w:r w:rsidRPr="003760B8">
              <w:rPr>
                <w:rFonts w:ascii="Arial Narrow" w:hAnsi="Arial Narrow" w:cs="Arial Narrow"/>
                <w:sz w:val="20"/>
                <w:szCs w:val="20"/>
                <w:lang w:val="en"/>
              </w:rPr>
              <w:t>44/286 (15.4%)</w:t>
            </w:r>
          </w:p>
          <w:p w14:paraId="374A6F95" w14:textId="77777777" w:rsidR="00B51828" w:rsidRPr="003760B8" w:rsidRDefault="00B51828" w:rsidP="00DB4FF8">
            <w:pPr>
              <w:keepNext/>
              <w:widowControl w:val="0"/>
              <w:suppressAutoHyphens/>
              <w:autoSpaceDE w:val="0"/>
              <w:autoSpaceDN w:val="0"/>
              <w:adjustRightInd w:val="0"/>
              <w:spacing w:before="20" w:after="20"/>
              <w:jc w:val="right"/>
              <w:rPr>
                <w:rFonts w:ascii="Calibri" w:hAnsi="Calibri" w:cs="Calibri"/>
                <w:sz w:val="22"/>
                <w:lang w:val="en"/>
              </w:rPr>
            </w:pPr>
          </w:p>
        </w:tc>
      </w:tr>
      <w:tr w:rsidR="00B51828" w:rsidRPr="003760B8" w14:paraId="5A124F7C"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5B5F5A8B"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Gaudi 2013</w:t>
            </w:r>
          </w:p>
        </w:tc>
        <w:tc>
          <w:tcPr>
            <w:tcW w:w="2268" w:type="dxa"/>
            <w:tcBorders>
              <w:top w:val="single" w:sz="2" w:space="0" w:color="000000"/>
              <w:left w:val="single" w:sz="2" w:space="0" w:color="000000"/>
              <w:bottom w:val="single" w:sz="2" w:space="0" w:color="000000"/>
              <w:right w:val="nil"/>
            </w:tcBorders>
            <w:shd w:val="clear" w:color="000000" w:fill="auto"/>
          </w:tcPr>
          <w:p w14:paraId="7421759D" w14:textId="77777777" w:rsidR="00B51828" w:rsidRPr="003760B8" w:rsidRDefault="00B51828" w:rsidP="00A15F7D">
            <w:pPr>
              <w:widowControl w:val="0"/>
              <w:suppressAutoHyphens/>
              <w:autoSpaceDE w:val="0"/>
              <w:autoSpaceDN w:val="0"/>
              <w:adjustRightInd w:val="0"/>
              <w:spacing w:before="20" w:after="20"/>
              <w:ind w:left="0"/>
              <w:rPr>
                <w:rFonts w:ascii="Arial Narrow" w:hAnsi="Arial Narrow" w:cs="Arial Narrow"/>
                <w:sz w:val="20"/>
                <w:szCs w:val="20"/>
                <w:lang w:val="en"/>
              </w:rPr>
            </w:pPr>
            <w:r w:rsidRPr="003760B8">
              <w:rPr>
                <w:rFonts w:ascii="Arial Narrow" w:hAnsi="Arial Narrow" w:cs="Arial Narrow"/>
                <w:sz w:val="20"/>
                <w:szCs w:val="20"/>
                <w:lang w:val="en"/>
              </w:rPr>
              <w:t>Dermatopathology</w:t>
            </w:r>
          </w:p>
          <w:p w14:paraId="42A9F030"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N=405 cases</w:t>
            </w:r>
          </w:p>
        </w:tc>
        <w:tc>
          <w:tcPr>
            <w:tcW w:w="2552" w:type="dxa"/>
            <w:tcBorders>
              <w:top w:val="single" w:sz="2" w:space="0" w:color="000000"/>
              <w:left w:val="single" w:sz="2" w:space="0" w:color="000000"/>
              <w:bottom w:val="single" w:sz="2" w:space="0" w:color="000000"/>
              <w:right w:val="nil"/>
            </w:tcBorders>
            <w:shd w:val="clear" w:color="000000" w:fill="auto"/>
          </w:tcPr>
          <w:p w14:paraId="0C702780"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Major discrepancy (malignant-benign and benign-malignant only)</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45A8069B" w14:textId="77777777" w:rsidR="00B51828" w:rsidRPr="003760B8" w:rsidRDefault="00B51828" w:rsidP="00DB4FF8">
            <w:pPr>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sz w:val="20"/>
                <w:szCs w:val="20"/>
                <w:lang w:val="en"/>
              </w:rPr>
              <w:t>24/354 (6.8%)</w:t>
            </w:r>
          </w:p>
        </w:tc>
      </w:tr>
      <w:tr w:rsidR="00B51828" w:rsidRPr="003760B8" w14:paraId="0788D953"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0B802676"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van Dijk 2008</w:t>
            </w:r>
          </w:p>
        </w:tc>
        <w:tc>
          <w:tcPr>
            <w:tcW w:w="2268" w:type="dxa"/>
            <w:tcBorders>
              <w:top w:val="single" w:sz="2" w:space="0" w:color="000000"/>
              <w:left w:val="single" w:sz="2" w:space="0" w:color="000000"/>
              <w:bottom w:val="single" w:sz="2" w:space="0" w:color="000000"/>
              <w:right w:val="nil"/>
            </w:tcBorders>
            <w:shd w:val="clear" w:color="000000" w:fill="auto"/>
          </w:tcPr>
          <w:p w14:paraId="4E502B3F" w14:textId="77777777" w:rsidR="00B51828" w:rsidRPr="003760B8" w:rsidRDefault="00B51828" w:rsidP="00A15F7D">
            <w:pPr>
              <w:widowControl w:val="0"/>
              <w:suppressAutoHyphens/>
              <w:autoSpaceDE w:val="0"/>
              <w:autoSpaceDN w:val="0"/>
              <w:adjustRightInd w:val="0"/>
              <w:spacing w:before="20" w:after="20"/>
              <w:ind w:left="0"/>
              <w:rPr>
                <w:rFonts w:ascii="Arial Narrow" w:hAnsi="Arial Narrow" w:cs="Arial Narrow"/>
                <w:sz w:val="20"/>
                <w:szCs w:val="20"/>
                <w:lang w:val="en"/>
              </w:rPr>
            </w:pPr>
            <w:r w:rsidRPr="003760B8">
              <w:rPr>
                <w:rFonts w:ascii="Arial Narrow" w:hAnsi="Arial Narrow" w:cs="Arial Narrow"/>
                <w:sz w:val="20"/>
                <w:szCs w:val="20"/>
                <w:lang w:val="en"/>
              </w:rPr>
              <w:t>Cutaneous melanocytic lesions</w:t>
            </w:r>
          </w:p>
          <w:p w14:paraId="7497FA6F"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N=1837 </w:t>
            </w:r>
          </w:p>
        </w:tc>
        <w:tc>
          <w:tcPr>
            <w:tcW w:w="2552" w:type="dxa"/>
            <w:tcBorders>
              <w:top w:val="single" w:sz="2" w:space="0" w:color="000000"/>
              <w:left w:val="single" w:sz="2" w:space="0" w:color="000000"/>
              <w:bottom w:val="single" w:sz="2" w:space="0" w:color="000000"/>
              <w:right w:val="nil"/>
            </w:tcBorders>
            <w:shd w:val="clear" w:color="000000" w:fill="auto"/>
          </w:tcPr>
          <w:p w14:paraId="056F5968"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Major discrepancy in cases with a provisional diagnosis</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1BC59F9C" w14:textId="77777777" w:rsidR="00B51828" w:rsidRPr="003760B8" w:rsidRDefault="00B51828" w:rsidP="00DB4FF8">
            <w:pPr>
              <w:widowControl w:val="0"/>
              <w:suppressAutoHyphens/>
              <w:autoSpaceDE w:val="0"/>
              <w:autoSpaceDN w:val="0"/>
              <w:adjustRightInd w:val="0"/>
              <w:spacing w:before="20" w:after="20"/>
              <w:ind w:left="257" w:hanging="142"/>
              <w:jc w:val="right"/>
              <w:rPr>
                <w:rFonts w:ascii="Calibri" w:hAnsi="Calibri" w:cs="Calibri"/>
                <w:sz w:val="22"/>
                <w:lang w:val="en"/>
              </w:rPr>
            </w:pPr>
            <w:r w:rsidRPr="003760B8">
              <w:rPr>
                <w:rFonts w:ascii="Arial Narrow" w:hAnsi="Arial Narrow" w:cs="Arial Narrow"/>
                <w:sz w:val="20"/>
                <w:szCs w:val="20"/>
                <w:lang w:val="en"/>
              </w:rPr>
              <w:t>322/1217 (26.5%)</w:t>
            </w:r>
          </w:p>
        </w:tc>
      </w:tr>
      <w:tr w:rsidR="00B51828" w:rsidRPr="003760B8" w14:paraId="1716AF70"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2805FABA"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Veenhuizen 1997</w:t>
            </w:r>
          </w:p>
        </w:tc>
        <w:tc>
          <w:tcPr>
            <w:tcW w:w="2268" w:type="dxa"/>
            <w:tcBorders>
              <w:top w:val="single" w:sz="2" w:space="0" w:color="000000"/>
              <w:left w:val="single" w:sz="2" w:space="0" w:color="000000"/>
              <w:bottom w:val="single" w:sz="2" w:space="0" w:color="000000"/>
              <w:right w:val="nil"/>
            </w:tcBorders>
            <w:shd w:val="clear" w:color="000000" w:fill="auto"/>
          </w:tcPr>
          <w:p w14:paraId="0870868B" w14:textId="77777777" w:rsidR="00B51828" w:rsidRPr="003760B8" w:rsidRDefault="00B51828" w:rsidP="00A15F7D">
            <w:pPr>
              <w:keepNext/>
              <w:widowControl w:val="0"/>
              <w:suppressAutoHyphens/>
              <w:autoSpaceDE w:val="0"/>
              <w:autoSpaceDN w:val="0"/>
              <w:adjustRightInd w:val="0"/>
              <w:spacing w:before="20" w:after="20"/>
              <w:ind w:left="0"/>
              <w:rPr>
                <w:rFonts w:ascii="Arial Narrow" w:hAnsi="Arial Narrow" w:cs="Arial Narrow"/>
                <w:sz w:val="20"/>
                <w:szCs w:val="20"/>
                <w:lang w:val="en"/>
              </w:rPr>
            </w:pPr>
            <w:r w:rsidRPr="003760B8">
              <w:rPr>
                <w:rFonts w:ascii="Arial Narrow" w:hAnsi="Arial Narrow" w:cs="Arial Narrow"/>
                <w:sz w:val="20"/>
                <w:szCs w:val="20"/>
                <w:lang w:val="en"/>
              </w:rPr>
              <w:t>Skin lesions</w:t>
            </w:r>
          </w:p>
          <w:p w14:paraId="5FE63539" w14:textId="77777777" w:rsidR="00B51828" w:rsidRPr="003760B8" w:rsidRDefault="00B51828" w:rsidP="00A15F7D">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N=1069</w:t>
            </w:r>
          </w:p>
        </w:tc>
        <w:tc>
          <w:tcPr>
            <w:tcW w:w="2552" w:type="dxa"/>
            <w:tcBorders>
              <w:top w:val="single" w:sz="2" w:space="0" w:color="000000"/>
              <w:left w:val="single" w:sz="2" w:space="0" w:color="000000"/>
              <w:bottom w:val="single" w:sz="2" w:space="0" w:color="000000"/>
              <w:right w:val="nil"/>
            </w:tcBorders>
            <w:shd w:val="clear" w:color="000000" w:fill="auto"/>
          </w:tcPr>
          <w:p w14:paraId="1D94A46D" w14:textId="77777777" w:rsidR="00B51828" w:rsidRPr="003760B8" w:rsidRDefault="00B51828" w:rsidP="00A15F7D">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Major discrepancy</w:t>
            </w:r>
            <w:r w:rsidRPr="003760B8">
              <w:rPr>
                <w:rFonts w:ascii="Arial Narrow" w:hAnsi="Arial Narrow" w:cs="Arial Narrow"/>
                <w:sz w:val="20"/>
                <w:szCs w:val="20"/>
                <w:vertAlign w:val="superscript"/>
                <w:lang w:val="en"/>
              </w:rPr>
              <w:t xml:space="preserve"> </w:t>
            </w:r>
            <w:r w:rsidRPr="003760B8">
              <w:rPr>
                <w:rFonts w:ascii="Arial Narrow" w:hAnsi="Arial Narrow" w:cs="Arial Narrow"/>
                <w:sz w:val="20"/>
                <w:szCs w:val="20"/>
                <w:lang w:val="en"/>
              </w:rPr>
              <w:t>in cases with a provisional diagnosis</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6A749F78" w14:textId="77777777" w:rsidR="00B51828" w:rsidRPr="003760B8" w:rsidRDefault="00B51828" w:rsidP="00DB4FF8">
            <w:pPr>
              <w:keepNext/>
              <w:widowControl w:val="0"/>
              <w:suppressAutoHyphens/>
              <w:autoSpaceDE w:val="0"/>
              <w:autoSpaceDN w:val="0"/>
              <w:adjustRightInd w:val="0"/>
              <w:spacing w:before="20" w:after="20"/>
              <w:ind w:hanging="605"/>
              <w:jc w:val="right"/>
              <w:rPr>
                <w:rFonts w:ascii="Calibri" w:hAnsi="Calibri" w:cs="Calibri"/>
                <w:sz w:val="22"/>
                <w:lang w:val="en"/>
              </w:rPr>
            </w:pPr>
            <w:r w:rsidRPr="003760B8">
              <w:rPr>
                <w:rFonts w:ascii="Arial Narrow" w:hAnsi="Arial Narrow" w:cs="Arial Narrow"/>
                <w:sz w:val="20"/>
                <w:szCs w:val="20"/>
                <w:lang w:val="en"/>
              </w:rPr>
              <w:t>185/798 (23.2%)</w:t>
            </w:r>
          </w:p>
        </w:tc>
      </w:tr>
      <w:tr w:rsidR="00D74ADF" w:rsidRPr="003760B8" w14:paraId="6C5E17B4" w14:textId="77777777" w:rsidTr="00DB4FF8">
        <w:trPr>
          <w:trHeight w:val="1"/>
        </w:trPr>
        <w:tc>
          <w:tcPr>
            <w:tcW w:w="1701" w:type="dxa"/>
            <w:tcBorders>
              <w:top w:val="single" w:sz="2" w:space="0" w:color="000000"/>
              <w:left w:val="single" w:sz="2" w:space="0" w:color="000000"/>
              <w:bottom w:val="single" w:sz="2" w:space="0" w:color="000000"/>
              <w:right w:val="nil"/>
            </w:tcBorders>
            <w:shd w:val="clear" w:color="000000" w:fill="auto"/>
          </w:tcPr>
          <w:p w14:paraId="0808E430" w14:textId="70C0466E" w:rsidR="00D74ADF" w:rsidRPr="00D74ADF" w:rsidRDefault="00D74ADF" w:rsidP="002101D2">
            <w:pPr>
              <w:widowControl w:val="0"/>
              <w:suppressAutoHyphens/>
              <w:autoSpaceDE w:val="0"/>
              <w:autoSpaceDN w:val="0"/>
              <w:adjustRightInd w:val="0"/>
              <w:spacing w:before="20" w:after="20"/>
              <w:ind w:left="0"/>
              <w:rPr>
                <w:rFonts w:ascii="Arial Narrow" w:hAnsi="Arial Narrow" w:cs="Arial Narrow"/>
                <w:b/>
                <w:i/>
                <w:sz w:val="20"/>
                <w:szCs w:val="20"/>
                <w:lang w:val="en"/>
              </w:rPr>
            </w:pPr>
            <w:r>
              <w:rPr>
                <w:rFonts w:ascii="Arial Narrow" w:hAnsi="Arial Narrow" w:cs="Arial Narrow"/>
                <w:b/>
                <w:i/>
                <w:sz w:val="20"/>
                <w:szCs w:val="20"/>
                <w:lang w:val="en"/>
              </w:rPr>
              <w:t>Average</w:t>
            </w:r>
          </w:p>
        </w:tc>
        <w:tc>
          <w:tcPr>
            <w:tcW w:w="2268" w:type="dxa"/>
            <w:tcBorders>
              <w:top w:val="single" w:sz="2" w:space="0" w:color="000000"/>
              <w:left w:val="single" w:sz="2" w:space="0" w:color="000000"/>
              <w:bottom w:val="single" w:sz="2" w:space="0" w:color="000000"/>
              <w:right w:val="nil"/>
            </w:tcBorders>
            <w:shd w:val="clear" w:color="000000" w:fill="auto"/>
          </w:tcPr>
          <w:p w14:paraId="5826C534" w14:textId="1B5AD57C" w:rsidR="00D74ADF" w:rsidRPr="003760B8" w:rsidRDefault="00D74ADF" w:rsidP="00A15F7D">
            <w:pPr>
              <w:keepNext/>
              <w:widowControl w:val="0"/>
              <w:suppressAutoHyphens/>
              <w:autoSpaceDE w:val="0"/>
              <w:autoSpaceDN w:val="0"/>
              <w:adjustRightInd w:val="0"/>
              <w:spacing w:before="20" w:after="20"/>
              <w:ind w:left="0"/>
              <w:rPr>
                <w:rFonts w:ascii="Arial Narrow" w:hAnsi="Arial Narrow" w:cs="Arial Narrow"/>
                <w:sz w:val="20"/>
                <w:szCs w:val="20"/>
                <w:lang w:val="en"/>
              </w:rPr>
            </w:pPr>
            <w:r>
              <w:rPr>
                <w:rFonts w:ascii="Arial Narrow" w:hAnsi="Arial Narrow" w:cs="Arial Narrow"/>
                <w:sz w:val="20"/>
                <w:szCs w:val="20"/>
                <w:lang w:val="en"/>
              </w:rPr>
              <w:t>-</w:t>
            </w:r>
          </w:p>
        </w:tc>
        <w:tc>
          <w:tcPr>
            <w:tcW w:w="2552" w:type="dxa"/>
            <w:tcBorders>
              <w:top w:val="single" w:sz="2" w:space="0" w:color="000000"/>
              <w:left w:val="single" w:sz="2" w:space="0" w:color="000000"/>
              <w:bottom w:val="single" w:sz="2" w:space="0" w:color="000000"/>
              <w:right w:val="nil"/>
            </w:tcBorders>
            <w:shd w:val="clear" w:color="000000" w:fill="auto"/>
          </w:tcPr>
          <w:p w14:paraId="626830F8" w14:textId="06BCC2B4" w:rsidR="00D74ADF" w:rsidRPr="003760B8" w:rsidRDefault="00D74ADF" w:rsidP="00A15F7D">
            <w:pPr>
              <w:keepNext/>
              <w:widowControl w:val="0"/>
              <w:suppressAutoHyphens/>
              <w:autoSpaceDE w:val="0"/>
              <w:autoSpaceDN w:val="0"/>
              <w:adjustRightInd w:val="0"/>
              <w:spacing w:before="20" w:after="20"/>
              <w:ind w:left="0"/>
              <w:rPr>
                <w:rFonts w:ascii="Arial Narrow" w:hAnsi="Arial Narrow" w:cs="Arial Narrow"/>
                <w:sz w:val="20"/>
                <w:szCs w:val="20"/>
                <w:lang w:val="en"/>
              </w:rPr>
            </w:pPr>
            <w:r>
              <w:rPr>
                <w:rFonts w:ascii="Arial Narrow" w:hAnsi="Arial Narrow" w:cs="Arial Narrow"/>
                <w:sz w:val="20"/>
                <w:szCs w:val="20"/>
                <w:lang w:val="en"/>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522B90C8" w14:textId="31E87F59" w:rsidR="00D74ADF" w:rsidRPr="003760B8" w:rsidRDefault="00D74ADF" w:rsidP="00DB4FF8">
            <w:pPr>
              <w:keepNext/>
              <w:widowControl w:val="0"/>
              <w:suppressAutoHyphens/>
              <w:autoSpaceDE w:val="0"/>
              <w:autoSpaceDN w:val="0"/>
              <w:adjustRightInd w:val="0"/>
              <w:spacing w:before="20" w:after="20"/>
              <w:ind w:hanging="605"/>
              <w:jc w:val="right"/>
              <w:rPr>
                <w:rFonts w:ascii="Arial Narrow" w:hAnsi="Arial Narrow" w:cs="Arial Narrow"/>
                <w:sz w:val="20"/>
                <w:szCs w:val="20"/>
                <w:lang w:val="en"/>
              </w:rPr>
            </w:pPr>
            <w:r w:rsidRPr="00845A5D">
              <w:rPr>
                <w:rFonts w:ascii="Arial Narrow" w:hAnsi="Arial Narrow" w:cs="Arial Narrow"/>
                <w:b/>
                <w:i/>
                <w:sz w:val="20"/>
                <w:szCs w:val="20"/>
                <w:lang w:val="en"/>
              </w:rPr>
              <w:t>575/2655 (21.7%)</w:t>
            </w:r>
          </w:p>
        </w:tc>
      </w:tr>
    </w:tbl>
    <w:p w14:paraId="315DB09A" w14:textId="44C4F95F" w:rsidR="00B51828" w:rsidRPr="00F8363F" w:rsidRDefault="00B51828" w:rsidP="00DB4FF8">
      <w:pPr>
        <w:spacing w:before="20"/>
        <w:rPr>
          <w:rFonts w:ascii="Arial Narrow" w:hAnsi="Arial Narrow" w:cs="Arial Narrow"/>
          <w:sz w:val="18"/>
          <w:szCs w:val="18"/>
          <w:lang w:val="en"/>
        </w:rPr>
      </w:pPr>
      <w:r w:rsidRPr="00F8363F">
        <w:rPr>
          <w:rFonts w:ascii="Arial Narrow" w:hAnsi="Arial Narrow" w:cs="Arial Narrow"/>
          <w:sz w:val="18"/>
          <w:szCs w:val="18"/>
          <w:lang w:val="en"/>
        </w:rPr>
        <w:t xml:space="preserve">Source: </w:t>
      </w:r>
      <w:r w:rsidRPr="00F8363F">
        <w:rPr>
          <w:rFonts w:ascii="Arial Narrow" w:hAnsi="Arial Narrow" w:cs="Arial Narrow"/>
          <w:sz w:val="18"/>
          <w:szCs w:val="18"/>
          <w:lang w:val="en"/>
        </w:rPr>
        <w:fldChar w:fldCharType="begin"/>
      </w:r>
      <w:r w:rsidRPr="00F8363F">
        <w:rPr>
          <w:rFonts w:ascii="Arial Narrow" w:hAnsi="Arial Narrow" w:cs="Arial Narrow"/>
          <w:sz w:val="18"/>
          <w:szCs w:val="18"/>
          <w:lang w:val="en"/>
        </w:rPr>
        <w:instrText xml:space="preserve"> REF _Ref395256161 \h  \* MERGEFORMAT </w:instrText>
      </w:r>
      <w:r w:rsidRPr="00F8363F">
        <w:rPr>
          <w:rFonts w:ascii="Arial Narrow" w:hAnsi="Arial Narrow" w:cs="Arial Narrow"/>
          <w:sz w:val="18"/>
          <w:szCs w:val="18"/>
          <w:lang w:val="en"/>
        </w:rPr>
      </w:r>
      <w:r w:rsidRPr="00F8363F">
        <w:rPr>
          <w:rFonts w:ascii="Arial Narrow" w:hAnsi="Arial Narrow" w:cs="Arial Narrow"/>
          <w:sz w:val="18"/>
          <w:szCs w:val="18"/>
          <w:lang w:val="en"/>
        </w:rPr>
        <w:fldChar w:fldCharType="separate"/>
      </w:r>
      <w:r w:rsidR="0044620B" w:rsidRPr="0044620B">
        <w:rPr>
          <w:rFonts w:ascii="Arial Narrow" w:hAnsi="Arial Narrow" w:cs="Arial Narrow"/>
          <w:sz w:val="18"/>
          <w:szCs w:val="18"/>
          <w:lang w:val="en"/>
        </w:rPr>
        <w:t>Table B.6</w:t>
      </w:r>
      <w:r w:rsidR="0044620B" w:rsidRPr="0044620B">
        <w:rPr>
          <w:rFonts w:ascii="Arial Narrow" w:hAnsi="Arial Narrow" w:cs="Arial Narrow"/>
          <w:sz w:val="18"/>
          <w:szCs w:val="18"/>
          <w:lang w:val="en"/>
        </w:rPr>
        <w:noBreakHyphen/>
        <w:t>5</w:t>
      </w:r>
      <w:r w:rsidRPr="00F8363F">
        <w:rPr>
          <w:rFonts w:ascii="Arial Narrow" w:hAnsi="Arial Narrow" w:cs="Arial Narrow"/>
          <w:sz w:val="18"/>
          <w:szCs w:val="18"/>
          <w:lang w:val="en"/>
        </w:rPr>
        <w:fldChar w:fldCharType="end"/>
      </w:r>
      <w:r w:rsidR="005E5757">
        <w:rPr>
          <w:rFonts w:ascii="Arial Narrow" w:hAnsi="Arial Narrow" w:cs="Arial Narrow"/>
          <w:sz w:val="18"/>
          <w:szCs w:val="18"/>
          <w:lang w:val="en"/>
        </w:rPr>
        <w:t xml:space="preserve"> of the Assessment Report</w:t>
      </w:r>
    </w:p>
    <w:p w14:paraId="724CD40A" w14:textId="77777777" w:rsidR="00B51828" w:rsidRDefault="00B51828" w:rsidP="002101D2">
      <w:pPr>
        <w:rPr>
          <w:rFonts w:cs="Garamond"/>
          <w:szCs w:val="24"/>
          <w:lang w:val="en"/>
        </w:rPr>
      </w:pPr>
      <w:r>
        <w:rPr>
          <w:rFonts w:cs="Garamond"/>
          <w:szCs w:val="24"/>
          <w:lang w:val="en"/>
        </w:rPr>
        <w:t xml:space="preserve">Additionally, a sensitivity analysis of the base case was undertaken to examine the impact of the structural assumption of including major discrepancies with provisional diagnoses only. Both Cook et al (2001) and Hsu et al (2010) also report data relating to cases with no initial diagnosis. As it is not possible to determine what clinical management would have been initiated in the absence of second, expert opinion, these data were omitted from the base case. In a sensitivity analysis, however, the impact of their inclusion is assessed. In the case of Cook et al (2001), there were 13 cases with no initial diagnosis; in the case of Hsu et al (2010), there were seven cases. In both instances, these were added to the numerator and the denominator to recalculate the major discrepancy rates (see </w:t>
      </w:r>
      <w:r>
        <w:rPr>
          <w:rFonts w:cs="Garamond"/>
          <w:szCs w:val="24"/>
          <w:lang w:val="en"/>
        </w:rPr>
        <w:fldChar w:fldCharType="begin"/>
      </w:r>
      <w:r>
        <w:rPr>
          <w:rFonts w:cs="Garamond"/>
          <w:szCs w:val="24"/>
          <w:lang w:val="en"/>
        </w:rPr>
        <w:instrText xml:space="preserve"> REF _Ref393294781 \h </w:instrText>
      </w:r>
      <w:r>
        <w:rPr>
          <w:rFonts w:cs="Garamond"/>
          <w:szCs w:val="24"/>
          <w:lang w:val="en"/>
        </w:rPr>
      </w:r>
      <w:r>
        <w:rPr>
          <w:rFonts w:cs="Garamond"/>
          <w:szCs w:val="24"/>
          <w:lang w:val="en"/>
        </w:rPr>
        <w:fldChar w:fldCharType="separate"/>
      </w:r>
      <w:r w:rsidR="0044620B">
        <w:t xml:space="preserve">Table </w:t>
      </w:r>
      <w:r w:rsidR="0044620B">
        <w:rPr>
          <w:noProof/>
        </w:rPr>
        <w:t>D.5</w:t>
      </w:r>
      <w:r w:rsidR="0044620B">
        <w:noBreakHyphen/>
      </w:r>
      <w:r w:rsidR="0044620B">
        <w:rPr>
          <w:noProof/>
        </w:rPr>
        <w:t>3</w:t>
      </w:r>
      <w:r>
        <w:rPr>
          <w:rFonts w:cs="Garamond"/>
          <w:szCs w:val="24"/>
          <w:lang w:val="en"/>
        </w:rPr>
        <w:fldChar w:fldCharType="end"/>
      </w:r>
      <w:r>
        <w:rPr>
          <w:rFonts w:cs="Garamond"/>
          <w:szCs w:val="24"/>
          <w:lang w:val="en"/>
        </w:rPr>
        <w:t>). The underlying assumption, albeit unrealistic, is that a diagnosis can be rendered by second, expert opinion in all cases where there is no initial pathology opinion, and that this diagnosis is associated with a change in clinical management.</w:t>
      </w:r>
    </w:p>
    <w:p w14:paraId="086F8A82" w14:textId="77777777" w:rsidR="00B51828" w:rsidRDefault="00B51828" w:rsidP="002101D2">
      <w:pPr>
        <w:pStyle w:val="Caption"/>
      </w:pPr>
      <w:bookmarkStart w:id="231" w:name="_Ref393294781"/>
      <w:bookmarkStart w:id="232" w:name="_Toc396211763"/>
      <w:r>
        <w:lastRenderedPageBreak/>
        <w:t xml:space="preserve">Table </w:t>
      </w:r>
      <w:fldSimple w:instr=" STYLEREF 2 \s ">
        <w:r w:rsidR="0044620B">
          <w:rPr>
            <w:noProof/>
          </w:rPr>
          <w:t>D.5</w:t>
        </w:r>
      </w:fldSimple>
      <w:r>
        <w:noBreakHyphen/>
      </w:r>
      <w:fldSimple w:instr=" SEQ Table \* ARABIC \s 2 ">
        <w:r w:rsidR="0044620B">
          <w:rPr>
            <w:noProof/>
          </w:rPr>
          <w:t>3</w:t>
        </w:r>
      </w:fldSimple>
      <w:bookmarkEnd w:id="231"/>
      <w:r>
        <w:tab/>
        <w:t>Major discrepancies with provisional diagnosis applied to sensitivity analysis, no initial diagnosis data included</w:t>
      </w:r>
      <w:bookmarkEnd w:id="232"/>
    </w:p>
    <w:tbl>
      <w:tblPr>
        <w:tblW w:w="8222" w:type="dxa"/>
        <w:tblInd w:w="706" w:type="dxa"/>
        <w:tblLayout w:type="fixed"/>
        <w:tblCellMar>
          <w:left w:w="57" w:type="dxa"/>
          <w:right w:w="57" w:type="dxa"/>
        </w:tblCellMar>
        <w:tblLook w:val="0000" w:firstRow="0" w:lastRow="0" w:firstColumn="0" w:lastColumn="0" w:noHBand="0" w:noVBand="0"/>
        <w:tblCaption w:val="Major discrepancies with provisional diagnosis applied to sensitivity analysis, no initial diagnosis data included"/>
        <w:tblDescription w:val="The major discrepancy rates reported by two studies of all surgical pathology specimens. Cases with no initial diagnosis were added to the numerator and denominator to recalculate major discrepancy rates. "/>
      </w:tblPr>
      <w:tblGrid>
        <w:gridCol w:w="1602"/>
        <w:gridCol w:w="2257"/>
        <w:gridCol w:w="2662"/>
        <w:gridCol w:w="1701"/>
      </w:tblGrid>
      <w:tr w:rsidR="00B51828" w:rsidRPr="003760B8" w14:paraId="2E6B6CCC" w14:textId="77777777" w:rsidTr="00E61184">
        <w:trPr>
          <w:trHeight w:val="1"/>
          <w:tblHeader/>
        </w:trPr>
        <w:tc>
          <w:tcPr>
            <w:tcW w:w="1602" w:type="dxa"/>
            <w:tcBorders>
              <w:top w:val="single" w:sz="2" w:space="0" w:color="000000"/>
              <w:left w:val="single" w:sz="2" w:space="0" w:color="000000"/>
              <w:bottom w:val="single" w:sz="2" w:space="0" w:color="000000"/>
              <w:right w:val="nil"/>
            </w:tcBorders>
            <w:shd w:val="clear" w:color="000000" w:fill="auto"/>
          </w:tcPr>
          <w:p w14:paraId="3A214EE8" w14:textId="77777777" w:rsidR="00B51828" w:rsidRPr="003760B8" w:rsidRDefault="00B51828" w:rsidP="002101D2">
            <w:pPr>
              <w:keepNext/>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b/>
                <w:bCs/>
                <w:sz w:val="20"/>
                <w:szCs w:val="20"/>
                <w:lang w:val="en"/>
              </w:rPr>
              <w:t>Study ID</w:t>
            </w:r>
          </w:p>
        </w:tc>
        <w:tc>
          <w:tcPr>
            <w:tcW w:w="2257" w:type="dxa"/>
            <w:tcBorders>
              <w:top w:val="single" w:sz="2" w:space="0" w:color="000000"/>
              <w:left w:val="single" w:sz="2" w:space="0" w:color="000000"/>
              <w:bottom w:val="single" w:sz="2" w:space="0" w:color="000000"/>
              <w:right w:val="nil"/>
            </w:tcBorders>
            <w:shd w:val="clear" w:color="000000" w:fill="auto"/>
          </w:tcPr>
          <w:p w14:paraId="2ADCDE2B" w14:textId="77777777" w:rsidR="00B51828" w:rsidRPr="003760B8" w:rsidRDefault="00B51828" w:rsidP="002101D2">
            <w:pPr>
              <w:keepNext/>
              <w:widowControl w:val="0"/>
              <w:suppressAutoHyphens/>
              <w:autoSpaceDE w:val="0"/>
              <w:autoSpaceDN w:val="0"/>
              <w:adjustRightInd w:val="0"/>
              <w:spacing w:before="20" w:after="20"/>
              <w:ind w:left="0"/>
              <w:jc w:val="center"/>
              <w:rPr>
                <w:rFonts w:ascii="Calibri" w:hAnsi="Calibri" w:cs="Calibri"/>
                <w:sz w:val="22"/>
                <w:lang w:val="en"/>
              </w:rPr>
            </w:pPr>
            <w:r w:rsidRPr="003760B8">
              <w:rPr>
                <w:rFonts w:ascii="Arial Narrow" w:hAnsi="Arial Narrow" w:cs="Arial Narrow"/>
                <w:b/>
                <w:bCs/>
                <w:sz w:val="20"/>
                <w:szCs w:val="20"/>
                <w:lang w:val="en"/>
              </w:rPr>
              <w:t>Population (N)</w:t>
            </w:r>
          </w:p>
        </w:tc>
        <w:tc>
          <w:tcPr>
            <w:tcW w:w="2662" w:type="dxa"/>
            <w:tcBorders>
              <w:top w:val="single" w:sz="2" w:space="0" w:color="000000"/>
              <w:left w:val="single" w:sz="2" w:space="0" w:color="000000"/>
              <w:bottom w:val="single" w:sz="2" w:space="0" w:color="000000"/>
              <w:right w:val="nil"/>
            </w:tcBorders>
            <w:shd w:val="clear" w:color="000000" w:fill="auto"/>
          </w:tcPr>
          <w:p w14:paraId="7643E0D3" w14:textId="77777777" w:rsidR="00B51828" w:rsidRPr="003760B8" w:rsidRDefault="00B51828" w:rsidP="002101D2">
            <w:pPr>
              <w:keepNext/>
              <w:widowControl w:val="0"/>
              <w:suppressAutoHyphens/>
              <w:autoSpaceDE w:val="0"/>
              <w:autoSpaceDN w:val="0"/>
              <w:adjustRightInd w:val="0"/>
              <w:spacing w:before="20" w:after="20"/>
              <w:ind w:left="0"/>
              <w:jc w:val="center"/>
              <w:rPr>
                <w:rFonts w:ascii="Calibri" w:hAnsi="Calibri" w:cs="Calibri"/>
                <w:sz w:val="22"/>
                <w:lang w:val="en"/>
              </w:rPr>
            </w:pPr>
            <w:r w:rsidRPr="003760B8">
              <w:rPr>
                <w:rFonts w:ascii="Arial Narrow" w:hAnsi="Arial Narrow" w:cs="Arial Narrow"/>
                <w:b/>
                <w:bCs/>
                <w:sz w:val="20"/>
                <w:szCs w:val="20"/>
                <w:lang w:val="en"/>
              </w:rPr>
              <w:t>Outcome</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2514EA40" w14:textId="77777777" w:rsidR="00B51828" w:rsidRPr="003760B8" w:rsidRDefault="00B51828" w:rsidP="00E61184">
            <w:pPr>
              <w:keepNext/>
              <w:widowControl w:val="0"/>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Results n/N (%)</w:t>
            </w:r>
            <w:r w:rsidRPr="00046B41">
              <w:rPr>
                <w:rFonts w:ascii="Arial Narrow" w:hAnsi="Arial Narrow" w:cs="Arial Narrow"/>
                <w:b/>
                <w:bCs/>
                <w:sz w:val="20"/>
                <w:szCs w:val="20"/>
                <w:vertAlign w:val="superscript"/>
                <w:lang w:val="en"/>
              </w:rPr>
              <w:t>a</w:t>
            </w:r>
          </w:p>
        </w:tc>
      </w:tr>
      <w:tr w:rsidR="00B51828" w:rsidRPr="003760B8" w14:paraId="3DF7E885" w14:textId="77777777" w:rsidTr="00E61184">
        <w:trPr>
          <w:trHeight w:val="1"/>
        </w:trPr>
        <w:tc>
          <w:tcPr>
            <w:tcW w:w="1602" w:type="dxa"/>
            <w:tcBorders>
              <w:top w:val="single" w:sz="2" w:space="0" w:color="000000"/>
              <w:left w:val="single" w:sz="2" w:space="0" w:color="000000"/>
              <w:bottom w:val="single" w:sz="2" w:space="0" w:color="000000"/>
              <w:right w:val="nil"/>
            </w:tcBorders>
            <w:shd w:val="clear" w:color="000000" w:fill="auto"/>
          </w:tcPr>
          <w:p w14:paraId="6A3995E3" w14:textId="77777777" w:rsidR="00B51828" w:rsidRPr="007A70F2" w:rsidRDefault="00B51828" w:rsidP="002101D2">
            <w:pPr>
              <w:keepNext/>
              <w:widowControl w:val="0"/>
              <w:suppressAutoHyphens/>
              <w:autoSpaceDE w:val="0"/>
              <w:autoSpaceDN w:val="0"/>
              <w:adjustRightInd w:val="0"/>
              <w:spacing w:before="20" w:after="20"/>
              <w:ind w:left="0"/>
              <w:rPr>
                <w:rFonts w:ascii="Calibri" w:hAnsi="Calibri" w:cs="Calibri"/>
                <w:sz w:val="20"/>
                <w:szCs w:val="20"/>
                <w:lang w:val="en"/>
              </w:rPr>
            </w:pPr>
            <w:r w:rsidRPr="007A70F2">
              <w:rPr>
                <w:rFonts w:ascii="Arial Narrow" w:hAnsi="Arial Narrow" w:cs="Arial Narrow"/>
                <w:sz w:val="20"/>
                <w:szCs w:val="20"/>
                <w:lang w:val="en"/>
              </w:rPr>
              <w:t>Cook 2001</w:t>
            </w:r>
          </w:p>
        </w:tc>
        <w:tc>
          <w:tcPr>
            <w:tcW w:w="2257" w:type="dxa"/>
            <w:tcBorders>
              <w:top w:val="single" w:sz="2" w:space="0" w:color="000000"/>
              <w:left w:val="single" w:sz="2" w:space="0" w:color="000000"/>
              <w:bottom w:val="single" w:sz="2" w:space="0" w:color="000000"/>
              <w:right w:val="nil"/>
            </w:tcBorders>
            <w:shd w:val="clear" w:color="000000" w:fill="auto"/>
          </w:tcPr>
          <w:p w14:paraId="3E38261E" w14:textId="77777777" w:rsidR="00B51828" w:rsidRPr="007A70F2" w:rsidRDefault="00B51828" w:rsidP="002101D2">
            <w:pPr>
              <w:keepNext/>
              <w:widowControl w:val="0"/>
              <w:suppressAutoHyphens/>
              <w:autoSpaceDE w:val="0"/>
              <w:autoSpaceDN w:val="0"/>
              <w:adjustRightInd w:val="0"/>
              <w:spacing w:before="20" w:after="20"/>
              <w:ind w:left="0"/>
              <w:rPr>
                <w:rFonts w:ascii="Arial Narrow" w:hAnsi="Arial Narrow" w:cs="Arial Narrow"/>
                <w:sz w:val="20"/>
                <w:szCs w:val="20"/>
                <w:lang w:val="en"/>
              </w:rPr>
            </w:pPr>
            <w:r w:rsidRPr="007A70F2">
              <w:rPr>
                <w:rFonts w:ascii="Arial Narrow" w:hAnsi="Arial Narrow" w:cs="Arial Narrow"/>
                <w:sz w:val="20"/>
                <w:szCs w:val="20"/>
                <w:lang w:val="en"/>
              </w:rPr>
              <w:t>All histopathology; any organ system</w:t>
            </w:r>
          </w:p>
          <w:p w14:paraId="0B1B2205" w14:textId="77777777" w:rsidR="00B51828" w:rsidRPr="007A70F2" w:rsidRDefault="00B51828" w:rsidP="002101D2">
            <w:pPr>
              <w:keepNext/>
              <w:widowControl w:val="0"/>
              <w:suppressAutoHyphens/>
              <w:autoSpaceDE w:val="0"/>
              <w:autoSpaceDN w:val="0"/>
              <w:adjustRightInd w:val="0"/>
              <w:spacing w:before="20" w:after="20"/>
              <w:ind w:left="0"/>
              <w:rPr>
                <w:rFonts w:ascii="Calibri" w:hAnsi="Calibri" w:cs="Calibri"/>
                <w:sz w:val="20"/>
                <w:szCs w:val="20"/>
                <w:lang w:val="en"/>
              </w:rPr>
            </w:pPr>
            <w:r w:rsidRPr="007A70F2">
              <w:rPr>
                <w:rFonts w:ascii="Arial Narrow" w:hAnsi="Arial Narrow" w:cs="Arial Narrow"/>
                <w:sz w:val="20"/>
                <w:szCs w:val="20"/>
                <w:lang w:val="en"/>
              </w:rPr>
              <w:t>N=128 cases</w:t>
            </w:r>
          </w:p>
        </w:tc>
        <w:tc>
          <w:tcPr>
            <w:tcW w:w="2662" w:type="dxa"/>
            <w:tcBorders>
              <w:top w:val="single" w:sz="2" w:space="0" w:color="000000"/>
              <w:left w:val="single" w:sz="2" w:space="0" w:color="000000"/>
              <w:bottom w:val="single" w:sz="2" w:space="0" w:color="000000"/>
              <w:right w:val="nil"/>
            </w:tcBorders>
            <w:shd w:val="clear" w:color="000000" w:fill="auto"/>
          </w:tcPr>
          <w:p w14:paraId="2AF4DA7B" w14:textId="77777777" w:rsidR="00B51828" w:rsidRPr="007A70F2" w:rsidRDefault="00B51828" w:rsidP="002101D2">
            <w:pPr>
              <w:keepNext/>
              <w:widowControl w:val="0"/>
              <w:suppressAutoHyphens/>
              <w:autoSpaceDE w:val="0"/>
              <w:autoSpaceDN w:val="0"/>
              <w:adjustRightInd w:val="0"/>
              <w:spacing w:before="20" w:after="20"/>
              <w:ind w:left="0"/>
              <w:rPr>
                <w:rFonts w:ascii="Calibri" w:hAnsi="Calibri" w:cs="Calibri"/>
                <w:sz w:val="20"/>
                <w:szCs w:val="20"/>
                <w:lang w:val="en"/>
              </w:rPr>
            </w:pPr>
            <w:r w:rsidRPr="007A70F2">
              <w:rPr>
                <w:rFonts w:ascii="Arial Narrow" w:hAnsi="Arial Narrow" w:cs="Arial Narrow"/>
                <w:sz w:val="20"/>
                <w:szCs w:val="20"/>
                <w:lang w:val="en"/>
              </w:rPr>
              <w:t>Major discrepancy in cases with provisional diagnosis</w:t>
            </w:r>
            <w:r>
              <w:rPr>
                <w:rFonts w:ascii="Arial Narrow" w:hAnsi="Arial Narrow" w:cs="Arial Narrow"/>
                <w:sz w:val="20"/>
                <w:szCs w:val="20"/>
                <w:lang w:val="en"/>
              </w:rPr>
              <w:t xml:space="preserve"> or no initial diagnosis</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0E6E7129" w14:textId="77777777" w:rsidR="00B51828" w:rsidRPr="007A70F2" w:rsidRDefault="00B51828" w:rsidP="002101D2">
            <w:pPr>
              <w:keepNext/>
              <w:widowControl w:val="0"/>
              <w:suppressAutoHyphens/>
              <w:autoSpaceDE w:val="0"/>
              <w:autoSpaceDN w:val="0"/>
              <w:adjustRightInd w:val="0"/>
              <w:spacing w:before="20" w:after="20"/>
              <w:ind w:left="0"/>
              <w:jc w:val="right"/>
              <w:rPr>
                <w:rFonts w:ascii="Calibri" w:hAnsi="Calibri" w:cs="Calibri"/>
                <w:sz w:val="20"/>
                <w:szCs w:val="20"/>
                <w:lang w:val="en"/>
              </w:rPr>
            </w:pPr>
            <w:r w:rsidRPr="007A70F2">
              <w:rPr>
                <w:rFonts w:ascii="Arial Narrow" w:hAnsi="Arial Narrow" w:cs="Arial Narrow"/>
                <w:sz w:val="20"/>
                <w:szCs w:val="20"/>
                <w:lang w:val="en"/>
              </w:rPr>
              <w:t>23/68 (33.8%)</w:t>
            </w:r>
          </w:p>
        </w:tc>
      </w:tr>
      <w:tr w:rsidR="00B51828" w:rsidRPr="003760B8" w14:paraId="33282503" w14:textId="77777777" w:rsidTr="00E61184">
        <w:trPr>
          <w:trHeight w:val="1"/>
        </w:trPr>
        <w:tc>
          <w:tcPr>
            <w:tcW w:w="1602" w:type="dxa"/>
            <w:tcBorders>
              <w:top w:val="single" w:sz="2" w:space="0" w:color="000000"/>
              <w:left w:val="single" w:sz="2" w:space="0" w:color="000000"/>
              <w:bottom w:val="single" w:sz="2" w:space="0" w:color="000000"/>
              <w:right w:val="nil"/>
            </w:tcBorders>
            <w:shd w:val="clear" w:color="000000" w:fill="auto"/>
          </w:tcPr>
          <w:p w14:paraId="6A9FF9C0" w14:textId="77777777" w:rsidR="00B51828" w:rsidRPr="007A70F2" w:rsidRDefault="00B51828" w:rsidP="002101D2">
            <w:pPr>
              <w:keepNext/>
              <w:widowControl w:val="0"/>
              <w:suppressAutoHyphens/>
              <w:autoSpaceDE w:val="0"/>
              <w:autoSpaceDN w:val="0"/>
              <w:adjustRightInd w:val="0"/>
              <w:spacing w:before="20" w:after="20"/>
              <w:ind w:left="0"/>
              <w:rPr>
                <w:rFonts w:ascii="Calibri" w:hAnsi="Calibri" w:cs="Calibri"/>
                <w:sz w:val="20"/>
                <w:szCs w:val="20"/>
                <w:lang w:val="en"/>
              </w:rPr>
            </w:pPr>
            <w:r w:rsidRPr="007A70F2">
              <w:rPr>
                <w:rFonts w:ascii="Arial Narrow" w:hAnsi="Arial Narrow" w:cs="Arial Narrow"/>
                <w:sz w:val="20"/>
                <w:szCs w:val="20"/>
                <w:lang w:val="en"/>
              </w:rPr>
              <w:t>Hsu 2010</w:t>
            </w:r>
          </w:p>
        </w:tc>
        <w:tc>
          <w:tcPr>
            <w:tcW w:w="2257" w:type="dxa"/>
            <w:tcBorders>
              <w:top w:val="single" w:sz="2" w:space="0" w:color="000000"/>
              <w:left w:val="single" w:sz="2" w:space="0" w:color="000000"/>
              <w:bottom w:val="single" w:sz="2" w:space="0" w:color="000000"/>
              <w:right w:val="nil"/>
            </w:tcBorders>
            <w:shd w:val="clear" w:color="000000" w:fill="auto"/>
          </w:tcPr>
          <w:p w14:paraId="163D26E0" w14:textId="77777777" w:rsidR="00B51828" w:rsidRPr="007A70F2" w:rsidRDefault="00B51828" w:rsidP="002101D2">
            <w:pPr>
              <w:keepNext/>
              <w:widowControl w:val="0"/>
              <w:suppressAutoHyphens/>
              <w:autoSpaceDE w:val="0"/>
              <w:autoSpaceDN w:val="0"/>
              <w:adjustRightInd w:val="0"/>
              <w:spacing w:before="20" w:after="20"/>
              <w:ind w:left="0"/>
              <w:rPr>
                <w:rFonts w:ascii="Arial Narrow" w:hAnsi="Arial Narrow" w:cs="Arial Narrow"/>
                <w:sz w:val="20"/>
                <w:szCs w:val="20"/>
                <w:lang w:val="en"/>
              </w:rPr>
            </w:pPr>
            <w:r w:rsidRPr="007A70F2">
              <w:rPr>
                <w:rFonts w:ascii="Arial Narrow" w:hAnsi="Arial Narrow" w:cs="Arial Narrow"/>
                <w:sz w:val="20"/>
                <w:szCs w:val="20"/>
                <w:lang w:val="en"/>
              </w:rPr>
              <w:t>Anatomic pathology; any organ system</w:t>
            </w:r>
          </w:p>
          <w:p w14:paraId="430916F9" w14:textId="77777777" w:rsidR="00B51828" w:rsidRPr="007A70F2" w:rsidRDefault="00B51828" w:rsidP="002101D2">
            <w:pPr>
              <w:keepNext/>
              <w:widowControl w:val="0"/>
              <w:suppressAutoHyphens/>
              <w:autoSpaceDE w:val="0"/>
              <w:autoSpaceDN w:val="0"/>
              <w:adjustRightInd w:val="0"/>
              <w:spacing w:before="20" w:after="20"/>
              <w:ind w:left="0"/>
              <w:rPr>
                <w:rFonts w:ascii="Calibri" w:hAnsi="Calibri" w:cs="Calibri"/>
                <w:sz w:val="20"/>
                <w:szCs w:val="20"/>
                <w:lang w:val="en"/>
              </w:rPr>
            </w:pPr>
            <w:r w:rsidRPr="007A70F2">
              <w:rPr>
                <w:rFonts w:ascii="Arial Narrow" w:hAnsi="Arial Narrow" w:cs="Arial Narrow"/>
                <w:sz w:val="20"/>
                <w:szCs w:val="20"/>
                <w:lang w:val="en"/>
              </w:rPr>
              <w:t>N=2686 cases</w:t>
            </w:r>
          </w:p>
        </w:tc>
        <w:tc>
          <w:tcPr>
            <w:tcW w:w="2662" w:type="dxa"/>
            <w:tcBorders>
              <w:top w:val="single" w:sz="2" w:space="0" w:color="000000"/>
              <w:left w:val="single" w:sz="2" w:space="0" w:color="000000"/>
              <w:bottom w:val="single" w:sz="2" w:space="0" w:color="000000"/>
              <w:right w:val="nil"/>
            </w:tcBorders>
            <w:shd w:val="clear" w:color="000000" w:fill="auto"/>
          </w:tcPr>
          <w:p w14:paraId="4EC31FC1" w14:textId="77777777" w:rsidR="00B51828" w:rsidRPr="007A70F2" w:rsidRDefault="00B51828" w:rsidP="002101D2">
            <w:pPr>
              <w:keepNext/>
              <w:widowControl w:val="0"/>
              <w:suppressAutoHyphens/>
              <w:autoSpaceDE w:val="0"/>
              <w:autoSpaceDN w:val="0"/>
              <w:adjustRightInd w:val="0"/>
              <w:spacing w:before="20" w:after="20"/>
              <w:ind w:left="0"/>
              <w:rPr>
                <w:rFonts w:ascii="Calibri" w:hAnsi="Calibri" w:cs="Calibri"/>
                <w:sz w:val="20"/>
                <w:szCs w:val="20"/>
                <w:lang w:val="en"/>
              </w:rPr>
            </w:pPr>
            <w:r w:rsidRPr="007A70F2">
              <w:rPr>
                <w:rFonts w:ascii="Arial Narrow" w:hAnsi="Arial Narrow" w:cs="Arial Narrow"/>
                <w:sz w:val="20"/>
                <w:szCs w:val="20"/>
                <w:lang w:val="en"/>
              </w:rPr>
              <w:t>Major discrepancy in cases with a 'specific' provisional diagnosis</w:t>
            </w:r>
            <w:r>
              <w:rPr>
                <w:rFonts w:ascii="Arial Narrow" w:hAnsi="Arial Narrow" w:cs="Arial Narrow"/>
                <w:sz w:val="20"/>
                <w:szCs w:val="20"/>
                <w:lang w:val="en"/>
              </w:rPr>
              <w:t xml:space="preserve"> or no initial diagnosis</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2EA60C07" w14:textId="77777777" w:rsidR="00B51828" w:rsidRPr="007A70F2" w:rsidRDefault="00B51828" w:rsidP="002101D2">
            <w:pPr>
              <w:keepNext/>
              <w:widowControl w:val="0"/>
              <w:suppressAutoHyphens/>
              <w:autoSpaceDE w:val="0"/>
              <w:autoSpaceDN w:val="0"/>
              <w:adjustRightInd w:val="0"/>
              <w:spacing w:before="20" w:after="20"/>
              <w:ind w:left="0"/>
              <w:jc w:val="right"/>
              <w:rPr>
                <w:rFonts w:ascii="Calibri" w:hAnsi="Calibri" w:cs="Calibri"/>
                <w:sz w:val="20"/>
                <w:szCs w:val="20"/>
                <w:lang w:val="en"/>
              </w:rPr>
            </w:pPr>
            <w:r w:rsidRPr="007A70F2">
              <w:rPr>
                <w:rFonts w:ascii="Arial Narrow" w:hAnsi="Arial Narrow" w:cs="Arial Narrow"/>
                <w:sz w:val="20"/>
                <w:szCs w:val="20"/>
                <w:lang w:val="en"/>
              </w:rPr>
              <w:t>212/1677 (12.6%)</w:t>
            </w:r>
          </w:p>
        </w:tc>
      </w:tr>
      <w:tr w:rsidR="00D74ADF" w:rsidRPr="003760B8" w14:paraId="33DDEDBB" w14:textId="77777777" w:rsidTr="00E61184">
        <w:trPr>
          <w:trHeight w:val="1"/>
        </w:trPr>
        <w:tc>
          <w:tcPr>
            <w:tcW w:w="1602" w:type="dxa"/>
            <w:tcBorders>
              <w:top w:val="single" w:sz="2" w:space="0" w:color="000000"/>
              <w:left w:val="single" w:sz="2" w:space="0" w:color="000000"/>
              <w:bottom w:val="single" w:sz="2" w:space="0" w:color="000000"/>
              <w:right w:val="nil"/>
            </w:tcBorders>
            <w:shd w:val="clear" w:color="000000" w:fill="auto"/>
          </w:tcPr>
          <w:p w14:paraId="7D40EDA3" w14:textId="7A723426" w:rsidR="00D74ADF" w:rsidRPr="007A70F2" w:rsidRDefault="00D74ADF" w:rsidP="002101D2">
            <w:pPr>
              <w:keepNext/>
              <w:widowControl w:val="0"/>
              <w:suppressAutoHyphens/>
              <w:autoSpaceDE w:val="0"/>
              <w:autoSpaceDN w:val="0"/>
              <w:adjustRightInd w:val="0"/>
              <w:spacing w:before="20" w:after="20"/>
              <w:ind w:left="0"/>
              <w:rPr>
                <w:rFonts w:ascii="Arial Narrow" w:hAnsi="Arial Narrow" w:cs="Arial Narrow"/>
                <w:sz w:val="20"/>
                <w:szCs w:val="20"/>
                <w:lang w:val="en"/>
              </w:rPr>
            </w:pPr>
            <w:r w:rsidRPr="00845A5D">
              <w:rPr>
                <w:rFonts w:ascii="Arial Narrow" w:hAnsi="Arial Narrow" w:cs="Arial Narrow"/>
                <w:b/>
                <w:i/>
                <w:sz w:val="20"/>
                <w:szCs w:val="20"/>
                <w:lang w:val="en"/>
              </w:rPr>
              <w:t>Average</w:t>
            </w:r>
          </w:p>
        </w:tc>
        <w:tc>
          <w:tcPr>
            <w:tcW w:w="2257" w:type="dxa"/>
            <w:tcBorders>
              <w:top w:val="single" w:sz="2" w:space="0" w:color="000000"/>
              <w:left w:val="single" w:sz="2" w:space="0" w:color="000000"/>
              <w:bottom w:val="single" w:sz="2" w:space="0" w:color="000000"/>
              <w:right w:val="nil"/>
            </w:tcBorders>
            <w:shd w:val="clear" w:color="000000" w:fill="auto"/>
          </w:tcPr>
          <w:p w14:paraId="3EE974BC" w14:textId="74434FC0" w:rsidR="00D74ADF" w:rsidRPr="007A70F2" w:rsidRDefault="00D74ADF" w:rsidP="00A15F7D">
            <w:pPr>
              <w:keepNext/>
              <w:widowControl w:val="0"/>
              <w:suppressAutoHyphens/>
              <w:autoSpaceDE w:val="0"/>
              <w:autoSpaceDN w:val="0"/>
              <w:adjustRightInd w:val="0"/>
              <w:spacing w:before="20" w:after="20"/>
              <w:ind w:left="0"/>
              <w:rPr>
                <w:rFonts w:ascii="Arial Narrow" w:hAnsi="Arial Narrow" w:cs="Arial Narrow"/>
                <w:sz w:val="20"/>
                <w:szCs w:val="20"/>
                <w:lang w:val="en"/>
              </w:rPr>
            </w:pPr>
            <w:r>
              <w:rPr>
                <w:rFonts w:ascii="Arial Narrow" w:hAnsi="Arial Narrow" w:cs="Arial Narrow"/>
                <w:sz w:val="20"/>
                <w:szCs w:val="20"/>
                <w:lang w:val="en"/>
              </w:rPr>
              <w:t>-</w:t>
            </w:r>
          </w:p>
        </w:tc>
        <w:tc>
          <w:tcPr>
            <w:tcW w:w="2662" w:type="dxa"/>
            <w:tcBorders>
              <w:top w:val="single" w:sz="2" w:space="0" w:color="000000"/>
              <w:left w:val="single" w:sz="2" w:space="0" w:color="000000"/>
              <w:bottom w:val="single" w:sz="2" w:space="0" w:color="000000"/>
              <w:right w:val="nil"/>
            </w:tcBorders>
            <w:shd w:val="clear" w:color="000000" w:fill="auto"/>
          </w:tcPr>
          <w:p w14:paraId="1D302724" w14:textId="5557670B" w:rsidR="00D74ADF" w:rsidRPr="007A70F2" w:rsidRDefault="00D74ADF" w:rsidP="00A15F7D">
            <w:pPr>
              <w:keepNext/>
              <w:widowControl w:val="0"/>
              <w:suppressAutoHyphens/>
              <w:autoSpaceDE w:val="0"/>
              <w:autoSpaceDN w:val="0"/>
              <w:adjustRightInd w:val="0"/>
              <w:spacing w:before="20" w:after="20"/>
              <w:ind w:left="0"/>
              <w:rPr>
                <w:rFonts w:ascii="Arial Narrow" w:hAnsi="Arial Narrow" w:cs="Arial Narrow"/>
                <w:sz w:val="20"/>
                <w:szCs w:val="20"/>
                <w:lang w:val="en"/>
              </w:rPr>
            </w:pPr>
            <w:r>
              <w:rPr>
                <w:rFonts w:ascii="Arial Narrow" w:hAnsi="Arial Narrow" w:cs="Arial Narrow"/>
                <w:sz w:val="20"/>
                <w:szCs w:val="20"/>
                <w:lang w:val="en"/>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auto"/>
          </w:tcPr>
          <w:p w14:paraId="5B5A578F" w14:textId="78B43725" w:rsidR="00D74ADF" w:rsidRPr="007A70F2" w:rsidRDefault="00D74ADF" w:rsidP="002101D2">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845A5D">
              <w:rPr>
                <w:rFonts w:ascii="Arial Narrow" w:hAnsi="Arial Narrow" w:cs="Arial Narrow"/>
                <w:b/>
                <w:i/>
                <w:sz w:val="20"/>
                <w:szCs w:val="20"/>
                <w:lang w:val="en"/>
              </w:rPr>
              <w:t>235/1725 (13.6%)</w:t>
            </w:r>
          </w:p>
        </w:tc>
      </w:tr>
    </w:tbl>
    <w:p w14:paraId="1DDE2610" w14:textId="539F9DDB" w:rsidR="00B51828" w:rsidRPr="00F8363F" w:rsidRDefault="00B51828" w:rsidP="002101D2">
      <w:pPr>
        <w:spacing w:before="20" w:after="0"/>
        <w:ind w:left="0" w:firstLine="720"/>
        <w:rPr>
          <w:rFonts w:ascii="Arial Narrow" w:hAnsi="Arial Narrow"/>
          <w:sz w:val="18"/>
          <w:szCs w:val="18"/>
        </w:rPr>
      </w:pPr>
      <w:r w:rsidRPr="00F8363F">
        <w:rPr>
          <w:rFonts w:ascii="Arial Narrow" w:hAnsi="Arial Narrow"/>
          <w:sz w:val="18"/>
          <w:szCs w:val="18"/>
        </w:rPr>
        <w:t xml:space="preserve">Source: </w:t>
      </w:r>
      <w:r w:rsidRPr="00F8363F">
        <w:rPr>
          <w:rFonts w:ascii="Arial Narrow" w:hAnsi="Arial Narrow"/>
          <w:sz w:val="18"/>
          <w:szCs w:val="18"/>
        </w:rPr>
        <w:fldChar w:fldCharType="begin"/>
      </w:r>
      <w:r w:rsidRPr="00F8363F">
        <w:rPr>
          <w:rFonts w:ascii="Arial Narrow" w:hAnsi="Arial Narrow"/>
          <w:sz w:val="18"/>
          <w:szCs w:val="18"/>
        </w:rPr>
        <w:instrText xml:space="preserve"> REF _Ref395275774 \h  \* MERGEFORMAT </w:instrText>
      </w:r>
      <w:r w:rsidRPr="00F8363F">
        <w:rPr>
          <w:rFonts w:ascii="Arial Narrow" w:hAnsi="Arial Narrow"/>
          <w:sz w:val="18"/>
          <w:szCs w:val="18"/>
        </w:rPr>
      </w:r>
      <w:r w:rsidRPr="00F8363F">
        <w:rPr>
          <w:rFonts w:ascii="Arial Narrow" w:hAnsi="Arial Narrow"/>
          <w:sz w:val="18"/>
          <w:szCs w:val="18"/>
        </w:rPr>
        <w:fldChar w:fldCharType="separate"/>
      </w:r>
      <w:r w:rsidR="0044620B" w:rsidRPr="0044620B">
        <w:rPr>
          <w:rFonts w:ascii="Arial Narrow" w:hAnsi="Arial Narrow"/>
          <w:sz w:val="18"/>
          <w:szCs w:val="18"/>
        </w:rPr>
        <w:t>Table B.6</w:t>
      </w:r>
      <w:r w:rsidR="0044620B" w:rsidRPr="0044620B">
        <w:rPr>
          <w:rFonts w:ascii="Arial Narrow" w:hAnsi="Arial Narrow"/>
          <w:sz w:val="18"/>
          <w:szCs w:val="18"/>
        </w:rPr>
        <w:noBreakHyphen/>
        <w:t>1</w:t>
      </w:r>
      <w:r w:rsidRPr="00F8363F">
        <w:rPr>
          <w:rFonts w:ascii="Arial Narrow" w:hAnsi="Arial Narrow"/>
          <w:sz w:val="18"/>
          <w:szCs w:val="18"/>
        </w:rPr>
        <w:fldChar w:fldCharType="end"/>
      </w:r>
      <w:r w:rsidR="005E5757">
        <w:rPr>
          <w:rFonts w:ascii="Arial Narrow" w:hAnsi="Arial Narrow"/>
          <w:sz w:val="18"/>
          <w:szCs w:val="18"/>
        </w:rPr>
        <w:t xml:space="preserve"> of the Assessment Report</w:t>
      </w:r>
    </w:p>
    <w:p w14:paraId="6E66EE67" w14:textId="77777777" w:rsidR="00B51828" w:rsidRPr="00F8363F" w:rsidRDefault="00B51828" w:rsidP="002101D2">
      <w:pPr>
        <w:spacing w:before="20"/>
        <w:ind w:left="0" w:firstLine="720"/>
        <w:rPr>
          <w:rFonts w:ascii="Arial Narrow" w:hAnsi="Arial Narrow"/>
          <w:sz w:val="18"/>
          <w:szCs w:val="18"/>
        </w:rPr>
      </w:pPr>
      <w:r w:rsidRPr="00F8363F">
        <w:rPr>
          <w:rFonts w:ascii="Arial Narrow" w:hAnsi="Arial Narrow"/>
          <w:sz w:val="18"/>
          <w:szCs w:val="18"/>
          <w:vertAlign w:val="superscript"/>
        </w:rPr>
        <w:t>a</w:t>
      </w:r>
      <w:r w:rsidRPr="00F8363F">
        <w:rPr>
          <w:rFonts w:ascii="Arial Narrow" w:hAnsi="Arial Narrow"/>
          <w:sz w:val="18"/>
          <w:szCs w:val="18"/>
        </w:rPr>
        <w:t xml:space="preserve"> All reported cases with no initial pathology opinion have been incorporated into the numerator and the denominator</w:t>
      </w:r>
    </w:p>
    <w:p w14:paraId="213F2756" w14:textId="3106E3E8" w:rsidR="00C67EEB" w:rsidRDefault="00B51828" w:rsidP="00443A7E">
      <w:pPr>
        <w:rPr>
          <w:rFonts w:cs="Garamond"/>
          <w:szCs w:val="24"/>
          <w:lang w:val="en"/>
        </w:rPr>
      </w:pPr>
      <w:r>
        <w:rPr>
          <w:rFonts w:cs="Garamond"/>
          <w:szCs w:val="24"/>
          <w:lang w:val="en"/>
        </w:rPr>
        <w:t>Other sensitivity analyses were conducted around the requested price, the discrepancy rates, the cost of second, expert opinion in the comparator arm, the incidence of second, expert opinion in the arm representing the proposed changes to MBS funding and the frequency of ancillary testing in the investigative arm.</w:t>
      </w:r>
    </w:p>
    <w:p w14:paraId="6BB913A9" w14:textId="60E4CD28" w:rsidR="00B51828" w:rsidRDefault="00B51828" w:rsidP="00C67EEB">
      <w:pPr>
        <w:pStyle w:val="Caption"/>
      </w:pPr>
      <w:bookmarkStart w:id="233" w:name="_Toc396211764"/>
      <w:r>
        <w:t xml:space="preserve">Table </w:t>
      </w:r>
      <w:fldSimple w:instr=" STYLEREF 2 \s ">
        <w:r w:rsidR="0044620B">
          <w:rPr>
            <w:noProof/>
          </w:rPr>
          <w:t>D.5</w:t>
        </w:r>
      </w:fldSimple>
      <w:r>
        <w:noBreakHyphen/>
      </w:r>
      <w:fldSimple w:instr=" SEQ Table \* ARABIC \s 2 ">
        <w:r w:rsidR="0044620B">
          <w:rPr>
            <w:noProof/>
          </w:rPr>
          <w:t>4</w:t>
        </w:r>
      </w:fldSimple>
      <w:r>
        <w:tab/>
        <w:t>Sensitivity analyses conducted over the course of the economic evaluation</w:t>
      </w:r>
      <w:bookmarkEnd w:id="233"/>
    </w:p>
    <w:tbl>
      <w:tblPr>
        <w:tblW w:w="8222" w:type="dxa"/>
        <w:tblInd w:w="706" w:type="dxa"/>
        <w:tblLayout w:type="fixed"/>
        <w:tblCellMar>
          <w:left w:w="57" w:type="dxa"/>
          <w:right w:w="57" w:type="dxa"/>
        </w:tblCellMar>
        <w:tblLook w:val="0000" w:firstRow="0" w:lastRow="0" w:firstColumn="0" w:lastColumn="0" w:noHBand="0" w:noVBand="0"/>
        <w:tblCaption w:val="Sensitivity analyses conducted over the course of the economic evaluation"/>
        <w:tblDescription w:val="Variations in the incremental cost per significant change in diagnosis according to different senstivity analyses."/>
      </w:tblPr>
      <w:tblGrid>
        <w:gridCol w:w="3686"/>
        <w:gridCol w:w="1346"/>
        <w:gridCol w:w="1347"/>
        <w:gridCol w:w="1843"/>
      </w:tblGrid>
      <w:tr w:rsidR="00B51828" w:rsidRPr="003760B8" w14:paraId="55E592B9" w14:textId="77777777" w:rsidTr="00E61184">
        <w:trPr>
          <w:trHeight w:val="1"/>
          <w:tblHeader/>
        </w:trPr>
        <w:tc>
          <w:tcPr>
            <w:tcW w:w="3686" w:type="dxa"/>
            <w:tcBorders>
              <w:top w:val="single" w:sz="2" w:space="0" w:color="000000"/>
              <w:left w:val="single" w:sz="2" w:space="0" w:color="000000"/>
              <w:bottom w:val="single" w:sz="2" w:space="0" w:color="000000"/>
              <w:right w:val="nil"/>
            </w:tcBorders>
            <w:shd w:val="clear" w:color="000000" w:fill="auto"/>
          </w:tcPr>
          <w:p w14:paraId="36343341" w14:textId="77777777" w:rsidR="00B51828" w:rsidRPr="003760B8" w:rsidRDefault="00B51828" w:rsidP="00C67EEB">
            <w:pPr>
              <w:keepNext/>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b/>
                <w:bCs/>
                <w:sz w:val="20"/>
                <w:szCs w:val="20"/>
                <w:lang w:val="en"/>
              </w:rPr>
              <w:t>Description</w:t>
            </w:r>
          </w:p>
        </w:tc>
        <w:tc>
          <w:tcPr>
            <w:tcW w:w="1346" w:type="dxa"/>
            <w:tcBorders>
              <w:top w:val="single" w:sz="2" w:space="0" w:color="000000"/>
              <w:left w:val="single" w:sz="2" w:space="0" w:color="000000"/>
              <w:bottom w:val="single" w:sz="2" w:space="0" w:color="000000"/>
              <w:right w:val="nil"/>
            </w:tcBorders>
            <w:shd w:val="clear" w:color="000000" w:fill="auto"/>
          </w:tcPr>
          <w:p w14:paraId="0B9F1E02" w14:textId="77777777" w:rsidR="00B51828" w:rsidRPr="003760B8" w:rsidRDefault="00B51828" w:rsidP="00E61184">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Incremental cost</w:t>
            </w:r>
          </w:p>
        </w:tc>
        <w:tc>
          <w:tcPr>
            <w:tcW w:w="1347" w:type="dxa"/>
            <w:tcBorders>
              <w:top w:val="single" w:sz="2" w:space="0" w:color="000000"/>
              <w:left w:val="single" w:sz="2" w:space="0" w:color="000000"/>
              <w:bottom w:val="single" w:sz="2" w:space="0" w:color="000000"/>
              <w:right w:val="nil"/>
            </w:tcBorders>
            <w:shd w:val="clear" w:color="000000" w:fill="auto"/>
          </w:tcPr>
          <w:p w14:paraId="724EDA96" w14:textId="77777777" w:rsidR="00B51828" w:rsidRPr="003760B8" w:rsidRDefault="00B51828" w:rsidP="00E61184">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Incremental outcome</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56249E9B" w14:textId="77777777" w:rsidR="00B51828" w:rsidRPr="003760B8" w:rsidRDefault="00B51828" w:rsidP="00E61184">
            <w:pPr>
              <w:keepNext/>
              <w:suppressAutoHyphens/>
              <w:autoSpaceDE w:val="0"/>
              <w:autoSpaceDN w:val="0"/>
              <w:adjustRightInd w:val="0"/>
              <w:spacing w:before="20" w:after="20"/>
              <w:ind w:left="0"/>
              <w:jc w:val="right"/>
              <w:rPr>
                <w:rFonts w:ascii="Calibri" w:hAnsi="Calibri" w:cs="Calibri"/>
                <w:sz w:val="22"/>
                <w:lang w:val="en"/>
              </w:rPr>
            </w:pPr>
            <w:r w:rsidRPr="003760B8">
              <w:rPr>
                <w:rFonts w:ascii="Arial Narrow" w:hAnsi="Arial Narrow" w:cs="Arial Narrow"/>
                <w:b/>
                <w:bCs/>
                <w:sz w:val="20"/>
                <w:szCs w:val="20"/>
                <w:lang w:val="en"/>
              </w:rPr>
              <w:t>Incremental cost per significant change in diagnosis</w:t>
            </w:r>
          </w:p>
        </w:tc>
      </w:tr>
      <w:tr w:rsidR="00B51828" w:rsidRPr="003760B8" w14:paraId="575BAB92"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633AAB0E" w14:textId="77777777" w:rsidR="00B51828" w:rsidRPr="00C41958" w:rsidRDefault="00B51828" w:rsidP="00C67EEB">
            <w:pPr>
              <w:keepNext/>
              <w:suppressAutoHyphens/>
              <w:autoSpaceDE w:val="0"/>
              <w:autoSpaceDN w:val="0"/>
              <w:adjustRightInd w:val="0"/>
              <w:spacing w:before="20" w:after="20"/>
              <w:ind w:left="0"/>
              <w:rPr>
                <w:rFonts w:ascii="Calibri" w:hAnsi="Calibri" w:cs="Calibri"/>
                <w:b/>
                <w:sz w:val="22"/>
                <w:lang w:val="en"/>
              </w:rPr>
            </w:pPr>
            <w:r w:rsidRPr="00C41958">
              <w:rPr>
                <w:rFonts w:ascii="Arial Narrow" w:hAnsi="Arial Narrow" w:cs="Arial Narrow"/>
                <w:b/>
                <w:i/>
                <w:iCs/>
                <w:sz w:val="20"/>
                <w:szCs w:val="20"/>
                <w:lang w:val="en"/>
              </w:rPr>
              <w:t>Base case</w:t>
            </w:r>
          </w:p>
        </w:tc>
        <w:tc>
          <w:tcPr>
            <w:tcW w:w="1346" w:type="dxa"/>
            <w:tcBorders>
              <w:top w:val="single" w:sz="2" w:space="0" w:color="000000"/>
              <w:left w:val="single" w:sz="2" w:space="0" w:color="000000"/>
              <w:bottom w:val="single" w:sz="2" w:space="0" w:color="000000"/>
              <w:right w:val="nil"/>
            </w:tcBorders>
            <w:shd w:val="clear" w:color="000000" w:fill="auto"/>
          </w:tcPr>
          <w:p w14:paraId="5CC12ED9" w14:textId="77777777" w:rsidR="00B51828" w:rsidRPr="0019563F" w:rsidRDefault="00B51828" w:rsidP="00E61184">
            <w:pPr>
              <w:keepNext/>
              <w:suppressAutoHyphens/>
              <w:autoSpaceDE w:val="0"/>
              <w:autoSpaceDN w:val="0"/>
              <w:adjustRightInd w:val="0"/>
              <w:spacing w:before="20" w:after="20"/>
              <w:ind w:left="0"/>
              <w:jc w:val="right"/>
              <w:rPr>
                <w:rFonts w:ascii="Arial Narrow" w:hAnsi="Arial Narrow" w:cs="Arial Narrow"/>
                <w:b/>
                <w:i/>
                <w:sz w:val="20"/>
                <w:szCs w:val="20"/>
                <w:lang w:val="en"/>
              </w:rPr>
            </w:pPr>
            <w:r w:rsidRPr="0019563F">
              <w:rPr>
                <w:rFonts w:ascii="Arial Narrow" w:hAnsi="Arial Narrow" w:cs="Arial Narrow"/>
                <w:b/>
                <w:i/>
                <w:sz w:val="20"/>
                <w:szCs w:val="20"/>
                <w:lang w:val="en"/>
              </w:rPr>
              <w:t>$4.04</w:t>
            </w:r>
          </w:p>
        </w:tc>
        <w:tc>
          <w:tcPr>
            <w:tcW w:w="1347" w:type="dxa"/>
            <w:tcBorders>
              <w:top w:val="single" w:sz="2" w:space="0" w:color="000000"/>
              <w:left w:val="single" w:sz="2" w:space="0" w:color="000000"/>
              <w:bottom w:val="single" w:sz="2" w:space="0" w:color="000000"/>
              <w:right w:val="nil"/>
            </w:tcBorders>
            <w:shd w:val="clear" w:color="000000" w:fill="auto"/>
          </w:tcPr>
          <w:p w14:paraId="7A2F10D9" w14:textId="77777777" w:rsidR="00B51828" w:rsidRPr="0019563F" w:rsidRDefault="00B51828" w:rsidP="00E61184">
            <w:pPr>
              <w:keepNext/>
              <w:suppressAutoHyphens/>
              <w:autoSpaceDE w:val="0"/>
              <w:autoSpaceDN w:val="0"/>
              <w:adjustRightInd w:val="0"/>
              <w:spacing w:before="20" w:after="20"/>
              <w:ind w:left="0"/>
              <w:jc w:val="right"/>
              <w:rPr>
                <w:rFonts w:ascii="Arial Narrow" w:hAnsi="Arial Narrow" w:cs="Arial Narrow"/>
                <w:b/>
                <w:i/>
                <w:sz w:val="20"/>
                <w:szCs w:val="20"/>
                <w:lang w:val="en"/>
              </w:rPr>
            </w:pPr>
            <w:r w:rsidRPr="0019563F">
              <w:rPr>
                <w:rFonts w:ascii="Arial Narrow" w:hAnsi="Arial Narrow" w:cs="Arial Narrow"/>
                <w:b/>
                <w:i/>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7AA642C0" w14:textId="77777777" w:rsidR="00B51828" w:rsidRPr="0019563F" w:rsidRDefault="00B51828" w:rsidP="00E61184">
            <w:pPr>
              <w:keepNext/>
              <w:suppressAutoHyphens/>
              <w:autoSpaceDE w:val="0"/>
              <w:autoSpaceDN w:val="0"/>
              <w:adjustRightInd w:val="0"/>
              <w:spacing w:before="20" w:after="20"/>
              <w:ind w:left="0"/>
              <w:jc w:val="right"/>
              <w:rPr>
                <w:rFonts w:ascii="Arial Narrow" w:hAnsi="Arial Narrow" w:cs="Arial Narrow"/>
                <w:b/>
                <w:i/>
                <w:sz w:val="20"/>
                <w:szCs w:val="20"/>
                <w:lang w:val="en"/>
              </w:rPr>
            </w:pPr>
            <w:r w:rsidRPr="0019563F">
              <w:rPr>
                <w:rFonts w:ascii="Arial Narrow" w:hAnsi="Arial Narrow" w:cs="Arial Narrow"/>
                <w:b/>
                <w:i/>
                <w:sz w:val="20"/>
                <w:szCs w:val="20"/>
                <w:lang w:val="en"/>
              </w:rPr>
              <w:t>$3,838.26</w:t>
            </w:r>
          </w:p>
        </w:tc>
      </w:tr>
      <w:tr w:rsidR="00B51828" w:rsidRPr="003760B8" w14:paraId="00A54E5E"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72D1E890"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Cytopathology</w:t>
            </w:r>
          </w:p>
        </w:tc>
        <w:tc>
          <w:tcPr>
            <w:tcW w:w="1346" w:type="dxa"/>
            <w:tcBorders>
              <w:top w:val="single" w:sz="2" w:space="0" w:color="000000"/>
              <w:left w:val="single" w:sz="2" w:space="0" w:color="000000"/>
              <w:bottom w:val="single" w:sz="2" w:space="0" w:color="000000"/>
              <w:right w:val="nil"/>
            </w:tcBorders>
            <w:shd w:val="clear" w:color="000000" w:fill="auto"/>
          </w:tcPr>
          <w:p w14:paraId="79D3C50F"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$2.58</w:t>
            </w:r>
          </w:p>
        </w:tc>
        <w:tc>
          <w:tcPr>
            <w:tcW w:w="1347" w:type="dxa"/>
            <w:tcBorders>
              <w:top w:val="single" w:sz="2" w:space="0" w:color="000000"/>
              <w:left w:val="single" w:sz="2" w:space="0" w:color="000000"/>
              <w:bottom w:val="single" w:sz="2" w:space="0" w:color="000000"/>
              <w:right w:val="nil"/>
            </w:tcBorders>
            <w:shd w:val="clear" w:color="000000" w:fill="auto"/>
          </w:tcPr>
          <w:p w14:paraId="4C3BCE41"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2D646C8E" w14:textId="2557DD7A"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$2</w:t>
            </w:r>
            <w:r>
              <w:rPr>
                <w:rFonts w:ascii="Arial Narrow" w:hAnsi="Arial Narrow" w:cs="Arial Narrow"/>
                <w:sz w:val="20"/>
                <w:szCs w:val="20"/>
                <w:lang w:val="en"/>
              </w:rPr>
              <w:t>,</w:t>
            </w:r>
            <w:r w:rsidRPr="003760B8">
              <w:rPr>
                <w:rFonts w:ascii="Arial Narrow" w:hAnsi="Arial Narrow" w:cs="Arial Narrow"/>
                <w:sz w:val="20"/>
                <w:szCs w:val="20"/>
                <w:lang w:val="en"/>
              </w:rPr>
              <w:t>4</w:t>
            </w:r>
            <w:r w:rsidR="005F209A">
              <w:rPr>
                <w:rFonts w:ascii="Arial Narrow" w:hAnsi="Arial Narrow" w:cs="Arial Narrow"/>
                <w:sz w:val="20"/>
                <w:szCs w:val="20"/>
                <w:lang w:val="en"/>
              </w:rPr>
              <w:t>60</w:t>
            </w:r>
            <w:r w:rsidRPr="003760B8">
              <w:rPr>
                <w:rFonts w:ascii="Arial Narrow" w:hAnsi="Arial Narrow" w:cs="Arial Narrow"/>
                <w:sz w:val="20"/>
                <w:szCs w:val="20"/>
                <w:lang w:val="en"/>
              </w:rPr>
              <w:t>.</w:t>
            </w:r>
            <w:r w:rsidR="005F209A">
              <w:rPr>
                <w:rFonts w:ascii="Arial Narrow" w:hAnsi="Arial Narrow" w:cs="Arial Narrow"/>
                <w:sz w:val="20"/>
                <w:szCs w:val="20"/>
                <w:lang w:val="en"/>
              </w:rPr>
              <w:t>01</w:t>
            </w:r>
          </w:p>
        </w:tc>
      </w:tr>
      <w:tr w:rsidR="00B51828" w:rsidRPr="003760B8" w14:paraId="23F03FFE"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60BC2A43"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4A60EE">
              <w:rPr>
                <w:rFonts w:ascii="Arial Narrow" w:hAnsi="Arial Narrow" w:cs="Arial Narrow"/>
                <w:i/>
                <w:sz w:val="20"/>
                <w:szCs w:val="20"/>
                <w:lang w:val="en"/>
              </w:rPr>
              <w:t>Scenario 1</w:t>
            </w:r>
            <w:r w:rsidRPr="003760B8">
              <w:rPr>
                <w:rFonts w:ascii="Arial Narrow" w:hAnsi="Arial Narrow" w:cs="Arial Narrow"/>
                <w:sz w:val="20"/>
                <w:szCs w:val="20"/>
                <w:lang w:val="en"/>
              </w:rPr>
              <w:t xml:space="preserve"> alone</w:t>
            </w:r>
          </w:p>
        </w:tc>
        <w:tc>
          <w:tcPr>
            <w:tcW w:w="1346" w:type="dxa"/>
            <w:tcBorders>
              <w:top w:val="single" w:sz="2" w:space="0" w:color="000000"/>
              <w:left w:val="single" w:sz="2" w:space="0" w:color="000000"/>
              <w:bottom w:val="single" w:sz="2" w:space="0" w:color="000000"/>
              <w:right w:val="nil"/>
            </w:tcBorders>
            <w:shd w:val="clear" w:color="000000" w:fill="auto"/>
          </w:tcPr>
          <w:p w14:paraId="2DAE3C6F"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$4.21</w:t>
            </w:r>
          </w:p>
        </w:tc>
        <w:tc>
          <w:tcPr>
            <w:tcW w:w="1347" w:type="dxa"/>
            <w:tcBorders>
              <w:top w:val="single" w:sz="2" w:space="0" w:color="000000"/>
              <w:left w:val="single" w:sz="2" w:space="0" w:color="000000"/>
              <w:bottom w:val="single" w:sz="2" w:space="0" w:color="000000"/>
              <w:right w:val="nil"/>
            </w:tcBorders>
            <w:shd w:val="clear" w:color="000000" w:fill="auto"/>
          </w:tcPr>
          <w:p w14:paraId="10514971"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197B22BC"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w:t>
            </w:r>
            <w:r>
              <w:rPr>
                <w:rFonts w:ascii="Arial Narrow" w:hAnsi="Arial Narrow" w:cs="Arial Narrow"/>
                <w:sz w:val="20"/>
                <w:szCs w:val="20"/>
                <w:lang w:val="en"/>
              </w:rPr>
              <w:t>,</w:t>
            </w:r>
            <w:r w:rsidRPr="003760B8">
              <w:rPr>
                <w:rFonts w:ascii="Arial Narrow" w:hAnsi="Arial Narrow" w:cs="Arial Narrow"/>
                <w:sz w:val="20"/>
                <w:szCs w:val="20"/>
                <w:lang w:val="en"/>
              </w:rPr>
              <w:t>000.26</w:t>
            </w:r>
          </w:p>
        </w:tc>
      </w:tr>
      <w:tr w:rsidR="00B51828" w:rsidRPr="003760B8" w14:paraId="10EA8A8C"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52D3C7DE"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4A60EE">
              <w:rPr>
                <w:rFonts w:ascii="Arial Narrow" w:hAnsi="Arial Narrow" w:cs="Arial Narrow"/>
                <w:i/>
                <w:sz w:val="20"/>
                <w:szCs w:val="20"/>
                <w:lang w:val="en"/>
              </w:rPr>
              <w:t>Scenario 2</w:t>
            </w:r>
            <w:r w:rsidRPr="003760B8">
              <w:rPr>
                <w:rFonts w:ascii="Arial Narrow" w:hAnsi="Arial Narrow" w:cs="Arial Narrow"/>
                <w:sz w:val="20"/>
                <w:szCs w:val="20"/>
                <w:lang w:val="en"/>
              </w:rPr>
              <w:t xml:space="preserve"> alone</w:t>
            </w:r>
          </w:p>
        </w:tc>
        <w:tc>
          <w:tcPr>
            <w:tcW w:w="1346" w:type="dxa"/>
            <w:tcBorders>
              <w:top w:val="single" w:sz="2" w:space="0" w:color="000000"/>
              <w:left w:val="single" w:sz="2" w:space="0" w:color="000000"/>
              <w:bottom w:val="single" w:sz="2" w:space="0" w:color="000000"/>
              <w:right w:val="nil"/>
            </w:tcBorders>
            <w:shd w:val="clear" w:color="000000" w:fill="auto"/>
          </w:tcPr>
          <w:p w14:paraId="21A76C4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$3.53</w:t>
            </w:r>
          </w:p>
        </w:tc>
        <w:tc>
          <w:tcPr>
            <w:tcW w:w="1347" w:type="dxa"/>
            <w:tcBorders>
              <w:top w:val="single" w:sz="2" w:space="0" w:color="000000"/>
              <w:left w:val="single" w:sz="2" w:space="0" w:color="000000"/>
              <w:bottom w:val="single" w:sz="2" w:space="0" w:color="000000"/>
              <w:right w:val="nil"/>
            </w:tcBorders>
            <w:shd w:val="clear" w:color="000000" w:fill="auto"/>
          </w:tcPr>
          <w:p w14:paraId="2EF10D4C"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7097F6F8"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353.95</w:t>
            </w:r>
          </w:p>
        </w:tc>
      </w:tr>
      <w:tr w:rsidR="00B51828" w:rsidRPr="003760B8" w14:paraId="34D8A1ED"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10D1D97B"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'Complex' </w:t>
            </w:r>
            <w:r>
              <w:rPr>
                <w:rFonts w:ascii="Arial Narrow" w:hAnsi="Arial Narrow" w:cs="Arial Narrow"/>
                <w:sz w:val="20"/>
                <w:szCs w:val="20"/>
                <w:lang w:val="en"/>
              </w:rPr>
              <w:t>second, expert opinions</w:t>
            </w:r>
            <w:r w:rsidRPr="003760B8">
              <w:rPr>
                <w:rFonts w:ascii="Arial Narrow" w:hAnsi="Arial Narrow" w:cs="Arial Narrow"/>
                <w:sz w:val="20"/>
                <w:szCs w:val="20"/>
                <w:lang w:val="en"/>
              </w:rPr>
              <w:t xml:space="preserve"> alone</w:t>
            </w:r>
          </w:p>
        </w:tc>
        <w:tc>
          <w:tcPr>
            <w:tcW w:w="1346" w:type="dxa"/>
            <w:tcBorders>
              <w:top w:val="single" w:sz="2" w:space="0" w:color="000000"/>
              <w:left w:val="single" w:sz="2" w:space="0" w:color="000000"/>
              <w:bottom w:val="single" w:sz="2" w:space="0" w:color="000000"/>
              <w:right w:val="nil"/>
            </w:tcBorders>
            <w:shd w:val="clear" w:color="000000" w:fill="auto"/>
          </w:tcPr>
          <w:p w14:paraId="5D90F52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$5.55</w:t>
            </w:r>
          </w:p>
        </w:tc>
        <w:tc>
          <w:tcPr>
            <w:tcW w:w="1347" w:type="dxa"/>
            <w:tcBorders>
              <w:top w:val="single" w:sz="2" w:space="0" w:color="000000"/>
              <w:left w:val="single" w:sz="2" w:space="0" w:color="000000"/>
              <w:bottom w:val="single" w:sz="2" w:space="0" w:color="000000"/>
              <w:right w:val="nil"/>
            </w:tcBorders>
            <w:shd w:val="clear" w:color="000000" w:fill="auto"/>
          </w:tcPr>
          <w:p w14:paraId="1D191510"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6649B604"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$5</w:t>
            </w:r>
            <w:r>
              <w:rPr>
                <w:rFonts w:ascii="Arial Narrow" w:hAnsi="Arial Narrow" w:cs="Arial Narrow"/>
                <w:sz w:val="20"/>
                <w:szCs w:val="20"/>
                <w:lang w:val="en"/>
              </w:rPr>
              <w:t>,</w:t>
            </w:r>
            <w:r w:rsidRPr="003760B8">
              <w:rPr>
                <w:rFonts w:ascii="Arial Narrow" w:hAnsi="Arial Narrow" w:cs="Arial Narrow"/>
                <w:sz w:val="20"/>
                <w:szCs w:val="20"/>
                <w:lang w:val="en"/>
              </w:rPr>
              <w:t>278.96</w:t>
            </w:r>
          </w:p>
        </w:tc>
      </w:tr>
      <w:tr w:rsidR="00B51828" w:rsidRPr="003760B8" w14:paraId="577BFA8F"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75C8DF34"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'Non-complex' </w:t>
            </w:r>
            <w:r>
              <w:rPr>
                <w:rFonts w:ascii="Arial Narrow" w:hAnsi="Arial Narrow" w:cs="Arial Narrow"/>
                <w:sz w:val="20"/>
                <w:szCs w:val="20"/>
                <w:lang w:val="en"/>
              </w:rPr>
              <w:t>second, expert opinions</w:t>
            </w:r>
            <w:r w:rsidRPr="003760B8">
              <w:rPr>
                <w:rFonts w:ascii="Arial Narrow" w:hAnsi="Arial Narrow" w:cs="Arial Narrow"/>
                <w:sz w:val="20"/>
                <w:szCs w:val="20"/>
                <w:lang w:val="en"/>
              </w:rPr>
              <w:t xml:space="preserve"> alone</w:t>
            </w:r>
          </w:p>
        </w:tc>
        <w:tc>
          <w:tcPr>
            <w:tcW w:w="1346" w:type="dxa"/>
            <w:tcBorders>
              <w:top w:val="single" w:sz="2" w:space="0" w:color="000000"/>
              <w:left w:val="single" w:sz="2" w:space="0" w:color="000000"/>
              <w:bottom w:val="single" w:sz="2" w:space="0" w:color="000000"/>
              <w:right w:val="nil"/>
            </w:tcBorders>
            <w:shd w:val="clear" w:color="000000" w:fill="auto"/>
          </w:tcPr>
          <w:p w14:paraId="3627D37D"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$2.66</w:t>
            </w:r>
          </w:p>
        </w:tc>
        <w:tc>
          <w:tcPr>
            <w:tcW w:w="1347" w:type="dxa"/>
            <w:tcBorders>
              <w:top w:val="single" w:sz="2" w:space="0" w:color="000000"/>
              <w:left w:val="single" w:sz="2" w:space="0" w:color="000000"/>
              <w:bottom w:val="single" w:sz="2" w:space="0" w:color="000000"/>
              <w:right w:val="nil"/>
            </w:tcBorders>
            <w:shd w:val="clear" w:color="000000" w:fill="auto"/>
          </w:tcPr>
          <w:p w14:paraId="30E93728"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7DF5BDB6"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$2</w:t>
            </w:r>
            <w:r>
              <w:rPr>
                <w:rFonts w:ascii="Arial Narrow" w:hAnsi="Arial Narrow" w:cs="Arial Narrow"/>
                <w:sz w:val="20"/>
                <w:szCs w:val="20"/>
                <w:lang w:val="en"/>
              </w:rPr>
              <w:t>,</w:t>
            </w:r>
            <w:r w:rsidRPr="003760B8">
              <w:rPr>
                <w:rFonts w:ascii="Arial Narrow" w:hAnsi="Arial Narrow" w:cs="Arial Narrow"/>
                <w:sz w:val="20"/>
                <w:szCs w:val="20"/>
                <w:lang w:val="en"/>
              </w:rPr>
              <w:t>531.19</w:t>
            </w:r>
          </w:p>
        </w:tc>
      </w:tr>
      <w:tr w:rsidR="00B51828" w:rsidRPr="003760B8" w14:paraId="4D20C741"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4A481B23"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Soft tissue/sarcoma</w:t>
            </w:r>
          </w:p>
        </w:tc>
        <w:tc>
          <w:tcPr>
            <w:tcW w:w="1346" w:type="dxa"/>
            <w:tcBorders>
              <w:top w:val="single" w:sz="2" w:space="0" w:color="000000"/>
              <w:left w:val="single" w:sz="2" w:space="0" w:color="000000"/>
              <w:bottom w:val="single" w:sz="2" w:space="0" w:color="000000"/>
              <w:right w:val="nil"/>
            </w:tcBorders>
            <w:shd w:val="clear" w:color="000000" w:fill="auto"/>
          </w:tcPr>
          <w:p w14:paraId="4B45E9BA"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$4.04</w:t>
            </w:r>
          </w:p>
        </w:tc>
        <w:tc>
          <w:tcPr>
            <w:tcW w:w="1347" w:type="dxa"/>
            <w:tcBorders>
              <w:top w:val="single" w:sz="2" w:space="0" w:color="000000"/>
              <w:left w:val="single" w:sz="2" w:space="0" w:color="000000"/>
              <w:bottom w:val="single" w:sz="2" w:space="0" w:color="000000"/>
              <w:right w:val="nil"/>
            </w:tcBorders>
            <w:shd w:val="clear" w:color="000000" w:fill="auto"/>
          </w:tcPr>
          <w:p w14:paraId="54246082"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0.0013</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1297303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193.34</w:t>
            </w:r>
          </w:p>
        </w:tc>
      </w:tr>
      <w:tr w:rsidR="00B51828" w:rsidRPr="003760B8" w14:paraId="238BA6C2"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7D88E153"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Dermatology</w:t>
            </w:r>
          </w:p>
        </w:tc>
        <w:tc>
          <w:tcPr>
            <w:tcW w:w="1346" w:type="dxa"/>
            <w:tcBorders>
              <w:top w:val="single" w:sz="2" w:space="0" w:color="000000"/>
              <w:left w:val="single" w:sz="2" w:space="0" w:color="000000"/>
              <w:bottom w:val="single" w:sz="2" w:space="0" w:color="000000"/>
              <w:right w:val="nil"/>
            </w:tcBorders>
            <w:shd w:val="clear" w:color="000000" w:fill="auto"/>
          </w:tcPr>
          <w:p w14:paraId="07392FC2"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$4.04</w:t>
            </w:r>
          </w:p>
        </w:tc>
        <w:tc>
          <w:tcPr>
            <w:tcW w:w="1347" w:type="dxa"/>
            <w:tcBorders>
              <w:top w:val="single" w:sz="2" w:space="0" w:color="000000"/>
              <w:left w:val="single" w:sz="2" w:space="0" w:color="000000"/>
              <w:bottom w:val="single" w:sz="2" w:space="0" w:color="000000"/>
              <w:right w:val="nil"/>
            </w:tcBorders>
            <w:shd w:val="clear" w:color="000000" w:fill="auto"/>
          </w:tcPr>
          <w:p w14:paraId="37E9C9AB"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0.0018</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1EEA74B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$2</w:t>
            </w:r>
            <w:r>
              <w:rPr>
                <w:rFonts w:ascii="Arial Narrow" w:hAnsi="Arial Narrow" w:cs="Arial Narrow"/>
                <w:sz w:val="20"/>
                <w:szCs w:val="20"/>
                <w:lang w:val="en"/>
              </w:rPr>
              <w:t>,</w:t>
            </w:r>
            <w:r w:rsidRPr="003760B8">
              <w:rPr>
                <w:rFonts w:ascii="Arial Narrow" w:hAnsi="Arial Narrow" w:cs="Arial Narrow"/>
                <w:sz w:val="20"/>
                <w:szCs w:val="20"/>
                <w:lang w:val="en"/>
              </w:rPr>
              <w:t>208.92</w:t>
            </w:r>
          </w:p>
        </w:tc>
      </w:tr>
      <w:tr w:rsidR="00B51828" w:rsidRPr="003760B8" w14:paraId="5794791B"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3F892F00"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Including cases with no initial diagnosis</w:t>
            </w:r>
          </w:p>
        </w:tc>
        <w:tc>
          <w:tcPr>
            <w:tcW w:w="1346" w:type="dxa"/>
            <w:tcBorders>
              <w:top w:val="single" w:sz="2" w:space="0" w:color="000000"/>
              <w:left w:val="single" w:sz="2" w:space="0" w:color="000000"/>
              <w:bottom w:val="single" w:sz="2" w:space="0" w:color="000000"/>
              <w:right w:val="nil"/>
            </w:tcBorders>
            <w:shd w:val="clear" w:color="000000" w:fill="auto"/>
          </w:tcPr>
          <w:p w14:paraId="0CDCFAA1"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$4.04</w:t>
            </w:r>
          </w:p>
        </w:tc>
        <w:tc>
          <w:tcPr>
            <w:tcW w:w="1347" w:type="dxa"/>
            <w:tcBorders>
              <w:top w:val="single" w:sz="2" w:space="0" w:color="000000"/>
              <w:left w:val="single" w:sz="2" w:space="0" w:color="000000"/>
              <w:bottom w:val="single" w:sz="2" w:space="0" w:color="000000"/>
              <w:right w:val="nil"/>
            </w:tcBorders>
            <w:shd w:val="clear" w:color="000000" w:fill="auto"/>
          </w:tcPr>
          <w:p w14:paraId="1487ADFC"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342A5891"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552.31</w:t>
            </w:r>
          </w:p>
        </w:tc>
      </w:tr>
      <w:tr w:rsidR="00B51828" w:rsidRPr="003760B8" w14:paraId="2BE21E39"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75F6F71E"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List price increased 10%</w:t>
            </w:r>
          </w:p>
        </w:tc>
        <w:tc>
          <w:tcPr>
            <w:tcW w:w="1346" w:type="dxa"/>
            <w:tcBorders>
              <w:top w:val="single" w:sz="2" w:space="0" w:color="000000"/>
              <w:left w:val="single" w:sz="2" w:space="0" w:color="000000"/>
              <w:bottom w:val="single" w:sz="2" w:space="0" w:color="000000"/>
              <w:right w:val="nil"/>
            </w:tcBorders>
            <w:shd w:val="clear" w:color="000000" w:fill="auto"/>
          </w:tcPr>
          <w:p w14:paraId="1E7332D6"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$4.42</w:t>
            </w:r>
          </w:p>
        </w:tc>
        <w:tc>
          <w:tcPr>
            <w:tcW w:w="1347" w:type="dxa"/>
            <w:tcBorders>
              <w:top w:val="single" w:sz="2" w:space="0" w:color="000000"/>
              <w:left w:val="single" w:sz="2" w:space="0" w:color="000000"/>
              <w:bottom w:val="single" w:sz="2" w:space="0" w:color="000000"/>
              <w:right w:val="nil"/>
            </w:tcBorders>
            <w:shd w:val="clear" w:color="000000" w:fill="auto"/>
          </w:tcPr>
          <w:p w14:paraId="4471F5D0"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62EFFDA2"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w:t>
            </w:r>
            <w:r>
              <w:rPr>
                <w:rFonts w:ascii="Arial Narrow" w:hAnsi="Arial Narrow" w:cs="Arial Narrow"/>
                <w:sz w:val="20"/>
                <w:szCs w:val="20"/>
                <w:lang w:val="en"/>
              </w:rPr>
              <w:t>,</w:t>
            </w:r>
            <w:r w:rsidRPr="003760B8">
              <w:rPr>
                <w:rFonts w:ascii="Arial Narrow" w:hAnsi="Arial Narrow" w:cs="Arial Narrow"/>
                <w:sz w:val="20"/>
                <w:szCs w:val="20"/>
                <w:lang w:val="en"/>
              </w:rPr>
              <w:t>201.67</w:t>
            </w:r>
          </w:p>
        </w:tc>
      </w:tr>
      <w:tr w:rsidR="00B51828" w:rsidRPr="003760B8" w14:paraId="017E863D"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1CAE398A"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List price decreased 10%</w:t>
            </w:r>
          </w:p>
        </w:tc>
        <w:tc>
          <w:tcPr>
            <w:tcW w:w="1346" w:type="dxa"/>
            <w:tcBorders>
              <w:top w:val="single" w:sz="2" w:space="0" w:color="000000"/>
              <w:left w:val="single" w:sz="2" w:space="0" w:color="000000"/>
              <w:bottom w:val="single" w:sz="2" w:space="0" w:color="000000"/>
              <w:right w:val="nil"/>
            </w:tcBorders>
            <w:shd w:val="clear" w:color="000000" w:fill="auto"/>
          </w:tcPr>
          <w:p w14:paraId="62E22BE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$3.65</w:t>
            </w:r>
          </w:p>
        </w:tc>
        <w:tc>
          <w:tcPr>
            <w:tcW w:w="1347" w:type="dxa"/>
            <w:tcBorders>
              <w:top w:val="single" w:sz="2" w:space="0" w:color="000000"/>
              <w:left w:val="single" w:sz="2" w:space="0" w:color="000000"/>
              <w:bottom w:val="single" w:sz="2" w:space="0" w:color="000000"/>
              <w:right w:val="nil"/>
            </w:tcBorders>
            <w:shd w:val="clear" w:color="000000" w:fill="auto"/>
          </w:tcPr>
          <w:p w14:paraId="19BA8B9E"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248AF24F"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474.85</w:t>
            </w:r>
          </w:p>
        </w:tc>
      </w:tr>
      <w:tr w:rsidR="00B51828" w:rsidRPr="003760B8" w14:paraId="7EF53E47"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6DF074D9"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Major discrepancy rate increased by 10%</w:t>
            </w:r>
          </w:p>
        </w:tc>
        <w:tc>
          <w:tcPr>
            <w:tcW w:w="1346" w:type="dxa"/>
            <w:tcBorders>
              <w:top w:val="single" w:sz="2" w:space="0" w:color="000000"/>
              <w:left w:val="single" w:sz="2" w:space="0" w:color="000000"/>
              <w:bottom w:val="single" w:sz="2" w:space="0" w:color="000000"/>
              <w:right w:val="nil"/>
            </w:tcBorders>
            <w:shd w:val="clear" w:color="000000" w:fill="auto"/>
          </w:tcPr>
          <w:p w14:paraId="3CBFACDB"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$4.04</w:t>
            </w:r>
          </w:p>
        </w:tc>
        <w:tc>
          <w:tcPr>
            <w:tcW w:w="1347" w:type="dxa"/>
            <w:tcBorders>
              <w:top w:val="single" w:sz="2" w:space="0" w:color="000000"/>
              <w:left w:val="single" w:sz="2" w:space="0" w:color="000000"/>
              <w:bottom w:val="single" w:sz="2" w:space="0" w:color="000000"/>
              <w:right w:val="nil"/>
            </w:tcBorders>
            <w:shd w:val="clear" w:color="000000" w:fill="auto"/>
          </w:tcPr>
          <w:p w14:paraId="205734E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0.0012</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4C94AE7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489.33</w:t>
            </w:r>
          </w:p>
        </w:tc>
      </w:tr>
      <w:tr w:rsidR="00B51828" w:rsidRPr="003760B8" w14:paraId="364A38AD"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21631518"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Major discrepancy rate decreased by 10%</w:t>
            </w:r>
          </w:p>
        </w:tc>
        <w:tc>
          <w:tcPr>
            <w:tcW w:w="1346" w:type="dxa"/>
            <w:tcBorders>
              <w:top w:val="single" w:sz="2" w:space="0" w:color="000000"/>
              <w:left w:val="single" w:sz="2" w:space="0" w:color="000000"/>
              <w:bottom w:val="single" w:sz="2" w:space="0" w:color="000000"/>
              <w:right w:val="nil"/>
            </w:tcBorders>
            <w:shd w:val="clear" w:color="000000" w:fill="auto"/>
          </w:tcPr>
          <w:p w14:paraId="712CF16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$4.04</w:t>
            </w:r>
          </w:p>
        </w:tc>
        <w:tc>
          <w:tcPr>
            <w:tcW w:w="1347" w:type="dxa"/>
            <w:tcBorders>
              <w:top w:val="single" w:sz="2" w:space="0" w:color="000000"/>
              <w:left w:val="single" w:sz="2" w:space="0" w:color="000000"/>
              <w:bottom w:val="single" w:sz="2" w:space="0" w:color="000000"/>
              <w:right w:val="nil"/>
            </w:tcBorders>
            <w:shd w:val="clear" w:color="000000" w:fill="auto"/>
          </w:tcPr>
          <w:p w14:paraId="64356197"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0.0009</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6EEDDD28"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w:t>
            </w:r>
            <w:r>
              <w:rPr>
                <w:rFonts w:ascii="Arial Narrow" w:hAnsi="Arial Narrow" w:cs="Arial Narrow"/>
                <w:sz w:val="20"/>
                <w:szCs w:val="20"/>
                <w:lang w:val="en"/>
              </w:rPr>
              <w:t>,</w:t>
            </w:r>
            <w:r w:rsidRPr="003760B8">
              <w:rPr>
                <w:rFonts w:ascii="Arial Narrow" w:hAnsi="Arial Narrow" w:cs="Arial Narrow"/>
                <w:sz w:val="20"/>
                <w:szCs w:val="20"/>
                <w:lang w:val="en"/>
              </w:rPr>
              <w:t>264.73</w:t>
            </w:r>
          </w:p>
        </w:tc>
      </w:tr>
      <w:tr w:rsidR="00B51828" w:rsidRPr="003760B8" w14:paraId="5F8D9498"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586D031D"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Average cost of </w:t>
            </w:r>
            <w:r>
              <w:rPr>
                <w:rFonts w:ascii="Arial Narrow" w:hAnsi="Arial Narrow" w:cs="Arial Narrow"/>
                <w:sz w:val="20"/>
                <w:szCs w:val="20"/>
                <w:lang w:val="en"/>
              </w:rPr>
              <w:t>second, expert opinion</w:t>
            </w:r>
            <w:r w:rsidRPr="003760B8">
              <w:rPr>
                <w:rFonts w:ascii="Arial Narrow" w:hAnsi="Arial Narrow" w:cs="Arial Narrow"/>
                <w:sz w:val="20"/>
                <w:szCs w:val="20"/>
                <w:lang w:val="en"/>
              </w:rPr>
              <w:t xml:space="preserve"> in the comparator arm set to unit cost of 'non-complex' </w:t>
            </w:r>
            <w:r>
              <w:rPr>
                <w:rFonts w:ascii="Arial Narrow" w:hAnsi="Arial Narrow" w:cs="Arial Narrow"/>
                <w:sz w:val="20"/>
                <w:szCs w:val="20"/>
                <w:lang w:val="en"/>
              </w:rPr>
              <w:t>second, expert opinion</w:t>
            </w:r>
          </w:p>
        </w:tc>
        <w:tc>
          <w:tcPr>
            <w:tcW w:w="1346" w:type="dxa"/>
            <w:tcBorders>
              <w:top w:val="single" w:sz="2" w:space="0" w:color="000000"/>
              <w:left w:val="single" w:sz="2" w:space="0" w:color="000000"/>
              <w:bottom w:val="single" w:sz="2" w:space="0" w:color="000000"/>
              <w:right w:val="nil"/>
            </w:tcBorders>
            <w:shd w:val="clear" w:color="000000" w:fill="auto"/>
          </w:tcPr>
          <w:p w14:paraId="691D4733"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$1.49</w:t>
            </w:r>
          </w:p>
        </w:tc>
        <w:tc>
          <w:tcPr>
            <w:tcW w:w="1347" w:type="dxa"/>
            <w:tcBorders>
              <w:top w:val="single" w:sz="2" w:space="0" w:color="000000"/>
              <w:left w:val="single" w:sz="2" w:space="0" w:color="000000"/>
              <w:bottom w:val="single" w:sz="2" w:space="0" w:color="000000"/>
              <w:right w:val="nil"/>
            </w:tcBorders>
            <w:shd w:val="clear" w:color="000000" w:fill="auto"/>
          </w:tcPr>
          <w:p w14:paraId="23415D4D"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1DA50A6C"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$1</w:t>
            </w:r>
            <w:r>
              <w:rPr>
                <w:rFonts w:ascii="Arial Narrow" w:hAnsi="Arial Narrow" w:cs="Arial Narrow"/>
                <w:sz w:val="20"/>
                <w:szCs w:val="20"/>
                <w:lang w:val="en"/>
              </w:rPr>
              <w:t>,</w:t>
            </w:r>
            <w:r w:rsidRPr="003760B8">
              <w:rPr>
                <w:rFonts w:ascii="Arial Narrow" w:hAnsi="Arial Narrow" w:cs="Arial Narrow"/>
                <w:sz w:val="20"/>
                <w:szCs w:val="20"/>
                <w:lang w:val="en"/>
              </w:rPr>
              <w:t>420.59</w:t>
            </w:r>
          </w:p>
        </w:tc>
      </w:tr>
      <w:tr w:rsidR="00B51828" w:rsidRPr="003760B8" w14:paraId="1F38E1AA"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558A705F"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Rate of </w:t>
            </w:r>
            <w:r>
              <w:rPr>
                <w:rFonts w:ascii="Arial Narrow" w:hAnsi="Arial Narrow" w:cs="Arial Narrow"/>
                <w:sz w:val="20"/>
                <w:szCs w:val="20"/>
                <w:lang w:val="en"/>
              </w:rPr>
              <w:t>second, expert opinions</w:t>
            </w:r>
            <w:r w:rsidRPr="003760B8">
              <w:rPr>
                <w:rFonts w:ascii="Arial Narrow" w:hAnsi="Arial Narrow" w:cs="Arial Narrow"/>
                <w:sz w:val="20"/>
                <w:szCs w:val="20"/>
                <w:lang w:val="en"/>
              </w:rPr>
              <w:t xml:space="preserve"> set to upper limit from survey results (1% in current arm, 2% in proposed arm)</w:t>
            </w:r>
          </w:p>
        </w:tc>
        <w:tc>
          <w:tcPr>
            <w:tcW w:w="1346" w:type="dxa"/>
            <w:tcBorders>
              <w:top w:val="single" w:sz="2" w:space="0" w:color="000000"/>
              <w:left w:val="single" w:sz="2" w:space="0" w:color="000000"/>
              <w:bottom w:val="single" w:sz="2" w:space="0" w:color="000000"/>
              <w:right w:val="nil"/>
            </w:tcBorders>
            <w:shd w:val="clear" w:color="000000" w:fill="auto"/>
          </w:tcPr>
          <w:p w14:paraId="3B05CE98"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$5.66</w:t>
            </w:r>
          </w:p>
        </w:tc>
        <w:tc>
          <w:tcPr>
            <w:tcW w:w="1347" w:type="dxa"/>
            <w:tcBorders>
              <w:top w:val="single" w:sz="2" w:space="0" w:color="000000"/>
              <w:left w:val="single" w:sz="2" w:space="0" w:color="000000"/>
              <w:bottom w:val="single" w:sz="2" w:space="0" w:color="000000"/>
              <w:right w:val="nil"/>
            </w:tcBorders>
            <w:shd w:val="clear" w:color="000000" w:fill="auto"/>
          </w:tcPr>
          <w:p w14:paraId="68D36E24"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0.0012</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12353B84"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w:t>
            </w:r>
            <w:r>
              <w:rPr>
                <w:rFonts w:ascii="Arial Narrow" w:hAnsi="Arial Narrow" w:cs="Arial Narrow"/>
                <w:sz w:val="20"/>
                <w:szCs w:val="20"/>
                <w:lang w:val="en"/>
              </w:rPr>
              <w:t>,</w:t>
            </w:r>
            <w:r w:rsidRPr="003760B8">
              <w:rPr>
                <w:rFonts w:ascii="Arial Narrow" w:hAnsi="Arial Narrow" w:cs="Arial Narrow"/>
                <w:sz w:val="20"/>
                <w:szCs w:val="20"/>
                <w:lang w:val="en"/>
              </w:rPr>
              <w:t>543.35</w:t>
            </w:r>
          </w:p>
        </w:tc>
      </w:tr>
      <w:tr w:rsidR="00B51828" w:rsidRPr="003760B8" w14:paraId="3F3D30CA"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6435FEC3"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 xml:space="preserve">Rate of </w:t>
            </w:r>
            <w:r>
              <w:rPr>
                <w:rFonts w:ascii="Arial Narrow" w:hAnsi="Arial Narrow" w:cs="Arial Narrow"/>
                <w:sz w:val="20"/>
                <w:szCs w:val="20"/>
                <w:lang w:val="en"/>
              </w:rPr>
              <w:t>second, expert opinions</w:t>
            </w:r>
            <w:r w:rsidRPr="003760B8">
              <w:rPr>
                <w:rFonts w:ascii="Arial Narrow" w:hAnsi="Arial Narrow" w:cs="Arial Narrow"/>
                <w:sz w:val="20"/>
                <w:szCs w:val="20"/>
                <w:lang w:val="en"/>
              </w:rPr>
              <w:t xml:space="preserve"> set to lower limit from survey results (0.1% in current arm, 0.3% in proposed arm)</w:t>
            </w:r>
          </w:p>
        </w:tc>
        <w:tc>
          <w:tcPr>
            <w:tcW w:w="1346" w:type="dxa"/>
            <w:tcBorders>
              <w:top w:val="single" w:sz="2" w:space="0" w:color="000000"/>
              <w:left w:val="single" w:sz="2" w:space="0" w:color="000000"/>
              <w:bottom w:val="single" w:sz="2" w:space="0" w:color="000000"/>
              <w:right w:val="nil"/>
            </w:tcBorders>
            <w:shd w:val="clear" w:color="000000" w:fill="auto"/>
          </w:tcPr>
          <w:p w14:paraId="067B6E0A"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$0.86</w:t>
            </w:r>
          </w:p>
        </w:tc>
        <w:tc>
          <w:tcPr>
            <w:tcW w:w="1347" w:type="dxa"/>
            <w:tcBorders>
              <w:top w:val="single" w:sz="2" w:space="0" w:color="000000"/>
              <w:left w:val="single" w:sz="2" w:space="0" w:color="000000"/>
              <w:bottom w:val="single" w:sz="2" w:space="0" w:color="000000"/>
              <w:right w:val="nil"/>
            </w:tcBorders>
            <w:shd w:val="clear" w:color="000000" w:fill="auto"/>
          </w:tcPr>
          <w:p w14:paraId="48391806"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0.0002</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515B8654"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461.68</w:t>
            </w:r>
          </w:p>
        </w:tc>
      </w:tr>
      <w:tr w:rsidR="00B51828" w:rsidRPr="003760B8" w14:paraId="1A5A39B4"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29857AEB"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Cost of ancillary tests increased by 10%</w:t>
            </w:r>
          </w:p>
        </w:tc>
        <w:tc>
          <w:tcPr>
            <w:tcW w:w="1346" w:type="dxa"/>
            <w:tcBorders>
              <w:top w:val="single" w:sz="2" w:space="0" w:color="000000"/>
              <w:left w:val="single" w:sz="2" w:space="0" w:color="000000"/>
              <w:bottom w:val="single" w:sz="2" w:space="0" w:color="000000"/>
              <w:right w:val="nil"/>
            </w:tcBorders>
            <w:shd w:val="clear" w:color="000000" w:fill="auto"/>
          </w:tcPr>
          <w:p w14:paraId="00C9526E"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$4.06</w:t>
            </w:r>
          </w:p>
        </w:tc>
        <w:tc>
          <w:tcPr>
            <w:tcW w:w="1347" w:type="dxa"/>
            <w:tcBorders>
              <w:top w:val="single" w:sz="2" w:space="0" w:color="000000"/>
              <w:left w:val="single" w:sz="2" w:space="0" w:color="000000"/>
              <w:bottom w:val="single" w:sz="2" w:space="0" w:color="000000"/>
              <w:right w:val="nil"/>
            </w:tcBorders>
            <w:shd w:val="clear" w:color="000000" w:fill="auto"/>
          </w:tcPr>
          <w:p w14:paraId="466BFD42"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37DFA8C4"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858.68</w:t>
            </w:r>
          </w:p>
        </w:tc>
      </w:tr>
      <w:tr w:rsidR="00B51828" w:rsidRPr="003760B8" w14:paraId="5402A35B" w14:textId="77777777" w:rsidTr="00E61184">
        <w:trPr>
          <w:trHeight w:val="1"/>
        </w:trPr>
        <w:tc>
          <w:tcPr>
            <w:tcW w:w="3686" w:type="dxa"/>
            <w:tcBorders>
              <w:top w:val="single" w:sz="2" w:space="0" w:color="000000"/>
              <w:left w:val="single" w:sz="2" w:space="0" w:color="000000"/>
              <w:bottom w:val="single" w:sz="2" w:space="0" w:color="000000"/>
              <w:right w:val="nil"/>
            </w:tcBorders>
            <w:shd w:val="clear" w:color="000000" w:fill="auto"/>
          </w:tcPr>
          <w:p w14:paraId="12646158" w14:textId="77777777" w:rsidR="00B51828" w:rsidRPr="003760B8" w:rsidRDefault="00B51828" w:rsidP="002101D2">
            <w:pPr>
              <w:widowControl w:val="0"/>
              <w:suppressAutoHyphens/>
              <w:autoSpaceDE w:val="0"/>
              <w:autoSpaceDN w:val="0"/>
              <w:adjustRightInd w:val="0"/>
              <w:spacing w:before="20" w:after="20"/>
              <w:ind w:left="0"/>
              <w:rPr>
                <w:rFonts w:ascii="Calibri" w:hAnsi="Calibri" w:cs="Calibri"/>
                <w:sz w:val="22"/>
                <w:lang w:val="en"/>
              </w:rPr>
            </w:pPr>
            <w:r w:rsidRPr="003760B8">
              <w:rPr>
                <w:rFonts w:ascii="Arial Narrow" w:hAnsi="Arial Narrow" w:cs="Arial Narrow"/>
                <w:sz w:val="20"/>
                <w:szCs w:val="20"/>
                <w:lang w:val="en"/>
              </w:rPr>
              <w:t>Cost of ancillary tests decreased by 10%</w:t>
            </w:r>
          </w:p>
        </w:tc>
        <w:tc>
          <w:tcPr>
            <w:tcW w:w="1346" w:type="dxa"/>
            <w:tcBorders>
              <w:top w:val="single" w:sz="2" w:space="0" w:color="000000"/>
              <w:left w:val="single" w:sz="2" w:space="0" w:color="000000"/>
              <w:bottom w:val="single" w:sz="2" w:space="0" w:color="000000"/>
              <w:right w:val="nil"/>
            </w:tcBorders>
            <w:shd w:val="clear" w:color="000000" w:fill="auto"/>
          </w:tcPr>
          <w:p w14:paraId="2FF7343A"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$4.01</w:t>
            </w:r>
          </w:p>
        </w:tc>
        <w:tc>
          <w:tcPr>
            <w:tcW w:w="1347" w:type="dxa"/>
            <w:tcBorders>
              <w:top w:val="single" w:sz="2" w:space="0" w:color="000000"/>
              <w:left w:val="single" w:sz="2" w:space="0" w:color="000000"/>
              <w:bottom w:val="single" w:sz="2" w:space="0" w:color="000000"/>
              <w:right w:val="nil"/>
            </w:tcBorders>
            <w:shd w:val="clear" w:color="000000" w:fill="auto"/>
          </w:tcPr>
          <w:p w14:paraId="399B64F2"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0.0011</w:t>
            </w:r>
          </w:p>
        </w:tc>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197C6385" w14:textId="77777777" w:rsidR="00B51828" w:rsidRPr="0019563F" w:rsidRDefault="00B51828" w:rsidP="00E61184">
            <w:pPr>
              <w:keepNext/>
              <w:widowControl w:val="0"/>
              <w:suppressAutoHyphens/>
              <w:autoSpaceDE w:val="0"/>
              <w:autoSpaceDN w:val="0"/>
              <w:adjustRightInd w:val="0"/>
              <w:spacing w:before="20" w:after="20"/>
              <w:ind w:left="0"/>
              <w:jc w:val="right"/>
              <w:rPr>
                <w:rFonts w:ascii="Arial Narrow" w:hAnsi="Arial Narrow" w:cs="Arial Narrow"/>
                <w:sz w:val="20"/>
                <w:szCs w:val="20"/>
                <w:lang w:val="en"/>
              </w:rPr>
            </w:pPr>
            <w:r w:rsidRPr="003760B8">
              <w:rPr>
                <w:rFonts w:ascii="Arial Narrow" w:hAnsi="Arial Narrow" w:cs="Arial Narrow"/>
                <w:sz w:val="20"/>
                <w:szCs w:val="20"/>
                <w:lang w:val="en"/>
              </w:rPr>
              <w:t>$3</w:t>
            </w:r>
            <w:r>
              <w:rPr>
                <w:rFonts w:ascii="Arial Narrow" w:hAnsi="Arial Narrow" w:cs="Arial Narrow"/>
                <w:sz w:val="20"/>
                <w:szCs w:val="20"/>
                <w:lang w:val="en"/>
              </w:rPr>
              <w:t>,</w:t>
            </w:r>
            <w:r w:rsidRPr="003760B8">
              <w:rPr>
                <w:rFonts w:ascii="Arial Narrow" w:hAnsi="Arial Narrow" w:cs="Arial Narrow"/>
                <w:sz w:val="20"/>
                <w:szCs w:val="20"/>
                <w:lang w:val="en"/>
              </w:rPr>
              <w:t>817.84</w:t>
            </w:r>
          </w:p>
        </w:tc>
      </w:tr>
    </w:tbl>
    <w:p w14:paraId="0441C330" w14:textId="77777777" w:rsidR="00B51828" w:rsidRDefault="00B51828" w:rsidP="002101D2"/>
    <w:p w14:paraId="69E9B5D8" w14:textId="77777777"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t xml:space="preserve">Among the analyses conducted, the greatest downside sensitivity risk relates to consideration of ‘complex’ second, expert opinions alone. Given that these would attract twice the price under the proposed listing, this result is intuitive. While this result should be noted in itself, it must also be noted that it is a partial analysis. Specifically, it is reasonable to assume that the rate of major discrepancies among ‘complex’ cases may be </w:t>
      </w:r>
      <w:r>
        <w:rPr>
          <w:rFonts w:cs="Garamond"/>
          <w:szCs w:val="24"/>
          <w:lang w:val="en"/>
        </w:rPr>
        <w:lastRenderedPageBreak/>
        <w:t>different to the average case. There are, however, no data upon which a modification of the base case can be estimated to tailor an analysis relevant ‘complex’ cases alone. As such, we cannot be certain of the true impact of considering ‘complex’ cases in isolation and the partial analysis presented above must be viewed in light of its limitations.</w:t>
      </w:r>
    </w:p>
    <w:p w14:paraId="45F1FC28" w14:textId="77777777"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t>The greatest upside risk stems from the inclusion of a unit cost associated with second, expert opinion in the arm representing current funding arrangements. While the MBS does not currently fund any second opinions, payment may be appropriate in some cases. The revised Final Protocol, for example, maintains that a proportion of second, expert opinions are conducted ex gratis, while the funding of others is met either by the patient or by other funding mechanisms. While both the distribution of these possibilities, and the applicable unit costs, are unknown, it can be seen that a simplistic approach of using the requested fee for ‘non-complex’ second, expert opinions has a marked effect. This reduces the ICER to $1,421 per significant change in diagnosis. This demonstrates that inclusion of a figure representing the true cost of the current arrangements would improve the cost-effectiveness of the requested listing by reducing the incremental cost.</w:t>
      </w:r>
    </w:p>
    <w:p w14:paraId="6F635874" w14:textId="77777777"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t>Another particularly sensitive analysis can be seen in the increase in the rate of second, expert opinions to the upper limit of the survey results. This was a two-way sensitivity analysis, incorporating the upper limit into both arms of the model (1% in the arm representing current practice and 2% in the arm representing the proposed listing). With such low rates of second, expert opinions in the base case, it is unsurprising that this would have a notable effect on the results. In fact, it could be that the sensitivity to this parameter is more than simply academic, as it may be difficult to predict how the rate of second, expert opinions may increase in true clinical practice in the event of a change to the funding mechanism. If the rate increases more than is expected, this will increase the ICER, reducing the cost-effectiveness offered. Moreover, it is worth considering the possibility that an increase in the rate of second, expert opinions may be due to expert opinions being requested for cases which are unlikely to benefit from the second opinion (i.e. cases which are currently omitted from requests for second, expert opinion due to their relative, but limited, certainty). If this were the case, this could have a more pronounced impact by lowering the rate of major discrepancies, which would increase the ICER further. Of course, there are currently no data to indicate this outcome would eventuate, but it may warrant consideration nonetheless.</w:t>
      </w:r>
    </w:p>
    <w:p w14:paraId="514556BF" w14:textId="77777777"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t>Another notable result is that the inclusion of cases with no initial diagnosis has been shown to have negligible effect on the result. While the ICER itself does change when these data are applied, the impact on the incremental outcome is not observable at the level of four decimal places. When considering the low number of cases without an initial diagnosis, this result is intuitive.</w:t>
      </w:r>
    </w:p>
    <w:p w14:paraId="6C1DB9EC" w14:textId="77777777" w:rsidR="00B51828" w:rsidRDefault="00B51828" w:rsidP="002101D2">
      <w:pPr>
        <w:widowControl w:val="0"/>
        <w:suppressAutoHyphens/>
        <w:autoSpaceDE w:val="0"/>
        <w:autoSpaceDN w:val="0"/>
        <w:adjustRightInd w:val="0"/>
        <w:spacing w:line="100" w:lineRule="atLeast"/>
        <w:ind w:left="721"/>
        <w:rPr>
          <w:rFonts w:cs="Garamond"/>
          <w:szCs w:val="24"/>
          <w:lang w:val="en"/>
        </w:rPr>
      </w:pPr>
      <w:r>
        <w:rPr>
          <w:rFonts w:cs="Garamond"/>
          <w:szCs w:val="24"/>
          <w:lang w:val="en"/>
        </w:rPr>
        <w:t>The results are not particularly sensitive to the unit costs used. Neither the list price nor the cost of ancillary tests appear to have a marked impact on the results when varied to reasonable limits. Similarly, the ICER does not exhibit pronounced sensitivity to reasonable variation in the major discrepancy rates.</w:t>
      </w:r>
    </w:p>
    <w:p w14:paraId="4B727916" w14:textId="77777777" w:rsidR="00B51828" w:rsidRDefault="00B51828" w:rsidP="00443A7E">
      <w:pPr>
        <w:suppressAutoHyphens/>
        <w:autoSpaceDE w:val="0"/>
        <w:autoSpaceDN w:val="0"/>
        <w:adjustRightInd w:val="0"/>
        <w:spacing w:line="100" w:lineRule="atLeast"/>
        <w:rPr>
          <w:rFonts w:cs="Garamond"/>
          <w:szCs w:val="24"/>
          <w:lang w:val="en"/>
        </w:rPr>
      </w:pPr>
      <w:r>
        <w:rPr>
          <w:rFonts w:cs="Garamond"/>
          <w:szCs w:val="24"/>
          <w:lang w:val="en"/>
        </w:rPr>
        <w:t xml:space="preserve">The incremental cost-effectiveness appears to improve when diseases are considered in isolation, or at least in the case of soft tissue/sarcoma and dermatology. Each of the ICERs for these is lower than in the base case. Of course, the results should be interpreted with caution since, in both cases, they include additional studies not included in the base case. They, therefore, lack internal consistency with the base case. </w:t>
      </w:r>
      <w:r>
        <w:rPr>
          <w:rFonts w:cs="Garamond"/>
          <w:szCs w:val="24"/>
          <w:lang w:val="en"/>
        </w:rPr>
        <w:lastRenderedPageBreak/>
        <w:t>Nonetheless, at the very least, these serve to highlight how the cost-effectiveness may change between subgroups.</w:t>
      </w:r>
    </w:p>
    <w:p w14:paraId="5D7626C6" w14:textId="0217071E" w:rsidR="00B51828" w:rsidRPr="00C67EEB" w:rsidRDefault="00B51828" w:rsidP="00C67EEB">
      <w:pPr>
        <w:widowControl w:val="0"/>
        <w:suppressAutoHyphens/>
        <w:autoSpaceDE w:val="0"/>
        <w:autoSpaceDN w:val="0"/>
        <w:adjustRightInd w:val="0"/>
        <w:spacing w:line="100" w:lineRule="atLeast"/>
        <w:ind w:left="721"/>
        <w:rPr>
          <w:rFonts w:cs="Garamond"/>
          <w:szCs w:val="24"/>
          <w:lang w:val="en"/>
        </w:rPr>
      </w:pPr>
      <w:r>
        <w:rPr>
          <w:rFonts w:cs="Garamond"/>
          <w:szCs w:val="24"/>
          <w:lang w:val="en"/>
        </w:rPr>
        <w:t>Finally, the analysis focus</w:t>
      </w:r>
      <w:r w:rsidR="005414B7">
        <w:rPr>
          <w:rFonts w:cs="Garamond"/>
          <w:szCs w:val="24"/>
          <w:lang w:val="en"/>
        </w:rPr>
        <w:t>sing</w:t>
      </w:r>
      <w:r>
        <w:rPr>
          <w:rFonts w:cs="Garamond"/>
          <w:szCs w:val="24"/>
          <w:lang w:val="en"/>
        </w:rPr>
        <w:t xml:space="preserve"> on cytopathology is worth highlighting. Data limitations weigh heavily on this analysis, with it relying on tissue pathology data rather than data applicable to cytopathology. This markedly hinders the ability to draw conclusions from the analysis. Nonetheless, the analysis does reveal that, other things being equal, resource use estimates from the survey indicate that cytopathology may be more cost-effective than tissue pathology. Of course, variations to the major discrepancy rate could reverse this finding, but it remains an interesting result nonetheless. Further research into the likely rates of major discrepancies among cytopathology second, expert op</w:t>
      </w:r>
      <w:r w:rsidR="00C67EEB">
        <w:rPr>
          <w:rFonts w:cs="Garamond"/>
          <w:szCs w:val="24"/>
          <w:lang w:val="en"/>
        </w:rPr>
        <w:t>inions could be of great value.</w:t>
      </w:r>
    </w:p>
    <w:p w14:paraId="18BA581E" w14:textId="77777777" w:rsidR="00B51828" w:rsidRDefault="00B51828" w:rsidP="00B51828">
      <w:pPr>
        <w:pStyle w:val="Heading1"/>
        <w:numPr>
          <w:ilvl w:val="0"/>
          <w:numId w:val="1"/>
        </w:numPr>
      </w:pPr>
      <w:bookmarkStart w:id="234" w:name="_Ref382321978"/>
      <w:bookmarkStart w:id="235" w:name="_Toc396211710"/>
      <w:r w:rsidRPr="00F710E2">
        <w:lastRenderedPageBreak/>
        <w:t>Estimated</w:t>
      </w:r>
      <w:r>
        <w:t xml:space="preserve"> utilisation and financial implications</w:t>
      </w:r>
      <w:bookmarkEnd w:id="234"/>
      <w:bookmarkEnd w:id="235"/>
    </w:p>
    <w:p w14:paraId="3FD34234" w14:textId="77777777" w:rsidR="00B51828" w:rsidRDefault="00B51828" w:rsidP="00B51828">
      <w:pPr>
        <w:pStyle w:val="Heading2"/>
        <w:numPr>
          <w:ilvl w:val="1"/>
          <w:numId w:val="1"/>
        </w:numPr>
      </w:pPr>
      <w:bookmarkStart w:id="236" w:name="_Toc396211711"/>
      <w:r>
        <w:t>Justification of the selection of sources of data</w:t>
      </w:r>
      <w:bookmarkEnd w:id="236"/>
    </w:p>
    <w:p w14:paraId="269F8D6C" w14:textId="77777777" w:rsidR="00B51828" w:rsidRDefault="00B51828" w:rsidP="002101D2">
      <w:r>
        <w:t xml:space="preserve">As discussed in Section </w:t>
      </w:r>
      <w:r>
        <w:fldChar w:fldCharType="begin"/>
      </w:r>
      <w:r>
        <w:instrText xml:space="preserve"> REF _Ref394416267 \w \h </w:instrText>
      </w:r>
      <w:r>
        <w:fldChar w:fldCharType="separate"/>
      </w:r>
      <w:r w:rsidR="0044620B">
        <w:t>A.2.4</w:t>
      </w:r>
      <w:r>
        <w:fldChar w:fldCharType="end"/>
      </w:r>
      <w:r>
        <w:t xml:space="preserve">, second, expert opinions on tissue pathology and cytology specimens are not funded on the MBS. Hence there is no MBS data available to show the number of second opinions that are currently performed by expert pathologists in Australia. </w:t>
      </w:r>
    </w:p>
    <w:p w14:paraId="52013B7B" w14:textId="77777777" w:rsidR="00B51828" w:rsidRDefault="00B51828" w:rsidP="002101D2">
      <w:r>
        <w:t xml:space="preserve">Furthermore, there is limited data available in the published literature regarding the number of second, expert pathology opinions undertaken in Australia or internationally, nor the proportion of initial tissue pathology or cytology cases that are usually referred for expert opinion. Of the included studies in Section B, two reported second, expert opinion rates (see </w:t>
      </w:r>
      <w:r>
        <w:fldChar w:fldCharType="begin"/>
      </w:r>
      <w:r>
        <w:instrText xml:space="preserve"> REF _Ref395294542 \h </w:instrText>
      </w:r>
      <w:r>
        <w:fldChar w:fldCharType="separate"/>
      </w:r>
      <w:r w:rsidR="0044620B">
        <w:t xml:space="preserve">Table </w:t>
      </w:r>
      <w:r w:rsidR="0044620B">
        <w:rPr>
          <w:noProof/>
        </w:rPr>
        <w:t>E.1</w:t>
      </w:r>
      <w:r w:rsidR="0044620B">
        <w:noBreakHyphen/>
      </w:r>
      <w:r w:rsidR="0044620B">
        <w:rPr>
          <w:noProof/>
        </w:rPr>
        <w:t>1</w:t>
      </w:r>
      <w:r>
        <w:fldChar w:fldCharType="end"/>
      </w:r>
      <w:r>
        <w:t>). The</w:t>
      </w:r>
      <w:r w:rsidRPr="004055A8">
        <w:t xml:space="preserve"> </w:t>
      </w:r>
      <w:r>
        <w:t xml:space="preserve">Cook et al (2001) study from the United Kingdom showed that second, expert opinion rates increased over time from 0.35% in 1990 to 0.56% in 1998. The Hsu et al (2010) study from Taiwan reported a second, expert opinion rate of 0.7%. In addition, a study from the </w:t>
      </w:r>
      <w:r w:rsidRPr="00FC6C90">
        <w:t>College of American Pathologists</w:t>
      </w:r>
      <w:r w:rsidRPr="0012305E">
        <w:rPr>
          <w:i/>
        </w:rPr>
        <w:t xml:space="preserve"> </w:t>
      </w:r>
      <w:r>
        <w:rPr>
          <w:noProof/>
        </w:rPr>
        <w:t>(Azam and Nakhleh, 2002)</w:t>
      </w:r>
      <w:r>
        <w:t>, excluded in Section B.2, suggested that approximately 0.5% of initial tissue pathology cases are referred to an expert pathologist to resolve diagnostic uncertainty. However the study included some patient-requested referrals and had a very low proportion of Australian sites (&lt;4%), which limits the applicability of the results.</w:t>
      </w:r>
    </w:p>
    <w:p w14:paraId="1453AFF5" w14:textId="77777777" w:rsidR="00B51828" w:rsidRDefault="00B51828" w:rsidP="002101D2">
      <w:pPr>
        <w:pStyle w:val="Caption"/>
      </w:pPr>
      <w:bookmarkStart w:id="237" w:name="_Ref395294542"/>
      <w:bookmarkStart w:id="238" w:name="_Toc396211765"/>
      <w:r>
        <w:t xml:space="preserve">Table </w:t>
      </w:r>
      <w:fldSimple w:instr=" STYLEREF 2 \s ">
        <w:r w:rsidR="0044620B">
          <w:rPr>
            <w:noProof/>
          </w:rPr>
          <w:t>E.1</w:t>
        </w:r>
      </w:fldSimple>
      <w:r>
        <w:noBreakHyphen/>
      </w:r>
      <w:fldSimple w:instr=" SEQ Table \* ARABIC \s 2 ">
        <w:r w:rsidR="0044620B">
          <w:rPr>
            <w:noProof/>
          </w:rPr>
          <w:t>1</w:t>
        </w:r>
      </w:fldSimple>
      <w:bookmarkEnd w:id="237"/>
      <w:r>
        <w:tab/>
        <w:t>Rates of second, expert opinion – as reported in the included studies</w:t>
      </w:r>
      <w:bookmarkEnd w:id="238"/>
    </w:p>
    <w:tbl>
      <w:tblPr>
        <w:tblStyle w:val="TableGrid"/>
        <w:tblW w:w="4610" w:type="pct"/>
        <w:tblInd w:w="704" w:type="dxa"/>
        <w:tblCellMar>
          <w:left w:w="57" w:type="dxa"/>
          <w:right w:w="57" w:type="dxa"/>
        </w:tblCellMar>
        <w:tblLook w:val="04A0" w:firstRow="1" w:lastRow="0" w:firstColumn="1" w:lastColumn="0" w:noHBand="0" w:noVBand="1"/>
        <w:tblCaption w:val="Rates of second, expert opinion – as reported in the included studies"/>
        <w:tblDescription w:val="Estimates from the published literature regarding rates of second, expert opinion."/>
      </w:tblPr>
      <w:tblGrid>
        <w:gridCol w:w="1562"/>
        <w:gridCol w:w="1886"/>
        <w:gridCol w:w="3019"/>
        <w:gridCol w:w="1960"/>
      </w:tblGrid>
      <w:tr w:rsidR="00B51828" w14:paraId="5C5EDE82" w14:textId="77777777" w:rsidTr="00E61184">
        <w:trPr>
          <w:tblHeader/>
        </w:trPr>
        <w:tc>
          <w:tcPr>
            <w:tcW w:w="927" w:type="pct"/>
          </w:tcPr>
          <w:p w14:paraId="69920E69" w14:textId="77777777" w:rsidR="00B51828" w:rsidRPr="00E83D67" w:rsidRDefault="00B51828" w:rsidP="002101D2">
            <w:pPr>
              <w:spacing w:before="20" w:after="20"/>
              <w:ind w:left="0"/>
              <w:rPr>
                <w:rFonts w:ascii="Arial Narrow" w:hAnsi="Arial Narrow"/>
                <w:b/>
                <w:sz w:val="20"/>
                <w:szCs w:val="20"/>
              </w:rPr>
            </w:pPr>
            <w:r w:rsidRPr="00E83D67">
              <w:rPr>
                <w:rFonts w:ascii="Arial Narrow" w:hAnsi="Arial Narrow"/>
                <w:b/>
                <w:sz w:val="20"/>
                <w:szCs w:val="20"/>
              </w:rPr>
              <w:t>Study ID</w:t>
            </w:r>
          </w:p>
        </w:tc>
        <w:tc>
          <w:tcPr>
            <w:tcW w:w="1119" w:type="pct"/>
          </w:tcPr>
          <w:p w14:paraId="233FCC21" w14:textId="77777777" w:rsidR="00B51828" w:rsidRDefault="00B51828" w:rsidP="002101D2">
            <w:pPr>
              <w:spacing w:before="20" w:after="20"/>
              <w:ind w:left="0"/>
              <w:jc w:val="center"/>
              <w:rPr>
                <w:rFonts w:ascii="Arial Narrow" w:hAnsi="Arial Narrow"/>
                <w:b/>
                <w:sz w:val="20"/>
                <w:szCs w:val="20"/>
              </w:rPr>
            </w:pPr>
            <w:r>
              <w:rPr>
                <w:rFonts w:ascii="Arial Narrow" w:hAnsi="Arial Narrow"/>
                <w:b/>
                <w:sz w:val="20"/>
                <w:szCs w:val="20"/>
              </w:rPr>
              <w:t>Source of estimate</w:t>
            </w:r>
          </w:p>
        </w:tc>
        <w:tc>
          <w:tcPr>
            <w:tcW w:w="1791" w:type="pct"/>
          </w:tcPr>
          <w:p w14:paraId="6186DCBC" w14:textId="77777777" w:rsidR="00B51828" w:rsidRPr="00E83D67" w:rsidRDefault="00B51828" w:rsidP="002101D2">
            <w:pPr>
              <w:spacing w:before="20" w:after="20"/>
              <w:ind w:left="0"/>
              <w:jc w:val="center"/>
              <w:rPr>
                <w:rFonts w:ascii="Arial Narrow" w:hAnsi="Arial Narrow"/>
                <w:b/>
                <w:sz w:val="20"/>
                <w:szCs w:val="20"/>
              </w:rPr>
            </w:pPr>
            <w:r>
              <w:rPr>
                <w:rFonts w:ascii="Arial Narrow" w:hAnsi="Arial Narrow"/>
                <w:b/>
                <w:sz w:val="20"/>
                <w:szCs w:val="20"/>
              </w:rPr>
              <w:t>Outcome</w:t>
            </w:r>
          </w:p>
        </w:tc>
        <w:tc>
          <w:tcPr>
            <w:tcW w:w="1163" w:type="pct"/>
          </w:tcPr>
          <w:p w14:paraId="0DCF14D5" w14:textId="77777777" w:rsidR="00B51828" w:rsidRPr="00E83D67" w:rsidRDefault="00B51828" w:rsidP="002101D2">
            <w:pPr>
              <w:spacing w:before="20" w:after="20"/>
              <w:ind w:left="0"/>
              <w:jc w:val="center"/>
              <w:rPr>
                <w:rFonts w:ascii="Arial Narrow" w:hAnsi="Arial Narrow"/>
                <w:b/>
                <w:sz w:val="20"/>
                <w:szCs w:val="20"/>
              </w:rPr>
            </w:pPr>
            <w:r>
              <w:rPr>
                <w:rFonts w:ascii="Arial Narrow" w:hAnsi="Arial Narrow"/>
                <w:b/>
                <w:sz w:val="20"/>
                <w:szCs w:val="20"/>
              </w:rPr>
              <w:t>Second opinion rate</w:t>
            </w:r>
          </w:p>
        </w:tc>
      </w:tr>
      <w:tr w:rsidR="00B51828" w14:paraId="748164EA" w14:textId="77777777" w:rsidTr="00E61184">
        <w:tc>
          <w:tcPr>
            <w:tcW w:w="927" w:type="pct"/>
            <w:tcBorders>
              <w:bottom w:val="single" w:sz="4" w:space="0" w:color="auto"/>
            </w:tcBorders>
            <w:shd w:val="clear" w:color="auto" w:fill="BFBFBF" w:themeFill="background1" w:themeFillShade="BF"/>
          </w:tcPr>
          <w:p w14:paraId="3E8B04BB" w14:textId="77777777" w:rsidR="00B51828" w:rsidRPr="00E83D67" w:rsidRDefault="00B51828" w:rsidP="002101D2">
            <w:pPr>
              <w:spacing w:before="20" w:after="20"/>
              <w:ind w:left="0"/>
              <w:rPr>
                <w:rFonts w:ascii="Arial Narrow" w:hAnsi="Arial Narrow"/>
                <w:sz w:val="20"/>
                <w:szCs w:val="20"/>
              </w:rPr>
            </w:pPr>
            <w:r>
              <w:rPr>
                <w:rFonts w:ascii="Arial Narrow" w:hAnsi="Arial Narrow"/>
                <w:sz w:val="20"/>
                <w:szCs w:val="20"/>
              </w:rPr>
              <w:t>ALL SURGICAL PATHOLOGY</w:t>
            </w:r>
          </w:p>
        </w:tc>
        <w:tc>
          <w:tcPr>
            <w:tcW w:w="1119" w:type="pct"/>
            <w:tcBorders>
              <w:bottom w:val="single" w:sz="4" w:space="0" w:color="auto"/>
            </w:tcBorders>
            <w:shd w:val="clear" w:color="auto" w:fill="BFBFBF" w:themeFill="background1" w:themeFillShade="BF"/>
          </w:tcPr>
          <w:p w14:paraId="76415C29" w14:textId="77777777" w:rsidR="00B51828" w:rsidRPr="00E83D67" w:rsidRDefault="00B51828" w:rsidP="002101D2">
            <w:pPr>
              <w:spacing w:before="20" w:after="20"/>
              <w:ind w:hanging="810"/>
              <w:jc w:val="center"/>
              <w:rPr>
                <w:rFonts w:ascii="Arial Narrow" w:hAnsi="Arial Narrow"/>
                <w:sz w:val="20"/>
                <w:szCs w:val="20"/>
              </w:rPr>
            </w:pPr>
            <w:r>
              <w:rPr>
                <w:rFonts w:ascii="Arial Narrow" w:hAnsi="Arial Narrow"/>
                <w:sz w:val="20"/>
                <w:szCs w:val="20"/>
              </w:rPr>
              <w:t>-</w:t>
            </w:r>
          </w:p>
        </w:tc>
        <w:tc>
          <w:tcPr>
            <w:tcW w:w="1791" w:type="pct"/>
            <w:tcBorders>
              <w:bottom w:val="single" w:sz="4" w:space="0" w:color="auto"/>
            </w:tcBorders>
            <w:shd w:val="clear" w:color="auto" w:fill="BFBFBF" w:themeFill="background1" w:themeFillShade="BF"/>
          </w:tcPr>
          <w:p w14:paraId="4479961E" w14:textId="77777777" w:rsidR="00B51828" w:rsidRPr="00E83D67" w:rsidRDefault="00B51828" w:rsidP="002101D2">
            <w:pPr>
              <w:spacing w:before="20" w:after="20"/>
              <w:ind w:left="-107"/>
              <w:jc w:val="center"/>
              <w:rPr>
                <w:rFonts w:ascii="Arial Narrow" w:hAnsi="Arial Narrow"/>
                <w:sz w:val="20"/>
                <w:szCs w:val="20"/>
              </w:rPr>
            </w:pPr>
            <w:r>
              <w:rPr>
                <w:rFonts w:ascii="Arial Narrow" w:hAnsi="Arial Narrow"/>
                <w:sz w:val="20"/>
                <w:szCs w:val="20"/>
              </w:rPr>
              <w:t>-</w:t>
            </w:r>
          </w:p>
        </w:tc>
        <w:tc>
          <w:tcPr>
            <w:tcW w:w="1163" w:type="pct"/>
            <w:tcBorders>
              <w:bottom w:val="single" w:sz="4" w:space="0" w:color="auto"/>
            </w:tcBorders>
            <w:shd w:val="clear" w:color="auto" w:fill="BFBFBF" w:themeFill="background1" w:themeFillShade="BF"/>
          </w:tcPr>
          <w:p w14:paraId="0780D53E" w14:textId="77777777" w:rsidR="00B51828" w:rsidRPr="00AF2E62" w:rsidRDefault="00B51828" w:rsidP="002101D2">
            <w:pPr>
              <w:spacing w:before="20" w:after="20"/>
              <w:ind w:left="-108"/>
              <w:jc w:val="center"/>
              <w:rPr>
                <w:rFonts w:ascii="Arial Narrow" w:hAnsi="Arial Narrow"/>
                <w:sz w:val="20"/>
                <w:szCs w:val="20"/>
              </w:rPr>
            </w:pPr>
            <w:r>
              <w:rPr>
                <w:rFonts w:ascii="Arial Narrow" w:hAnsi="Arial Narrow"/>
                <w:sz w:val="20"/>
                <w:szCs w:val="20"/>
              </w:rPr>
              <w:t>-</w:t>
            </w:r>
          </w:p>
        </w:tc>
      </w:tr>
      <w:tr w:rsidR="00B51828" w14:paraId="2BAA5765" w14:textId="77777777" w:rsidTr="00E61184">
        <w:trPr>
          <w:trHeight w:val="978"/>
        </w:trPr>
        <w:tc>
          <w:tcPr>
            <w:tcW w:w="927" w:type="pct"/>
            <w:tcBorders>
              <w:top w:val="single" w:sz="4" w:space="0" w:color="auto"/>
              <w:left w:val="single" w:sz="4" w:space="0" w:color="auto"/>
              <w:bottom w:val="single" w:sz="4" w:space="0" w:color="auto"/>
              <w:right w:val="single" w:sz="4" w:space="0" w:color="auto"/>
            </w:tcBorders>
          </w:tcPr>
          <w:p w14:paraId="23096A7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Cook 2001</w:t>
            </w:r>
          </w:p>
        </w:tc>
        <w:tc>
          <w:tcPr>
            <w:tcW w:w="1119" w:type="pct"/>
            <w:tcBorders>
              <w:top w:val="single" w:sz="4" w:space="0" w:color="auto"/>
              <w:left w:val="single" w:sz="4" w:space="0" w:color="auto"/>
              <w:bottom w:val="single" w:sz="4" w:space="0" w:color="auto"/>
              <w:right w:val="single" w:sz="4" w:space="0" w:color="auto"/>
            </w:tcBorders>
          </w:tcPr>
          <w:p w14:paraId="3B45D150" w14:textId="77777777" w:rsidR="00B51828" w:rsidRDefault="00B51828" w:rsidP="002101D2">
            <w:pPr>
              <w:spacing w:before="20" w:after="20"/>
              <w:ind w:left="0"/>
              <w:rPr>
                <w:rFonts w:ascii="Arial Narrow" w:hAnsi="Arial Narrow"/>
                <w:sz w:val="20"/>
                <w:szCs w:val="20"/>
              </w:rPr>
            </w:pPr>
            <w:r w:rsidRPr="00AF2E62">
              <w:rPr>
                <w:rFonts w:ascii="Arial Narrow" w:hAnsi="Arial Narrow"/>
                <w:sz w:val="20"/>
                <w:szCs w:val="20"/>
              </w:rPr>
              <w:t>(1</w:t>
            </w:r>
            <w:r>
              <w:rPr>
                <w:rFonts w:ascii="Arial Narrow" w:hAnsi="Arial Narrow"/>
                <w:sz w:val="20"/>
                <w:szCs w:val="20"/>
              </w:rPr>
              <w:t xml:space="preserve">) </w:t>
            </w:r>
            <w:r w:rsidRPr="00AF2E62">
              <w:rPr>
                <w:rFonts w:ascii="Arial Narrow" w:hAnsi="Arial Narrow"/>
                <w:sz w:val="20"/>
                <w:szCs w:val="20"/>
              </w:rPr>
              <w:t>Consultants’ correspondence files</w:t>
            </w:r>
          </w:p>
          <w:p w14:paraId="007BB67E" w14:textId="77777777" w:rsidR="00B51828" w:rsidRPr="00AF2E62" w:rsidRDefault="00B51828" w:rsidP="002101D2">
            <w:pPr>
              <w:spacing w:before="20" w:after="20"/>
              <w:ind w:left="0"/>
              <w:rPr>
                <w:rFonts w:ascii="Arial Narrow" w:hAnsi="Arial Narrow"/>
                <w:sz w:val="20"/>
                <w:szCs w:val="20"/>
              </w:rPr>
            </w:pPr>
            <w:r>
              <w:rPr>
                <w:rFonts w:ascii="Arial Narrow" w:hAnsi="Arial Narrow"/>
                <w:sz w:val="20"/>
                <w:szCs w:val="20"/>
              </w:rPr>
              <w:t>(2) C</w:t>
            </w:r>
            <w:r w:rsidRPr="00AF2E62">
              <w:rPr>
                <w:rFonts w:ascii="Arial Narrow" w:hAnsi="Arial Narrow"/>
                <w:sz w:val="20"/>
                <w:szCs w:val="20"/>
              </w:rPr>
              <w:t>entralised laboratory records from Portsmouth Hospitals’ NHS Trust (Queen Alexandra and St Mary’s Hospitals)</w:t>
            </w:r>
          </w:p>
        </w:tc>
        <w:tc>
          <w:tcPr>
            <w:tcW w:w="1791" w:type="pct"/>
            <w:tcBorders>
              <w:top w:val="single" w:sz="4" w:space="0" w:color="auto"/>
              <w:left w:val="single" w:sz="4" w:space="0" w:color="auto"/>
              <w:bottom w:val="single" w:sz="4" w:space="0" w:color="auto"/>
              <w:right w:val="single" w:sz="4" w:space="0" w:color="auto"/>
            </w:tcBorders>
          </w:tcPr>
          <w:p w14:paraId="2514BDBE" w14:textId="77777777" w:rsidR="00B51828" w:rsidRDefault="00B51828" w:rsidP="002101D2">
            <w:pPr>
              <w:spacing w:before="20" w:after="0"/>
              <w:ind w:left="0"/>
              <w:rPr>
                <w:rFonts w:ascii="Arial Narrow" w:hAnsi="Arial Narrow"/>
                <w:sz w:val="20"/>
                <w:szCs w:val="20"/>
              </w:rPr>
            </w:pPr>
            <w:r>
              <w:rPr>
                <w:rFonts w:ascii="Arial Narrow" w:hAnsi="Arial Narrow"/>
                <w:sz w:val="20"/>
                <w:szCs w:val="20"/>
              </w:rPr>
              <w:t>Referrals for expert opinion in 1990 (as a proportion of total histopathology accessions): n/N (%)</w:t>
            </w:r>
          </w:p>
          <w:p w14:paraId="27BFDDD2" w14:textId="77777777" w:rsidR="00B51828" w:rsidRDefault="00B51828" w:rsidP="002101D2">
            <w:pPr>
              <w:spacing w:after="0"/>
              <w:ind w:left="0"/>
              <w:rPr>
                <w:rFonts w:ascii="Arial Narrow" w:hAnsi="Arial Narrow"/>
                <w:sz w:val="20"/>
                <w:szCs w:val="20"/>
              </w:rPr>
            </w:pPr>
          </w:p>
          <w:p w14:paraId="06AD7E52" w14:textId="77777777" w:rsidR="00B51828" w:rsidRDefault="00B51828" w:rsidP="002101D2">
            <w:pPr>
              <w:spacing w:after="0"/>
              <w:ind w:left="0"/>
              <w:rPr>
                <w:rFonts w:ascii="Arial Narrow" w:hAnsi="Arial Narrow"/>
                <w:sz w:val="20"/>
                <w:szCs w:val="20"/>
              </w:rPr>
            </w:pPr>
            <w:r>
              <w:rPr>
                <w:rFonts w:ascii="Arial Narrow" w:hAnsi="Arial Narrow"/>
                <w:sz w:val="20"/>
                <w:szCs w:val="20"/>
              </w:rPr>
              <w:t>Referrals for expert opinion in 1998 (as a proportion of total histopathology accessions): n/N (%)</w:t>
            </w:r>
          </w:p>
        </w:tc>
        <w:tc>
          <w:tcPr>
            <w:tcW w:w="1163" w:type="pct"/>
            <w:tcBorders>
              <w:top w:val="single" w:sz="4" w:space="0" w:color="auto"/>
              <w:left w:val="single" w:sz="4" w:space="0" w:color="auto"/>
              <w:bottom w:val="single" w:sz="4" w:space="0" w:color="auto"/>
              <w:right w:val="single" w:sz="4" w:space="0" w:color="auto"/>
            </w:tcBorders>
          </w:tcPr>
          <w:p w14:paraId="48D3D463" w14:textId="77777777" w:rsidR="00B51828" w:rsidRDefault="00B51828" w:rsidP="00C171CA">
            <w:pPr>
              <w:spacing w:before="20" w:after="720"/>
              <w:ind w:left="0"/>
              <w:rPr>
                <w:rFonts w:ascii="Arial Narrow" w:hAnsi="Arial Narrow"/>
                <w:sz w:val="20"/>
                <w:szCs w:val="20"/>
              </w:rPr>
            </w:pPr>
            <w:r>
              <w:rPr>
                <w:rFonts w:ascii="Arial Narrow" w:hAnsi="Arial Narrow"/>
                <w:sz w:val="20"/>
                <w:szCs w:val="20"/>
              </w:rPr>
              <w:t>60/16953 (0.35%)</w:t>
            </w:r>
          </w:p>
          <w:p w14:paraId="54FA9170" w14:textId="77777777" w:rsidR="00B51828" w:rsidRDefault="00B51828" w:rsidP="002101D2">
            <w:pPr>
              <w:spacing w:after="0"/>
              <w:ind w:left="0"/>
              <w:rPr>
                <w:rFonts w:ascii="Arial Narrow" w:hAnsi="Arial Narrow"/>
                <w:sz w:val="20"/>
                <w:szCs w:val="20"/>
              </w:rPr>
            </w:pPr>
            <w:r>
              <w:rPr>
                <w:rFonts w:ascii="Arial Narrow" w:hAnsi="Arial Narrow"/>
                <w:sz w:val="20"/>
                <w:szCs w:val="20"/>
              </w:rPr>
              <w:t>128/22990 (0.56%)</w:t>
            </w:r>
          </w:p>
        </w:tc>
      </w:tr>
      <w:tr w:rsidR="00B51828" w14:paraId="4EA1B2E3" w14:textId="77777777" w:rsidTr="00E61184">
        <w:trPr>
          <w:trHeight w:val="1457"/>
        </w:trPr>
        <w:tc>
          <w:tcPr>
            <w:tcW w:w="927" w:type="pct"/>
            <w:tcBorders>
              <w:top w:val="single" w:sz="4" w:space="0" w:color="auto"/>
              <w:bottom w:val="single" w:sz="4" w:space="0" w:color="auto"/>
            </w:tcBorders>
          </w:tcPr>
          <w:p w14:paraId="40E7922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Hsu 2010</w:t>
            </w:r>
          </w:p>
        </w:tc>
        <w:tc>
          <w:tcPr>
            <w:tcW w:w="1119" w:type="pct"/>
            <w:tcBorders>
              <w:top w:val="single" w:sz="4" w:space="0" w:color="auto"/>
              <w:bottom w:val="single" w:sz="4" w:space="0" w:color="auto"/>
            </w:tcBorders>
          </w:tcPr>
          <w:p w14:paraId="0EDE176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A survey of 87 Taiwan Society of Pathology members regarding extra-departmental pathology referrals </w:t>
            </w:r>
          </w:p>
        </w:tc>
        <w:tc>
          <w:tcPr>
            <w:tcW w:w="1791" w:type="pct"/>
            <w:tcBorders>
              <w:top w:val="single" w:sz="4" w:space="0" w:color="auto"/>
              <w:bottom w:val="single" w:sz="4" w:space="0" w:color="auto"/>
            </w:tcBorders>
          </w:tcPr>
          <w:p w14:paraId="79342686" w14:textId="77777777" w:rsidR="00B51828" w:rsidRDefault="00B51828" w:rsidP="002101D2">
            <w:pPr>
              <w:spacing w:before="20" w:after="0"/>
              <w:ind w:left="0"/>
              <w:rPr>
                <w:rFonts w:ascii="Arial Narrow" w:hAnsi="Arial Narrow"/>
                <w:sz w:val="20"/>
                <w:szCs w:val="20"/>
              </w:rPr>
            </w:pPr>
            <w:r>
              <w:rPr>
                <w:rFonts w:ascii="Arial Narrow" w:hAnsi="Arial Narrow"/>
                <w:sz w:val="20"/>
                <w:szCs w:val="20"/>
              </w:rPr>
              <w:t>Estimated percentage of cases referred for expert opinion per year: mean (median, range)</w:t>
            </w:r>
          </w:p>
          <w:p w14:paraId="60B6E2A8" w14:textId="77777777" w:rsidR="00B51828" w:rsidRDefault="00B51828" w:rsidP="002101D2">
            <w:pPr>
              <w:spacing w:after="0"/>
              <w:ind w:left="0"/>
              <w:rPr>
                <w:rFonts w:ascii="Arial Narrow" w:hAnsi="Arial Narrow"/>
                <w:sz w:val="20"/>
                <w:szCs w:val="20"/>
              </w:rPr>
            </w:pPr>
          </w:p>
          <w:p w14:paraId="63222A29" w14:textId="77777777" w:rsidR="00B51828" w:rsidRDefault="00B51828" w:rsidP="002101D2">
            <w:pPr>
              <w:spacing w:after="0"/>
              <w:ind w:left="0"/>
              <w:rPr>
                <w:rFonts w:ascii="Arial Narrow" w:hAnsi="Arial Narrow"/>
                <w:sz w:val="20"/>
                <w:szCs w:val="20"/>
              </w:rPr>
            </w:pPr>
            <w:r>
              <w:rPr>
                <w:rFonts w:ascii="Arial Narrow" w:hAnsi="Arial Narrow"/>
                <w:sz w:val="20"/>
                <w:szCs w:val="20"/>
              </w:rPr>
              <w:t>Estimated rate of referral in institutes having five or less pathologists: mean (median, range)</w:t>
            </w:r>
          </w:p>
          <w:p w14:paraId="30B84CA6" w14:textId="77777777" w:rsidR="00B51828" w:rsidRDefault="00B51828" w:rsidP="002101D2">
            <w:pPr>
              <w:spacing w:after="0"/>
              <w:ind w:left="0"/>
              <w:rPr>
                <w:rFonts w:ascii="Arial Narrow" w:hAnsi="Arial Narrow"/>
                <w:sz w:val="20"/>
                <w:szCs w:val="20"/>
              </w:rPr>
            </w:pPr>
          </w:p>
          <w:p w14:paraId="29614968" w14:textId="77777777" w:rsidR="00B51828" w:rsidRDefault="00B51828" w:rsidP="002101D2">
            <w:pPr>
              <w:spacing w:after="20"/>
              <w:ind w:left="0"/>
              <w:rPr>
                <w:rFonts w:ascii="Arial Narrow" w:hAnsi="Arial Narrow"/>
                <w:sz w:val="20"/>
                <w:szCs w:val="20"/>
              </w:rPr>
            </w:pPr>
            <w:r>
              <w:rPr>
                <w:rFonts w:ascii="Arial Narrow" w:hAnsi="Arial Narrow"/>
                <w:sz w:val="20"/>
                <w:szCs w:val="20"/>
              </w:rPr>
              <w:t>Estimated rate of referral in institutes having six or more pathologists: mean (median, range)</w:t>
            </w:r>
          </w:p>
        </w:tc>
        <w:tc>
          <w:tcPr>
            <w:tcW w:w="1163" w:type="pct"/>
            <w:tcBorders>
              <w:top w:val="single" w:sz="4" w:space="0" w:color="auto"/>
              <w:bottom w:val="single" w:sz="4" w:space="0" w:color="auto"/>
            </w:tcBorders>
          </w:tcPr>
          <w:p w14:paraId="1449F11A" w14:textId="77777777" w:rsidR="00B51828" w:rsidRDefault="00B51828" w:rsidP="00C171CA">
            <w:pPr>
              <w:spacing w:before="20" w:after="720"/>
              <w:ind w:left="0"/>
              <w:rPr>
                <w:rFonts w:ascii="Arial Narrow" w:hAnsi="Arial Narrow"/>
                <w:sz w:val="20"/>
                <w:szCs w:val="20"/>
              </w:rPr>
            </w:pPr>
            <w:r>
              <w:rPr>
                <w:rFonts w:ascii="Arial Narrow" w:hAnsi="Arial Narrow"/>
                <w:sz w:val="20"/>
                <w:szCs w:val="20"/>
              </w:rPr>
              <w:t>0.7% (0.5%; 0.01-5%)</w:t>
            </w:r>
          </w:p>
          <w:p w14:paraId="05FF32E9" w14:textId="77777777" w:rsidR="00B51828" w:rsidRDefault="00B51828" w:rsidP="00C171CA">
            <w:pPr>
              <w:spacing w:after="600"/>
              <w:ind w:left="0"/>
              <w:rPr>
                <w:rFonts w:ascii="Arial Narrow" w:hAnsi="Arial Narrow"/>
                <w:sz w:val="20"/>
                <w:szCs w:val="20"/>
              </w:rPr>
            </w:pPr>
            <w:r>
              <w:rPr>
                <w:rFonts w:ascii="Arial Narrow" w:hAnsi="Arial Narrow"/>
                <w:sz w:val="20"/>
                <w:szCs w:val="20"/>
              </w:rPr>
              <w:t>0.8% (0.5%; 0.01-5%)</w:t>
            </w:r>
          </w:p>
          <w:p w14:paraId="0191BA38" w14:textId="77777777" w:rsidR="00B51828" w:rsidRDefault="00B51828" w:rsidP="002101D2">
            <w:pPr>
              <w:spacing w:after="0"/>
              <w:ind w:left="0"/>
              <w:rPr>
                <w:rFonts w:ascii="Arial Narrow" w:hAnsi="Arial Narrow"/>
                <w:sz w:val="20"/>
                <w:szCs w:val="20"/>
              </w:rPr>
            </w:pPr>
            <w:r>
              <w:rPr>
                <w:rFonts w:ascii="Arial Narrow" w:hAnsi="Arial Narrow"/>
                <w:sz w:val="20"/>
                <w:szCs w:val="20"/>
              </w:rPr>
              <w:t>0.7% (0.5%; 0.2-1%)</w:t>
            </w:r>
          </w:p>
        </w:tc>
      </w:tr>
    </w:tbl>
    <w:p w14:paraId="2C587F51" w14:textId="77777777" w:rsidR="00B51828" w:rsidRPr="003548CB" w:rsidRDefault="00B51828" w:rsidP="002101D2">
      <w:pPr>
        <w:spacing w:before="20"/>
        <w:ind w:left="0" w:firstLine="720"/>
        <w:rPr>
          <w:rFonts w:ascii="Arial Narrow" w:hAnsi="Arial Narrow"/>
          <w:sz w:val="18"/>
          <w:szCs w:val="18"/>
        </w:rPr>
      </w:pPr>
      <w:r w:rsidRPr="003548CB">
        <w:rPr>
          <w:rFonts w:ascii="Arial Narrow" w:hAnsi="Arial Narrow"/>
          <w:sz w:val="18"/>
          <w:szCs w:val="18"/>
        </w:rPr>
        <w:t>Abbreviations: NHS, National Health Service.</w:t>
      </w:r>
    </w:p>
    <w:p w14:paraId="5A1904FD" w14:textId="044EF0CE" w:rsidR="00B51828" w:rsidRDefault="00B51828" w:rsidP="002101D2">
      <w:r>
        <w:t>In their pre-assessment documentation, the Applicant</w:t>
      </w:r>
      <w:r w:rsidRPr="00F778B0">
        <w:t xml:space="preserve"> estimate</w:t>
      </w:r>
      <w:r>
        <w:t>d</w:t>
      </w:r>
      <w:r w:rsidRPr="00F778B0">
        <w:t xml:space="preserve"> that approximately 1-2% </w:t>
      </w:r>
      <w:r>
        <w:t xml:space="preserve">of specimens would require a second, expert opinion in Australia. In their feedback to the Consultation Protocol, the Applicant revised that estimate to “substantially less than 1%”, acknowledging that the figure came from a major metropolitan referral centre with </w:t>
      </w:r>
      <w:r>
        <w:lastRenderedPageBreak/>
        <w:t>specific expertise and was not representative of the vast majority of community laboratory practices. Other submissions received during public consultation suggested that the proportion of cases referred for second, expert opinion may vary by an order of magnitude from less than 0.1% in large metropolitan laboratories to around 1% in remote, single</w:t>
      </w:r>
      <w:r w:rsidR="00DB23AB">
        <w:t>-</w:t>
      </w:r>
      <w:r>
        <w:t xml:space="preserve">pathologist laboratories. The huge variation in referral patterns across different institutions and regions throughout Australia demonstrates the difficulty of providing an accurate estimate of the proportion of all tissue pathology and cytology cases that are referred for expert opinion in Australia. As such, the overall utilisation of second, expert opinion in Australia is highly uncertain.  </w:t>
      </w:r>
    </w:p>
    <w:p w14:paraId="0CE15174" w14:textId="77777777" w:rsidR="00B51828" w:rsidRDefault="00B51828" w:rsidP="00B51828">
      <w:pPr>
        <w:pStyle w:val="Heading3"/>
        <w:numPr>
          <w:ilvl w:val="2"/>
          <w:numId w:val="1"/>
        </w:numPr>
      </w:pPr>
      <w:r>
        <w:t>Estimated utilisation of the proposed medical service</w:t>
      </w:r>
    </w:p>
    <w:p w14:paraId="3AFE8610" w14:textId="77777777" w:rsidR="00B51828" w:rsidRDefault="00B51828" w:rsidP="002101D2">
      <w:pPr>
        <w:rPr>
          <w:rFonts w:cs="Garamond"/>
          <w:szCs w:val="24"/>
          <w:lang w:val="en"/>
        </w:rPr>
      </w:pPr>
      <w:r>
        <w:rPr>
          <w:rFonts w:cs="Garamond"/>
          <w:szCs w:val="24"/>
          <w:lang w:val="en"/>
        </w:rPr>
        <w:t xml:space="preserve">An electronic workbook </w:t>
      </w:r>
      <w:r w:rsidRPr="00907E55">
        <w:rPr>
          <w:rFonts w:cs="Garamond"/>
          <w:i/>
          <w:szCs w:val="24"/>
          <w:lang w:val="en"/>
        </w:rPr>
        <w:t xml:space="preserve">&lt;1332_Section </w:t>
      </w:r>
      <w:r>
        <w:rPr>
          <w:rFonts w:cs="Garamond"/>
          <w:i/>
          <w:szCs w:val="24"/>
          <w:lang w:val="en"/>
        </w:rPr>
        <w:t>E</w:t>
      </w:r>
      <w:r w:rsidRPr="00907E55">
        <w:rPr>
          <w:rFonts w:cs="Garamond"/>
          <w:i/>
          <w:szCs w:val="24"/>
          <w:lang w:val="en"/>
        </w:rPr>
        <w:t xml:space="preserve"> workbook.FINALxls&gt;</w:t>
      </w:r>
      <w:r>
        <w:rPr>
          <w:rFonts w:cs="Garamond"/>
          <w:szCs w:val="24"/>
          <w:lang w:val="en"/>
        </w:rPr>
        <w:t xml:space="preserve"> accompanies this Assessment Report.</w:t>
      </w:r>
    </w:p>
    <w:p w14:paraId="5169F31F" w14:textId="77777777" w:rsidR="00B51828" w:rsidRDefault="00B51828" w:rsidP="002101D2">
      <w:r w:rsidRPr="000D3DF4">
        <w:t>The approach used to estimate the utilisation of the proposed medical service</w:t>
      </w:r>
      <w:r>
        <w:t xml:space="preserve"> in the financial analysis</w:t>
      </w:r>
      <w:r w:rsidRPr="000D3DF4">
        <w:t xml:space="preserve"> is largely </w:t>
      </w:r>
      <w:r>
        <w:t>reliant</w:t>
      </w:r>
      <w:r w:rsidRPr="000D3DF4">
        <w:t xml:space="preserve"> on MBS data that shows the number of initial pathology opinions (</w:t>
      </w:r>
      <w:r>
        <w:t xml:space="preserve">also </w:t>
      </w:r>
      <w:r w:rsidRPr="000D3DF4">
        <w:t xml:space="preserve">referred to in the Assessment Report as </w:t>
      </w:r>
      <w:r>
        <w:t>‘</w:t>
      </w:r>
      <w:r w:rsidRPr="000D3DF4">
        <w:t>core</w:t>
      </w:r>
      <w:r>
        <w:t>’</w:t>
      </w:r>
      <w:r w:rsidRPr="000D3DF4">
        <w:t xml:space="preserve"> tissue pathology and cytology items) that </w:t>
      </w:r>
      <w:r>
        <w:t>have been</w:t>
      </w:r>
      <w:r w:rsidRPr="000D3DF4">
        <w:t xml:space="preserve"> provided through the MBS</w:t>
      </w:r>
      <w:r>
        <w:t xml:space="preserve"> in recent years</w:t>
      </w:r>
      <w:r w:rsidRPr="000D3DF4">
        <w:t xml:space="preserve">. </w:t>
      </w:r>
      <w:r>
        <w:t xml:space="preserve">Historical MBS data showing ‘core’ item utilisation are used to forecast future utilisation of those MBS items. Estimates of the proportion of those cases likely to be referred for second, expert opinion under both current and proposed funding arrangements can then be applied to the projected figures. </w:t>
      </w:r>
    </w:p>
    <w:p w14:paraId="68A0C7E6" w14:textId="77777777" w:rsidR="00B51828" w:rsidRDefault="00B51828" w:rsidP="002101D2">
      <w:r>
        <w:t xml:space="preserve">Historical MBS data from July 2008 to June 2013 for the ‘core’ bone marrow, tissue </w:t>
      </w:r>
      <w:r w:rsidRPr="00FE1DAD">
        <w:t>pathol</w:t>
      </w:r>
      <w:r>
        <w:t>ogy and cytology items were</w:t>
      </w:r>
      <w:r w:rsidRPr="00FE1DAD">
        <w:t xml:space="preserve"> used to project estimated utilisation of those </w:t>
      </w:r>
      <w:r>
        <w:t>‘</w:t>
      </w:r>
      <w:r w:rsidRPr="00FE1DAD">
        <w:t>core</w:t>
      </w:r>
      <w:r>
        <w:t>’</w:t>
      </w:r>
      <w:r w:rsidRPr="00FE1DAD">
        <w:t xml:space="preserve"> MBS items for 2013-14</w:t>
      </w:r>
      <w:r w:rsidRPr="00FE1DAD">
        <w:rPr>
          <w:rStyle w:val="FootnoteReference"/>
        </w:rPr>
        <w:footnoteReference w:id="10"/>
      </w:r>
      <w:r w:rsidRPr="00FE1DAD">
        <w:t xml:space="preserve"> through to 2019-20 (the fifth year </w:t>
      </w:r>
      <w:r>
        <w:t>of listing on the MBS). The historical MBS data</w:t>
      </w:r>
      <w:r w:rsidRPr="00FE1DAD">
        <w:t xml:space="preserve"> </w:t>
      </w:r>
      <w:r>
        <w:t>and</w:t>
      </w:r>
      <w:r w:rsidRPr="00FE1DAD">
        <w:t xml:space="preserve"> utilisation projections</w:t>
      </w:r>
      <w:r>
        <w:t>, estimated using simple linear regression, are</w:t>
      </w:r>
      <w:r w:rsidRPr="00FE1DAD">
        <w:t xml:space="preserve"> shown in </w:t>
      </w:r>
      <w:r>
        <w:fldChar w:fldCharType="begin"/>
      </w:r>
      <w:r>
        <w:instrText xml:space="preserve"> REF _Ref394573424 \h </w:instrText>
      </w:r>
      <w:r>
        <w:fldChar w:fldCharType="separate"/>
      </w:r>
      <w:r w:rsidR="0044620B">
        <w:t xml:space="preserve">Table </w:t>
      </w:r>
      <w:r w:rsidR="0044620B">
        <w:rPr>
          <w:noProof/>
        </w:rPr>
        <w:t>E.1</w:t>
      </w:r>
      <w:r w:rsidR="0044620B">
        <w:noBreakHyphen/>
      </w:r>
      <w:r w:rsidR="0044620B">
        <w:rPr>
          <w:noProof/>
        </w:rPr>
        <w:t>2</w:t>
      </w:r>
      <w:r>
        <w:fldChar w:fldCharType="end"/>
      </w:r>
      <w:r>
        <w:t xml:space="preserve">. </w:t>
      </w:r>
    </w:p>
    <w:p w14:paraId="7B21A203" w14:textId="77777777" w:rsidR="00B51828" w:rsidRDefault="00B51828" w:rsidP="002101D2">
      <w:r>
        <w:t xml:space="preserve">Importantly, the historical MBS data and estimated utilisation for ‘core’ cytopathology items is shown both with and without MBS items 73053, 73055 and 73057, which relate to gynaecological cytology. As discussed in Section </w:t>
      </w:r>
      <w:r>
        <w:fldChar w:fldCharType="begin"/>
      </w:r>
      <w:r>
        <w:instrText xml:space="preserve"> REF _Ref385171883 \w \h </w:instrText>
      </w:r>
      <w:r>
        <w:fldChar w:fldCharType="separate"/>
      </w:r>
      <w:r w:rsidR="0044620B">
        <w:t>A.2.5</w:t>
      </w:r>
      <w:r>
        <w:fldChar w:fldCharType="end"/>
      </w:r>
      <w:r>
        <w:t xml:space="preserve">, MSAC should consider whether the inclusion of gynaecological cytology cases in the proposed second, expert opinion MBS items is appropriate. As such, both possible funding circumstances (with and without the three gynaecological cytology items) are explored in the financial estimates throughout </w:t>
      </w:r>
      <w:r>
        <w:fldChar w:fldCharType="begin"/>
      </w:r>
      <w:r>
        <w:instrText xml:space="preserve"> REF _Ref382321978 \w \h </w:instrText>
      </w:r>
      <w:r>
        <w:fldChar w:fldCharType="separate"/>
      </w:r>
      <w:r w:rsidR="0044620B">
        <w:t>Section E</w:t>
      </w:r>
      <w:r>
        <w:fldChar w:fldCharType="end"/>
      </w:r>
      <w:r>
        <w:t xml:space="preserve">. </w:t>
      </w:r>
    </w:p>
    <w:p w14:paraId="545136AA" w14:textId="77777777" w:rsidR="00B51828" w:rsidRDefault="00B51828" w:rsidP="002101D2">
      <w:pPr>
        <w:sectPr w:rsidR="00B51828" w:rsidSect="002101D2">
          <w:footerReference w:type="default" r:id="rId34"/>
          <w:pgSz w:w="11906" w:h="16838" w:code="9"/>
          <w:pgMar w:top="1440" w:right="1440" w:bottom="1440" w:left="1440" w:header="680" w:footer="1021" w:gutter="0"/>
          <w:cols w:space="708"/>
          <w:docGrid w:linePitch="360"/>
        </w:sectPr>
      </w:pPr>
    </w:p>
    <w:p w14:paraId="4AAAEF0D" w14:textId="77777777" w:rsidR="00B51828" w:rsidRDefault="00B51828" w:rsidP="002101D2">
      <w:pPr>
        <w:pStyle w:val="Caption"/>
        <w:ind w:left="1406" w:hanging="1406"/>
      </w:pPr>
      <w:bookmarkStart w:id="239" w:name="_Ref395267262"/>
      <w:bookmarkStart w:id="240" w:name="_Ref394487293"/>
      <w:bookmarkStart w:id="241" w:name="_Ref394573424"/>
      <w:bookmarkStart w:id="242" w:name="_Toc396211766"/>
      <w:r>
        <w:lastRenderedPageBreak/>
        <w:t xml:space="preserve">Table </w:t>
      </w:r>
      <w:fldSimple w:instr=" STYLEREF 2 \s ">
        <w:r w:rsidR="0044620B">
          <w:rPr>
            <w:noProof/>
          </w:rPr>
          <w:t>E.1</w:t>
        </w:r>
      </w:fldSimple>
      <w:r>
        <w:noBreakHyphen/>
      </w:r>
      <w:fldSimple w:instr=" SEQ Table \* ARABIC \s 2 ">
        <w:r w:rsidR="0044620B">
          <w:rPr>
            <w:noProof/>
          </w:rPr>
          <w:t>2</w:t>
        </w:r>
      </w:fldSimple>
      <w:bookmarkEnd w:id="239"/>
      <w:bookmarkEnd w:id="240"/>
      <w:bookmarkEnd w:id="241"/>
      <w:r>
        <w:tab/>
        <w:t>Estimated number of services for ‘core’ MBS items for initial pathology opinions, over the first five years of the proposed MBS listing</w:t>
      </w:r>
      <w:bookmarkEnd w:id="242"/>
    </w:p>
    <w:tbl>
      <w:tblPr>
        <w:tblStyle w:val="TableGrid"/>
        <w:tblW w:w="13892" w:type="dxa"/>
        <w:tblInd w:w="-5" w:type="dxa"/>
        <w:tblLayout w:type="fixed"/>
        <w:tblLook w:val="04A0" w:firstRow="1" w:lastRow="0" w:firstColumn="1" w:lastColumn="0" w:noHBand="0" w:noVBand="1"/>
        <w:tblCaption w:val="Projected number of services for 'core' MBS items to Year 5"/>
        <w:tblDescription w:val="The estimated number of services for ‘core’ MBS items for initial pathology opinions, over the first five years of the proposed MBS listing"/>
      </w:tblPr>
      <w:tblGrid>
        <w:gridCol w:w="2835"/>
        <w:gridCol w:w="1105"/>
        <w:gridCol w:w="1106"/>
        <w:gridCol w:w="1106"/>
        <w:gridCol w:w="1105"/>
        <w:gridCol w:w="1106"/>
        <w:gridCol w:w="1106"/>
        <w:gridCol w:w="1105"/>
        <w:gridCol w:w="1106"/>
        <w:gridCol w:w="1106"/>
        <w:gridCol w:w="1106"/>
      </w:tblGrid>
      <w:tr w:rsidR="00B51828" w14:paraId="3E468E75" w14:textId="77777777" w:rsidTr="002101D2">
        <w:trPr>
          <w:trHeight w:val="210"/>
          <w:tblHeader/>
        </w:trPr>
        <w:tc>
          <w:tcPr>
            <w:tcW w:w="2835" w:type="dxa"/>
          </w:tcPr>
          <w:p w14:paraId="1AA190A7" w14:textId="77777777" w:rsidR="00B51828" w:rsidRDefault="00B51828" w:rsidP="002101D2">
            <w:pPr>
              <w:pStyle w:val="Tabletextboldleft"/>
            </w:pPr>
            <w:r>
              <w:t>MBS item</w:t>
            </w:r>
          </w:p>
        </w:tc>
        <w:tc>
          <w:tcPr>
            <w:tcW w:w="1105" w:type="dxa"/>
          </w:tcPr>
          <w:p w14:paraId="433722B8" w14:textId="77777777" w:rsidR="00B51828" w:rsidRDefault="00B51828" w:rsidP="002101D2">
            <w:pPr>
              <w:pStyle w:val="Tabletextboldleft"/>
              <w:jc w:val="center"/>
            </w:pPr>
            <w:r>
              <w:t>June</w:t>
            </w:r>
          </w:p>
          <w:p w14:paraId="353BD4B2" w14:textId="77777777" w:rsidR="00B51828" w:rsidRDefault="00B51828" w:rsidP="002101D2">
            <w:pPr>
              <w:pStyle w:val="Tabletextboldleft"/>
              <w:jc w:val="center"/>
            </w:pPr>
            <w:r>
              <w:t>2011</w:t>
            </w:r>
          </w:p>
        </w:tc>
        <w:tc>
          <w:tcPr>
            <w:tcW w:w="1106" w:type="dxa"/>
          </w:tcPr>
          <w:p w14:paraId="535B8110" w14:textId="77777777" w:rsidR="00B51828" w:rsidRDefault="00B51828" w:rsidP="002101D2">
            <w:pPr>
              <w:pStyle w:val="Tabletextboldleft"/>
              <w:jc w:val="center"/>
            </w:pPr>
            <w:r>
              <w:t>June</w:t>
            </w:r>
          </w:p>
          <w:p w14:paraId="787318D4" w14:textId="77777777" w:rsidR="00B51828" w:rsidRDefault="00B51828" w:rsidP="002101D2">
            <w:pPr>
              <w:pStyle w:val="Tabletextboldleft"/>
              <w:jc w:val="center"/>
            </w:pPr>
            <w:r>
              <w:t>2012</w:t>
            </w:r>
          </w:p>
        </w:tc>
        <w:tc>
          <w:tcPr>
            <w:tcW w:w="1106" w:type="dxa"/>
          </w:tcPr>
          <w:p w14:paraId="728C6AEF" w14:textId="77777777" w:rsidR="00B51828" w:rsidRDefault="00B51828" w:rsidP="002101D2">
            <w:pPr>
              <w:pStyle w:val="Tabletextboldleft"/>
              <w:jc w:val="center"/>
            </w:pPr>
            <w:r>
              <w:t>June</w:t>
            </w:r>
          </w:p>
          <w:p w14:paraId="0FEF3EA6" w14:textId="77777777" w:rsidR="00B51828" w:rsidRDefault="00B51828" w:rsidP="002101D2">
            <w:pPr>
              <w:pStyle w:val="Tabletextboldleft"/>
              <w:jc w:val="center"/>
            </w:pPr>
            <w:r>
              <w:t>2013</w:t>
            </w:r>
          </w:p>
        </w:tc>
        <w:tc>
          <w:tcPr>
            <w:tcW w:w="1105" w:type="dxa"/>
          </w:tcPr>
          <w:p w14:paraId="68432877" w14:textId="77777777" w:rsidR="00B51828" w:rsidRDefault="00B51828" w:rsidP="002101D2">
            <w:pPr>
              <w:pStyle w:val="Tabletextboldleft"/>
              <w:jc w:val="center"/>
            </w:pPr>
            <w:r>
              <w:t>June</w:t>
            </w:r>
          </w:p>
          <w:p w14:paraId="737445FA" w14:textId="77777777" w:rsidR="00B51828" w:rsidRDefault="00B51828" w:rsidP="002101D2">
            <w:pPr>
              <w:pStyle w:val="Tabletextboldleft"/>
              <w:jc w:val="center"/>
            </w:pPr>
            <w:r>
              <w:t>2014</w:t>
            </w:r>
          </w:p>
        </w:tc>
        <w:tc>
          <w:tcPr>
            <w:tcW w:w="1106" w:type="dxa"/>
          </w:tcPr>
          <w:p w14:paraId="4EAD8579" w14:textId="77777777" w:rsidR="00B51828" w:rsidRDefault="00B51828" w:rsidP="002101D2">
            <w:pPr>
              <w:pStyle w:val="Tabletextboldleft"/>
              <w:jc w:val="center"/>
            </w:pPr>
            <w:r>
              <w:t>Current</w:t>
            </w:r>
          </w:p>
          <w:p w14:paraId="71E66452" w14:textId="77777777" w:rsidR="00B51828" w:rsidRDefault="00B51828" w:rsidP="002101D2">
            <w:pPr>
              <w:pStyle w:val="Tabletextboldleft"/>
              <w:jc w:val="center"/>
            </w:pPr>
            <w:r>
              <w:t>(2014-15)</w:t>
            </w:r>
          </w:p>
        </w:tc>
        <w:tc>
          <w:tcPr>
            <w:tcW w:w="1106" w:type="dxa"/>
          </w:tcPr>
          <w:p w14:paraId="2EA3972D" w14:textId="77777777" w:rsidR="00B51828" w:rsidRDefault="00B51828" w:rsidP="002101D2">
            <w:pPr>
              <w:pStyle w:val="Tabletextboldleft"/>
              <w:jc w:val="center"/>
            </w:pPr>
            <w:r>
              <w:t>Year 1</w:t>
            </w:r>
          </w:p>
          <w:p w14:paraId="54EB56B7" w14:textId="77777777" w:rsidR="00B51828" w:rsidRDefault="00B51828" w:rsidP="002101D2">
            <w:pPr>
              <w:pStyle w:val="Tabletextboldleft"/>
              <w:jc w:val="center"/>
            </w:pPr>
            <w:r>
              <w:t>(2015-16)</w:t>
            </w:r>
          </w:p>
        </w:tc>
        <w:tc>
          <w:tcPr>
            <w:tcW w:w="1105" w:type="dxa"/>
          </w:tcPr>
          <w:p w14:paraId="636A7B40" w14:textId="77777777" w:rsidR="00B51828" w:rsidRDefault="00B51828" w:rsidP="002101D2">
            <w:pPr>
              <w:pStyle w:val="Tabletextboldleft"/>
              <w:jc w:val="center"/>
            </w:pPr>
            <w:r>
              <w:t>Year 2</w:t>
            </w:r>
          </w:p>
          <w:p w14:paraId="07073F1D" w14:textId="77777777" w:rsidR="00B51828" w:rsidRDefault="00B51828" w:rsidP="002101D2">
            <w:pPr>
              <w:pStyle w:val="Tabletextboldleft"/>
              <w:jc w:val="center"/>
            </w:pPr>
            <w:r>
              <w:t>(2016-17)</w:t>
            </w:r>
          </w:p>
        </w:tc>
        <w:tc>
          <w:tcPr>
            <w:tcW w:w="1106" w:type="dxa"/>
          </w:tcPr>
          <w:p w14:paraId="3C0CEE7D" w14:textId="77777777" w:rsidR="00B51828" w:rsidRDefault="00B51828" w:rsidP="002101D2">
            <w:pPr>
              <w:pStyle w:val="Tabletextboldleft"/>
              <w:jc w:val="center"/>
            </w:pPr>
            <w:r>
              <w:t>Year 3</w:t>
            </w:r>
          </w:p>
          <w:p w14:paraId="5725F8AA" w14:textId="77777777" w:rsidR="00B51828" w:rsidRDefault="00B51828" w:rsidP="002101D2">
            <w:pPr>
              <w:pStyle w:val="Tabletextboldleft"/>
              <w:jc w:val="center"/>
            </w:pPr>
            <w:r>
              <w:t>(2017-18)</w:t>
            </w:r>
          </w:p>
        </w:tc>
        <w:tc>
          <w:tcPr>
            <w:tcW w:w="1106" w:type="dxa"/>
          </w:tcPr>
          <w:p w14:paraId="66C187FE" w14:textId="77777777" w:rsidR="00B51828" w:rsidRDefault="00B51828" w:rsidP="002101D2">
            <w:pPr>
              <w:pStyle w:val="Tabletextboldleft"/>
              <w:jc w:val="center"/>
            </w:pPr>
            <w:r>
              <w:t>Year 4</w:t>
            </w:r>
          </w:p>
          <w:p w14:paraId="298B0D3E" w14:textId="77777777" w:rsidR="00B51828" w:rsidRDefault="00B51828" w:rsidP="002101D2">
            <w:pPr>
              <w:pStyle w:val="Tabletextboldleft"/>
              <w:jc w:val="center"/>
            </w:pPr>
            <w:r>
              <w:t>(2018-19)</w:t>
            </w:r>
          </w:p>
        </w:tc>
        <w:tc>
          <w:tcPr>
            <w:tcW w:w="1106" w:type="dxa"/>
          </w:tcPr>
          <w:p w14:paraId="5687C190" w14:textId="77777777" w:rsidR="00B51828" w:rsidRDefault="00B51828" w:rsidP="002101D2">
            <w:pPr>
              <w:pStyle w:val="Tabletextboldleft"/>
              <w:jc w:val="center"/>
            </w:pPr>
            <w:r>
              <w:t>Year 5</w:t>
            </w:r>
          </w:p>
          <w:p w14:paraId="31199A70" w14:textId="77777777" w:rsidR="00B51828" w:rsidRDefault="00B51828" w:rsidP="002101D2">
            <w:pPr>
              <w:pStyle w:val="Tabletextboldleft"/>
              <w:jc w:val="center"/>
            </w:pPr>
            <w:r>
              <w:t>(2019-20)</w:t>
            </w:r>
          </w:p>
        </w:tc>
      </w:tr>
      <w:tr w:rsidR="00B51828" w14:paraId="6D639BE2" w14:textId="77777777" w:rsidTr="00E61184">
        <w:trPr>
          <w:trHeight w:val="84"/>
        </w:trPr>
        <w:tc>
          <w:tcPr>
            <w:tcW w:w="2835" w:type="dxa"/>
            <w:shd w:val="clear" w:color="auto" w:fill="D0CECE" w:themeFill="background2" w:themeFillShade="E6"/>
          </w:tcPr>
          <w:p w14:paraId="33D3FB31" w14:textId="77777777" w:rsidR="00B51828" w:rsidRPr="00AE5929" w:rsidRDefault="00B51828" w:rsidP="002101D2">
            <w:pPr>
              <w:pStyle w:val="Tabletextboldleft"/>
              <w:rPr>
                <w:vertAlign w:val="superscript"/>
              </w:rPr>
            </w:pPr>
            <w:r w:rsidRPr="00AE5929">
              <w:t>Tissue pathology</w:t>
            </w:r>
            <w:r w:rsidRPr="00AE5929">
              <w:rPr>
                <w:vertAlign w:val="superscript"/>
              </w:rPr>
              <w:t>a</w:t>
            </w:r>
          </w:p>
        </w:tc>
        <w:tc>
          <w:tcPr>
            <w:tcW w:w="1105" w:type="dxa"/>
            <w:shd w:val="clear" w:color="auto" w:fill="D0CECE" w:themeFill="background2" w:themeFillShade="E6"/>
            <w:vAlign w:val="bottom"/>
          </w:tcPr>
          <w:p w14:paraId="665854B9" w14:textId="77777777" w:rsidR="00B51828" w:rsidRPr="00DB0F9B" w:rsidRDefault="00B51828" w:rsidP="002101D2">
            <w:pPr>
              <w:pStyle w:val="Tabletextboldleft"/>
              <w:jc w:val="right"/>
              <w:rPr>
                <w:b w:val="0"/>
              </w:rPr>
            </w:pPr>
            <w:r>
              <w:rPr>
                <w:b w:val="0"/>
              </w:rPr>
              <w:t>-</w:t>
            </w:r>
          </w:p>
        </w:tc>
        <w:tc>
          <w:tcPr>
            <w:tcW w:w="1106" w:type="dxa"/>
            <w:shd w:val="clear" w:color="auto" w:fill="D0CECE" w:themeFill="background2" w:themeFillShade="E6"/>
            <w:vAlign w:val="bottom"/>
          </w:tcPr>
          <w:p w14:paraId="65B739D0" w14:textId="77777777" w:rsidR="00B51828" w:rsidRPr="00DB0F9B" w:rsidRDefault="00B51828" w:rsidP="002101D2">
            <w:pPr>
              <w:pStyle w:val="Tabletextboldleft"/>
              <w:jc w:val="right"/>
              <w:rPr>
                <w:b w:val="0"/>
              </w:rPr>
            </w:pPr>
            <w:r>
              <w:rPr>
                <w:b w:val="0"/>
              </w:rPr>
              <w:t>-</w:t>
            </w:r>
          </w:p>
        </w:tc>
        <w:tc>
          <w:tcPr>
            <w:tcW w:w="1106" w:type="dxa"/>
            <w:shd w:val="clear" w:color="auto" w:fill="D0CECE" w:themeFill="background2" w:themeFillShade="E6"/>
            <w:vAlign w:val="bottom"/>
          </w:tcPr>
          <w:p w14:paraId="4131BD06" w14:textId="77777777" w:rsidR="00B51828" w:rsidRPr="00DB0F9B" w:rsidRDefault="00B51828" w:rsidP="002101D2">
            <w:pPr>
              <w:pStyle w:val="Tabletextboldleft"/>
              <w:jc w:val="right"/>
              <w:rPr>
                <w:b w:val="0"/>
              </w:rPr>
            </w:pPr>
            <w:r>
              <w:rPr>
                <w:b w:val="0"/>
              </w:rPr>
              <w:t>-</w:t>
            </w:r>
          </w:p>
        </w:tc>
        <w:tc>
          <w:tcPr>
            <w:tcW w:w="1105" w:type="dxa"/>
            <w:shd w:val="clear" w:color="auto" w:fill="D0CECE" w:themeFill="background2" w:themeFillShade="E6"/>
            <w:vAlign w:val="bottom"/>
          </w:tcPr>
          <w:p w14:paraId="2C2D6E91" w14:textId="77777777" w:rsidR="00B51828" w:rsidRPr="00DB0F9B" w:rsidRDefault="00B51828" w:rsidP="002101D2">
            <w:pPr>
              <w:pStyle w:val="Tabletextboldleft"/>
              <w:jc w:val="right"/>
              <w:rPr>
                <w:b w:val="0"/>
              </w:rPr>
            </w:pPr>
            <w:r>
              <w:rPr>
                <w:b w:val="0"/>
              </w:rPr>
              <w:t>-</w:t>
            </w:r>
          </w:p>
        </w:tc>
        <w:tc>
          <w:tcPr>
            <w:tcW w:w="1106" w:type="dxa"/>
            <w:shd w:val="clear" w:color="auto" w:fill="D0CECE" w:themeFill="background2" w:themeFillShade="E6"/>
            <w:vAlign w:val="bottom"/>
          </w:tcPr>
          <w:p w14:paraId="65F76CEB" w14:textId="77777777" w:rsidR="00B51828" w:rsidRPr="00DB0F9B" w:rsidRDefault="00B51828" w:rsidP="002101D2">
            <w:pPr>
              <w:pStyle w:val="Tabletextboldleft"/>
              <w:jc w:val="right"/>
              <w:rPr>
                <w:b w:val="0"/>
              </w:rPr>
            </w:pPr>
            <w:r>
              <w:rPr>
                <w:b w:val="0"/>
              </w:rPr>
              <w:t>-</w:t>
            </w:r>
          </w:p>
        </w:tc>
        <w:tc>
          <w:tcPr>
            <w:tcW w:w="1106" w:type="dxa"/>
            <w:shd w:val="clear" w:color="auto" w:fill="D0CECE" w:themeFill="background2" w:themeFillShade="E6"/>
            <w:vAlign w:val="bottom"/>
          </w:tcPr>
          <w:p w14:paraId="601A4EB5" w14:textId="77777777" w:rsidR="00B51828" w:rsidRPr="00DB0F9B" w:rsidRDefault="00B51828" w:rsidP="002101D2">
            <w:pPr>
              <w:pStyle w:val="Tabletextboldleft"/>
              <w:jc w:val="right"/>
              <w:rPr>
                <w:b w:val="0"/>
              </w:rPr>
            </w:pPr>
            <w:r>
              <w:rPr>
                <w:b w:val="0"/>
              </w:rPr>
              <w:t>-</w:t>
            </w:r>
          </w:p>
        </w:tc>
        <w:tc>
          <w:tcPr>
            <w:tcW w:w="1105" w:type="dxa"/>
            <w:shd w:val="clear" w:color="auto" w:fill="D0CECE" w:themeFill="background2" w:themeFillShade="E6"/>
            <w:vAlign w:val="bottom"/>
          </w:tcPr>
          <w:p w14:paraId="6C4A5FB3" w14:textId="77777777" w:rsidR="00B51828" w:rsidRPr="00DB0F9B" w:rsidRDefault="00B51828" w:rsidP="002101D2">
            <w:pPr>
              <w:pStyle w:val="Tabletextboldleft"/>
              <w:jc w:val="right"/>
              <w:rPr>
                <w:b w:val="0"/>
              </w:rPr>
            </w:pPr>
            <w:r>
              <w:rPr>
                <w:b w:val="0"/>
              </w:rPr>
              <w:t>-</w:t>
            </w:r>
          </w:p>
        </w:tc>
        <w:tc>
          <w:tcPr>
            <w:tcW w:w="1106" w:type="dxa"/>
            <w:shd w:val="clear" w:color="auto" w:fill="D0CECE" w:themeFill="background2" w:themeFillShade="E6"/>
            <w:vAlign w:val="bottom"/>
          </w:tcPr>
          <w:p w14:paraId="7C465015" w14:textId="77777777" w:rsidR="00B51828" w:rsidRPr="00DB0F9B" w:rsidRDefault="00B51828" w:rsidP="002101D2">
            <w:pPr>
              <w:pStyle w:val="Tabletextboldleft"/>
              <w:jc w:val="right"/>
              <w:rPr>
                <w:b w:val="0"/>
              </w:rPr>
            </w:pPr>
            <w:r>
              <w:rPr>
                <w:b w:val="0"/>
              </w:rPr>
              <w:t>-</w:t>
            </w:r>
          </w:p>
        </w:tc>
        <w:tc>
          <w:tcPr>
            <w:tcW w:w="1106" w:type="dxa"/>
            <w:shd w:val="clear" w:color="auto" w:fill="D0CECE" w:themeFill="background2" w:themeFillShade="E6"/>
            <w:vAlign w:val="bottom"/>
          </w:tcPr>
          <w:p w14:paraId="307B31C9" w14:textId="77777777" w:rsidR="00B51828" w:rsidRPr="00DB0F9B" w:rsidRDefault="00B51828" w:rsidP="002101D2">
            <w:pPr>
              <w:pStyle w:val="Tabletextboldleft"/>
              <w:jc w:val="right"/>
              <w:rPr>
                <w:b w:val="0"/>
              </w:rPr>
            </w:pPr>
            <w:r>
              <w:rPr>
                <w:b w:val="0"/>
              </w:rPr>
              <w:t>-</w:t>
            </w:r>
          </w:p>
        </w:tc>
        <w:tc>
          <w:tcPr>
            <w:tcW w:w="1106" w:type="dxa"/>
            <w:shd w:val="clear" w:color="auto" w:fill="D0CECE" w:themeFill="background2" w:themeFillShade="E6"/>
            <w:vAlign w:val="bottom"/>
          </w:tcPr>
          <w:p w14:paraId="0131C51D" w14:textId="77777777" w:rsidR="00B51828" w:rsidRPr="00DB0F9B" w:rsidRDefault="00B51828" w:rsidP="002101D2">
            <w:pPr>
              <w:pStyle w:val="Tabletextboldleft"/>
              <w:jc w:val="right"/>
              <w:rPr>
                <w:b w:val="0"/>
              </w:rPr>
            </w:pPr>
            <w:r>
              <w:rPr>
                <w:b w:val="0"/>
              </w:rPr>
              <w:t>-</w:t>
            </w:r>
          </w:p>
        </w:tc>
      </w:tr>
      <w:tr w:rsidR="00B51828" w14:paraId="62BAB732" w14:textId="77777777" w:rsidTr="00E61184">
        <w:trPr>
          <w:trHeight w:val="84"/>
        </w:trPr>
        <w:tc>
          <w:tcPr>
            <w:tcW w:w="2835" w:type="dxa"/>
            <w:vAlign w:val="bottom"/>
          </w:tcPr>
          <w:p w14:paraId="21602FB4" w14:textId="77777777" w:rsidR="00B51828" w:rsidRPr="00DD1E22" w:rsidRDefault="00B51828" w:rsidP="002101D2">
            <w:pPr>
              <w:pStyle w:val="Tabletextboldleft"/>
              <w:ind w:firstLine="317"/>
              <w:rPr>
                <w:b w:val="0"/>
                <w:sz w:val="19"/>
                <w:szCs w:val="19"/>
              </w:rPr>
            </w:pPr>
            <w:r w:rsidRPr="00DD1E22">
              <w:rPr>
                <w:b w:val="0"/>
                <w:sz w:val="19"/>
                <w:szCs w:val="19"/>
              </w:rPr>
              <w:t>MBS item 65084</w:t>
            </w:r>
          </w:p>
        </w:tc>
        <w:tc>
          <w:tcPr>
            <w:tcW w:w="1105" w:type="dxa"/>
            <w:vAlign w:val="bottom"/>
          </w:tcPr>
          <w:p w14:paraId="0212E27D" w14:textId="77777777" w:rsidR="00B51828" w:rsidRPr="00DD1E22" w:rsidRDefault="00B51828" w:rsidP="002101D2">
            <w:pPr>
              <w:pStyle w:val="Tabletextboldleft"/>
              <w:jc w:val="right"/>
              <w:rPr>
                <w:b w:val="0"/>
                <w:sz w:val="19"/>
                <w:szCs w:val="19"/>
              </w:rPr>
            </w:pPr>
            <w:r w:rsidRPr="00DD1E22">
              <w:rPr>
                <w:b w:val="0"/>
                <w:sz w:val="19"/>
                <w:szCs w:val="19"/>
              </w:rPr>
              <w:t>14,062</w:t>
            </w:r>
          </w:p>
        </w:tc>
        <w:tc>
          <w:tcPr>
            <w:tcW w:w="1106" w:type="dxa"/>
            <w:vAlign w:val="bottom"/>
          </w:tcPr>
          <w:p w14:paraId="29877D93" w14:textId="77777777" w:rsidR="00B51828" w:rsidRPr="00DD1E22" w:rsidRDefault="00B51828" w:rsidP="002101D2">
            <w:pPr>
              <w:pStyle w:val="Tabletextboldleft"/>
              <w:jc w:val="right"/>
              <w:rPr>
                <w:b w:val="0"/>
                <w:sz w:val="19"/>
                <w:szCs w:val="19"/>
              </w:rPr>
            </w:pPr>
            <w:r w:rsidRPr="00DD1E22">
              <w:rPr>
                <w:b w:val="0"/>
                <w:sz w:val="19"/>
                <w:szCs w:val="19"/>
              </w:rPr>
              <w:t>14,166</w:t>
            </w:r>
          </w:p>
        </w:tc>
        <w:tc>
          <w:tcPr>
            <w:tcW w:w="1106" w:type="dxa"/>
            <w:vAlign w:val="bottom"/>
          </w:tcPr>
          <w:p w14:paraId="4DE931AB" w14:textId="77777777" w:rsidR="00B51828" w:rsidRPr="00DD1E22" w:rsidRDefault="00B51828" w:rsidP="002101D2">
            <w:pPr>
              <w:pStyle w:val="Tabletextboldleft"/>
              <w:jc w:val="right"/>
              <w:rPr>
                <w:b w:val="0"/>
                <w:sz w:val="19"/>
                <w:szCs w:val="19"/>
              </w:rPr>
            </w:pPr>
            <w:r w:rsidRPr="00DD1E22">
              <w:rPr>
                <w:b w:val="0"/>
                <w:sz w:val="19"/>
                <w:szCs w:val="19"/>
              </w:rPr>
              <w:t>15,382</w:t>
            </w:r>
          </w:p>
        </w:tc>
        <w:tc>
          <w:tcPr>
            <w:tcW w:w="1105" w:type="dxa"/>
            <w:vAlign w:val="bottom"/>
          </w:tcPr>
          <w:p w14:paraId="06233F9F" w14:textId="77777777" w:rsidR="00B51828" w:rsidRPr="00DD1E22" w:rsidRDefault="00B51828" w:rsidP="002101D2">
            <w:pPr>
              <w:pStyle w:val="Tabletextboldleft"/>
              <w:jc w:val="right"/>
              <w:rPr>
                <w:b w:val="0"/>
                <w:sz w:val="19"/>
                <w:szCs w:val="19"/>
              </w:rPr>
            </w:pPr>
            <w:r w:rsidRPr="00DD1E22">
              <w:rPr>
                <w:b w:val="0"/>
                <w:color w:val="000000"/>
                <w:sz w:val="19"/>
                <w:szCs w:val="19"/>
              </w:rPr>
              <w:t>16,029</w:t>
            </w:r>
          </w:p>
        </w:tc>
        <w:tc>
          <w:tcPr>
            <w:tcW w:w="1106" w:type="dxa"/>
            <w:vAlign w:val="bottom"/>
          </w:tcPr>
          <w:p w14:paraId="114C69B7" w14:textId="77777777" w:rsidR="00B51828" w:rsidRPr="00DD1E22" w:rsidRDefault="00B51828" w:rsidP="002101D2">
            <w:pPr>
              <w:pStyle w:val="Tabletextboldleft"/>
              <w:jc w:val="right"/>
              <w:rPr>
                <w:b w:val="0"/>
                <w:sz w:val="19"/>
                <w:szCs w:val="19"/>
              </w:rPr>
            </w:pPr>
            <w:r w:rsidRPr="00DD1E22">
              <w:rPr>
                <w:b w:val="0"/>
                <w:color w:val="000000"/>
                <w:sz w:val="19"/>
                <w:szCs w:val="19"/>
              </w:rPr>
              <w:t>16,809</w:t>
            </w:r>
          </w:p>
        </w:tc>
        <w:tc>
          <w:tcPr>
            <w:tcW w:w="1106" w:type="dxa"/>
            <w:vAlign w:val="bottom"/>
          </w:tcPr>
          <w:p w14:paraId="3B8058BD" w14:textId="77777777" w:rsidR="00B51828" w:rsidRPr="00DD1E22" w:rsidRDefault="00B51828" w:rsidP="002101D2">
            <w:pPr>
              <w:pStyle w:val="Tabletextboldleft"/>
              <w:jc w:val="right"/>
              <w:rPr>
                <w:b w:val="0"/>
                <w:sz w:val="19"/>
                <w:szCs w:val="19"/>
              </w:rPr>
            </w:pPr>
            <w:r w:rsidRPr="00DD1E22">
              <w:rPr>
                <w:b w:val="0"/>
                <w:color w:val="000000"/>
                <w:sz w:val="19"/>
                <w:szCs w:val="19"/>
              </w:rPr>
              <w:t>17,590</w:t>
            </w:r>
          </w:p>
        </w:tc>
        <w:tc>
          <w:tcPr>
            <w:tcW w:w="1105" w:type="dxa"/>
            <w:vAlign w:val="bottom"/>
          </w:tcPr>
          <w:p w14:paraId="45D91A89" w14:textId="77777777" w:rsidR="00B51828" w:rsidRPr="00DD1E22" w:rsidRDefault="00B51828" w:rsidP="002101D2">
            <w:pPr>
              <w:pStyle w:val="Tabletextboldleft"/>
              <w:jc w:val="right"/>
              <w:rPr>
                <w:b w:val="0"/>
                <w:sz w:val="19"/>
                <w:szCs w:val="19"/>
              </w:rPr>
            </w:pPr>
            <w:r w:rsidRPr="00DD1E22">
              <w:rPr>
                <w:b w:val="0"/>
                <w:color w:val="000000"/>
                <w:sz w:val="19"/>
                <w:szCs w:val="19"/>
              </w:rPr>
              <w:t>18,371</w:t>
            </w:r>
          </w:p>
        </w:tc>
        <w:tc>
          <w:tcPr>
            <w:tcW w:w="1106" w:type="dxa"/>
            <w:vAlign w:val="bottom"/>
          </w:tcPr>
          <w:p w14:paraId="34DBC560" w14:textId="77777777" w:rsidR="00B51828" w:rsidRPr="00DD1E22" w:rsidRDefault="00B51828" w:rsidP="002101D2">
            <w:pPr>
              <w:pStyle w:val="Tabletextboldleft"/>
              <w:jc w:val="right"/>
              <w:rPr>
                <w:b w:val="0"/>
                <w:sz w:val="19"/>
                <w:szCs w:val="19"/>
              </w:rPr>
            </w:pPr>
            <w:r w:rsidRPr="00DD1E22">
              <w:rPr>
                <w:b w:val="0"/>
                <w:color w:val="000000"/>
                <w:sz w:val="19"/>
                <w:szCs w:val="19"/>
              </w:rPr>
              <w:t>19,151</w:t>
            </w:r>
          </w:p>
        </w:tc>
        <w:tc>
          <w:tcPr>
            <w:tcW w:w="1106" w:type="dxa"/>
            <w:vAlign w:val="bottom"/>
          </w:tcPr>
          <w:p w14:paraId="6E2FB1EA" w14:textId="77777777" w:rsidR="00B51828" w:rsidRPr="00DD1E22" w:rsidRDefault="00B51828" w:rsidP="002101D2">
            <w:pPr>
              <w:pStyle w:val="Tabletextboldleft"/>
              <w:jc w:val="right"/>
              <w:rPr>
                <w:b w:val="0"/>
                <w:sz w:val="19"/>
                <w:szCs w:val="19"/>
              </w:rPr>
            </w:pPr>
            <w:r w:rsidRPr="00DD1E22">
              <w:rPr>
                <w:b w:val="0"/>
                <w:color w:val="000000"/>
                <w:sz w:val="19"/>
                <w:szCs w:val="19"/>
              </w:rPr>
              <w:t>19,932</w:t>
            </w:r>
          </w:p>
        </w:tc>
        <w:tc>
          <w:tcPr>
            <w:tcW w:w="1106" w:type="dxa"/>
            <w:vAlign w:val="bottom"/>
          </w:tcPr>
          <w:p w14:paraId="36C94722" w14:textId="77777777" w:rsidR="00B51828" w:rsidRPr="00DD1E22" w:rsidRDefault="00B51828" w:rsidP="002101D2">
            <w:pPr>
              <w:pStyle w:val="Tabletextboldleft"/>
              <w:jc w:val="right"/>
              <w:rPr>
                <w:b w:val="0"/>
                <w:sz w:val="19"/>
                <w:szCs w:val="19"/>
              </w:rPr>
            </w:pPr>
            <w:r w:rsidRPr="00DD1E22">
              <w:rPr>
                <w:b w:val="0"/>
                <w:color w:val="000000"/>
                <w:sz w:val="19"/>
                <w:szCs w:val="19"/>
              </w:rPr>
              <w:t>20,713</w:t>
            </w:r>
          </w:p>
        </w:tc>
      </w:tr>
      <w:tr w:rsidR="00B51828" w14:paraId="4CC291ED" w14:textId="77777777" w:rsidTr="00E61184">
        <w:trPr>
          <w:trHeight w:val="84"/>
        </w:trPr>
        <w:tc>
          <w:tcPr>
            <w:tcW w:w="2835" w:type="dxa"/>
            <w:vAlign w:val="bottom"/>
          </w:tcPr>
          <w:p w14:paraId="3012DCD2" w14:textId="77777777" w:rsidR="00B51828" w:rsidRPr="00DD1E22" w:rsidRDefault="00B51828" w:rsidP="002101D2">
            <w:pPr>
              <w:pStyle w:val="Tabletextboldleft"/>
              <w:ind w:firstLine="317"/>
              <w:rPr>
                <w:b w:val="0"/>
                <w:sz w:val="19"/>
                <w:szCs w:val="19"/>
              </w:rPr>
            </w:pPr>
            <w:r w:rsidRPr="00DD1E22">
              <w:rPr>
                <w:b w:val="0"/>
                <w:sz w:val="19"/>
                <w:szCs w:val="19"/>
              </w:rPr>
              <w:t>MBS item 65087</w:t>
            </w:r>
          </w:p>
        </w:tc>
        <w:tc>
          <w:tcPr>
            <w:tcW w:w="1105" w:type="dxa"/>
            <w:vAlign w:val="bottom"/>
          </w:tcPr>
          <w:p w14:paraId="5EAE2E18" w14:textId="77777777" w:rsidR="00B51828" w:rsidRPr="00DD1E22" w:rsidRDefault="00B51828" w:rsidP="002101D2">
            <w:pPr>
              <w:pStyle w:val="Tabletextboldleft"/>
              <w:jc w:val="right"/>
              <w:rPr>
                <w:b w:val="0"/>
                <w:sz w:val="19"/>
                <w:szCs w:val="19"/>
              </w:rPr>
            </w:pPr>
            <w:r w:rsidRPr="00DD1E22">
              <w:rPr>
                <w:b w:val="0"/>
                <w:color w:val="000000"/>
                <w:sz w:val="19"/>
                <w:szCs w:val="19"/>
              </w:rPr>
              <w:t>2,547</w:t>
            </w:r>
          </w:p>
        </w:tc>
        <w:tc>
          <w:tcPr>
            <w:tcW w:w="1106" w:type="dxa"/>
            <w:vAlign w:val="bottom"/>
          </w:tcPr>
          <w:p w14:paraId="5B2B2556" w14:textId="77777777" w:rsidR="00B51828" w:rsidRPr="00DD1E22" w:rsidRDefault="00B51828" w:rsidP="002101D2">
            <w:pPr>
              <w:pStyle w:val="Tabletextboldleft"/>
              <w:jc w:val="right"/>
              <w:rPr>
                <w:b w:val="0"/>
                <w:sz w:val="19"/>
                <w:szCs w:val="19"/>
              </w:rPr>
            </w:pPr>
            <w:r w:rsidRPr="00DD1E22">
              <w:rPr>
                <w:b w:val="0"/>
                <w:color w:val="000000"/>
                <w:sz w:val="19"/>
                <w:szCs w:val="19"/>
              </w:rPr>
              <w:t>2,714</w:t>
            </w:r>
          </w:p>
        </w:tc>
        <w:tc>
          <w:tcPr>
            <w:tcW w:w="1106" w:type="dxa"/>
            <w:vAlign w:val="bottom"/>
          </w:tcPr>
          <w:p w14:paraId="21442D2F" w14:textId="77777777" w:rsidR="00B51828" w:rsidRPr="00DD1E22" w:rsidRDefault="00B51828" w:rsidP="002101D2">
            <w:pPr>
              <w:pStyle w:val="Tabletextboldleft"/>
              <w:jc w:val="right"/>
              <w:rPr>
                <w:b w:val="0"/>
                <w:sz w:val="19"/>
                <w:szCs w:val="19"/>
              </w:rPr>
            </w:pPr>
            <w:r w:rsidRPr="00DD1E22">
              <w:rPr>
                <w:b w:val="0"/>
                <w:color w:val="000000"/>
                <w:sz w:val="19"/>
                <w:szCs w:val="19"/>
              </w:rPr>
              <w:t>2,643</w:t>
            </w:r>
          </w:p>
        </w:tc>
        <w:tc>
          <w:tcPr>
            <w:tcW w:w="1105" w:type="dxa"/>
            <w:vAlign w:val="bottom"/>
          </w:tcPr>
          <w:p w14:paraId="4F862EDA" w14:textId="77777777" w:rsidR="00B51828" w:rsidRPr="00DD1E22" w:rsidRDefault="00B51828" w:rsidP="002101D2">
            <w:pPr>
              <w:pStyle w:val="Tabletextboldleft"/>
              <w:jc w:val="right"/>
              <w:rPr>
                <w:b w:val="0"/>
                <w:sz w:val="19"/>
                <w:szCs w:val="19"/>
              </w:rPr>
            </w:pPr>
            <w:r w:rsidRPr="00DD1E22">
              <w:rPr>
                <w:b w:val="0"/>
                <w:color w:val="000000"/>
                <w:sz w:val="19"/>
                <w:szCs w:val="19"/>
              </w:rPr>
              <w:t>2,662</w:t>
            </w:r>
          </w:p>
        </w:tc>
        <w:tc>
          <w:tcPr>
            <w:tcW w:w="1106" w:type="dxa"/>
            <w:vAlign w:val="bottom"/>
          </w:tcPr>
          <w:p w14:paraId="69C045AC" w14:textId="77777777" w:rsidR="00B51828" w:rsidRPr="00DD1E22" w:rsidRDefault="00B51828" w:rsidP="002101D2">
            <w:pPr>
              <w:pStyle w:val="Tabletextboldleft"/>
              <w:jc w:val="right"/>
              <w:rPr>
                <w:b w:val="0"/>
                <w:sz w:val="19"/>
                <w:szCs w:val="19"/>
              </w:rPr>
            </w:pPr>
            <w:r w:rsidRPr="00DD1E22">
              <w:rPr>
                <w:b w:val="0"/>
                <w:color w:val="000000"/>
                <w:sz w:val="19"/>
                <w:szCs w:val="19"/>
              </w:rPr>
              <w:t>2,663</w:t>
            </w:r>
          </w:p>
        </w:tc>
        <w:tc>
          <w:tcPr>
            <w:tcW w:w="1106" w:type="dxa"/>
            <w:vAlign w:val="bottom"/>
          </w:tcPr>
          <w:p w14:paraId="103DC795" w14:textId="77777777" w:rsidR="00B51828" w:rsidRPr="00DD1E22" w:rsidRDefault="00B51828" w:rsidP="002101D2">
            <w:pPr>
              <w:pStyle w:val="Tabletextboldleft"/>
              <w:jc w:val="right"/>
              <w:rPr>
                <w:b w:val="0"/>
                <w:sz w:val="19"/>
                <w:szCs w:val="19"/>
              </w:rPr>
            </w:pPr>
            <w:r w:rsidRPr="00DD1E22">
              <w:rPr>
                <w:b w:val="0"/>
                <w:color w:val="000000"/>
                <w:sz w:val="19"/>
                <w:szCs w:val="19"/>
              </w:rPr>
              <w:t>2,664</w:t>
            </w:r>
          </w:p>
        </w:tc>
        <w:tc>
          <w:tcPr>
            <w:tcW w:w="1105" w:type="dxa"/>
            <w:vAlign w:val="bottom"/>
          </w:tcPr>
          <w:p w14:paraId="2D1E486A" w14:textId="77777777" w:rsidR="00B51828" w:rsidRPr="00DD1E22" w:rsidRDefault="00B51828" w:rsidP="002101D2">
            <w:pPr>
              <w:pStyle w:val="Tabletextboldleft"/>
              <w:jc w:val="right"/>
              <w:rPr>
                <w:b w:val="0"/>
                <w:sz w:val="19"/>
                <w:szCs w:val="19"/>
              </w:rPr>
            </w:pPr>
            <w:r w:rsidRPr="00DD1E22">
              <w:rPr>
                <w:b w:val="0"/>
                <w:color w:val="000000"/>
                <w:sz w:val="19"/>
                <w:szCs w:val="19"/>
              </w:rPr>
              <w:t>2,664</w:t>
            </w:r>
          </w:p>
        </w:tc>
        <w:tc>
          <w:tcPr>
            <w:tcW w:w="1106" w:type="dxa"/>
            <w:vAlign w:val="bottom"/>
          </w:tcPr>
          <w:p w14:paraId="7DCCE791" w14:textId="77777777" w:rsidR="00B51828" w:rsidRPr="00DD1E22" w:rsidRDefault="00B51828" w:rsidP="002101D2">
            <w:pPr>
              <w:pStyle w:val="Tabletextboldleft"/>
              <w:jc w:val="right"/>
              <w:rPr>
                <w:b w:val="0"/>
                <w:sz w:val="19"/>
                <w:szCs w:val="19"/>
              </w:rPr>
            </w:pPr>
            <w:r w:rsidRPr="00DD1E22">
              <w:rPr>
                <w:b w:val="0"/>
                <w:color w:val="000000"/>
                <w:sz w:val="19"/>
                <w:szCs w:val="19"/>
              </w:rPr>
              <w:t>2,665</w:t>
            </w:r>
          </w:p>
        </w:tc>
        <w:tc>
          <w:tcPr>
            <w:tcW w:w="1106" w:type="dxa"/>
            <w:vAlign w:val="bottom"/>
          </w:tcPr>
          <w:p w14:paraId="38DC9672" w14:textId="77777777" w:rsidR="00B51828" w:rsidRPr="00DD1E22" w:rsidRDefault="00B51828" w:rsidP="002101D2">
            <w:pPr>
              <w:pStyle w:val="Tabletextboldleft"/>
              <w:jc w:val="right"/>
              <w:rPr>
                <w:b w:val="0"/>
                <w:sz w:val="19"/>
                <w:szCs w:val="19"/>
              </w:rPr>
            </w:pPr>
            <w:r w:rsidRPr="00DD1E22">
              <w:rPr>
                <w:b w:val="0"/>
                <w:color w:val="000000"/>
                <w:sz w:val="19"/>
                <w:szCs w:val="19"/>
              </w:rPr>
              <w:t>2,666</w:t>
            </w:r>
          </w:p>
        </w:tc>
        <w:tc>
          <w:tcPr>
            <w:tcW w:w="1106" w:type="dxa"/>
            <w:vAlign w:val="bottom"/>
          </w:tcPr>
          <w:p w14:paraId="01845521" w14:textId="77777777" w:rsidR="00B51828" w:rsidRPr="00DD1E22" w:rsidRDefault="00B51828" w:rsidP="002101D2">
            <w:pPr>
              <w:pStyle w:val="Tabletextboldleft"/>
              <w:jc w:val="right"/>
              <w:rPr>
                <w:b w:val="0"/>
                <w:sz w:val="19"/>
                <w:szCs w:val="19"/>
              </w:rPr>
            </w:pPr>
            <w:r w:rsidRPr="00DD1E22">
              <w:rPr>
                <w:b w:val="0"/>
                <w:color w:val="000000"/>
                <w:sz w:val="19"/>
                <w:szCs w:val="19"/>
              </w:rPr>
              <w:t>2,667</w:t>
            </w:r>
          </w:p>
        </w:tc>
      </w:tr>
      <w:tr w:rsidR="00B51828" w14:paraId="0E381EA1" w14:textId="77777777" w:rsidTr="00E61184">
        <w:trPr>
          <w:trHeight w:val="84"/>
        </w:trPr>
        <w:tc>
          <w:tcPr>
            <w:tcW w:w="2835" w:type="dxa"/>
            <w:vAlign w:val="bottom"/>
          </w:tcPr>
          <w:p w14:paraId="5F65211D" w14:textId="77777777" w:rsidR="00B51828" w:rsidRPr="00DD1E22" w:rsidRDefault="00B51828" w:rsidP="002101D2">
            <w:pPr>
              <w:pStyle w:val="Tabletextboldleft"/>
              <w:ind w:firstLine="317"/>
              <w:rPr>
                <w:b w:val="0"/>
                <w:sz w:val="19"/>
                <w:szCs w:val="19"/>
              </w:rPr>
            </w:pPr>
            <w:r w:rsidRPr="00DD1E22">
              <w:rPr>
                <w:b w:val="0"/>
                <w:sz w:val="19"/>
                <w:szCs w:val="19"/>
              </w:rPr>
              <w:t>MBS item 72813</w:t>
            </w:r>
          </w:p>
        </w:tc>
        <w:tc>
          <w:tcPr>
            <w:tcW w:w="1105" w:type="dxa"/>
            <w:vAlign w:val="bottom"/>
          </w:tcPr>
          <w:p w14:paraId="45B4500B" w14:textId="77777777" w:rsidR="00B51828" w:rsidRPr="00DD1E22" w:rsidRDefault="00B51828" w:rsidP="002101D2">
            <w:pPr>
              <w:pStyle w:val="Tabletextboldleft"/>
              <w:jc w:val="right"/>
              <w:rPr>
                <w:b w:val="0"/>
                <w:sz w:val="19"/>
                <w:szCs w:val="19"/>
              </w:rPr>
            </w:pPr>
            <w:r w:rsidRPr="00DD1E22">
              <w:rPr>
                <w:b w:val="0"/>
                <w:sz w:val="19"/>
                <w:szCs w:val="19"/>
              </w:rPr>
              <w:t>13,477</w:t>
            </w:r>
          </w:p>
        </w:tc>
        <w:tc>
          <w:tcPr>
            <w:tcW w:w="1106" w:type="dxa"/>
            <w:vAlign w:val="bottom"/>
          </w:tcPr>
          <w:p w14:paraId="316F8F29" w14:textId="77777777" w:rsidR="00B51828" w:rsidRPr="00DD1E22" w:rsidRDefault="00B51828" w:rsidP="002101D2">
            <w:pPr>
              <w:pStyle w:val="Tabletextboldleft"/>
              <w:jc w:val="right"/>
              <w:rPr>
                <w:b w:val="0"/>
                <w:sz w:val="19"/>
                <w:szCs w:val="19"/>
              </w:rPr>
            </w:pPr>
            <w:r w:rsidRPr="00DD1E22">
              <w:rPr>
                <w:b w:val="0"/>
                <w:sz w:val="19"/>
                <w:szCs w:val="19"/>
              </w:rPr>
              <w:t>12,527</w:t>
            </w:r>
          </w:p>
        </w:tc>
        <w:tc>
          <w:tcPr>
            <w:tcW w:w="1106" w:type="dxa"/>
            <w:vAlign w:val="bottom"/>
          </w:tcPr>
          <w:p w14:paraId="1FD3F795" w14:textId="77777777" w:rsidR="00B51828" w:rsidRPr="00DD1E22" w:rsidRDefault="00B51828" w:rsidP="002101D2">
            <w:pPr>
              <w:pStyle w:val="Tabletextboldleft"/>
              <w:jc w:val="right"/>
              <w:rPr>
                <w:b w:val="0"/>
                <w:sz w:val="19"/>
                <w:szCs w:val="19"/>
              </w:rPr>
            </w:pPr>
            <w:r w:rsidRPr="00DD1E22">
              <w:rPr>
                <w:b w:val="0"/>
                <w:sz w:val="19"/>
                <w:szCs w:val="19"/>
              </w:rPr>
              <w:t>10,983</w:t>
            </w:r>
          </w:p>
        </w:tc>
        <w:tc>
          <w:tcPr>
            <w:tcW w:w="1105" w:type="dxa"/>
            <w:vAlign w:val="bottom"/>
          </w:tcPr>
          <w:p w14:paraId="21CDC0E2" w14:textId="77777777" w:rsidR="00B51828" w:rsidRPr="00DD1E22" w:rsidRDefault="00B51828" w:rsidP="002101D2">
            <w:pPr>
              <w:pStyle w:val="Tabletextboldleft"/>
              <w:jc w:val="right"/>
              <w:rPr>
                <w:b w:val="0"/>
                <w:sz w:val="19"/>
                <w:szCs w:val="19"/>
              </w:rPr>
            </w:pPr>
            <w:r w:rsidRPr="00DD1E22">
              <w:rPr>
                <w:b w:val="0"/>
                <w:color w:val="000000"/>
                <w:sz w:val="19"/>
                <w:szCs w:val="19"/>
              </w:rPr>
              <w:t>12,141</w:t>
            </w:r>
          </w:p>
        </w:tc>
        <w:tc>
          <w:tcPr>
            <w:tcW w:w="1106" w:type="dxa"/>
            <w:vAlign w:val="bottom"/>
          </w:tcPr>
          <w:p w14:paraId="6D6D68F4" w14:textId="77777777" w:rsidR="00B51828" w:rsidRPr="00DD1E22" w:rsidRDefault="00B51828" w:rsidP="002101D2">
            <w:pPr>
              <w:pStyle w:val="Tabletextboldleft"/>
              <w:jc w:val="right"/>
              <w:rPr>
                <w:b w:val="0"/>
                <w:sz w:val="19"/>
                <w:szCs w:val="19"/>
              </w:rPr>
            </w:pPr>
            <w:r w:rsidRPr="00DD1E22">
              <w:rPr>
                <w:b w:val="0"/>
                <w:color w:val="000000"/>
                <w:sz w:val="19"/>
                <w:szCs w:val="19"/>
              </w:rPr>
              <w:t>12,224</w:t>
            </w:r>
          </w:p>
        </w:tc>
        <w:tc>
          <w:tcPr>
            <w:tcW w:w="1106" w:type="dxa"/>
            <w:vAlign w:val="bottom"/>
          </w:tcPr>
          <w:p w14:paraId="19604417" w14:textId="77777777" w:rsidR="00B51828" w:rsidRPr="00DD1E22" w:rsidRDefault="00B51828" w:rsidP="002101D2">
            <w:pPr>
              <w:pStyle w:val="Tabletextboldleft"/>
              <w:jc w:val="right"/>
              <w:rPr>
                <w:b w:val="0"/>
                <w:sz w:val="19"/>
                <w:szCs w:val="19"/>
              </w:rPr>
            </w:pPr>
            <w:r w:rsidRPr="00DD1E22">
              <w:rPr>
                <w:b w:val="0"/>
                <w:color w:val="000000"/>
                <w:sz w:val="19"/>
                <w:szCs w:val="19"/>
              </w:rPr>
              <w:t>12,306</w:t>
            </w:r>
          </w:p>
        </w:tc>
        <w:tc>
          <w:tcPr>
            <w:tcW w:w="1105" w:type="dxa"/>
            <w:vAlign w:val="bottom"/>
          </w:tcPr>
          <w:p w14:paraId="1D20EC1E" w14:textId="77777777" w:rsidR="00B51828" w:rsidRPr="00DD1E22" w:rsidRDefault="00B51828" w:rsidP="002101D2">
            <w:pPr>
              <w:pStyle w:val="Tabletextboldleft"/>
              <w:jc w:val="right"/>
              <w:rPr>
                <w:b w:val="0"/>
                <w:sz w:val="19"/>
                <w:szCs w:val="19"/>
              </w:rPr>
            </w:pPr>
            <w:r w:rsidRPr="00DD1E22">
              <w:rPr>
                <w:b w:val="0"/>
                <w:color w:val="000000"/>
                <w:sz w:val="19"/>
                <w:szCs w:val="19"/>
              </w:rPr>
              <w:t>12,389</w:t>
            </w:r>
          </w:p>
        </w:tc>
        <w:tc>
          <w:tcPr>
            <w:tcW w:w="1106" w:type="dxa"/>
            <w:vAlign w:val="bottom"/>
          </w:tcPr>
          <w:p w14:paraId="130EF280" w14:textId="77777777" w:rsidR="00B51828" w:rsidRPr="00DD1E22" w:rsidRDefault="00B51828" w:rsidP="002101D2">
            <w:pPr>
              <w:pStyle w:val="Tabletextboldleft"/>
              <w:jc w:val="right"/>
              <w:rPr>
                <w:b w:val="0"/>
                <w:sz w:val="19"/>
                <w:szCs w:val="19"/>
              </w:rPr>
            </w:pPr>
            <w:r w:rsidRPr="00DD1E22">
              <w:rPr>
                <w:b w:val="0"/>
                <w:color w:val="000000"/>
                <w:sz w:val="19"/>
                <w:szCs w:val="19"/>
              </w:rPr>
              <w:t>12,472</w:t>
            </w:r>
          </w:p>
        </w:tc>
        <w:tc>
          <w:tcPr>
            <w:tcW w:w="1106" w:type="dxa"/>
            <w:vAlign w:val="bottom"/>
          </w:tcPr>
          <w:p w14:paraId="3F79C36F" w14:textId="77777777" w:rsidR="00B51828" w:rsidRPr="00DD1E22" w:rsidRDefault="00B51828" w:rsidP="002101D2">
            <w:pPr>
              <w:pStyle w:val="Tabletextboldleft"/>
              <w:jc w:val="right"/>
              <w:rPr>
                <w:b w:val="0"/>
                <w:sz w:val="19"/>
                <w:szCs w:val="19"/>
              </w:rPr>
            </w:pPr>
            <w:r w:rsidRPr="00DD1E22">
              <w:rPr>
                <w:b w:val="0"/>
                <w:color w:val="000000"/>
                <w:sz w:val="19"/>
                <w:szCs w:val="19"/>
              </w:rPr>
              <w:t>12,554</w:t>
            </w:r>
          </w:p>
        </w:tc>
        <w:tc>
          <w:tcPr>
            <w:tcW w:w="1106" w:type="dxa"/>
            <w:vAlign w:val="bottom"/>
          </w:tcPr>
          <w:p w14:paraId="3D4B563C" w14:textId="77777777" w:rsidR="00B51828" w:rsidRPr="00DD1E22" w:rsidRDefault="00B51828" w:rsidP="002101D2">
            <w:pPr>
              <w:pStyle w:val="Tabletextboldleft"/>
              <w:jc w:val="right"/>
              <w:rPr>
                <w:b w:val="0"/>
                <w:sz w:val="19"/>
                <w:szCs w:val="19"/>
              </w:rPr>
            </w:pPr>
            <w:r w:rsidRPr="00DD1E22">
              <w:rPr>
                <w:b w:val="0"/>
                <w:color w:val="000000"/>
                <w:sz w:val="19"/>
                <w:szCs w:val="19"/>
              </w:rPr>
              <w:t>12,637</w:t>
            </w:r>
          </w:p>
        </w:tc>
      </w:tr>
      <w:tr w:rsidR="00B51828" w14:paraId="3441D735" w14:textId="77777777" w:rsidTr="00E61184">
        <w:trPr>
          <w:trHeight w:val="84"/>
        </w:trPr>
        <w:tc>
          <w:tcPr>
            <w:tcW w:w="2835" w:type="dxa"/>
            <w:vAlign w:val="bottom"/>
          </w:tcPr>
          <w:p w14:paraId="19FBD05F" w14:textId="77777777" w:rsidR="00B51828" w:rsidRPr="00DD1E22" w:rsidRDefault="00B51828" w:rsidP="002101D2">
            <w:pPr>
              <w:pStyle w:val="Tabletextboldleft"/>
              <w:ind w:firstLine="317"/>
              <w:rPr>
                <w:b w:val="0"/>
                <w:sz w:val="19"/>
                <w:szCs w:val="19"/>
              </w:rPr>
            </w:pPr>
            <w:r w:rsidRPr="00DD1E22">
              <w:rPr>
                <w:b w:val="0"/>
                <w:sz w:val="19"/>
                <w:szCs w:val="19"/>
              </w:rPr>
              <w:t>MBS item 72816</w:t>
            </w:r>
          </w:p>
        </w:tc>
        <w:tc>
          <w:tcPr>
            <w:tcW w:w="1105" w:type="dxa"/>
            <w:vAlign w:val="bottom"/>
          </w:tcPr>
          <w:p w14:paraId="6C7583BB" w14:textId="77777777" w:rsidR="00B51828" w:rsidRPr="00DD1E22" w:rsidRDefault="00B51828" w:rsidP="002101D2">
            <w:pPr>
              <w:pStyle w:val="Tabletextboldleft"/>
              <w:jc w:val="right"/>
              <w:rPr>
                <w:b w:val="0"/>
                <w:sz w:val="19"/>
                <w:szCs w:val="19"/>
              </w:rPr>
            </w:pPr>
            <w:r w:rsidRPr="00DD1E22">
              <w:rPr>
                <w:b w:val="0"/>
                <w:color w:val="000000"/>
                <w:sz w:val="19"/>
                <w:szCs w:val="19"/>
              </w:rPr>
              <w:t>1,163,546</w:t>
            </w:r>
          </w:p>
        </w:tc>
        <w:tc>
          <w:tcPr>
            <w:tcW w:w="1106" w:type="dxa"/>
            <w:vAlign w:val="bottom"/>
          </w:tcPr>
          <w:p w14:paraId="734B981D" w14:textId="77777777" w:rsidR="00B51828" w:rsidRPr="00DD1E22" w:rsidRDefault="00B51828" w:rsidP="002101D2">
            <w:pPr>
              <w:pStyle w:val="Tabletextboldleft"/>
              <w:jc w:val="right"/>
              <w:rPr>
                <w:b w:val="0"/>
                <w:sz w:val="19"/>
                <w:szCs w:val="19"/>
              </w:rPr>
            </w:pPr>
            <w:r w:rsidRPr="00DD1E22">
              <w:rPr>
                <w:b w:val="0"/>
                <w:color w:val="000000"/>
                <w:sz w:val="19"/>
                <w:szCs w:val="19"/>
              </w:rPr>
              <w:t>1,220,087</w:t>
            </w:r>
          </w:p>
        </w:tc>
        <w:tc>
          <w:tcPr>
            <w:tcW w:w="1106" w:type="dxa"/>
            <w:vAlign w:val="bottom"/>
          </w:tcPr>
          <w:p w14:paraId="3617820D" w14:textId="77777777" w:rsidR="00B51828" w:rsidRPr="00DD1E22" w:rsidRDefault="00B51828" w:rsidP="002101D2">
            <w:pPr>
              <w:pStyle w:val="Tabletextboldleft"/>
              <w:jc w:val="right"/>
              <w:rPr>
                <w:b w:val="0"/>
                <w:sz w:val="19"/>
                <w:szCs w:val="19"/>
              </w:rPr>
            </w:pPr>
            <w:r w:rsidRPr="00DD1E22">
              <w:rPr>
                <w:b w:val="0"/>
                <w:color w:val="000000"/>
                <w:sz w:val="19"/>
                <w:szCs w:val="19"/>
              </w:rPr>
              <w:t>1,266,752</w:t>
            </w:r>
          </w:p>
        </w:tc>
        <w:tc>
          <w:tcPr>
            <w:tcW w:w="1105" w:type="dxa"/>
            <w:vAlign w:val="bottom"/>
          </w:tcPr>
          <w:p w14:paraId="3EE50DC1" w14:textId="77777777" w:rsidR="00B51828" w:rsidRPr="00DD1E22" w:rsidRDefault="00B51828" w:rsidP="002101D2">
            <w:pPr>
              <w:pStyle w:val="Tabletextboldleft"/>
              <w:jc w:val="right"/>
              <w:rPr>
                <w:b w:val="0"/>
                <w:sz w:val="19"/>
                <w:szCs w:val="19"/>
              </w:rPr>
            </w:pPr>
            <w:r w:rsidRPr="00DD1E22">
              <w:rPr>
                <w:b w:val="0"/>
                <w:color w:val="000000"/>
                <w:sz w:val="19"/>
                <w:szCs w:val="19"/>
              </w:rPr>
              <w:t>1,284,319</w:t>
            </w:r>
          </w:p>
        </w:tc>
        <w:tc>
          <w:tcPr>
            <w:tcW w:w="1106" w:type="dxa"/>
            <w:vAlign w:val="bottom"/>
          </w:tcPr>
          <w:p w14:paraId="744D8791" w14:textId="77777777" w:rsidR="00B51828" w:rsidRPr="00DD1E22" w:rsidRDefault="00B51828" w:rsidP="002101D2">
            <w:pPr>
              <w:pStyle w:val="Tabletextboldleft"/>
              <w:jc w:val="right"/>
              <w:rPr>
                <w:b w:val="0"/>
                <w:sz w:val="19"/>
                <w:szCs w:val="19"/>
              </w:rPr>
            </w:pPr>
            <w:r w:rsidRPr="00DD1E22">
              <w:rPr>
                <w:b w:val="0"/>
                <w:color w:val="000000"/>
                <w:sz w:val="19"/>
                <w:szCs w:val="19"/>
              </w:rPr>
              <w:t>1,315,560</w:t>
            </w:r>
          </w:p>
        </w:tc>
        <w:tc>
          <w:tcPr>
            <w:tcW w:w="1106" w:type="dxa"/>
            <w:vAlign w:val="bottom"/>
          </w:tcPr>
          <w:p w14:paraId="5D56B970" w14:textId="77777777" w:rsidR="00B51828" w:rsidRPr="00DD1E22" w:rsidRDefault="00B51828" w:rsidP="002101D2">
            <w:pPr>
              <w:pStyle w:val="Tabletextboldleft"/>
              <w:jc w:val="right"/>
              <w:rPr>
                <w:b w:val="0"/>
                <w:sz w:val="19"/>
                <w:szCs w:val="19"/>
              </w:rPr>
            </w:pPr>
            <w:r w:rsidRPr="00DD1E22">
              <w:rPr>
                <w:b w:val="0"/>
                <w:color w:val="000000"/>
                <w:sz w:val="19"/>
                <w:szCs w:val="19"/>
              </w:rPr>
              <w:t>1,346,802</w:t>
            </w:r>
          </w:p>
        </w:tc>
        <w:tc>
          <w:tcPr>
            <w:tcW w:w="1105" w:type="dxa"/>
            <w:vAlign w:val="bottom"/>
          </w:tcPr>
          <w:p w14:paraId="6314EFF4" w14:textId="77777777" w:rsidR="00B51828" w:rsidRPr="00DD1E22" w:rsidRDefault="00B51828" w:rsidP="002101D2">
            <w:pPr>
              <w:pStyle w:val="Tabletextboldleft"/>
              <w:jc w:val="right"/>
              <w:rPr>
                <w:b w:val="0"/>
                <w:sz w:val="19"/>
                <w:szCs w:val="19"/>
              </w:rPr>
            </w:pPr>
            <w:r w:rsidRPr="00DD1E22">
              <w:rPr>
                <w:b w:val="0"/>
                <w:color w:val="000000"/>
                <w:sz w:val="19"/>
                <w:szCs w:val="19"/>
              </w:rPr>
              <w:t>1,378,043</w:t>
            </w:r>
          </w:p>
        </w:tc>
        <w:tc>
          <w:tcPr>
            <w:tcW w:w="1106" w:type="dxa"/>
            <w:vAlign w:val="bottom"/>
          </w:tcPr>
          <w:p w14:paraId="35463D8E" w14:textId="77777777" w:rsidR="00B51828" w:rsidRPr="00DD1E22" w:rsidRDefault="00B51828" w:rsidP="002101D2">
            <w:pPr>
              <w:pStyle w:val="Tabletextboldleft"/>
              <w:jc w:val="right"/>
              <w:rPr>
                <w:b w:val="0"/>
                <w:sz w:val="19"/>
                <w:szCs w:val="19"/>
              </w:rPr>
            </w:pPr>
            <w:r w:rsidRPr="00DD1E22">
              <w:rPr>
                <w:b w:val="0"/>
                <w:color w:val="000000"/>
                <w:sz w:val="19"/>
                <w:szCs w:val="19"/>
              </w:rPr>
              <w:t>1,409,284</w:t>
            </w:r>
          </w:p>
        </w:tc>
        <w:tc>
          <w:tcPr>
            <w:tcW w:w="1106" w:type="dxa"/>
            <w:vAlign w:val="bottom"/>
          </w:tcPr>
          <w:p w14:paraId="62B44939" w14:textId="77777777" w:rsidR="00B51828" w:rsidRPr="00DD1E22" w:rsidRDefault="00B51828" w:rsidP="002101D2">
            <w:pPr>
              <w:pStyle w:val="Tabletextboldleft"/>
              <w:jc w:val="right"/>
              <w:rPr>
                <w:b w:val="0"/>
                <w:sz w:val="19"/>
                <w:szCs w:val="19"/>
              </w:rPr>
            </w:pPr>
            <w:r w:rsidRPr="00DD1E22">
              <w:rPr>
                <w:b w:val="0"/>
                <w:color w:val="000000"/>
                <w:sz w:val="19"/>
                <w:szCs w:val="19"/>
              </w:rPr>
              <w:t>1,440,526</w:t>
            </w:r>
          </w:p>
        </w:tc>
        <w:tc>
          <w:tcPr>
            <w:tcW w:w="1106" w:type="dxa"/>
            <w:vAlign w:val="bottom"/>
          </w:tcPr>
          <w:p w14:paraId="396A0B57" w14:textId="77777777" w:rsidR="00B51828" w:rsidRPr="00DD1E22" w:rsidRDefault="00B51828" w:rsidP="002101D2">
            <w:pPr>
              <w:pStyle w:val="Tabletextboldleft"/>
              <w:jc w:val="right"/>
              <w:rPr>
                <w:b w:val="0"/>
                <w:sz w:val="19"/>
                <w:szCs w:val="19"/>
              </w:rPr>
            </w:pPr>
            <w:r w:rsidRPr="00DD1E22">
              <w:rPr>
                <w:b w:val="0"/>
                <w:color w:val="000000"/>
                <w:sz w:val="19"/>
                <w:szCs w:val="19"/>
              </w:rPr>
              <w:t>1,471,767</w:t>
            </w:r>
          </w:p>
        </w:tc>
      </w:tr>
      <w:tr w:rsidR="00B51828" w14:paraId="7B934776" w14:textId="77777777" w:rsidTr="00E61184">
        <w:trPr>
          <w:trHeight w:val="84"/>
        </w:trPr>
        <w:tc>
          <w:tcPr>
            <w:tcW w:w="2835" w:type="dxa"/>
            <w:vAlign w:val="bottom"/>
          </w:tcPr>
          <w:p w14:paraId="5CE9D47C" w14:textId="77777777" w:rsidR="00B51828" w:rsidRPr="00DD1E22" w:rsidRDefault="00B51828" w:rsidP="002101D2">
            <w:pPr>
              <w:pStyle w:val="Tabletextboldleft"/>
              <w:ind w:firstLine="317"/>
              <w:rPr>
                <w:b w:val="0"/>
                <w:sz w:val="19"/>
                <w:szCs w:val="19"/>
              </w:rPr>
            </w:pPr>
            <w:r w:rsidRPr="00DD1E22">
              <w:rPr>
                <w:b w:val="0"/>
                <w:sz w:val="19"/>
                <w:szCs w:val="19"/>
              </w:rPr>
              <w:t>MBS item 72817</w:t>
            </w:r>
          </w:p>
        </w:tc>
        <w:tc>
          <w:tcPr>
            <w:tcW w:w="1105" w:type="dxa"/>
            <w:vAlign w:val="bottom"/>
          </w:tcPr>
          <w:p w14:paraId="118976C9" w14:textId="77777777" w:rsidR="00B51828" w:rsidRPr="00DD1E22" w:rsidRDefault="00B51828" w:rsidP="002101D2">
            <w:pPr>
              <w:pStyle w:val="Tabletextboldleft"/>
              <w:jc w:val="right"/>
              <w:rPr>
                <w:b w:val="0"/>
                <w:sz w:val="19"/>
                <w:szCs w:val="19"/>
              </w:rPr>
            </w:pPr>
            <w:r w:rsidRPr="00DD1E22">
              <w:rPr>
                <w:b w:val="0"/>
                <w:color w:val="000000"/>
                <w:sz w:val="19"/>
                <w:szCs w:val="19"/>
              </w:rPr>
              <w:t>278,907</w:t>
            </w:r>
          </w:p>
        </w:tc>
        <w:tc>
          <w:tcPr>
            <w:tcW w:w="1106" w:type="dxa"/>
            <w:vAlign w:val="bottom"/>
          </w:tcPr>
          <w:p w14:paraId="619EB969" w14:textId="77777777" w:rsidR="00B51828" w:rsidRPr="00DD1E22" w:rsidRDefault="00B51828" w:rsidP="002101D2">
            <w:pPr>
              <w:pStyle w:val="Tabletextboldleft"/>
              <w:jc w:val="right"/>
              <w:rPr>
                <w:b w:val="0"/>
                <w:sz w:val="19"/>
                <w:szCs w:val="19"/>
              </w:rPr>
            </w:pPr>
            <w:r w:rsidRPr="00DD1E22">
              <w:rPr>
                <w:b w:val="0"/>
                <w:color w:val="000000"/>
                <w:sz w:val="19"/>
                <w:szCs w:val="19"/>
              </w:rPr>
              <w:t>297,290</w:t>
            </w:r>
          </w:p>
        </w:tc>
        <w:tc>
          <w:tcPr>
            <w:tcW w:w="1106" w:type="dxa"/>
            <w:vAlign w:val="bottom"/>
          </w:tcPr>
          <w:p w14:paraId="213BDA6C" w14:textId="77777777" w:rsidR="00B51828" w:rsidRPr="00DD1E22" w:rsidRDefault="00B51828" w:rsidP="002101D2">
            <w:pPr>
              <w:pStyle w:val="Tabletextboldleft"/>
              <w:jc w:val="right"/>
              <w:rPr>
                <w:b w:val="0"/>
                <w:sz w:val="19"/>
                <w:szCs w:val="19"/>
              </w:rPr>
            </w:pPr>
            <w:r w:rsidRPr="00DD1E22">
              <w:rPr>
                <w:b w:val="0"/>
                <w:color w:val="000000"/>
                <w:sz w:val="19"/>
                <w:szCs w:val="19"/>
              </w:rPr>
              <w:t>313,420</w:t>
            </w:r>
          </w:p>
        </w:tc>
        <w:tc>
          <w:tcPr>
            <w:tcW w:w="1105" w:type="dxa"/>
            <w:vAlign w:val="bottom"/>
          </w:tcPr>
          <w:p w14:paraId="10371C95" w14:textId="77777777" w:rsidR="00B51828" w:rsidRPr="00DD1E22" w:rsidRDefault="00B51828" w:rsidP="002101D2">
            <w:pPr>
              <w:pStyle w:val="Tabletextboldleft"/>
              <w:jc w:val="right"/>
              <w:rPr>
                <w:b w:val="0"/>
                <w:sz w:val="19"/>
                <w:szCs w:val="19"/>
              </w:rPr>
            </w:pPr>
            <w:r w:rsidRPr="00DD1E22">
              <w:rPr>
                <w:b w:val="0"/>
                <w:color w:val="000000"/>
                <w:sz w:val="19"/>
                <w:szCs w:val="19"/>
              </w:rPr>
              <w:t>321,131</w:t>
            </w:r>
          </w:p>
        </w:tc>
        <w:tc>
          <w:tcPr>
            <w:tcW w:w="1106" w:type="dxa"/>
            <w:vAlign w:val="bottom"/>
          </w:tcPr>
          <w:p w14:paraId="2D502E36" w14:textId="77777777" w:rsidR="00B51828" w:rsidRPr="00DD1E22" w:rsidRDefault="00B51828" w:rsidP="002101D2">
            <w:pPr>
              <w:pStyle w:val="Tabletextboldleft"/>
              <w:jc w:val="right"/>
              <w:rPr>
                <w:b w:val="0"/>
                <w:sz w:val="19"/>
                <w:szCs w:val="19"/>
              </w:rPr>
            </w:pPr>
            <w:r w:rsidRPr="00DD1E22">
              <w:rPr>
                <w:b w:val="0"/>
                <w:color w:val="000000"/>
                <w:sz w:val="19"/>
                <w:szCs w:val="19"/>
              </w:rPr>
              <w:t>332,762</w:t>
            </w:r>
          </w:p>
        </w:tc>
        <w:tc>
          <w:tcPr>
            <w:tcW w:w="1106" w:type="dxa"/>
            <w:vAlign w:val="bottom"/>
          </w:tcPr>
          <w:p w14:paraId="78099C4A" w14:textId="77777777" w:rsidR="00B51828" w:rsidRPr="00DD1E22" w:rsidRDefault="00B51828" w:rsidP="002101D2">
            <w:pPr>
              <w:pStyle w:val="Tabletextboldleft"/>
              <w:jc w:val="right"/>
              <w:rPr>
                <w:b w:val="0"/>
                <w:sz w:val="19"/>
                <w:szCs w:val="19"/>
              </w:rPr>
            </w:pPr>
            <w:r w:rsidRPr="00DD1E22">
              <w:rPr>
                <w:b w:val="0"/>
                <w:color w:val="000000"/>
                <w:sz w:val="19"/>
                <w:szCs w:val="19"/>
              </w:rPr>
              <w:t>344,393</w:t>
            </w:r>
          </w:p>
        </w:tc>
        <w:tc>
          <w:tcPr>
            <w:tcW w:w="1105" w:type="dxa"/>
            <w:vAlign w:val="bottom"/>
          </w:tcPr>
          <w:p w14:paraId="23BDB873" w14:textId="77777777" w:rsidR="00B51828" w:rsidRPr="00DD1E22" w:rsidRDefault="00B51828" w:rsidP="002101D2">
            <w:pPr>
              <w:pStyle w:val="Tabletextboldleft"/>
              <w:jc w:val="right"/>
              <w:rPr>
                <w:b w:val="0"/>
                <w:sz w:val="19"/>
                <w:szCs w:val="19"/>
              </w:rPr>
            </w:pPr>
            <w:r w:rsidRPr="00DD1E22">
              <w:rPr>
                <w:b w:val="0"/>
                <w:color w:val="000000"/>
                <w:sz w:val="19"/>
                <w:szCs w:val="19"/>
              </w:rPr>
              <w:t>356,024</w:t>
            </w:r>
          </w:p>
        </w:tc>
        <w:tc>
          <w:tcPr>
            <w:tcW w:w="1106" w:type="dxa"/>
            <w:vAlign w:val="bottom"/>
          </w:tcPr>
          <w:p w14:paraId="4059C71B" w14:textId="77777777" w:rsidR="00B51828" w:rsidRPr="00DD1E22" w:rsidRDefault="00B51828" w:rsidP="002101D2">
            <w:pPr>
              <w:pStyle w:val="Tabletextboldleft"/>
              <w:jc w:val="right"/>
              <w:rPr>
                <w:b w:val="0"/>
                <w:sz w:val="19"/>
                <w:szCs w:val="19"/>
              </w:rPr>
            </w:pPr>
            <w:r w:rsidRPr="00DD1E22">
              <w:rPr>
                <w:b w:val="0"/>
                <w:color w:val="000000"/>
                <w:sz w:val="19"/>
                <w:szCs w:val="19"/>
              </w:rPr>
              <w:t>367,655</w:t>
            </w:r>
          </w:p>
        </w:tc>
        <w:tc>
          <w:tcPr>
            <w:tcW w:w="1106" w:type="dxa"/>
            <w:vAlign w:val="bottom"/>
          </w:tcPr>
          <w:p w14:paraId="4F381A8B" w14:textId="77777777" w:rsidR="00B51828" w:rsidRPr="00DD1E22" w:rsidRDefault="00B51828" w:rsidP="002101D2">
            <w:pPr>
              <w:pStyle w:val="Tabletextboldleft"/>
              <w:jc w:val="right"/>
              <w:rPr>
                <w:b w:val="0"/>
                <w:sz w:val="19"/>
                <w:szCs w:val="19"/>
              </w:rPr>
            </w:pPr>
            <w:r w:rsidRPr="00DD1E22">
              <w:rPr>
                <w:b w:val="0"/>
                <w:color w:val="000000"/>
                <w:sz w:val="19"/>
                <w:szCs w:val="19"/>
              </w:rPr>
              <w:t>379,286</w:t>
            </w:r>
          </w:p>
        </w:tc>
        <w:tc>
          <w:tcPr>
            <w:tcW w:w="1106" w:type="dxa"/>
            <w:vAlign w:val="bottom"/>
          </w:tcPr>
          <w:p w14:paraId="365F2821" w14:textId="77777777" w:rsidR="00B51828" w:rsidRPr="00DD1E22" w:rsidRDefault="00B51828" w:rsidP="002101D2">
            <w:pPr>
              <w:pStyle w:val="Tabletextboldleft"/>
              <w:jc w:val="right"/>
              <w:rPr>
                <w:b w:val="0"/>
                <w:sz w:val="19"/>
                <w:szCs w:val="19"/>
              </w:rPr>
            </w:pPr>
            <w:r w:rsidRPr="00DD1E22">
              <w:rPr>
                <w:b w:val="0"/>
                <w:color w:val="000000"/>
                <w:sz w:val="19"/>
                <w:szCs w:val="19"/>
              </w:rPr>
              <w:t>390,917</w:t>
            </w:r>
          </w:p>
        </w:tc>
      </w:tr>
      <w:tr w:rsidR="00B51828" w14:paraId="6843AB22" w14:textId="77777777" w:rsidTr="00E61184">
        <w:trPr>
          <w:trHeight w:val="84"/>
        </w:trPr>
        <w:tc>
          <w:tcPr>
            <w:tcW w:w="2835" w:type="dxa"/>
            <w:vAlign w:val="bottom"/>
          </w:tcPr>
          <w:p w14:paraId="5C297306" w14:textId="77777777" w:rsidR="00B51828" w:rsidRPr="00DD1E22" w:rsidRDefault="00B51828" w:rsidP="002101D2">
            <w:pPr>
              <w:pStyle w:val="Tabletextboldleft"/>
              <w:ind w:firstLine="317"/>
              <w:rPr>
                <w:b w:val="0"/>
                <w:sz w:val="19"/>
                <w:szCs w:val="19"/>
              </w:rPr>
            </w:pPr>
            <w:r w:rsidRPr="00DD1E22">
              <w:rPr>
                <w:b w:val="0"/>
                <w:sz w:val="19"/>
                <w:szCs w:val="19"/>
              </w:rPr>
              <w:t>MBS item 72818</w:t>
            </w:r>
          </w:p>
        </w:tc>
        <w:tc>
          <w:tcPr>
            <w:tcW w:w="1105" w:type="dxa"/>
            <w:vAlign w:val="bottom"/>
          </w:tcPr>
          <w:p w14:paraId="3D2EA271" w14:textId="77777777" w:rsidR="00B51828" w:rsidRPr="00DD1E22" w:rsidRDefault="00B51828" w:rsidP="002101D2">
            <w:pPr>
              <w:pStyle w:val="Tabletextboldleft"/>
              <w:jc w:val="right"/>
              <w:rPr>
                <w:b w:val="0"/>
                <w:sz w:val="19"/>
                <w:szCs w:val="19"/>
              </w:rPr>
            </w:pPr>
            <w:r w:rsidRPr="00DD1E22">
              <w:rPr>
                <w:b w:val="0"/>
                <w:sz w:val="19"/>
                <w:szCs w:val="19"/>
              </w:rPr>
              <w:t>13,376</w:t>
            </w:r>
          </w:p>
        </w:tc>
        <w:tc>
          <w:tcPr>
            <w:tcW w:w="1106" w:type="dxa"/>
            <w:vAlign w:val="bottom"/>
          </w:tcPr>
          <w:p w14:paraId="411AAD28" w14:textId="77777777" w:rsidR="00B51828" w:rsidRPr="00DD1E22" w:rsidRDefault="00B51828" w:rsidP="002101D2">
            <w:pPr>
              <w:pStyle w:val="Tabletextboldleft"/>
              <w:jc w:val="right"/>
              <w:rPr>
                <w:b w:val="0"/>
                <w:sz w:val="19"/>
                <w:szCs w:val="19"/>
              </w:rPr>
            </w:pPr>
            <w:r w:rsidRPr="00DD1E22">
              <w:rPr>
                <w:b w:val="0"/>
                <w:sz w:val="19"/>
                <w:szCs w:val="19"/>
              </w:rPr>
              <w:t>15,206</w:t>
            </w:r>
          </w:p>
        </w:tc>
        <w:tc>
          <w:tcPr>
            <w:tcW w:w="1106" w:type="dxa"/>
            <w:vAlign w:val="bottom"/>
          </w:tcPr>
          <w:p w14:paraId="3771A4C8" w14:textId="77777777" w:rsidR="00B51828" w:rsidRPr="00DD1E22" w:rsidRDefault="00B51828" w:rsidP="002101D2">
            <w:pPr>
              <w:pStyle w:val="Tabletextboldleft"/>
              <w:jc w:val="right"/>
              <w:rPr>
                <w:b w:val="0"/>
                <w:sz w:val="19"/>
                <w:szCs w:val="19"/>
              </w:rPr>
            </w:pPr>
            <w:r w:rsidRPr="00DD1E22">
              <w:rPr>
                <w:b w:val="0"/>
                <w:sz w:val="19"/>
                <w:szCs w:val="19"/>
              </w:rPr>
              <w:t>17,076</w:t>
            </w:r>
          </w:p>
        </w:tc>
        <w:tc>
          <w:tcPr>
            <w:tcW w:w="1105" w:type="dxa"/>
            <w:vAlign w:val="bottom"/>
          </w:tcPr>
          <w:p w14:paraId="1DCB70EA" w14:textId="77777777" w:rsidR="00B51828" w:rsidRPr="00DD1E22" w:rsidRDefault="00B51828" w:rsidP="002101D2">
            <w:pPr>
              <w:pStyle w:val="Tabletextboldleft"/>
              <w:jc w:val="right"/>
              <w:rPr>
                <w:b w:val="0"/>
                <w:sz w:val="19"/>
                <w:szCs w:val="19"/>
              </w:rPr>
            </w:pPr>
            <w:r w:rsidRPr="00DD1E22">
              <w:rPr>
                <w:b w:val="0"/>
                <w:color w:val="000000"/>
                <w:sz w:val="19"/>
                <w:szCs w:val="19"/>
              </w:rPr>
              <w:t>17,252</w:t>
            </w:r>
          </w:p>
        </w:tc>
        <w:tc>
          <w:tcPr>
            <w:tcW w:w="1106" w:type="dxa"/>
            <w:vAlign w:val="bottom"/>
          </w:tcPr>
          <w:p w14:paraId="20B775D6" w14:textId="77777777" w:rsidR="00B51828" w:rsidRPr="00DD1E22" w:rsidRDefault="00B51828" w:rsidP="002101D2">
            <w:pPr>
              <w:pStyle w:val="Tabletextboldleft"/>
              <w:jc w:val="right"/>
              <w:rPr>
                <w:b w:val="0"/>
                <w:sz w:val="19"/>
                <w:szCs w:val="19"/>
              </w:rPr>
            </w:pPr>
            <w:r w:rsidRPr="00DD1E22">
              <w:rPr>
                <w:b w:val="0"/>
                <w:color w:val="000000"/>
                <w:sz w:val="19"/>
                <w:szCs w:val="19"/>
              </w:rPr>
              <w:t>18,218</w:t>
            </w:r>
          </w:p>
        </w:tc>
        <w:tc>
          <w:tcPr>
            <w:tcW w:w="1106" w:type="dxa"/>
            <w:vAlign w:val="bottom"/>
          </w:tcPr>
          <w:p w14:paraId="39304864" w14:textId="77777777" w:rsidR="00B51828" w:rsidRPr="00DD1E22" w:rsidRDefault="00B51828" w:rsidP="002101D2">
            <w:pPr>
              <w:pStyle w:val="Tabletextboldleft"/>
              <w:jc w:val="right"/>
              <w:rPr>
                <w:b w:val="0"/>
                <w:sz w:val="19"/>
                <w:szCs w:val="19"/>
              </w:rPr>
            </w:pPr>
            <w:r w:rsidRPr="00DD1E22">
              <w:rPr>
                <w:b w:val="0"/>
                <w:color w:val="000000"/>
                <w:sz w:val="19"/>
                <w:szCs w:val="19"/>
              </w:rPr>
              <w:t>19,185</w:t>
            </w:r>
          </w:p>
        </w:tc>
        <w:tc>
          <w:tcPr>
            <w:tcW w:w="1105" w:type="dxa"/>
            <w:vAlign w:val="bottom"/>
          </w:tcPr>
          <w:p w14:paraId="0C560045" w14:textId="77777777" w:rsidR="00B51828" w:rsidRPr="00DD1E22" w:rsidRDefault="00B51828" w:rsidP="002101D2">
            <w:pPr>
              <w:pStyle w:val="Tabletextboldleft"/>
              <w:jc w:val="right"/>
              <w:rPr>
                <w:b w:val="0"/>
                <w:sz w:val="19"/>
                <w:szCs w:val="19"/>
              </w:rPr>
            </w:pPr>
            <w:r w:rsidRPr="00DD1E22">
              <w:rPr>
                <w:b w:val="0"/>
                <w:color w:val="000000"/>
                <w:sz w:val="19"/>
                <w:szCs w:val="19"/>
              </w:rPr>
              <w:t>20,151</w:t>
            </w:r>
          </w:p>
        </w:tc>
        <w:tc>
          <w:tcPr>
            <w:tcW w:w="1106" w:type="dxa"/>
            <w:vAlign w:val="bottom"/>
          </w:tcPr>
          <w:p w14:paraId="5A5505AC" w14:textId="77777777" w:rsidR="00B51828" w:rsidRPr="00DD1E22" w:rsidRDefault="00B51828" w:rsidP="002101D2">
            <w:pPr>
              <w:pStyle w:val="Tabletextboldleft"/>
              <w:jc w:val="right"/>
              <w:rPr>
                <w:b w:val="0"/>
                <w:sz w:val="19"/>
                <w:szCs w:val="19"/>
              </w:rPr>
            </w:pPr>
            <w:r w:rsidRPr="00DD1E22">
              <w:rPr>
                <w:b w:val="0"/>
                <w:color w:val="000000"/>
                <w:sz w:val="19"/>
                <w:szCs w:val="19"/>
              </w:rPr>
              <w:t>21,118</w:t>
            </w:r>
          </w:p>
        </w:tc>
        <w:tc>
          <w:tcPr>
            <w:tcW w:w="1106" w:type="dxa"/>
            <w:vAlign w:val="bottom"/>
          </w:tcPr>
          <w:p w14:paraId="0AC77094" w14:textId="77777777" w:rsidR="00B51828" w:rsidRPr="00DD1E22" w:rsidRDefault="00B51828" w:rsidP="002101D2">
            <w:pPr>
              <w:pStyle w:val="Tabletextboldleft"/>
              <w:jc w:val="right"/>
              <w:rPr>
                <w:b w:val="0"/>
                <w:sz w:val="19"/>
                <w:szCs w:val="19"/>
              </w:rPr>
            </w:pPr>
            <w:r w:rsidRPr="00DD1E22">
              <w:rPr>
                <w:b w:val="0"/>
                <w:color w:val="000000"/>
                <w:sz w:val="19"/>
                <w:szCs w:val="19"/>
              </w:rPr>
              <w:t>22,084</w:t>
            </w:r>
          </w:p>
        </w:tc>
        <w:tc>
          <w:tcPr>
            <w:tcW w:w="1106" w:type="dxa"/>
            <w:vAlign w:val="bottom"/>
          </w:tcPr>
          <w:p w14:paraId="2036901F" w14:textId="77777777" w:rsidR="00B51828" w:rsidRPr="00DD1E22" w:rsidRDefault="00B51828" w:rsidP="002101D2">
            <w:pPr>
              <w:pStyle w:val="Tabletextboldleft"/>
              <w:jc w:val="right"/>
              <w:rPr>
                <w:b w:val="0"/>
                <w:sz w:val="19"/>
                <w:szCs w:val="19"/>
              </w:rPr>
            </w:pPr>
            <w:r w:rsidRPr="00DD1E22">
              <w:rPr>
                <w:b w:val="0"/>
                <w:color w:val="000000"/>
                <w:sz w:val="19"/>
                <w:szCs w:val="19"/>
              </w:rPr>
              <w:t>23,051</w:t>
            </w:r>
          </w:p>
        </w:tc>
      </w:tr>
      <w:tr w:rsidR="00B51828" w14:paraId="7A3055E1" w14:textId="77777777" w:rsidTr="00E61184">
        <w:trPr>
          <w:trHeight w:val="84"/>
        </w:trPr>
        <w:tc>
          <w:tcPr>
            <w:tcW w:w="2835" w:type="dxa"/>
            <w:vAlign w:val="bottom"/>
          </w:tcPr>
          <w:p w14:paraId="07092833" w14:textId="77777777" w:rsidR="00B51828" w:rsidRPr="00DD1E22" w:rsidRDefault="00B51828" w:rsidP="002101D2">
            <w:pPr>
              <w:pStyle w:val="Tabletextboldleft"/>
              <w:ind w:firstLine="317"/>
              <w:rPr>
                <w:b w:val="0"/>
                <w:sz w:val="19"/>
                <w:szCs w:val="19"/>
              </w:rPr>
            </w:pPr>
            <w:r w:rsidRPr="00DD1E22">
              <w:rPr>
                <w:b w:val="0"/>
                <w:sz w:val="19"/>
                <w:szCs w:val="19"/>
              </w:rPr>
              <w:t>MBS item 72823</w:t>
            </w:r>
          </w:p>
        </w:tc>
        <w:tc>
          <w:tcPr>
            <w:tcW w:w="1105" w:type="dxa"/>
            <w:vAlign w:val="bottom"/>
          </w:tcPr>
          <w:p w14:paraId="0557CEC6" w14:textId="77777777" w:rsidR="00B51828" w:rsidRPr="00DD1E22" w:rsidRDefault="00B51828" w:rsidP="002101D2">
            <w:pPr>
              <w:pStyle w:val="Tabletextboldleft"/>
              <w:jc w:val="right"/>
              <w:rPr>
                <w:b w:val="0"/>
                <w:sz w:val="19"/>
                <w:szCs w:val="19"/>
              </w:rPr>
            </w:pPr>
            <w:r w:rsidRPr="00DD1E22">
              <w:rPr>
                <w:b w:val="0"/>
                <w:color w:val="000000"/>
                <w:sz w:val="19"/>
                <w:szCs w:val="19"/>
              </w:rPr>
              <w:t>579,280</w:t>
            </w:r>
          </w:p>
        </w:tc>
        <w:tc>
          <w:tcPr>
            <w:tcW w:w="1106" w:type="dxa"/>
            <w:vAlign w:val="bottom"/>
          </w:tcPr>
          <w:p w14:paraId="14A435C8" w14:textId="77777777" w:rsidR="00B51828" w:rsidRPr="00DD1E22" w:rsidRDefault="00B51828" w:rsidP="002101D2">
            <w:pPr>
              <w:pStyle w:val="Tabletextboldleft"/>
              <w:jc w:val="right"/>
              <w:rPr>
                <w:b w:val="0"/>
                <w:sz w:val="19"/>
                <w:szCs w:val="19"/>
              </w:rPr>
            </w:pPr>
            <w:r w:rsidRPr="00DD1E22">
              <w:rPr>
                <w:b w:val="0"/>
                <w:color w:val="000000"/>
                <w:sz w:val="19"/>
                <w:szCs w:val="19"/>
              </w:rPr>
              <w:t>599,118</w:t>
            </w:r>
          </w:p>
        </w:tc>
        <w:tc>
          <w:tcPr>
            <w:tcW w:w="1106" w:type="dxa"/>
            <w:vAlign w:val="bottom"/>
          </w:tcPr>
          <w:p w14:paraId="7AB007CE" w14:textId="77777777" w:rsidR="00B51828" w:rsidRPr="00DD1E22" w:rsidRDefault="00B51828" w:rsidP="002101D2">
            <w:pPr>
              <w:pStyle w:val="Tabletextboldleft"/>
              <w:jc w:val="right"/>
              <w:rPr>
                <w:b w:val="0"/>
                <w:sz w:val="19"/>
                <w:szCs w:val="19"/>
              </w:rPr>
            </w:pPr>
            <w:r w:rsidRPr="00DD1E22">
              <w:rPr>
                <w:b w:val="0"/>
                <w:color w:val="000000"/>
                <w:sz w:val="19"/>
                <w:szCs w:val="19"/>
              </w:rPr>
              <w:t>633,867</w:t>
            </w:r>
          </w:p>
        </w:tc>
        <w:tc>
          <w:tcPr>
            <w:tcW w:w="1105" w:type="dxa"/>
            <w:vAlign w:val="bottom"/>
          </w:tcPr>
          <w:p w14:paraId="4E2854FC" w14:textId="77777777" w:rsidR="00B51828" w:rsidRPr="00DD1E22" w:rsidRDefault="00B51828" w:rsidP="002101D2">
            <w:pPr>
              <w:pStyle w:val="Tabletextboldleft"/>
              <w:jc w:val="right"/>
              <w:rPr>
                <w:b w:val="0"/>
                <w:sz w:val="19"/>
                <w:szCs w:val="19"/>
              </w:rPr>
            </w:pPr>
            <w:r w:rsidRPr="00DD1E22">
              <w:rPr>
                <w:b w:val="0"/>
                <w:color w:val="000000"/>
                <w:sz w:val="19"/>
                <w:szCs w:val="19"/>
              </w:rPr>
              <w:t>669,302</w:t>
            </w:r>
          </w:p>
        </w:tc>
        <w:tc>
          <w:tcPr>
            <w:tcW w:w="1106" w:type="dxa"/>
            <w:vAlign w:val="bottom"/>
          </w:tcPr>
          <w:p w14:paraId="7C5117CB" w14:textId="77777777" w:rsidR="00B51828" w:rsidRPr="00DD1E22" w:rsidRDefault="00B51828" w:rsidP="002101D2">
            <w:pPr>
              <w:pStyle w:val="Tabletextboldleft"/>
              <w:jc w:val="right"/>
              <w:rPr>
                <w:b w:val="0"/>
                <w:sz w:val="19"/>
                <w:szCs w:val="19"/>
              </w:rPr>
            </w:pPr>
            <w:r w:rsidRPr="00DD1E22">
              <w:rPr>
                <w:b w:val="0"/>
                <w:color w:val="000000"/>
                <w:sz w:val="19"/>
                <w:szCs w:val="19"/>
              </w:rPr>
              <w:t>703,132</w:t>
            </w:r>
          </w:p>
        </w:tc>
        <w:tc>
          <w:tcPr>
            <w:tcW w:w="1106" w:type="dxa"/>
            <w:vAlign w:val="bottom"/>
          </w:tcPr>
          <w:p w14:paraId="4E0AB531" w14:textId="77777777" w:rsidR="00B51828" w:rsidRPr="00DD1E22" w:rsidRDefault="00B51828" w:rsidP="002101D2">
            <w:pPr>
              <w:pStyle w:val="Tabletextboldleft"/>
              <w:jc w:val="right"/>
              <w:rPr>
                <w:b w:val="0"/>
                <w:sz w:val="19"/>
                <w:szCs w:val="19"/>
              </w:rPr>
            </w:pPr>
            <w:r w:rsidRPr="00DD1E22">
              <w:rPr>
                <w:b w:val="0"/>
                <w:color w:val="000000"/>
                <w:sz w:val="19"/>
                <w:szCs w:val="19"/>
              </w:rPr>
              <w:t>736,962</w:t>
            </w:r>
          </w:p>
        </w:tc>
        <w:tc>
          <w:tcPr>
            <w:tcW w:w="1105" w:type="dxa"/>
            <w:vAlign w:val="bottom"/>
          </w:tcPr>
          <w:p w14:paraId="0BD5E8C1" w14:textId="77777777" w:rsidR="00B51828" w:rsidRPr="00DD1E22" w:rsidRDefault="00B51828" w:rsidP="002101D2">
            <w:pPr>
              <w:pStyle w:val="Tabletextboldleft"/>
              <w:jc w:val="right"/>
              <w:rPr>
                <w:b w:val="0"/>
                <w:sz w:val="19"/>
                <w:szCs w:val="19"/>
              </w:rPr>
            </w:pPr>
            <w:r w:rsidRPr="00DD1E22">
              <w:rPr>
                <w:b w:val="0"/>
                <w:color w:val="000000"/>
                <w:sz w:val="19"/>
                <w:szCs w:val="19"/>
              </w:rPr>
              <w:t>770,792</w:t>
            </w:r>
          </w:p>
        </w:tc>
        <w:tc>
          <w:tcPr>
            <w:tcW w:w="1106" w:type="dxa"/>
            <w:vAlign w:val="bottom"/>
          </w:tcPr>
          <w:p w14:paraId="284EE053" w14:textId="77777777" w:rsidR="00B51828" w:rsidRPr="00DD1E22" w:rsidRDefault="00B51828" w:rsidP="002101D2">
            <w:pPr>
              <w:pStyle w:val="Tabletextboldleft"/>
              <w:jc w:val="right"/>
              <w:rPr>
                <w:b w:val="0"/>
                <w:sz w:val="19"/>
                <w:szCs w:val="19"/>
              </w:rPr>
            </w:pPr>
            <w:r w:rsidRPr="00DD1E22">
              <w:rPr>
                <w:b w:val="0"/>
                <w:color w:val="000000"/>
                <w:sz w:val="19"/>
                <w:szCs w:val="19"/>
              </w:rPr>
              <w:t>804,623</w:t>
            </w:r>
          </w:p>
        </w:tc>
        <w:tc>
          <w:tcPr>
            <w:tcW w:w="1106" w:type="dxa"/>
            <w:vAlign w:val="bottom"/>
          </w:tcPr>
          <w:p w14:paraId="75008A12" w14:textId="77777777" w:rsidR="00B51828" w:rsidRPr="00DD1E22" w:rsidRDefault="00B51828" w:rsidP="002101D2">
            <w:pPr>
              <w:pStyle w:val="Tabletextboldleft"/>
              <w:jc w:val="right"/>
              <w:rPr>
                <w:b w:val="0"/>
                <w:sz w:val="19"/>
                <w:szCs w:val="19"/>
              </w:rPr>
            </w:pPr>
            <w:r w:rsidRPr="00DD1E22">
              <w:rPr>
                <w:b w:val="0"/>
                <w:color w:val="000000"/>
                <w:sz w:val="19"/>
                <w:szCs w:val="19"/>
              </w:rPr>
              <w:t>838,453</w:t>
            </w:r>
          </w:p>
        </w:tc>
        <w:tc>
          <w:tcPr>
            <w:tcW w:w="1106" w:type="dxa"/>
            <w:vAlign w:val="bottom"/>
          </w:tcPr>
          <w:p w14:paraId="30BDBE0A" w14:textId="77777777" w:rsidR="00B51828" w:rsidRPr="00DD1E22" w:rsidRDefault="00B51828" w:rsidP="002101D2">
            <w:pPr>
              <w:pStyle w:val="Tabletextboldleft"/>
              <w:jc w:val="right"/>
              <w:rPr>
                <w:b w:val="0"/>
                <w:sz w:val="19"/>
                <w:szCs w:val="19"/>
              </w:rPr>
            </w:pPr>
            <w:r w:rsidRPr="00DD1E22">
              <w:rPr>
                <w:b w:val="0"/>
                <w:color w:val="000000"/>
                <w:sz w:val="19"/>
                <w:szCs w:val="19"/>
              </w:rPr>
              <w:t>872,283</w:t>
            </w:r>
          </w:p>
        </w:tc>
      </w:tr>
      <w:tr w:rsidR="00B51828" w14:paraId="027BF982" w14:textId="77777777" w:rsidTr="00E61184">
        <w:trPr>
          <w:trHeight w:val="84"/>
        </w:trPr>
        <w:tc>
          <w:tcPr>
            <w:tcW w:w="2835" w:type="dxa"/>
            <w:vAlign w:val="bottom"/>
          </w:tcPr>
          <w:p w14:paraId="2B5B872F" w14:textId="77777777" w:rsidR="00B51828" w:rsidRPr="00DD1E22" w:rsidRDefault="00B51828" w:rsidP="002101D2">
            <w:pPr>
              <w:pStyle w:val="Tabletextboldleft"/>
              <w:ind w:firstLine="317"/>
              <w:rPr>
                <w:b w:val="0"/>
                <w:sz w:val="19"/>
                <w:szCs w:val="19"/>
              </w:rPr>
            </w:pPr>
            <w:r w:rsidRPr="00DD1E22">
              <w:rPr>
                <w:b w:val="0"/>
                <w:sz w:val="19"/>
                <w:szCs w:val="19"/>
              </w:rPr>
              <w:t>MBS item 72824</w:t>
            </w:r>
          </w:p>
        </w:tc>
        <w:tc>
          <w:tcPr>
            <w:tcW w:w="1105" w:type="dxa"/>
            <w:vAlign w:val="bottom"/>
          </w:tcPr>
          <w:p w14:paraId="715DE605" w14:textId="77777777" w:rsidR="00B51828" w:rsidRPr="00DD1E22" w:rsidRDefault="00B51828" w:rsidP="002101D2">
            <w:pPr>
              <w:pStyle w:val="Tabletextboldleft"/>
              <w:jc w:val="right"/>
              <w:rPr>
                <w:b w:val="0"/>
                <w:sz w:val="19"/>
                <w:szCs w:val="19"/>
              </w:rPr>
            </w:pPr>
            <w:r w:rsidRPr="00DD1E22">
              <w:rPr>
                <w:b w:val="0"/>
                <w:color w:val="000000"/>
                <w:sz w:val="19"/>
                <w:szCs w:val="19"/>
              </w:rPr>
              <w:t>315,683</w:t>
            </w:r>
          </w:p>
        </w:tc>
        <w:tc>
          <w:tcPr>
            <w:tcW w:w="1106" w:type="dxa"/>
            <w:vAlign w:val="bottom"/>
          </w:tcPr>
          <w:p w14:paraId="3A4E46C0" w14:textId="77777777" w:rsidR="00B51828" w:rsidRPr="00DD1E22" w:rsidRDefault="00B51828" w:rsidP="002101D2">
            <w:pPr>
              <w:pStyle w:val="Tabletextboldleft"/>
              <w:jc w:val="right"/>
              <w:rPr>
                <w:b w:val="0"/>
                <w:sz w:val="19"/>
                <w:szCs w:val="19"/>
              </w:rPr>
            </w:pPr>
            <w:r w:rsidRPr="00DD1E22">
              <w:rPr>
                <w:b w:val="0"/>
                <w:color w:val="000000"/>
                <w:sz w:val="19"/>
                <w:szCs w:val="19"/>
              </w:rPr>
              <w:t>330,324</w:t>
            </w:r>
          </w:p>
        </w:tc>
        <w:tc>
          <w:tcPr>
            <w:tcW w:w="1106" w:type="dxa"/>
            <w:vAlign w:val="bottom"/>
          </w:tcPr>
          <w:p w14:paraId="67FD142E" w14:textId="77777777" w:rsidR="00B51828" w:rsidRPr="00DD1E22" w:rsidRDefault="00B51828" w:rsidP="002101D2">
            <w:pPr>
              <w:pStyle w:val="Tabletextboldleft"/>
              <w:jc w:val="right"/>
              <w:rPr>
                <w:b w:val="0"/>
                <w:sz w:val="19"/>
                <w:szCs w:val="19"/>
              </w:rPr>
            </w:pPr>
            <w:r w:rsidRPr="00DD1E22">
              <w:rPr>
                <w:b w:val="0"/>
                <w:color w:val="000000"/>
                <w:sz w:val="19"/>
                <w:szCs w:val="19"/>
              </w:rPr>
              <w:t>356,323</w:t>
            </w:r>
          </w:p>
        </w:tc>
        <w:tc>
          <w:tcPr>
            <w:tcW w:w="1105" w:type="dxa"/>
            <w:vAlign w:val="bottom"/>
          </w:tcPr>
          <w:p w14:paraId="72FC2025" w14:textId="77777777" w:rsidR="00B51828" w:rsidRPr="00DD1E22" w:rsidRDefault="00B51828" w:rsidP="002101D2">
            <w:pPr>
              <w:pStyle w:val="Tabletextboldleft"/>
              <w:jc w:val="right"/>
              <w:rPr>
                <w:b w:val="0"/>
                <w:sz w:val="19"/>
                <w:szCs w:val="19"/>
              </w:rPr>
            </w:pPr>
            <w:r w:rsidRPr="00DD1E22">
              <w:rPr>
                <w:b w:val="0"/>
                <w:color w:val="000000"/>
                <w:sz w:val="19"/>
                <w:szCs w:val="19"/>
              </w:rPr>
              <w:t>382,450</w:t>
            </w:r>
          </w:p>
        </w:tc>
        <w:tc>
          <w:tcPr>
            <w:tcW w:w="1106" w:type="dxa"/>
            <w:vAlign w:val="bottom"/>
          </w:tcPr>
          <w:p w14:paraId="4D6A19CF" w14:textId="77777777" w:rsidR="00B51828" w:rsidRPr="00DD1E22" w:rsidRDefault="00B51828" w:rsidP="002101D2">
            <w:pPr>
              <w:pStyle w:val="Tabletextboldleft"/>
              <w:jc w:val="right"/>
              <w:rPr>
                <w:b w:val="0"/>
                <w:sz w:val="19"/>
                <w:szCs w:val="19"/>
              </w:rPr>
            </w:pPr>
            <w:r w:rsidRPr="00DD1E22">
              <w:rPr>
                <w:b w:val="0"/>
                <w:color w:val="000000"/>
                <w:sz w:val="19"/>
                <w:szCs w:val="19"/>
              </w:rPr>
              <w:t>407,461</w:t>
            </w:r>
          </w:p>
        </w:tc>
        <w:tc>
          <w:tcPr>
            <w:tcW w:w="1106" w:type="dxa"/>
            <w:vAlign w:val="bottom"/>
          </w:tcPr>
          <w:p w14:paraId="7A6D0977" w14:textId="77777777" w:rsidR="00B51828" w:rsidRPr="00DD1E22" w:rsidRDefault="00B51828" w:rsidP="002101D2">
            <w:pPr>
              <w:pStyle w:val="Tabletextboldleft"/>
              <w:jc w:val="right"/>
              <w:rPr>
                <w:b w:val="0"/>
                <w:sz w:val="19"/>
                <w:szCs w:val="19"/>
              </w:rPr>
            </w:pPr>
            <w:r w:rsidRPr="00DD1E22">
              <w:rPr>
                <w:b w:val="0"/>
                <w:color w:val="000000"/>
                <w:sz w:val="19"/>
                <w:szCs w:val="19"/>
              </w:rPr>
              <w:t>432,471</w:t>
            </w:r>
          </w:p>
        </w:tc>
        <w:tc>
          <w:tcPr>
            <w:tcW w:w="1105" w:type="dxa"/>
            <w:vAlign w:val="bottom"/>
          </w:tcPr>
          <w:p w14:paraId="44111051" w14:textId="77777777" w:rsidR="00B51828" w:rsidRPr="00DD1E22" w:rsidRDefault="00B51828" w:rsidP="002101D2">
            <w:pPr>
              <w:pStyle w:val="Tabletextboldleft"/>
              <w:jc w:val="right"/>
              <w:rPr>
                <w:b w:val="0"/>
                <w:sz w:val="19"/>
                <w:szCs w:val="19"/>
              </w:rPr>
            </w:pPr>
            <w:r w:rsidRPr="00DD1E22">
              <w:rPr>
                <w:b w:val="0"/>
                <w:color w:val="000000"/>
                <w:sz w:val="19"/>
                <w:szCs w:val="19"/>
              </w:rPr>
              <w:t>457,482</w:t>
            </w:r>
          </w:p>
        </w:tc>
        <w:tc>
          <w:tcPr>
            <w:tcW w:w="1106" w:type="dxa"/>
            <w:vAlign w:val="bottom"/>
          </w:tcPr>
          <w:p w14:paraId="5DABD774" w14:textId="77777777" w:rsidR="00B51828" w:rsidRPr="00DD1E22" w:rsidRDefault="00B51828" w:rsidP="002101D2">
            <w:pPr>
              <w:pStyle w:val="Tabletextboldleft"/>
              <w:jc w:val="right"/>
              <w:rPr>
                <w:b w:val="0"/>
                <w:sz w:val="19"/>
                <w:szCs w:val="19"/>
              </w:rPr>
            </w:pPr>
            <w:r w:rsidRPr="00DD1E22">
              <w:rPr>
                <w:b w:val="0"/>
                <w:color w:val="000000"/>
                <w:sz w:val="19"/>
                <w:szCs w:val="19"/>
              </w:rPr>
              <w:t>482,492</w:t>
            </w:r>
          </w:p>
        </w:tc>
        <w:tc>
          <w:tcPr>
            <w:tcW w:w="1106" w:type="dxa"/>
            <w:vAlign w:val="bottom"/>
          </w:tcPr>
          <w:p w14:paraId="247569CA" w14:textId="77777777" w:rsidR="00B51828" w:rsidRPr="00DD1E22" w:rsidRDefault="00B51828" w:rsidP="002101D2">
            <w:pPr>
              <w:pStyle w:val="Tabletextboldleft"/>
              <w:jc w:val="right"/>
              <w:rPr>
                <w:b w:val="0"/>
                <w:sz w:val="19"/>
                <w:szCs w:val="19"/>
              </w:rPr>
            </w:pPr>
            <w:r w:rsidRPr="00DD1E22">
              <w:rPr>
                <w:b w:val="0"/>
                <w:color w:val="000000"/>
                <w:sz w:val="19"/>
                <w:szCs w:val="19"/>
              </w:rPr>
              <w:t>507,502</w:t>
            </w:r>
          </w:p>
        </w:tc>
        <w:tc>
          <w:tcPr>
            <w:tcW w:w="1106" w:type="dxa"/>
            <w:vAlign w:val="bottom"/>
          </w:tcPr>
          <w:p w14:paraId="47682C65" w14:textId="77777777" w:rsidR="00B51828" w:rsidRPr="00DD1E22" w:rsidRDefault="00B51828" w:rsidP="002101D2">
            <w:pPr>
              <w:pStyle w:val="Tabletextboldleft"/>
              <w:jc w:val="right"/>
              <w:rPr>
                <w:b w:val="0"/>
                <w:sz w:val="19"/>
                <w:szCs w:val="19"/>
              </w:rPr>
            </w:pPr>
            <w:r w:rsidRPr="00DD1E22">
              <w:rPr>
                <w:b w:val="0"/>
                <w:color w:val="000000"/>
                <w:sz w:val="19"/>
                <w:szCs w:val="19"/>
              </w:rPr>
              <w:t>532,513</w:t>
            </w:r>
          </w:p>
        </w:tc>
      </w:tr>
      <w:tr w:rsidR="00B51828" w14:paraId="23A772BE" w14:textId="77777777" w:rsidTr="00E61184">
        <w:trPr>
          <w:trHeight w:val="84"/>
        </w:trPr>
        <w:tc>
          <w:tcPr>
            <w:tcW w:w="2835" w:type="dxa"/>
            <w:vAlign w:val="bottom"/>
          </w:tcPr>
          <w:p w14:paraId="691FA965" w14:textId="77777777" w:rsidR="00B51828" w:rsidRPr="00DD1E22" w:rsidRDefault="00B51828" w:rsidP="002101D2">
            <w:pPr>
              <w:pStyle w:val="Tabletextboldleft"/>
              <w:ind w:firstLine="317"/>
              <w:rPr>
                <w:b w:val="0"/>
                <w:sz w:val="19"/>
                <w:szCs w:val="19"/>
              </w:rPr>
            </w:pPr>
            <w:r w:rsidRPr="00DD1E22">
              <w:rPr>
                <w:b w:val="0"/>
                <w:sz w:val="19"/>
                <w:szCs w:val="19"/>
              </w:rPr>
              <w:t>MBS item 72825</w:t>
            </w:r>
          </w:p>
        </w:tc>
        <w:tc>
          <w:tcPr>
            <w:tcW w:w="1105" w:type="dxa"/>
            <w:vAlign w:val="bottom"/>
          </w:tcPr>
          <w:p w14:paraId="7EB2783C" w14:textId="77777777" w:rsidR="00B51828" w:rsidRPr="00DD1E22" w:rsidRDefault="00B51828" w:rsidP="002101D2">
            <w:pPr>
              <w:pStyle w:val="Tabletextboldleft"/>
              <w:jc w:val="right"/>
              <w:rPr>
                <w:b w:val="0"/>
                <w:sz w:val="19"/>
                <w:szCs w:val="19"/>
              </w:rPr>
            </w:pPr>
            <w:r w:rsidRPr="00DD1E22">
              <w:rPr>
                <w:b w:val="0"/>
                <w:sz w:val="19"/>
                <w:szCs w:val="19"/>
              </w:rPr>
              <w:t>46,208</w:t>
            </w:r>
          </w:p>
        </w:tc>
        <w:tc>
          <w:tcPr>
            <w:tcW w:w="1106" w:type="dxa"/>
            <w:vAlign w:val="bottom"/>
          </w:tcPr>
          <w:p w14:paraId="1FBB7FE6" w14:textId="77777777" w:rsidR="00B51828" w:rsidRPr="00DD1E22" w:rsidRDefault="00B51828" w:rsidP="002101D2">
            <w:pPr>
              <w:pStyle w:val="Tabletextboldleft"/>
              <w:jc w:val="right"/>
              <w:rPr>
                <w:b w:val="0"/>
                <w:sz w:val="19"/>
                <w:szCs w:val="19"/>
              </w:rPr>
            </w:pPr>
            <w:r w:rsidRPr="00DD1E22">
              <w:rPr>
                <w:b w:val="0"/>
                <w:sz w:val="19"/>
                <w:szCs w:val="19"/>
              </w:rPr>
              <w:t>51,495</w:t>
            </w:r>
          </w:p>
        </w:tc>
        <w:tc>
          <w:tcPr>
            <w:tcW w:w="1106" w:type="dxa"/>
            <w:vAlign w:val="bottom"/>
          </w:tcPr>
          <w:p w14:paraId="772655D2" w14:textId="77777777" w:rsidR="00B51828" w:rsidRPr="00DD1E22" w:rsidRDefault="00B51828" w:rsidP="002101D2">
            <w:pPr>
              <w:pStyle w:val="Tabletextboldleft"/>
              <w:jc w:val="right"/>
              <w:rPr>
                <w:b w:val="0"/>
                <w:sz w:val="19"/>
                <w:szCs w:val="19"/>
              </w:rPr>
            </w:pPr>
            <w:r w:rsidRPr="00DD1E22">
              <w:rPr>
                <w:b w:val="0"/>
                <w:sz w:val="19"/>
                <w:szCs w:val="19"/>
              </w:rPr>
              <w:t>56,333</w:t>
            </w:r>
          </w:p>
        </w:tc>
        <w:tc>
          <w:tcPr>
            <w:tcW w:w="1105" w:type="dxa"/>
            <w:vAlign w:val="bottom"/>
          </w:tcPr>
          <w:p w14:paraId="14B74D22" w14:textId="77777777" w:rsidR="00B51828" w:rsidRPr="00DD1E22" w:rsidRDefault="00B51828" w:rsidP="002101D2">
            <w:pPr>
              <w:pStyle w:val="Tabletextboldleft"/>
              <w:jc w:val="right"/>
              <w:rPr>
                <w:b w:val="0"/>
                <w:sz w:val="19"/>
                <w:szCs w:val="19"/>
              </w:rPr>
            </w:pPr>
            <w:r w:rsidRPr="00DD1E22">
              <w:rPr>
                <w:b w:val="0"/>
                <w:color w:val="000000"/>
                <w:sz w:val="19"/>
                <w:szCs w:val="19"/>
              </w:rPr>
              <w:t>60,163</w:t>
            </w:r>
          </w:p>
        </w:tc>
        <w:tc>
          <w:tcPr>
            <w:tcW w:w="1106" w:type="dxa"/>
            <w:vAlign w:val="bottom"/>
          </w:tcPr>
          <w:p w14:paraId="5716BDEF" w14:textId="77777777" w:rsidR="00B51828" w:rsidRPr="00DD1E22" w:rsidRDefault="00B51828" w:rsidP="002101D2">
            <w:pPr>
              <w:pStyle w:val="Tabletextboldleft"/>
              <w:jc w:val="right"/>
              <w:rPr>
                <w:b w:val="0"/>
                <w:sz w:val="19"/>
                <w:szCs w:val="19"/>
              </w:rPr>
            </w:pPr>
            <w:r w:rsidRPr="00DD1E22">
              <w:rPr>
                <w:b w:val="0"/>
                <w:color w:val="000000"/>
                <w:sz w:val="19"/>
                <w:szCs w:val="19"/>
              </w:rPr>
              <w:t>64,498</w:t>
            </w:r>
          </w:p>
        </w:tc>
        <w:tc>
          <w:tcPr>
            <w:tcW w:w="1106" w:type="dxa"/>
            <w:vAlign w:val="bottom"/>
          </w:tcPr>
          <w:p w14:paraId="1E815696" w14:textId="77777777" w:rsidR="00B51828" w:rsidRPr="00DD1E22" w:rsidRDefault="00B51828" w:rsidP="002101D2">
            <w:pPr>
              <w:pStyle w:val="Tabletextboldleft"/>
              <w:jc w:val="right"/>
              <w:rPr>
                <w:b w:val="0"/>
                <w:sz w:val="19"/>
                <w:szCs w:val="19"/>
              </w:rPr>
            </w:pPr>
            <w:r w:rsidRPr="00DD1E22">
              <w:rPr>
                <w:b w:val="0"/>
                <w:color w:val="000000"/>
                <w:sz w:val="19"/>
                <w:szCs w:val="19"/>
              </w:rPr>
              <w:t>68,833</w:t>
            </w:r>
          </w:p>
        </w:tc>
        <w:tc>
          <w:tcPr>
            <w:tcW w:w="1105" w:type="dxa"/>
            <w:vAlign w:val="bottom"/>
          </w:tcPr>
          <w:p w14:paraId="62E38D62" w14:textId="77777777" w:rsidR="00B51828" w:rsidRPr="00DD1E22" w:rsidRDefault="00B51828" w:rsidP="002101D2">
            <w:pPr>
              <w:pStyle w:val="Tabletextboldleft"/>
              <w:jc w:val="right"/>
              <w:rPr>
                <w:b w:val="0"/>
                <w:sz w:val="19"/>
                <w:szCs w:val="19"/>
              </w:rPr>
            </w:pPr>
            <w:r w:rsidRPr="00DD1E22">
              <w:rPr>
                <w:b w:val="0"/>
                <w:color w:val="000000"/>
                <w:sz w:val="19"/>
                <w:szCs w:val="19"/>
              </w:rPr>
              <w:t>73,168</w:t>
            </w:r>
          </w:p>
        </w:tc>
        <w:tc>
          <w:tcPr>
            <w:tcW w:w="1106" w:type="dxa"/>
            <w:vAlign w:val="bottom"/>
          </w:tcPr>
          <w:p w14:paraId="4EB3E116" w14:textId="77777777" w:rsidR="00B51828" w:rsidRPr="00DD1E22" w:rsidRDefault="00B51828" w:rsidP="002101D2">
            <w:pPr>
              <w:pStyle w:val="Tabletextboldleft"/>
              <w:jc w:val="right"/>
              <w:rPr>
                <w:b w:val="0"/>
                <w:sz w:val="19"/>
                <w:szCs w:val="19"/>
              </w:rPr>
            </w:pPr>
            <w:r w:rsidRPr="00DD1E22">
              <w:rPr>
                <w:b w:val="0"/>
                <w:color w:val="000000"/>
                <w:sz w:val="19"/>
                <w:szCs w:val="19"/>
              </w:rPr>
              <w:t>77,503</w:t>
            </w:r>
          </w:p>
        </w:tc>
        <w:tc>
          <w:tcPr>
            <w:tcW w:w="1106" w:type="dxa"/>
            <w:vAlign w:val="bottom"/>
          </w:tcPr>
          <w:p w14:paraId="65CEE5D4" w14:textId="77777777" w:rsidR="00B51828" w:rsidRPr="00DD1E22" w:rsidRDefault="00B51828" w:rsidP="002101D2">
            <w:pPr>
              <w:pStyle w:val="Tabletextboldleft"/>
              <w:jc w:val="right"/>
              <w:rPr>
                <w:b w:val="0"/>
                <w:sz w:val="19"/>
                <w:szCs w:val="19"/>
              </w:rPr>
            </w:pPr>
            <w:r w:rsidRPr="00DD1E22">
              <w:rPr>
                <w:b w:val="0"/>
                <w:color w:val="000000"/>
                <w:sz w:val="19"/>
                <w:szCs w:val="19"/>
              </w:rPr>
              <w:t>81,838</w:t>
            </w:r>
          </w:p>
        </w:tc>
        <w:tc>
          <w:tcPr>
            <w:tcW w:w="1106" w:type="dxa"/>
            <w:vAlign w:val="bottom"/>
          </w:tcPr>
          <w:p w14:paraId="4D53D1E1" w14:textId="77777777" w:rsidR="00B51828" w:rsidRPr="00DD1E22" w:rsidRDefault="00B51828" w:rsidP="002101D2">
            <w:pPr>
              <w:pStyle w:val="Tabletextboldleft"/>
              <w:jc w:val="right"/>
              <w:rPr>
                <w:b w:val="0"/>
                <w:sz w:val="19"/>
                <w:szCs w:val="19"/>
              </w:rPr>
            </w:pPr>
            <w:r w:rsidRPr="00DD1E22">
              <w:rPr>
                <w:b w:val="0"/>
                <w:color w:val="000000"/>
                <w:sz w:val="19"/>
                <w:szCs w:val="19"/>
              </w:rPr>
              <w:t>86,173</w:t>
            </w:r>
          </w:p>
        </w:tc>
      </w:tr>
      <w:tr w:rsidR="00B51828" w14:paraId="10354DDE" w14:textId="77777777" w:rsidTr="00E61184">
        <w:trPr>
          <w:trHeight w:val="84"/>
        </w:trPr>
        <w:tc>
          <w:tcPr>
            <w:tcW w:w="2835" w:type="dxa"/>
            <w:vAlign w:val="bottom"/>
          </w:tcPr>
          <w:p w14:paraId="69E999DE" w14:textId="77777777" w:rsidR="00B51828" w:rsidRPr="00DD1E22" w:rsidRDefault="00B51828" w:rsidP="002101D2">
            <w:pPr>
              <w:pStyle w:val="Tabletextboldleft"/>
              <w:ind w:firstLine="317"/>
              <w:rPr>
                <w:b w:val="0"/>
                <w:sz w:val="19"/>
                <w:szCs w:val="19"/>
              </w:rPr>
            </w:pPr>
            <w:r w:rsidRPr="00DD1E22">
              <w:rPr>
                <w:b w:val="0"/>
                <w:sz w:val="19"/>
                <w:szCs w:val="19"/>
              </w:rPr>
              <w:t>MBS item 72826</w:t>
            </w:r>
          </w:p>
        </w:tc>
        <w:tc>
          <w:tcPr>
            <w:tcW w:w="1105" w:type="dxa"/>
            <w:vAlign w:val="bottom"/>
          </w:tcPr>
          <w:p w14:paraId="41C0D85A" w14:textId="77777777" w:rsidR="00B51828" w:rsidRPr="00DD1E22" w:rsidRDefault="00B51828" w:rsidP="002101D2">
            <w:pPr>
              <w:pStyle w:val="Tabletextboldleft"/>
              <w:jc w:val="right"/>
              <w:rPr>
                <w:b w:val="0"/>
                <w:sz w:val="19"/>
                <w:szCs w:val="19"/>
              </w:rPr>
            </w:pPr>
            <w:r w:rsidRPr="00DD1E22">
              <w:rPr>
                <w:b w:val="0"/>
                <w:color w:val="000000"/>
                <w:sz w:val="19"/>
                <w:szCs w:val="19"/>
              </w:rPr>
              <w:t>16,966</w:t>
            </w:r>
          </w:p>
        </w:tc>
        <w:tc>
          <w:tcPr>
            <w:tcW w:w="1106" w:type="dxa"/>
            <w:vAlign w:val="bottom"/>
          </w:tcPr>
          <w:p w14:paraId="1E38D475" w14:textId="77777777" w:rsidR="00B51828" w:rsidRPr="00DD1E22" w:rsidRDefault="00B51828" w:rsidP="002101D2">
            <w:pPr>
              <w:pStyle w:val="Tabletextboldleft"/>
              <w:jc w:val="right"/>
              <w:rPr>
                <w:b w:val="0"/>
                <w:sz w:val="19"/>
                <w:szCs w:val="19"/>
              </w:rPr>
            </w:pPr>
            <w:r w:rsidRPr="00DD1E22">
              <w:rPr>
                <w:b w:val="0"/>
                <w:color w:val="000000"/>
                <w:sz w:val="19"/>
                <w:szCs w:val="19"/>
              </w:rPr>
              <w:t>18,251</w:t>
            </w:r>
          </w:p>
        </w:tc>
        <w:tc>
          <w:tcPr>
            <w:tcW w:w="1106" w:type="dxa"/>
            <w:vAlign w:val="bottom"/>
          </w:tcPr>
          <w:p w14:paraId="053B453B" w14:textId="77777777" w:rsidR="00B51828" w:rsidRPr="00DD1E22" w:rsidRDefault="00B51828" w:rsidP="002101D2">
            <w:pPr>
              <w:pStyle w:val="Tabletextboldleft"/>
              <w:jc w:val="right"/>
              <w:rPr>
                <w:b w:val="0"/>
                <w:sz w:val="19"/>
                <w:szCs w:val="19"/>
              </w:rPr>
            </w:pPr>
            <w:r w:rsidRPr="00DD1E22">
              <w:rPr>
                <w:b w:val="0"/>
                <w:color w:val="000000"/>
                <w:sz w:val="19"/>
                <w:szCs w:val="19"/>
              </w:rPr>
              <w:t>18,392</w:t>
            </w:r>
          </w:p>
        </w:tc>
        <w:tc>
          <w:tcPr>
            <w:tcW w:w="1105" w:type="dxa"/>
            <w:vAlign w:val="bottom"/>
          </w:tcPr>
          <w:p w14:paraId="4DDB88CD" w14:textId="77777777" w:rsidR="00B51828" w:rsidRPr="00DD1E22" w:rsidRDefault="00B51828" w:rsidP="002101D2">
            <w:pPr>
              <w:pStyle w:val="Tabletextboldleft"/>
              <w:jc w:val="right"/>
              <w:rPr>
                <w:b w:val="0"/>
                <w:sz w:val="19"/>
                <w:szCs w:val="19"/>
              </w:rPr>
            </w:pPr>
            <w:r w:rsidRPr="00DD1E22">
              <w:rPr>
                <w:b w:val="0"/>
                <w:color w:val="000000"/>
                <w:sz w:val="19"/>
                <w:szCs w:val="19"/>
              </w:rPr>
              <w:t>17,733</w:t>
            </w:r>
          </w:p>
        </w:tc>
        <w:tc>
          <w:tcPr>
            <w:tcW w:w="1106" w:type="dxa"/>
            <w:vAlign w:val="bottom"/>
          </w:tcPr>
          <w:p w14:paraId="7A1C0C4B" w14:textId="77777777" w:rsidR="00B51828" w:rsidRPr="00DD1E22" w:rsidRDefault="00B51828" w:rsidP="002101D2">
            <w:pPr>
              <w:pStyle w:val="Tabletextboldleft"/>
              <w:jc w:val="right"/>
              <w:rPr>
                <w:b w:val="0"/>
                <w:sz w:val="19"/>
                <w:szCs w:val="19"/>
              </w:rPr>
            </w:pPr>
            <w:r w:rsidRPr="00DD1E22">
              <w:rPr>
                <w:b w:val="0"/>
                <w:color w:val="000000"/>
                <w:sz w:val="19"/>
                <w:szCs w:val="19"/>
              </w:rPr>
              <w:t>17,629</w:t>
            </w:r>
          </w:p>
        </w:tc>
        <w:tc>
          <w:tcPr>
            <w:tcW w:w="1106" w:type="dxa"/>
            <w:vAlign w:val="bottom"/>
          </w:tcPr>
          <w:p w14:paraId="211081B3" w14:textId="77777777" w:rsidR="00B51828" w:rsidRPr="00DD1E22" w:rsidRDefault="00B51828" w:rsidP="002101D2">
            <w:pPr>
              <w:pStyle w:val="Tabletextboldleft"/>
              <w:jc w:val="right"/>
              <w:rPr>
                <w:b w:val="0"/>
                <w:sz w:val="19"/>
                <w:szCs w:val="19"/>
              </w:rPr>
            </w:pPr>
            <w:r w:rsidRPr="00DD1E22">
              <w:rPr>
                <w:b w:val="0"/>
                <w:color w:val="000000"/>
                <w:sz w:val="19"/>
                <w:szCs w:val="19"/>
              </w:rPr>
              <w:t>17,525</w:t>
            </w:r>
          </w:p>
        </w:tc>
        <w:tc>
          <w:tcPr>
            <w:tcW w:w="1105" w:type="dxa"/>
            <w:vAlign w:val="bottom"/>
          </w:tcPr>
          <w:p w14:paraId="114C6B99" w14:textId="77777777" w:rsidR="00B51828" w:rsidRPr="00DD1E22" w:rsidRDefault="00B51828" w:rsidP="002101D2">
            <w:pPr>
              <w:pStyle w:val="Tabletextboldleft"/>
              <w:jc w:val="right"/>
              <w:rPr>
                <w:b w:val="0"/>
                <w:sz w:val="19"/>
                <w:szCs w:val="19"/>
              </w:rPr>
            </w:pPr>
            <w:r w:rsidRPr="00DD1E22">
              <w:rPr>
                <w:b w:val="0"/>
                <w:color w:val="000000"/>
                <w:sz w:val="19"/>
                <w:szCs w:val="19"/>
              </w:rPr>
              <w:t>17,420</w:t>
            </w:r>
          </w:p>
        </w:tc>
        <w:tc>
          <w:tcPr>
            <w:tcW w:w="1106" w:type="dxa"/>
            <w:vAlign w:val="bottom"/>
          </w:tcPr>
          <w:p w14:paraId="3BC88F92" w14:textId="77777777" w:rsidR="00B51828" w:rsidRPr="00DD1E22" w:rsidRDefault="00B51828" w:rsidP="002101D2">
            <w:pPr>
              <w:pStyle w:val="Tabletextboldleft"/>
              <w:jc w:val="right"/>
              <w:rPr>
                <w:b w:val="0"/>
                <w:sz w:val="19"/>
                <w:szCs w:val="19"/>
              </w:rPr>
            </w:pPr>
            <w:r w:rsidRPr="00DD1E22">
              <w:rPr>
                <w:b w:val="0"/>
                <w:color w:val="000000"/>
                <w:sz w:val="19"/>
                <w:szCs w:val="19"/>
              </w:rPr>
              <w:t>17,316</w:t>
            </w:r>
          </w:p>
        </w:tc>
        <w:tc>
          <w:tcPr>
            <w:tcW w:w="1106" w:type="dxa"/>
            <w:vAlign w:val="bottom"/>
          </w:tcPr>
          <w:p w14:paraId="1838965A" w14:textId="77777777" w:rsidR="00B51828" w:rsidRPr="00DD1E22" w:rsidRDefault="00B51828" w:rsidP="002101D2">
            <w:pPr>
              <w:pStyle w:val="Tabletextboldleft"/>
              <w:jc w:val="right"/>
              <w:rPr>
                <w:b w:val="0"/>
                <w:sz w:val="19"/>
                <w:szCs w:val="19"/>
              </w:rPr>
            </w:pPr>
            <w:r w:rsidRPr="00DD1E22">
              <w:rPr>
                <w:b w:val="0"/>
                <w:color w:val="000000"/>
                <w:sz w:val="19"/>
                <w:szCs w:val="19"/>
              </w:rPr>
              <w:t>17,212</w:t>
            </w:r>
          </w:p>
        </w:tc>
        <w:tc>
          <w:tcPr>
            <w:tcW w:w="1106" w:type="dxa"/>
            <w:vAlign w:val="bottom"/>
          </w:tcPr>
          <w:p w14:paraId="4DECCB05" w14:textId="77777777" w:rsidR="00B51828" w:rsidRPr="00DD1E22" w:rsidRDefault="00B51828" w:rsidP="002101D2">
            <w:pPr>
              <w:pStyle w:val="Tabletextboldleft"/>
              <w:jc w:val="right"/>
              <w:rPr>
                <w:b w:val="0"/>
                <w:sz w:val="19"/>
                <w:szCs w:val="19"/>
              </w:rPr>
            </w:pPr>
            <w:r w:rsidRPr="00DD1E22">
              <w:rPr>
                <w:b w:val="0"/>
                <w:color w:val="000000"/>
                <w:sz w:val="19"/>
                <w:szCs w:val="19"/>
              </w:rPr>
              <w:t>17,108</w:t>
            </w:r>
          </w:p>
        </w:tc>
      </w:tr>
      <w:tr w:rsidR="00B51828" w14:paraId="50271360" w14:textId="77777777" w:rsidTr="00E61184">
        <w:trPr>
          <w:trHeight w:val="84"/>
        </w:trPr>
        <w:tc>
          <w:tcPr>
            <w:tcW w:w="2835" w:type="dxa"/>
            <w:vAlign w:val="bottom"/>
          </w:tcPr>
          <w:p w14:paraId="67F90953" w14:textId="77777777" w:rsidR="00B51828" w:rsidRPr="00DD1E22" w:rsidRDefault="00B51828" w:rsidP="002101D2">
            <w:pPr>
              <w:pStyle w:val="Tabletextboldleft"/>
              <w:ind w:firstLine="317"/>
              <w:rPr>
                <w:b w:val="0"/>
                <w:sz w:val="19"/>
                <w:szCs w:val="19"/>
              </w:rPr>
            </w:pPr>
            <w:r w:rsidRPr="00DD1E22">
              <w:rPr>
                <w:b w:val="0"/>
                <w:sz w:val="19"/>
                <w:szCs w:val="19"/>
              </w:rPr>
              <w:t>MBS item 72827</w:t>
            </w:r>
          </w:p>
        </w:tc>
        <w:tc>
          <w:tcPr>
            <w:tcW w:w="1105" w:type="dxa"/>
            <w:vAlign w:val="bottom"/>
          </w:tcPr>
          <w:p w14:paraId="57E7A086" w14:textId="77777777" w:rsidR="00B51828" w:rsidRPr="00DD1E22" w:rsidRDefault="00B51828" w:rsidP="002101D2">
            <w:pPr>
              <w:pStyle w:val="Tabletextboldleft"/>
              <w:jc w:val="right"/>
              <w:rPr>
                <w:b w:val="0"/>
                <w:sz w:val="19"/>
                <w:szCs w:val="19"/>
              </w:rPr>
            </w:pPr>
            <w:r w:rsidRPr="00DD1E22">
              <w:rPr>
                <w:b w:val="0"/>
                <w:color w:val="000000"/>
                <w:sz w:val="19"/>
                <w:szCs w:val="19"/>
              </w:rPr>
              <w:t>6,153</w:t>
            </w:r>
          </w:p>
        </w:tc>
        <w:tc>
          <w:tcPr>
            <w:tcW w:w="1106" w:type="dxa"/>
            <w:vAlign w:val="bottom"/>
          </w:tcPr>
          <w:p w14:paraId="6C0619AE" w14:textId="77777777" w:rsidR="00B51828" w:rsidRPr="00DD1E22" w:rsidRDefault="00B51828" w:rsidP="002101D2">
            <w:pPr>
              <w:pStyle w:val="Tabletextboldleft"/>
              <w:jc w:val="right"/>
              <w:rPr>
                <w:b w:val="0"/>
                <w:sz w:val="19"/>
                <w:szCs w:val="19"/>
              </w:rPr>
            </w:pPr>
            <w:r w:rsidRPr="00DD1E22">
              <w:rPr>
                <w:b w:val="0"/>
                <w:color w:val="000000"/>
                <w:sz w:val="19"/>
                <w:szCs w:val="19"/>
              </w:rPr>
              <w:t>6,085</w:t>
            </w:r>
          </w:p>
        </w:tc>
        <w:tc>
          <w:tcPr>
            <w:tcW w:w="1106" w:type="dxa"/>
            <w:vAlign w:val="bottom"/>
          </w:tcPr>
          <w:p w14:paraId="411422B8" w14:textId="77777777" w:rsidR="00B51828" w:rsidRPr="00DD1E22" w:rsidRDefault="00B51828" w:rsidP="002101D2">
            <w:pPr>
              <w:pStyle w:val="Tabletextboldleft"/>
              <w:jc w:val="right"/>
              <w:rPr>
                <w:b w:val="0"/>
                <w:sz w:val="19"/>
                <w:szCs w:val="19"/>
              </w:rPr>
            </w:pPr>
            <w:r w:rsidRPr="00DD1E22">
              <w:rPr>
                <w:b w:val="0"/>
                <w:color w:val="000000"/>
                <w:sz w:val="19"/>
                <w:szCs w:val="19"/>
              </w:rPr>
              <w:t>5,618</w:t>
            </w:r>
          </w:p>
        </w:tc>
        <w:tc>
          <w:tcPr>
            <w:tcW w:w="1105" w:type="dxa"/>
            <w:vAlign w:val="bottom"/>
          </w:tcPr>
          <w:p w14:paraId="3C84C615" w14:textId="77777777" w:rsidR="00B51828" w:rsidRPr="00DD1E22" w:rsidRDefault="00B51828" w:rsidP="002101D2">
            <w:pPr>
              <w:pStyle w:val="Tabletextboldleft"/>
              <w:jc w:val="right"/>
              <w:rPr>
                <w:b w:val="0"/>
                <w:sz w:val="19"/>
                <w:szCs w:val="19"/>
              </w:rPr>
            </w:pPr>
            <w:r w:rsidRPr="00DD1E22">
              <w:rPr>
                <w:b w:val="0"/>
                <w:color w:val="000000"/>
                <w:sz w:val="19"/>
                <w:szCs w:val="19"/>
              </w:rPr>
              <w:t>7,143</w:t>
            </w:r>
          </w:p>
        </w:tc>
        <w:tc>
          <w:tcPr>
            <w:tcW w:w="1106" w:type="dxa"/>
            <w:vAlign w:val="bottom"/>
          </w:tcPr>
          <w:p w14:paraId="4CAFFA48" w14:textId="77777777" w:rsidR="00B51828" w:rsidRPr="00DD1E22" w:rsidRDefault="00B51828" w:rsidP="002101D2">
            <w:pPr>
              <w:pStyle w:val="Tabletextboldleft"/>
              <w:jc w:val="right"/>
              <w:rPr>
                <w:b w:val="0"/>
                <w:sz w:val="19"/>
                <w:szCs w:val="19"/>
              </w:rPr>
            </w:pPr>
            <w:r w:rsidRPr="00DD1E22">
              <w:rPr>
                <w:b w:val="0"/>
                <w:color w:val="000000"/>
                <w:sz w:val="19"/>
                <w:szCs w:val="19"/>
              </w:rPr>
              <w:t>7,779</w:t>
            </w:r>
          </w:p>
        </w:tc>
        <w:tc>
          <w:tcPr>
            <w:tcW w:w="1106" w:type="dxa"/>
            <w:vAlign w:val="bottom"/>
          </w:tcPr>
          <w:p w14:paraId="16217027" w14:textId="77777777" w:rsidR="00B51828" w:rsidRPr="00DD1E22" w:rsidRDefault="00B51828" w:rsidP="002101D2">
            <w:pPr>
              <w:pStyle w:val="Tabletextboldleft"/>
              <w:jc w:val="right"/>
              <w:rPr>
                <w:b w:val="0"/>
                <w:sz w:val="19"/>
                <w:szCs w:val="19"/>
              </w:rPr>
            </w:pPr>
            <w:r w:rsidRPr="00DD1E22">
              <w:rPr>
                <w:b w:val="0"/>
                <w:color w:val="000000"/>
                <w:sz w:val="19"/>
                <w:szCs w:val="19"/>
              </w:rPr>
              <w:t>8,415</w:t>
            </w:r>
          </w:p>
        </w:tc>
        <w:tc>
          <w:tcPr>
            <w:tcW w:w="1105" w:type="dxa"/>
            <w:vAlign w:val="bottom"/>
          </w:tcPr>
          <w:p w14:paraId="1BD85366" w14:textId="77777777" w:rsidR="00B51828" w:rsidRPr="00DD1E22" w:rsidRDefault="00B51828" w:rsidP="002101D2">
            <w:pPr>
              <w:pStyle w:val="Tabletextboldleft"/>
              <w:jc w:val="right"/>
              <w:rPr>
                <w:b w:val="0"/>
                <w:sz w:val="19"/>
                <w:szCs w:val="19"/>
              </w:rPr>
            </w:pPr>
            <w:r w:rsidRPr="00DD1E22">
              <w:rPr>
                <w:b w:val="0"/>
                <w:color w:val="000000"/>
                <w:sz w:val="19"/>
                <w:szCs w:val="19"/>
              </w:rPr>
              <w:t>9,051</w:t>
            </w:r>
          </w:p>
        </w:tc>
        <w:tc>
          <w:tcPr>
            <w:tcW w:w="1106" w:type="dxa"/>
            <w:vAlign w:val="bottom"/>
          </w:tcPr>
          <w:p w14:paraId="5504319E" w14:textId="77777777" w:rsidR="00B51828" w:rsidRPr="00DD1E22" w:rsidRDefault="00B51828" w:rsidP="002101D2">
            <w:pPr>
              <w:pStyle w:val="Tabletextboldleft"/>
              <w:jc w:val="right"/>
              <w:rPr>
                <w:b w:val="0"/>
                <w:sz w:val="19"/>
                <w:szCs w:val="19"/>
              </w:rPr>
            </w:pPr>
            <w:r w:rsidRPr="00DD1E22">
              <w:rPr>
                <w:b w:val="0"/>
                <w:color w:val="000000"/>
                <w:sz w:val="19"/>
                <w:szCs w:val="19"/>
              </w:rPr>
              <w:t>9,687</w:t>
            </w:r>
          </w:p>
        </w:tc>
        <w:tc>
          <w:tcPr>
            <w:tcW w:w="1106" w:type="dxa"/>
            <w:vAlign w:val="bottom"/>
          </w:tcPr>
          <w:p w14:paraId="1CF051C4" w14:textId="77777777" w:rsidR="00B51828" w:rsidRPr="00DD1E22" w:rsidRDefault="00B51828" w:rsidP="002101D2">
            <w:pPr>
              <w:pStyle w:val="Tabletextboldleft"/>
              <w:jc w:val="right"/>
              <w:rPr>
                <w:b w:val="0"/>
                <w:sz w:val="19"/>
                <w:szCs w:val="19"/>
              </w:rPr>
            </w:pPr>
            <w:r w:rsidRPr="00DD1E22">
              <w:rPr>
                <w:b w:val="0"/>
                <w:color w:val="000000"/>
                <w:sz w:val="19"/>
                <w:szCs w:val="19"/>
              </w:rPr>
              <w:t>10,324</w:t>
            </w:r>
          </w:p>
        </w:tc>
        <w:tc>
          <w:tcPr>
            <w:tcW w:w="1106" w:type="dxa"/>
            <w:vAlign w:val="bottom"/>
          </w:tcPr>
          <w:p w14:paraId="4A7D9E19" w14:textId="77777777" w:rsidR="00B51828" w:rsidRPr="00DD1E22" w:rsidRDefault="00B51828" w:rsidP="002101D2">
            <w:pPr>
              <w:pStyle w:val="Tabletextboldleft"/>
              <w:jc w:val="right"/>
              <w:rPr>
                <w:b w:val="0"/>
                <w:sz w:val="19"/>
                <w:szCs w:val="19"/>
              </w:rPr>
            </w:pPr>
            <w:r w:rsidRPr="00DD1E22">
              <w:rPr>
                <w:b w:val="0"/>
                <w:color w:val="000000"/>
                <w:sz w:val="19"/>
                <w:szCs w:val="19"/>
              </w:rPr>
              <w:t>10,960</w:t>
            </w:r>
          </w:p>
        </w:tc>
      </w:tr>
      <w:tr w:rsidR="00B51828" w14:paraId="3D2E0484" w14:textId="77777777" w:rsidTr="00E61184">
        <w:trPr>
          <w:trHeight w:val="84"/>
        </w:trPr>
        <w:tc>
          <w:tcPr>
            <w:tcW w:w="2835" w:type="dxa"/>
            <w:vAlign w:val="bottom"/>
          </w:tcPr>
          <w:p w14:paraId="061F321B" w14:textId="77777777" w:rsidR="00B51828" w:rsidRPr="00DD1E22" w:rsidRDefault="00B51828" w:rsidP="002101D2">
            <w:pPr>
              <w:pStyle w:val="Tabletextboldleft"/>
              <w:ind w:firstLine="317"/>
              <w:rPr>
                <w:b w:val="0"/>
                <w:sz w:val="19"/>
                <w:szCs w:val="19"/>
              </w:rPr>
            </w:pPr>
            <w:r w:rsidRPr="00DD1E22">
              <w:rPr>
                <w:b w:val="0"/>
                <w:sz w:val="19"/>
                <w:szCs w:val="19"/>
              </w:rPr>
              <w:t>MBS item 72828</w:t>
            </w:r>
          </w:p>
        </w:tc>
        <w:tc>
          <w:tcPr>
            <w:tcW w:w="1105" w:type="dxa"/>
            <w:vAlign w:val="bottom"/>
          </w:tcPr>
          <w:p w14:paraId="75D1DC52" w14:textId="77777777" w:rsidR="00B51828" w:rsidRPr="00DD1E22" w:rsidRDefault="00B51828" w:rsidP="002101D2">
            <w:pPr>
              <w:pStyle w:val="Tabletextboldleft"/>
              <w:jc w:val="right"/>
              <w:rPr>
                <w:b w:val="0"/>
                <w:sz w:val="19"/>
                <w:szCs w:val="19"/>
              </w:rPr>
            </w:pPr>
            <w:r w:rsidRPr="00DD1E22">
              <w:rPr>
                <w:b w:val="0"/>
                <w:sz w:val="19"/>
                <w:szCs w:val="19"/>
              </w:rPr>
              <w:t>958</w:t>
            </w:r>
          </w:p>
        </w:tc>
        <w:tc>
          <w:tcPr>
            <w:tcW w:w="1106" w:type="dxa"/>
            <w:vAlign w:val="bottom"/>
          </w:tcPr>
          <w:p w14:paraId="0EFE1D91" w14:textId="77777777" w:rsidR="00B51828" w:rsidRPr="00DD1E22" w:rsidRDefault="00B51828" w:rsidP="002101D2">
            <w:pPr>
              <w:pStyle w:val="Tabletextboldleft"/>
              <w:jc w:val="right"/>
              <w:rPr>
                <w:b w:val="0"/>
                <w:sz w:val="19"/>
                <w:szCs w:val="19"/>
              </w:rPr>
            </w:pPr>
            <w:r w:rsidRPr="00DD1E22">
              <w:rPr>
                <w:b w:val="0"/>
                <w:sz w:val="19"/>
                <w:szCs w:val="19"/>
              </w:rPr>
              <w:t>1,290</w:t>
            </w:r>
          </w:p>
        </w:tc>
        <w:tc>
          <w:tcPr>
            <w:tcW w:w="1106" w:type="dxa"/>
            <w:vAlign w:val="bottom"/>
          </w:tcPr>
          <w:p w14:paraId="45C10D2E" w14:textId="77777777" w:rsidR="00B51828" w:rsidRPr="00DD1E22" w:rsidRDefault="00B51828" w:rsidP="002101D2">
            <w:pPr>
              <w:pStyle w:val="Tabletextboldleft"/>
              <w:jc w:val="right"/>
              <w:rPr>
                <w:b w:val="0"/>
                <w:sz w:val="19"/>
                <w:szCs w:val="19"/>
              </w:rPr>
            </w:pPr>
            <w:r w:rsidRPr="00DD1E22">
              <w:rPr>
                <w:b w:val="0"/>
                <w:sz w:val="19"/>
                <w:szCs w:val="19"/>
              </w:rPr>
              <w:t>2,018</w:t>
            </w:r>
          </w:p>
        </w:tc>
        <w:tc>
          <w:tcPr>
            <w:tcW w:w="1105" w:type="dxa"/>
            <w:vAlign w:val="bottom"/>
          </w:tcPr>
          <w:p w14:paraId="1A237ED2" w14:textId="77777777" w:rsidR="00B51828" w:rsidRPr="00DD1E22" w:rsidRDefault="00B51828" w:rsidP="002101D2">
            <w:pPr>
              <w:pStyle w:val="Tabletextboldleft"/>
              <w:jc w:val="right"/>
              <w:rPr>
                <w:b w:val="0"/>
                <w:sz w:val="19"/>
                <w:szCs w:val="19"/>
              </w:rPr>
            </w:pPr>
            <w:r w:rsidRPr="00DD1E22">
              <w:rPr>
                <w:b w:val="0"/>
                <w:color w:val="000000"/>
                <w:sz w:val="19"/>
                <w:szCs w:val="19"/>
              </w:rPr>
              <w:t>2,168</w:t>
            </w:r>
          </w:p>
        </w:tc>
        <w:tc>
          <w:tcPr>
            <w:tcW w:w="1106" w:type="dxa"/>
            <w:vAlign w:val="bottom"/>
          </w:tcPr>
          <w:p w14:paraId="5EC50159" w14:textId="77777777" w:rsidR="00B51828" w:rsidRPr="00DD1E22" w:rsidRDefault="00B51828" w:rsidP="002101D2">
            <w:pPr>
              <w:pStyle w:val="Tabletextboldleft"/>
              <w:jc w:val="right"/>
              <w:rPr>
                <w:b w:val="0"/>
                <w:sz w:val="19"/>
                <w:szCs w:val="19"/>
              </w:rPr>
            </w:pPr>
            <w:r w:rsidRPr="00DD1E22">
              <w:rPr>
                <w:b w:val="0"/>
                <w:color w:val="000000"/>
                <w:sz w:val="19"/>
                <w:szCs w:val="19"/>
              </w:rPr>
              <w:t>2,517</w:t>
            </w:r>
          </w:p>
        </w:tc>
        <w:tc>
          <w:tcPr>
            <w:tcW w:w="1106" w:type="dxa"/>
            <w:vAlign w:val="bottom"/>
          </w:tcPr>
          <w:p w14:paraId="46D1A2FA" w14:textId="77777777" w:rsidR="00B51828" w:rsidRPr="00DD1E22" w:rsidRDefault="00B51828" w:rsidP="002101D2">
            <w:pPr>
              <w:pStyle w:val="Tabletextboldleft"/>
              <w:jc w:val="right"/>
              <w:rPr>
                <w:b w:val="0"/>
                <w:sz w:val="19"/>
                <w:szCs w:val="19"/>
              </w:rPr>
            </w:pPr>
            <w:r w:rsidRPr="00DD1E22">
              <w:rPr>
                <w:b w:val="0"/>
                <w:color w:val="000000"/>
                <w:sz w:val="19"/>
                <w:szCs w:val="19"/>
              </w:rPr>
              <w:t>2,865</w:t>
            </w:r>
          </w:p>
        </w:tc>
        <w:tc>
          <w:tcPr>
            <w:tcW w:w="1105" w:type="dxa"/>
            <w:vAlign w:val="bottom"/>
          </w:tcPr>
          <w:p w14:paraId="73661D05" w14:textId="77777777" w:rsidR="00B51828" w:rsidRPr="00DD1E22" w:rsidRDefault="00B51828" w:rsidP="002101D2">
            <w:pPr>
              <w:pStyle w:val="Tabletextboldleft"/>
              <w:jc w:val="right"/>
              <w:rPr>
                <w:b w:val="0"/>
                <w:sz w:val="19"/>
                <w:szCs w:val="19"/>
              </w:rPr>
            </w:pPr>
            <w:r w:rsidRPr="00DD1E22">
              <w:rPr>
                <w:b w:val="0"/>
                <w:color w:val="000000"/>
                <w:sz w:val="19"/>
                <w:szCs w:val="19"/>
              </w:rPr>
              <w:t>3,214</w:t>
            </w:r>
          </w:p>
        </w:tc>
        <w:tc>
          <w:tcPr>
            <w:tcW w:w="1106" w:type="dxa"/>
            <w:vAlign w:val="bottom"/>
          </w:tcPr>
          <w:p w14:paraId="2F743E9B" w14:textId="77777777" w:rsidR="00B51828" w:rsidRPr="00DD1E22" w:rsidRDefault="00B51828" w:rsidP="002101D2">
            <w:pPr>
              <w:pStyle w:val="Tabletextboldleft"/>
              <w:jc w:val="right"/>
              <w:rPr>
                <w:b w:val="0"/>
                <w:sz w:val="19"/>
                <w:szCs w:val="19"/>
              </w:rPr>
            </w:pPr>
            <w:r w:rsidRPr="00DD1E22">
              <w:rPr>
                <w:b w:val="0"/>
                <w:color w:val="000000"/>
                <w:sz w:val="19"/>
                <w:szCs w:val="19"/>
              </w:rPr>
              <w:t>3,562</w:t>
            </w:r>
          </w:p>
        </w:tc>
        <w:tc>
          <w:tcPr>
            <w:tcW w:w="1106" w:type="dxa"/>
            <w:vAlign w:val="bottom"/>
          </w:tcPr>
          <w:p w14:paraId="19928878" w14:textId="77777777" w:rsidR="00B51828" w:rsidRPr="00DD1E22" w:rsidRDefault="00B51828" w:rsidP="002101D2">
            <w:pPr>
              <w:pStyle w:val="Tabletextboldleft"/>
              <w:jc w:val="right"/>
              <w:rPr>
                <w:b w:val="0"/>
                <w:sz w:val="19"/>
                <w:szCs w:val="19"/>
              </w:rPr>
            </w:pPr>
            <w:r w:rsidRPr="00DD1E22">
              <w:rPr>
                <w:b w:val="0"/>
                <w:color w:val="000000"/>
                <w:sz w:val="19"/>
                <w:szCs w:val="19"/>
              </w:rPr>
              <w:t>3,911</w:t>
            </w:r>
          </w:p>
        </w:tc>
        <w:tc>
          <w:tcPr>
            <w:tcW w:w="1106" w:type="dxa"/>
            <w:vAlign w:val="bottom"/>
          </w:tcPr>
          <w:p w14:paraId="258A1400" w14:textId="77777777" w:rsidR="00B51828" w:rsidRPr="00DD1E22" w:rsidRDefault="00B51828" w:rsidP="002101D2">
            <w:pPr>
              <w:pStyle w:val="Tabletextboldleft"/>
              <w:jc w:val="right"/>
              <w:rPr>
                <w:b w:val="0"/>
                <w:sz w:val="19"/>
                <w:szCs w:val="19"/>
              </w:rPr>
            </w:pPr>
            <w:r w:rsidRPr="00DD1E22">
              <w:rPr>
                <w:b w:val="0"/>
                <w:color w:val="000000"/>
                <w:sz w:val="19"/>
                <w:szCs w:val="19"/>
              </w:rPr>
              <w:t>4,259</w:t>
            </w:r>
          </w:p>
        </w:tc>
      </w:tr>
      <w:tr w:rsidR="00B51828" w14:paraId="122B7FC3" w14:textId="77777777" w:rsidTr="00E61184">
        <w:trPr>
          <w:trHeight w:val="84"/>
        </w:trPr>
        <w:tc>
          <w:tcPr>
            <w:tcW w:w="2835" w:type="dxa"/>
            <w:vAlign w:val="bottom"/>
          </w:tcPr>
          <w:p w14:paraId="296FFE7E" w14:textId="77777777" w:rsidR="00B51828" w:rsidRPr="00DD1E22" w:rsidRDefault="00B51828" w:rsidP="002101D2">
            <w:pPr>
              <w:pStyle w:val="Tabletextboldleft"/>
              <w:ind w:firstLine="317"/>
              <w:rPr>
                <w:b w:val="0"/>
                <w:sz w:val="19"/>
                <w:szCs w:val="19"/>
              </w:rPr>
            </w:pPr>
            <w:r w:rsidRPr="00DD1E22">
              <w:rPr>
                <w:b w:val="0"/>
                <w:sz w:val="19"/>
                <w:szCs w:val="19"/>
              </w:rPr>
              <w:t>MBS item 72830</w:t>
            </w:r>
          </w:p>
        </w:tc>
        <w:tc>
          <w:tcPr>
            <w:tcW w:w="1105" w:type="dxa"/>
            <w:vAlign w:val="bottom"/>
          </w:tcPr>
          <w:p w14:paraId="4882E6A3" w14:textId="77777777" w:rsidR="00B51828" w:rsidRPr="00DD1E22" w:rsidRDefault="00B51828" w:rsidP="002101D2">
            <w:pPr>
              <w:pStyle w:val="Tabletextboldleft"/>
              <w:jc w:val="right"/>
              <w:rPr>
                <w:b w:val="0"/>
                <w:sz w:val="19"/>
                <w:szCs w:val="19"/>
              </w:rPr>
            </w:pPr>
            <w:r w:rsidRPr="00DD1E22">
              <w:rPr>
                <w:b w:val="0"/>
                <w:color w:val="000000"/>
                <w:sz w:val="19"/>
                <w:szCs w:val="19"/>
              </w:rPr>
              <w:t>73,275</w:t>
            </w:r>
          </w:p>
        </w:tc>
        <w:tc>
          <w:tcPr>
            <w:tcW w:w="1106" w:type="dxa"/>
            <w:vAlign w:val="bottom"/>
          </w:tcPr>
          <w:p w14:paraId="60D6E443" w14:textId="77777777" w:rsidR="00B51828" w:rsidRPr="00DD1E22" w:rsidRDefault="00B51828" w:rsidP="002101D2">
            <w:pPr>
              <w:pStyle w:val="Tabletextboldleft"/>
              <w:jc w:val="right"/>
              <w:rPr>
                <w:b w:val="0"/>
                <w:sz w:val="19"/>
                <w:szCs w:val="19"/>
              </w:rPr>
            </w:pPr>
            <w:r w:rsidRPr="00DD1E22">
              <w:rPr>
                <w:b w:val="0"/>
                <w:color w:val="000000"/>
                <w:sz w:val="19"/>
                <w:szCs w:val="19"/>
              </w:rPr>
              <w:t>75,372</w:t>
            </w:r>
          </w:p>
        </w:tc>
        <w:tc>
          <w:tcPr>
            <w:tcW w:w="1106" w:type="dxa"/>
            <w:vAlign w:val="bottom"/>
          </w:tcPr>
          <w:p w14:paraId="2EFFD182" w14:textId="77777777" w:rsidR="00B51828" w:rsidRPr="00DD1E22" w:rsidRDefault="00B51828" w:rsidP="002101D2">
            <w:pPr>
              <w:pStyle w:val="Tabletextboldleft"/>
              <w:jc w:val="right"/>
              <w:rPr>
                <w:b w:val="0"/>
                <w:sz w:val="19"/>
                <w:szCs w:val="19"/>
              </w:rPr>
            </w:pPr>
            <w:r w:rsidRPr="00DD1E22">
              <w:rPr>
                <w:b w:val="0"/>
                <w:color w:val="000000"/>
                <w:sz w:val="19"/>
                <w:szCs w:val="19"/>
              </w:rPr>
              <w:t>80,498</w:t>
            </w:r>
          </w:p>
        </w:tc>
        <w:tc>
          <w:tcPr>
            <w:tcW w:w="1105" w:type="dxa"/>
            <w:vAlign w:val="bottom"/>
          </w:tcPr>
          <w:p w14:paraId="271522AC" w14:textId="77777777" w:rsidR="00B51828" w:rsidRPr="00DD1E22" w:rsidRDefault="00B51828" w:rsidP="002101D2">
            <w:pPr>
              <w:pStyle w:val="Tabletextboldleft"/>
              <w:jc w:val="right"/>
              <w:rPr>
                <w:b w:val="0"/>
                <w:sz w:val="19"/>
                <w:szCs w:val="19"/>
              </w:rPr>
            </w:pPr>
            <w:r w:rsidRPr="00DD1E22">
              <w:rPr>
                <w:b w:val="0"/>
                <w:color w:val="000000"/>
                <w:sz w:val="19"/>
                <w:szCs w:val="19"/>
              </w:rPr>
              <w:t>84,328</w:t>
            </w:r>
          </w:p>
        </w:tc>
        <w:tc>
          <w:tcPr>
            <w:tcW w:w="1106" w:type="dxa"/>
            <w:vAlign w:val="bottom"/>
          </w:tcPr>
          <w:p w14:paraId="70DFEE08" w14:textId="77777777" w:rsidR="00B51828" w:rsidRPr="00DD1E22" w:rsidRDefault="00B51828" w:rsidP="002101D2">
            <w:pPr>
              <w:pStyle w:val="Tabletextboldleft"/>
              <w:jc w:val="right"/>
              <w:rPr>
                <w:b w:val="0"/>
                <w:sz w:val="19"/>
                <w:szCs w:val="19"/>
              </w:rPr>
            </w:pPr>
            <w:r w:rsidRPr="00DD1E22">
              <w:rPr>
                <w:b w:val="0"/>
                <w:color w:val="000000"/>
                <w:sz w:val="19"/>
                <w:szCs w:val="19"/>
              </w:rPr>
              <w:t>88,399</w:t>
            </w:r>
          </w:p>
        </w:tc>
        <w:tc>
          <w:tcPr>
            <w:tcW w:w="1106" w:type="dxa"/>
            <w:vAlign w:val="bottom"/>
          </w:tcPr>
          <w:p w14:paraId="59BBA908" w14:textId="77777777" w:rsidR="00B51828" w:rsidRPr="00DD1E22" w:rsidRDefault="00B51828" w:rsidP="002101D2">
            <w:pPr>
              <w:pStyle w:val="Tabletextboldleft"/>
              <w:jc w:val="right"/>
              <w:rPr>
                <w:b w:val="0"/>
                <w:sz w:val="19"/>
                <w:szCs w:val="19"/>
              </w:rPr>
            </w:pPr>
            <w:r w:rsidRPr="00DD1E22">
              <w:rPr>
                <w:b w:val="0"/>
                <w:color w:val="000000"/>
                <w:sz w:val="19"/>
                <w:szCs w:val="19"/>
              </w:rPr>
              <w:t>92,469</w:t>
            </w:r>
          </w:p>
        </w:tc>
        <w:tc>
          <w:tcPr>
            <w:tcW w:w="1105" w:type="dxa"/>
            <w:vAlign w:val="bottom"/>
          </w:tcPr>
          <w:p w14:paraId="0F508920" w14:textId="77777777" w:rsidR="00B51828" w:rsidRPr="00DD1E22" w:rsidRDefault="00B51828" w:rsidP="002101D2">
            <w:pPr>
              <w:pStyle w:val="Tabletextboldleft"/>
              <w:jc w:val="right"/>
              <w:rPr>
                <w:b w:val="0"/>
                <w:sz w:val="19"/>
                <w:szCs w:val="19"/>
              </w:rPr>
            </w:pPr>
            <w:r w:rsidRPr="00DD1E22">
              <w:rPr>
                <w:b w:val="0"/>
                <w:color w:val="000000"/>
                <w:sz w:val="19"/>
                <w:szCs w:val="19"/>
              </w:rPr>
              <w:t>96,539</w:t>
            </w:r>
          </w:p>
        </w:tc>
        <w:tc>
          <w:tcPr>
            <w:tcW w:w="1106" w:type="dxa"/>
            <w:vAlign w:val="bottom"/>
          </w:tcPr>
          <w:p w14:paraId="1FA955B6" w14:textId="77777777" w:rsidR="00B51828" w:rsidRPr="00DD1E22" w:rsidRDefault="00B51828" w:rsidP="002101D2">
            <w:pPr>
              <w:pStyle w:val="Tabletextboldleft"/>
              <w:jc w:val="right"/>
              <w:rPr>
                <w:b w:val="0"/>
                <w:sz w:val="19"/>
                <w:szCs w:val="19"/>
              </w:rPr>
            </w:pPr>
            <w:r w:rsidRPr="00DD1E22">
              <w:rPr>
                <w:b w:val="0"/>
                <w:color w:val="000000"/>
                <w:sz w:val="19"/>
                <w:szCs w:val="19"/>
              </w:rPr>
              <w:t>100,610</w:t>
            </w:r>
          </w:p>
        </w:tc>
        <w:tc>
          <w:tcPr>
            <w:tcW w:w="1106" w:type="dxa"/>
            <w:vAlign w:val="bottom"/>
          </w:tcPr>
          <w:p w14:paraId="3E49ECBA" w14:textId="77777777" w:rsidR="00B51828" w:rsidRPr="00DD1E22" w:rsidRDefault="00B51828" w:rsidP="002101D2">
            <w:pPr>
              <w:pStyle w:val="Tabletextboldleft"/>
              <w:jc w:val="right"/>
              <w:rPr>
                <w:b w:val="0"/>
                <w:sz w:val="19"/>
                <w:szCs w:val="19"/>
              </w:rPr>
            </w:pPr>
            <w:r w:rsidRPr="00DD1E22">
              <w:rPr>
                <w:b w:val="0"/>
                <w:color w:val="000000"/>
                <w:sz w:val="19"/>
                <w:szCs w:val="19"/>
              </w:rPr>
              <w:t>104,680</w:t>
            </w:r>
          </w:p>
        </w:tc>
        <w:tc>
          <w:tcPr>
            <w:tcW w:w="1106" w:type="dxa"/>
            <w:vAlign w:val="bottom"/>
          </w:tcPr>
          <w:p w14:paraId="350B6B98" w14:textId="77777777" w:rsidR="00B51828" w:rsidRPr="00DD1E22" w:rsidRDefault="00B51828" w:rsidP="002101D2">
            <w:pPr>
              <w:pStyle w:val="Tabletextboldleft"/>
              <w:jc w:val="right"/>
              <w:rPr>
                <w:b w:val="0"/>
                <w:sz w:val="19"/>
                <w:szCs w:val="19"/>
              </w:rPr>
            </w:pPr>
            <w:r w:rsidRPr="00DD1E22">
              <w:rPr>
                <w:b w:val="0"/>
                <w:color w:val="000000"/>
                <w:sz w:val="19"/>
                <w:szCs w:val="19"/>
              </w:rPr>
              <w:t>108,751</w:t>
            </w:r>
          </w:p>
        </w:tc>
      </w:tr>
      <w:tr w:rsidR="00B51828" w14:paraId="290695E5" w14:textId="77777777" w:rsidTr="00E61184">
        <w:trPr>
          <w:trHeight w:val="84"/>
        </w:trPr>
        <w:tc>
          <w:tcPr>
            <w:tcW w:w="2835" w:type="dxa"/>
            <w:vAlign w:val="bottom"/>
          </w:tcPr>
          <w:p w14:paraId="29D111A4" w14:textId="77777777" w:rsidR="00B51828" w:rsidRPr="00DD1E22" w:rsidRDefault="00B51828" w:rsidP="002101D2">
            <w:pPr>
              <w:pStyle w:val="Tabletextboldleft"/>
              <w:ind w:firstLine="317"/>
              <w:rPr>
                <w:b w:val="0"/>
                <w:sz w:val="19"/>
                <w:szCs w:val="19"/>
              </w:rPr>
            </w:pPr>
            <w:r w:rsidRPr="00DD1E22">
              <w:rPr>
                <w:b w:val="0"/>
                <w:sz w:val="19"/>
                <w:szCs w:val="19"/>
              </w:rPr>
              <w:t>MBS item 72836</w:t>
            </w:r>
          </w:p>
        </w:tc>
        <w:tc>
          <w:tcPr>
            <w:tcW w:w="1105" w:type="dxa"/>
            <w:vAlign w:val="bottom"/>
          </w:tcPr>
          <w:p w14:paraId="549E8416" w14:textId="77777777" w:rsidR="00B51828" w:rsidRPr="00DD1E22" w:rsidRDefault="00B51828" w:rsidP="002101D2">
            <w:pPr>
              <w:pStyle w:val="Tabletextboldleft"/>
              <w:jc w:val="right"/>
              <w:rPr>
                <w:b w:val="0"/>
                <w:sz w:val="19"/>
                <w:szCs w:val="19"/>
              </w:rPr>
            </w:pPr>
            <w:r w:rsidRPr="00DD1E22">
              <w:rPr>
                <w:b w:val="0"/>
                <w:color w:val="000000"/>
                <w:sz w:val="19"/>
                <w:szCs w:val="19"/>
              </w:rPr>
              <w:t>21,679</w:t>
            </w:r>
          </w:p>
        </w:tc>
        <w:tc>
          <w:tcPr>
            <w:tcW w:w="1106" w:type="dxa"/>
            <w:vAlign w:val="bottom"/>
          </w:tcPr>
          <w:p w14:paraId="603E3315" w14:textId="77777777" w:rsidR="00B51828" w:rsidRPr="00DD1E22" w:rsidRDefault="00B51828" w:rsidP="002101D2">
            <w:pPr>
              <w:pStyle w:val="Tabletextboldleft"/>
              <w:jc w:val="right"/>
              <w:rPr>
                <w:b w:val="0"/>
                <w:sz w:val="19"/>
                <w:szCs w:val="19"/>
              </w:rPr>
            </w:pPr>
            <w:r w:rsidRPr="00DD1E22">
              <w:rPr>
                <w:b w:val="0"/>
                <w:color w:val="000000"/>
                <w:sz w:val="19"/>
                <w:szCs w:val="19"/>
              </w:rPr>
              <w:t>21,070</w:t>
            </w:r>
          </w:p>
        </w:tc>
        <w:tc>
          <w:tcPr>
            <w:tcW w:w="1106" w:type="dxa"/>
            <w:vAlign w:val="bottom"/>
          </w:tcPr>
          <w:p w14:paraId="4D3A8678" w14:textId="77777777" w:rsidR="00B51828" w:rsidRPr="00DD1E22" w:rsidRDefault="00B51828" w:rsidP="002101D2">
            <w:pPr>
              <w:pStyle w:val="Tabletextboldleft"/>
              <w:jc w:val="right"/>
              <w:rPr>
                <w:b w:val="0"/>
                <w:sz w:val="19"/>
                <w:szCs w:val="19"/>
              </w:rPr>
            </w:pPr>
            <w:r w:rsidRPr="00DD1E22">
              <w:rPr>
                <w:b w:val="0"/>
                <w:color w:val="000000"/>
                <w:sz w:val="19"/>
                <w:szCs w:val="19"/>
              </w:rPr>
              <w:t>22,469</w:t>
            </w:r>
          </w:p>
        </w:tc>
        <w:tc>
          <w:tcPr>
            <w:tcW w:w="1105" w:type="dxa"/>
            <w:vAlign w:val="bottom"/>
          </w:tcPr>
          <w:p w14:paraId="59457B44" w14:textId="77777777" w:rsidR="00B51828" w:rsidRPr="00DD1E22" w:rsidRDefault="00B51828" w:rsidP="002101D2">
            <w:pPr>
              <w:pStyle w:val="Tabletextboldleft"/>
              <w:jc w:val="right"/>
              <w:rPr>
                <w:b w:val="0"/>
                <w:sz w:val="19"/>
                <w:szCs w:val="19"/>
              </w:rPr>
            </w:pPr>
            <w:r w:rsidRPr="00DD1E22">
              <w:rPr>
                <w:b w:val="0"/>
                <w:color w:val="000000"/>
                <w:sz w:val="19"/>
                <w:szCs w:val="19"/>
              </w:rPr>
              <w:t>21,980</w:t>
            </w:r>
          </w:p>
        </w:tc>
        <w:tc>
          <w:tcPr>
            <w:tcW w:w="1106" w:type="dxa"/>
            <w:vAlign w:val="bottom"/>
          </w:tcPr>
          <w:p w14:paraId="5996B917" w14:textId="77777777" w:rsidR="00B51828" w:rsidRPr="00DD1E22" w:rsidRDefault="00B51828" w:rsidP="002101D2">
            <w:pPr>
              <w:pStyle w:val="Tabletextboldleft"/>
              <w:jc w:val="right"/>
              <w:rPr>
                <w:b w:val="0"/>
                <w:sz w:val="19"/>
                <w:szCs w:val="19"/>
              </w:rPr>
            </w:pPr>
            <w:r w:rsidRPr="00DD1E22">
              <w:rPr>
                <w:b w:val="0"/>
                <w:color w:val="000000"/>
                <w:sz w:val="19"/>
                <w:szCs w:val="19"/>
              </w:rPr>
              <w:t>22,128</w:t>
            </w:r>
          </w:p>
        </w:tc>
        <w:tc>
          <w:tcPr>
            <w:tcW w:w="1106" w:type="dxa"/>
            <w:vAlign w:val="bottom"/>
          </w:tcPr>
          <w:p w14:paraId="06479BF3" w14:textId="77777777" w:rsidR="00B51828" w:rsidRPr="00DD1E22" w:rsidRDefault="00B51828" w:rsidP="002101D2">
            <w:pPr>
              <w:pStyle w:val="Tabletextboldleft"/>
              <w:jc w:val="right"/>
              <w:rPr>
                <w:b w:val="0"/>
                <w:sz w:val="19"/>
                <w:szCs w:val="19"/>
              </w:rPr>
            </w:pPr>
            <w:r w:rsidRPr="00DD1E22">
              <w:rPr>
                <w:b w:val="0"/>
                <w:color w:val="000000"/>
                <w:sz w:val="19"/>
                <w:szCs w:val="19"/>
              </w:rPr>
              <w:t>22,277</w:t>
            </w:r>
          </w:p>
        </w:tc>
        <w:tc>
          <w:tcPr>
            <w:tcW w:w="1105" w:type="dxa"/>
            <w:vAlign w:val="bottom"/>
          </w:tcPr>
          <w:p w14:paraId="04365EAC" w14:textId="77777777" w:rsidR="00B51828" w:rsidRPr="00DD1E22" w:rsidRDefault="00B51828" w:rsidP="002101D2">
            <w:pPr>
              <w:pStyle w:val="Tabletextboldleft"/>
              <w:jc w:val="right"/>
              <w:rPr>
                <w:b w:val="0"/>
                <w:sz w:val="19"/>
                <w:szCs w:val="19"/>
              </w:rPr>
            </w:pPr>
            <w:r w:rsidRPr="00DD1E22">
              <w:rPr>
                <w:b w:val="0"/>
                <w:color w:val="000000"/>
                <w:sz w:val="19"/>
                <w:szCs w:val="19"/>
              </w:rPr>
              <w:t>22,425</w:t>
            </w:r>
          </w:p>
        </w:tc>
        <w:tc>
          <w:tcPr>
            <w:tcW w:w="1106" w:type="dxa"/>
            <w:vAlign w:val="bottom"/>
          </w:tcPr>
          <w:p w14:paraId="34DA9219" w14:textId="77777777" w:rsidR="00B51828" w:rsidRPr="00DD1E22" w:rsidRDefault="00B51828" w:rsidP="002101D2">
            <w:pPr>
              <w:pStyle w:val="Tabletextboldleft"/>
              <w:jc w:val="right"/>
              <w:rPr>
                <w:b w:val="0"/>
                <w:sz w:val="19"/>
                <w:szCs w:val="19"/>
              </w:rPr>
            </w:pPr>
            <w:r w:rsidRPr="00DD1E22">
              <w:rPr>
                <w:b w:val="0"/>
                <w:color w:val="000000"/>
                <w:sz w:val="19"/>
                <w:szCs w:val="19"/>
              </w:rPr>
              <w:t>22,574</w:t>
            </w:r>
          </w:p>
        </w:tc>
        <w:tc>
          <w:tcPr>
            <w:tcW w:w="1106" w:type="dxa"/>
            <w:vAlign w:val="bottom"/>
          </w:tcPr>
          <w:p w14:paraId="4023A9F7" w14:textId="77777777" w:rsidR="00B51828" w:rsidRPr="00DD1E22" w:rsidRDefault="00B51828" w:rsidP="002101D2">
            <w:pPr>
              <w:pStyle w:val="Tabletextboldleft"/>
              <w:jc w:val="right"/>
              <w:rPr>
                <w:b w:val="0"/>
                <w:sz w:val="19"/>
                <w:szCs w:val="19"/>
              </w:rPr>
            </w:pPr>
            <w:r w:rsidRPr="00DD1E22">
              <w:rPr>
                <w:b w:val="0"/>
                <w:color w:val="000000"/>
                <w:sz w:val="19"/>
                <w:szCs w:val="19"/>
              </w:rPr>
              <w:t>22,723</w:t>
            </w:r>
          </w:p>
        </w:tc>
        <w:tc>
          <w:tcPr>
            <w:tcW w:w="1106" w:type="dxa"/>
            <w:vAlign w:val="bottom"/>
          </w:tcPr>
          <w:p w14:paraId="333C3D40" w14:textId="77777777" w:rsidR="00B51828" w:rsidRPr="00DD1E22" w:rsidRDefault="00B51828" w:rsidP="002101D2">
            <w:pPr>
              <w:pStyle w:val="Tabletextboldleft"/>
              <w:jc w:val="right"/>
              <w:rPr>
                <w:b w:val="0"/>
                <w:sz w:val="19"/>
                <w:szCs w:val="19"/>
              </w:rPr>
            </w:pPr>
            <w:r w:rsidRPr="00DD1E22">
              <w:rPr>
                <w:b w:val="0"/>
                <w:color w:val="000000"/>
                <w:sz w:val="19"/>
                <w:szCs w:val="19"/>
              </w:rPr>
              <w:t>22,871</w:t>
            </w:r>
          </w:p>
        </w:tc>
      </w:tr>
      <w:tr w:rsidR="00B51828" w14:paraId="53E9E17B" w14:textId="77777777" w:rsidTr="00E61184">
        <w:trPr>
          <w:trHeight w:val="84"/>
        </w:trPr>
        <w:tc>
          <w:tcPr>
            <w:tcW w:w="2835" w:type="dxa"/>
            <w:vAlign w:val="bottom"/>
          </w:tcPr>
          <w:p w14:paraId="7CB13D44" w14:textId="77777777" w:rsidR="00B51828" w:rsidRPr="00DD1E22" w:rsidRDefault="00B51828" w:rsidP="002101D2">
            <w:pPr>
              <w:pStyle w:val="Tabletextboldleft"/>
              <w:ind w:firstLine="317"/>
              <w:rPr>
                <w:b w:val="0"/>
                <w:sz w:val="19"/>
                <w:szCs w:val="19"/>
              </w:rPr>
            </w:pPr>
            <w:r w:rsidRPr="00DD1E22">
              <w:rPr>
                <w:b w:val="0"/>
                <w:sz w:val="19"/>
                <w:szCs w:val="19"/>
              </w:rPr>
              <w:t>MBS item 72838</w:t>
            </w:r>
          </w:p>
        </w:tc>
        <w:tc>
          <w:tcPr>
            <w:tcW w:w="1105" w:type="dxa"/>
            <w:vAlign w:val="bottom"/>
          </w:tcPr>
          <w:p w14:paraId="36885A0E" w14:textId="77777777" w:rsidR="00B51828" w:rsidRPr="00DD1E22" w:rsidRDefault="00B51828" w:rsidP="002101D2">
            <w:pPr>
              <w:pStyle w:val="Tabletextboldleft"/>
              <w:jc w:val="right"/>
              <w:rPr>
                <w:b w:val="0"/>
                <w:sz w:val="19"/>
                <w:szCs w:val="19"/>
              </w:rPr>
            </w:pPr>
            <w:r w:rsidRPr="00DD1E22">
              <w:rPr>
                <w:b w:val="0"/>
                <w:sz w:val="19"/>
                <w:szCs w:val="19"/>
              </w:rPr>
              <w:t>12,570</w:t>
            </w:r>
          </w:p>
        </w:tc>
        <w:tc>
          <w:tcPr>
            <w:tcW w:w="1106" w:type="dxa"/>
            <w:vAlign w:val="bottom"/>
          </w:tcPr>
          <w:p w14:paraId="27F3AAC5" w14:textId="77777777" w:rsidR="00B51828" w:rsidRPr="00DD1E22" w:rsidRDefault="00B51828" w:rsidP="002101D2">
            <w:pPr>
              <w:pStyle w:val="Tabletextboldleft"/>
              <w:jc w:val="right"/>
              <w:rPr>
                <w:b w:val="0"/>
                <w:sz w:val="19"/>
                <w:szCs w:val="19"/>
              </w:rPr>
            </w:pPr>
            <w:r w:rsidRPr="00DD1E22">
              <w:rPr>
                <w:b w:val="0"/>
                <w:sz w:val="19"/>
                <w:szCs w:val="19"/>
              </w:rPr>
              <w:t>12,658</w:t>
            </w:r>
          </w:p>
        </w:tc>
        <w:tc>
          <w:tcPr>
            <w:tcW w:w="1106" w:type="dxa"/>
            <w:vAlign w:val="bottom"/>
          </w:tcPr>
          <w:p w14:paraId="49EB1FAF" w14:textId="77777777" w:rsidR="00B51828" w:rsidRPr="00DD1E22" w:rsidRDefault="00B51828" w:rsidP="002101D2">
            <w:pPr>
              <w:pStyle w:val="Tabletextboldleft"/>
              <w:jc w:val="right"/>
              <w:rPr>
                <w:b w:val="0"/>
                <w:sz w:val="19"/>
                <w:szCs w:val="19"/>
              </w:rPr>
            </w:pPr>
            <w:r w:rsidRPr="00DD1E22">
              <w:rPr>
                <w:b w:val="0"/>
                <w:sz w:val="19"/>
                <w:szCs w:val="19"/>
              </w:rPr>
              <w:t>12,872</w:t>
            </w:r>
          </w:p>
        </w:tc>
        <w:tc>
          <w:tcPr>
            <w:tcW w:w="1105" w:type="dxa"/>
            <w:vAlign w:val="bottom"/>
          </w:tcPr>
          <w:p w14:paraId="5C2B476D" w14:textId="77777777" w:rsidR="00B51828" w:rsidRPr="00DD1E22" w:rsidRDefault="00B51828" w:rsidP="002101D2">
            <w:pPr>
              <w:pStyle w:val="Tabletextboldleft"/>
              <w:jc w:val="right"/>
              <w:rPr>
                <w:b w:val="0"/>
                <w:sz w:val="19"/>
                <w:szCs w:val="19"/>
              </w:rPr>
            </w:pPr>
            <w:r w:rsidRPr="00DD1E22">
              <w:rPr>
                <w:b w:val="0"/>
                <w:color w:val="000000"/>
                <w:sz w:val="19"/>
                <w:szCs w:val="19"/>
              </w:rPr>
              <w:t>14,268</w:t>
            </w:r>
          </w:p>
        </w:tc>
        <w:tc>
          <w:tcPr>
            <w:tcW w:w="1106" w:type="dxa"/>
            <w:vAlign w:val="bottom"/>
          </w:tcPr>
          <w:p w14:paraId="03600C0D" w14:textId="77777777" w:rsidR="00B51828" w:rsidRPr="00DD1E22" w:rsidRDefault="00B51828" w:rsidP="002101D2">
            <w:pPr>
              <w:pStyle w:val="Tabletextboldleft"/>
              <w:jc w:val="right"/>
              <w:rPr>
                <w:b w:val="0"/>
                <w:sz w:val="19"/>
                <w:szCs w:val="19"/>
              </w:rPr>
            </w:pPr>
            <w:r w:rsidRPr="00DD1E22">
              <w:rPr>
                <w:b w:val="0"/>
                <w:color w:val="000000"/>
                <w:sz w:val="19"/>
                <w:szCs w:val="19"/>
              </w:rPr>
              <w:t>15,084</w:t>
            </w:r>
          </w:p>
        </w:tc>
        <w:tc>
          <w:tcPr>
            <w:tcW w:w="1106" w:type="dxa"/>
            <w:vAlign w:val="bottom"/>
          </w:tcPr>
          <w:p w14:paraId="16BAEDF8" w14:textId="77777777" w:rsidR="00B51828" w:rsidRPr="00DD1E22" w:rsidRDefault="00B51828" w:rsidP="002101D2">
            <w:pPr>
              <w:pStyle w:val="Tabletextboldleft"/>
              <w:jc w:val="right"/>
              <w:rPr>
                <w:b w:val="0"/>
                <w:sz w:val="19"/>
                <w:szCs w:val="19"/>
              </w:rPr>
            </w:pPr>
            <w:r w:rsidRPr="00DD1E22">
              <w:rPr>
                <w:b w:val="0"/>
                <w:color w:val="000000"/>
                <w:sz w:val="19"/>
                <w:szCs w:val="19"/>
              </w:rPr>
              <w:t>15,901</w:t>
            </w:r>
          </w:p>
        </w:tc>
        <w:tc>
          <w:tcPr>
            <w:tcW w:w="1105" w:type="dxa"/>
            <w:vAlign w:val="bottom"/>
          </w:tcPr>
          <w:p w14:paraId="1C48131F" w14:textId="77777777" w:rsidR="00B51828" w:rsidRPr="00DD1E22" w:rsidRDefault="00B51828" w:rsidP="002101D2">
            <w:pPr>
              <w:pStyle w:val="Tabletextboldleft"/>
              <w:jc w:val="right"/>
              <w:rPr>
                <w:b w:val="0"/>
                <w:sz w:val="19"/>
                <w:szCs w:val="19"/>
              </w:rPr>
            </w:pPr>
            <w:r w:rsidRPr="00DD1E22">
              <w:rPr>
                <w:b w:val="0"/>
                <w:color w:val="000000"/>
                <w:sz w:val="19"/>
                <w:szCs w:val="19"/>
              </w:rPr>
              <w:t>16,718</w:t>
            </w:r>
          </w:p>
        </w:tc>
        <w:tc>
          <w:tcPr>
            <w:tcW w:w="1106" w:type="dxa"/>
            <w:vAlign w:val="bottom"/>
          </w:tcPr>
          <w:p w14:paraId="14123F71" w14:textId="77777777" w:rsidR="00B51828" w:rsidRPr="00DD1E22" w:rsidRDefault="00B51828" w:rsidP="002101D2">
            <w:pPr>
              <w:pStyle w:val="Tabletextboldleft"/>
              <w:jc w:val="right"/>
              <w:rPr>
                <w:b w:val="0"/>
                <w:sz w:val="19"/>
                <w:szCs w:val="19"/>
              </w:rPr>
            </w:pPr>
            <w:r w:rsidRPr="00DD1E22">
              <w:rPr>
                <w:b w:val="0"/>
                <w:color w:val="000000"/>
                <w:sz w:val="19"/>
                <w:szCs w:val="19"/>
              </w:rPr>
              <w:t>17,535</w:t>
            </w:r>
          </w:p>
        </w:tc>
        <w:tc>
          <w:tcPr>
            <w:tcW w:w="1106" w:type="dxa"/>
            <w:vAlign w:val="bottom"/>
          </w:tcPr>
          <w:p w14:paraId="1B1887DA" w14:textId="77777777" w:rsidR="00B51828" w:rsidRPr="00DD1E22" w:rsidRDefault="00B51828" w:rsidP="002101D2">
            <w:pPr>
              <w:pStyle w:val="Tabletextboldleft"/>
              <w:jc w:val="right"/>
              <w:rPr>
                <w:b w:val="0"/>
                <w:sz w:val="19"/>
                <w:szCs w:val="19"/>
              </w:rPr>
            </w:pPr>
            <w:r w:rsidRPr="00DD1E22">
              <w:rPr>
                <w:b w:val="0"/>
                <w:color w:val="000000"/>
                <w:sz w:val="19"/>
                <w:szCs w:val="19"/>
              </w:rPr>
              <w:t>18,352</w:t>
            </w:r>
          </w:p>
        </w:tc>
        <w:tc>
          <w:tcPr>
            <w:tcW w:w="1106" w:type="dxa"/>
            <w:vAlign w:val="bottom"/>
          </w:tcPr>
          <w:p w14:paraId="172079B5" w14:textId="77777777" w:rsidR="00B51828" w:rsidRPr="00DD1E22" w:rsidRDefault="00B51828" w:rsidP="002101D2">
            <w:pPr>
              <w:pStyle w:val="Tabletextboldleft"/>
              <w:jc w:val="right"/>
              <w:rPr>
                <w:b w:val="0"/>
                <w:sz w:val="19"/>
                <w:szCs w:val="19"/>
              </w:rPr>
            </w:pPr>
            <w:r w:rsidRPr="00DD1E22">
              <w:rPr>
                <w:b w:val="0"/>
                <w:color w:val="000000"/>
                <w:sz w:val="19"/>
                <w:szCs w:val="19"/>
              </w:rPr>
              <w:t>19,168</w:t>
            </w:r>
          </w:p>
        </w:tc>
      </w:tr>
      <w:tr w:rsidR="00B51828" w14:paraId="06A431B9" w14:textId="77777777" w:rsidTr="00E61184">
        <w:trPr>
          <w:trHeight w:val="84"/>
        </w:trPr>
        <w:tc>
          <w:tcPr>
            <w:tcW w:w="2835" w:type="dxa"/>
            <w:shd w:val="clear" w:color="auto" w:fill="D0CECE" w:themeFill="background2" w:themeFillShade="E6"/>
          </w:tcPr>
          <w:p w14:paraId="4E7C0586" w14:textId="77777777" w:rsidR="00B51828" w:rsidRPr="00617DA4" w:rsidRDefault="00B51828" w:rsidP="002101D2">
            <w:pPr>
              <w:pStyle w:val="Tabletextboldleft"/>
            </w:pPr>
            <w:r w:rsidRPr="00617DA4">
              <w:t>Total</w:t>
            </w:r>
          </w:p>
        </w:tc>
        <w:tc>
          <w:tcPr>
            <w:tcW w:w="1105" w:type="dxa"/>
            <w:shd w:val="clear" w:color="auto" w:fill="D0CECE" w:themeFill="background2" w:themeFillShade="E6"/>
            <w:vAlign w:val="bottom"/>
          </w:tcPr>
          <w:p w14:paraId="06ECB75B" w14:textId="77777777" w:rsidR="00B51828" w:rsidRPr="00617DA4" w:rsidRDefault="00B51828" w:rsidP="002101D2">
            <w:pPr>
              <w:pStyle w:val="Tabletextboldleft"/>
              <w:jc w:val="right"/>
            </w:pPr>
            <w:r w:rsidRPr="00617DA4">
              <w:t>2,558,687</w:t>
            </w:r>
          </w:p>
        </w:tc>
        <w:tc>
          <w:tcPr>
            <w:tcW w:w="1106" w:type="dxa"/>
            <w:shd w:val="clear" w:color="auto" w:fill="D0CECE" w:themeFill="background2" w:themeFillShade="E6"/>
            <w:vAlign w:val="bottom"/>
          </w:tcPr>
          <w:p w14:paraId="4242D116" w14:textId="77777777" w:rsidR="00B51828" w:rsidRPr="00617DA4" w:rsidRDefault="00B51828" w:rsidP="002101D2">
            <w:pPr>
              <w:pStyle w:val="Tabletextboldleft"/>
              <w:jc w:val="right"/>
            </w:pPr>
            <w:r w:rsidRPr="00617DA4">
              <w:t>2,677,653</w:t>
            </w:r>
          </w:p>
        </w:tc>
        <w:tc>
          <w:tcPr>
            <w:tcW w:w="1106" w:type="dxa"/>
            <w:shd w:val="clear" w:color="auto" w:fill="D0CECE" w:themeFill="background2" w:themeFillShade="E6"/>
            <w:vAlign w:val="bottom"/>
          </w:tcPr>
          <w:p w14:paraId="185C0738" w14:textId="77777777" w:rsidR="00B51828" w:rsidRPr="00617DA4" w:rsidRDefault="00B51828" w:rsidP="002101D2">
            <w:pPr>
              <w:pStyle w:val="Tabletextboldleft"/>
              <w:jc w:val="right"/>
            </w:pPr>
            <w:r w:rsidRPr="00617DA4">
              <w:t>2,814,646</w:t>
            </w:r>
          </w:p>
        </w:tc>
        <w:tc>
          <w:tcPr>
            <w:tcW w:w="1105" w:type="dxa"/>
            <w:shd w:val="clear" w:color="auto" w:fill="D0CECE" w:themeFill="background2" w:themeFillShade="E6"/>
            <w:vAlign w:val="bottom"/>
          </w:tcPr>
          <w:p w14:paraId="1D8DBB19" w14:textId="77777777" w:rsidR="00B51828" w:rsidRPr="00617DA4" w:rsidRDefault="00B51828" w:rsidP="002101D2">
            <w:pPr>
              <w:pStyle w:val="Tabletextboldleft"/>
              <w:jc w:val="right"/>
            </w:pPr>
            <w:r w:rsidRPr="00617DA4">
              <w:t>2,913,069</w:t>
            </w:r>
          </w:p>
        </w:tc>
        <w:tc>
          <w:tcPr>
            <w:tcW w:w="1106" w:type="dxa"/>
            <w:shd w:val="clear" w:color="auto" w:fill="D0CECE" w:themeFill="background2" w:themeFillShade="E6"/>
            <w:vAlign w:val="bottom"/>
          </w:tcPr>
          <w:p w14:paraId="614F7A0F" w14:textId="77777777" w:rsidR="00B51828" w:rsidRPr="00617DA4" w:rsidRDefault="00B51828" w:rsidP="002101D2">
            <w:pPr>
              <w:pStyle w:val="Tabletextboldleft"/>
              <w:jc w:val="right"/>
            </w:pPr>
            <w:r w:rsidRPr="00617DA4">
              <w:t>3,026,863</w:t>
            </w:r>
          </w:p>
        </w:tc>
        <w:tc>
          <w:tcPr>
            <w:tcW w:w="1106" w:type="dxa"/>
            <w:shd w:val="clear" w:color="auto" w:fill="D0CECE" w:themeFill="background2" w:themeFillShade="E6"/>
            <w:vAlign w:val="bottom"/>
          </w:tcPr>
          <w:p w14:paraId="410A7255" w14:textId="77777777" w:rsidR="00B51828" w:rsidRPr="00617DA4" w:rsidRDefault="00B51828" w:rsidP="002101D2">
            <w:pPr>
              <w:pStyle w:val="Tabletextboldleft"/>
              <w:jc w:val="right"/>
            </w:pPr>
            <w:r w:rsidRPr="00617DA4">
              <w:t>3,140,658</w:t>
            </w:r>
          </w:p>
        </w:tc>
        <w:tc>
          <w:tcPr>
            <w:tcW w:w="1105" w:type="dxa"/>
            <w:shd w:val="clear" w:color="auto" w:fill="D0CECE" w:themeFill="background2" w:themeFillShade="E6"/>
            <w:vAlign w:val="bottom"/>
          </w:tcPr>
          <w:p w14:paraId="48D0FB66" w14:textId="77777777" w:rsidR="00B51828" w:rsidRPr="00617DA4" w:rsidRDefault="00B51828" w:rsidP="002101D2">
            <w:pPr>
              <w:pStyle w:val="Tabletextboldleft"/>
              <w:jc w:val="right"/>
            </w:pPr>
            <w:r w:rsidRPr="00617DA4">
              <w:t>3,254,451</w:t>
            </w:r>
          </w:p>
        </w:tc>
        <w:tc>
          <w:tcPr>
            <w:tcW w:w="1106" w:type="dxa"/>
            <w:shd w:val="clear" w:color="auto" w:fill="D0CECE" w:themeFill="background2" w:themeFillShade="E6"/>
            <w:vAlign w:val="bottom"/>
          </w:tcPr>
          <w:p w14:paraId="14494DB3" w14:textId="77777777" w:rsidR="00B51828" w:rsidRPr="00617DA4" w:rsidRDefault="00B51828" w:rsidP="002101D2">
            <w:pPr>
              <w:pStyle w:val="Tabletextboldleft"/>
              <w:jc w:val="right"/>
            </w:pPr>
            <w:r w:rsidRPr="00617DA4">
              <w:t>3,368,247</w:t>
            </w:r>
          </w:p>
        </w:tc>
        <w:tc>
          <w:tcPr>
            <w:tcW w:w="1106" w:type="dxa"/>
            <w:shd w:val="clear" w:color="auto" w:fill="D0CECE" w:themeFill="background2" w:themeFillShade="E6"/>
            <w:vAlign w:val="bottom"/>
          </w:tcPr>
          <w:p w14:paraId="5B36971B" w14:textId="77777777" w:rsidR="00B51828" w:rsidRPr="00617DA4" w:rsidRDefault="00B51828" w:rsidP="002101D2">
            <w:pPr>
              <w:pStyle w:val="Tabletextboldleft"/>
              <w:jc w:val="right"/>
            </w:pPr>
            <w:r w:rsidRPr="00617DA4">
              <w:t>3,482,043</w:t>
            </w:r>
          </w:p>
        </w:tc>
        <w:tc>
          <w:tcPr>
            <w:tcW w:w="1106" w:type="dxa"/>
            <w:shd w:val="clear" w:color="auto" w:fill="D0CECE" w:themeFill="background2" w:themeFillShade="E6"/>
            <w:vAlign w:val="bottom"/>
          </w:tcPr>
          <w:p w14:paraId="584FC0CC" w14:textId="77777777" w:rsidR="00B51828" w:rsidRPr="00617DA4" w:rsidRDefault="00B51828" w:rsidP="002101D2">
            <w:pPr>
              <w:pStyle w:val="Tabletextboldleft"/>
              <w:jc w:val="right"/>
            </w:pPr>
            <w:r w:rsidRPr="00617DA4">
              <w:t>3,595,838</w:t>
            </w:r>
          </w:p>
        </w:tc>
      </w:tr>
      <w:tr w:rsidR="00B51828" w14:paraId="551F868C" w14:textId="77777777" w:rsidTr="00E61184">
        <w:trPr>
          <w:trHeight w:val="84"/>
        </w:trPr>
        <w:tc>
          <w:tcPr>
            <w:tcW w:w="2835" w:type="dxa"/>
            <w:shd w:val="clear" w:color="auto" w:fill="D0CECE" w:themeFill="background2" w:themeFillShade="E6"/>
          </w:tcPr>
          <w:p w14:paraId="641430FD" w14:textId="77777777" w:rsidR="00B51828" w:rsidRPr="00DD1E22" w:rsidRDefault="00B51828" w:rsidP="002101D2">
            <w:pPr>
              <w:pStyle w:val="Tabletextboldleft"/>
              <w:rPr>
                <w:color w:val="000000"/>
                <w:sz w:val="19"/>
                <w:szCs w:val="19"/>
              </w:rPr>
            </w:pPr>
            <w:r w:rsidRPr="00DD1E22">
              <w:rPr>
                <w:color w:val="000000"/>
                <w:sz w:val="19"/>
                <w:szCs w:val="19"/>
              </w:rPr>
              <w:t>Cytology</w:t>
            </w:r>
          </w:p>
        </w:tc>
        <w:tc>
          <w:tcPr>
            <w:tcW w:w="1105" w:type="dxa"/>
            <w:shd w:val="clear" w:color="auto" w:fill="D0CECE" w:themeFill="background2" w:themeFillShade="E6"/>
            <w:vAlign w:val="bottom"/>
          </w:tcPr>
          <w:p w14:paraId="75A84F3F"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6" w:type="dxa"/>
            <w:shd w:val="clear" w:color="auto" w:fill="D0CECE" w:themeFill="background2" w:themeFillShade="E6"/>
            <w:vAlign w:val="bottom"/>
          </w:tcPr>
          <w:p w14:paraId="54F50EF5"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6" w:type="dxa"/>
            <w:shd w:val="clear" w:color="auto" w:fill="D0CECE" w:themeFill="background2" w:themeFillShade="E6"/>
            <w:vAlign w:val="bottom"/>
          </w:tcPr>
          <w:p w14:paraId="584BBC92"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5" w:type="dxa"/>
            <w:shd w:val="clear" w:color="auto" w:fill="D0CECE" w:themeFill="background2" w:themeFillShade="E6"/>
            <w:vAlign w:val="bottom"/>
          </w:tcPr>
          <w:p w14:paraId="6C8E18A2"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6" w:type="dxa"/>
            <w:shd w:val="clear" w:color="auto" w:fill="D0CECE" w:themeFill="background2" w:themeFillShade="E6"/>
            <w:vAlign w:val="bottom"/>
          </w:tcPr>
          <w:p w14:paraId="2253F8C3"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6" w:type="dxa"/>
            <w:shd w:val="clear" w:color="auto" w:fill="D0CECE" w:themeFill="background2" w:themeFillShade="E6"/>
            <w:vAlign w:val="bottom"/>
          </w:tcPr>
          <w:p w14:paraId="0A7B18B3"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5" w:type="dxa"/>
            <w:shd w:val="clear" w:color="auto" w:fill="D0CECE" w:themeFill="background2" w:themeFillShade="E6"/>
            <w:vAlign w:val="bottom"/>
          </w:tcPr>
          <w:p w14:paraId="2F6F45EC"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6" w:type="dxa"/>
            <w:shd w:val="clear" w:color="auto" w:fill="D0CECE" w:themeFill="background2" w:themeFillShade="E6"/>
            <w:vAlign w:val="bottom"/>
          </w:tcPr>
          <w:p w14:paraId="5ADA3FBB"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6" w:type="dxa"/>
            <w:shd w:val="clear" w:color="auto" w:fill="D0CECE" w:themeFill="background2" w:themeFillShade="E6"/>
            <w:vAlign w:val="bottom"/>
          </w:tcPr>
          <w:p w14:paraId="01CBD057" w14:textId="77777777" w:rsidR="00B51828" w:rsidRPr="00DD1E22" w:rsidRDefault="00B51828" w:rsidP="002101D2">
            <w:pPr>
              <w:pStyle w:val="Tabletextboldleft"/>
              <w:jc w:val="right"/>
              <w:rPr>
                <w:b w:val="0"/>
                <w:sz w:val="19"/>
                <w:szCs w:val="19"/>
              </w:rPr>
            </w:pPr>
            <w:r w:rsidRPr="00DD1E22">
              <w:rPr>
                <w:b w:val="0"/>
                <w:sz w:val="19"/>
                <w:szCs w:val="19"/>
              </w:rPr>
              <w:t>-</w:t>
            </w:r>
          </w:p>
        </w:tc>
        <w:tc>
          <w:tcPr>
            <w:tcW w:w="1106" w:type="dxa"/>
            <w:shd w:val="clear" w:color="auto" w:fill="D0CECE" w:themeFill="background2" w:themeFillShade="E6"/>
            <w:vAlign w:val="bottom"/>
          </w:tcPr>
          <w:p w14:paraId="03044033" w14:textId="77777777" w:rsidR="00B51828" w:rsidRPr="00DD1E22" w:rsidRDefault="00B51828" w:rsidP="002101D2">
            <w:pPr>
              <w:pStyle w:val="Tabletextboldleft"/>
              <w:jc w:val="right"/>
              <w:rPr>
                <w:b w:val="0"/>
                <w:sz w:val="19"/>
                <w:szCs w:val="19"/>
              </w:rPr>
            </w:pPr>
            <w:r w:rsidRPr="00DD1E22">
              <w:rPr>
                <w:b w:val="0"/>
                <w:sz w:val="19"/>
                <w:szCs w:val="19"/>
              </w:rPr>
              <w:t>-</w:t>
            </w:r>
          </w:p>
        </w:tc>
      </w:tr>
      <w:tr w:rsidR="00B51828" w14:paraId="4C7111EC" w14:textId="77777777" w:rsidTr="00E61184">
        <w:trPr>
          <w:trHeight w:val="84"/>
        </w:trPr>
        <w:tc>
          <w:tcPr>
            <w:tcW w:w="2835" w:type="dxa"/>
            <w:vAlign w:val="bottom"/>
          </w:tcPr>
          <w:p w14:paraId="3579852B" w14:textId="77777777" w:rsidR="00B51828" w:rsidRPr="00DD1E22" w:rsidRDefault="00B51828" w:rsidP="002101D2">
            <w:pPr>
              <w:pStyle w:val="Tabletextboldleft"/>
              <w:ind w:firstLine="317"/>
              <w:rPr>
                <w:b w:val="0"/>
                <w:sz w:val="19"/>
                <w:szCs w:val="19"/>
              </w:rPr>
            </w:pPr>
            <w:r w:rsidRPr="00DD1E22">
              <w:rPr>
                <w:b w:val="0"/>
                <w:sz w:val="19"/>
                <w:szCs w:val="19"/>
              </w:rPr>
              <w:t>MBS item 73043</w:t>
            </w:r>
          </w:p>
        </w:tc>
        <w:tc>
          <w:tcPr>
            <w:tcW w:w="1105" w:type="dxa"/>
            <w:vAlign w:val="bottom"/>
          </w:tcPr>
          <w:p w14:paraId="11F68C6E" w14:textId="77777777" w:rsidR="00B51828" w:rsidRPr="00DD1E22" w:rsidRDefault="00B51828" w:rsidP="002101D2">
            <w:pPr>
              <w:pStyle w:val="Tabletextboldleft"/>
              <w:jc w:val="right"/>
              <w:rPr>
                <w:b w:val="0"/>
                <w:sz w:val="19"/>
                <w:szCs w:val="19"/>
              </w:rPr>
            </w:pPr>
            <w:r w:rsidRPr="00DD1E22">
              <w:rPr>
                <w:b w:val="0"/>
                <w:sz w:val="19"/>
                <w:szCs w:val="19"/>
              </w:rPr>
              <w:t>2,534</w:t>
            </w:r>
          </w:p>
        </w:tc>
        <w:tc>
          <w:tcPr>
            <w:tcW w:w="1106" w:type="dxa"/>
            <w:vAlign w:val="bottom"/>
          </w:tcPr>
          <w:p w14:paraId="3A760837" w14:textId="77777777" w:rsidR="00B51828" w:rsidRPr="00DD1E22" w:rsidRDefault="00B51828" w:rsidP="002101D2">
            <w:pPr>
              <w:pStyle w:val="Tabletextboldleft"/>
              <w:jc w:val="right"/>
              <w:rPr>
                <w:b w:val="0"/>
                <w:sz w:val="19"/>
                <w:szCs w:val="19"/>
              </w:rPr>
            </w:pPr>
            <w:r w:rsidRPr="00DD1E22">
              <w:rPr>
                <w:b w:val="0"/>
                <w:sz w:val="19"/>
                <w:szCs w:val="19"/>
              </w:rPr>
              <w:t>2,326</w:t>
            </w:r>
          </w:p>
        </w:tc>
        <w:tc>
          <w:tcPr>
            <w:tcW w:w="1106" w:type="dxa"/>
            <w:vAlign w:val="bottom"/>
          </w:tcPr>
          <w:p w14:paraId="5D25FEEB" w14:textId="77777777" w:rsidR="00B51828" w:rsidRPr="00DD1E22" w:rsidRDefault="00B51828" w:rsidP="002101D2">
            <w:pPr>
              <w:pStyle w:val="Tabletextboldleft"/>
              <w:jc w:val="right"/>
              <w:rPr>
                <w:b w:val="0"/>
                <w:sz w:val="19"/>
                <w:szCs w:val="19"/>
              </w:rPr>
            </w:pPr>
            <w:r w:rsidRPr="00DD1E22">
              <w:rPr>
                <w:b w:val="0"/>
                <w:sz w:val="19"/>
                <w:szCs w:val="19"/>
              </w:rPr>
              <w:t>2,370</w:t>
            </w:r>
          </w:p>
        </w:tc>
        <w:tc>
          <w:tcPr>
            <w:tcW w:w="1105" w:type="dxa"/>
            <w:vAlign w:val="bottom"/>
          </w:tcPr>
          <w:p w14:paraId="15B16E84" w14:textId="77777777" w:rsidR="00B51828" w:rsidRPr="00DD1E22" w:rsidRDefault="00B51828" w:rsidP="002101D2">
            <w:pPr>
              <w:pStyle w:val="Tabletextboldleft"/>
              <w:jc w:val="right"/>
              <w:rPr>
                <w:b w:val="0"/>
                <w:sz w:val="19"/>
                <w:szCs w:val="19"/>
              </w:rPr>
            </w:pPr>
            <w:r w:rsidRPr="00DD1E22">
              <w:rPr>
                <w:b w:val="0"/>
                <w:color w:val="000000"/>
                <w:sz w:val="19"/>
                <w:szCs w:val="19"/>
              </w:rPr>
              <w:t>2,211</w:t>
            </w:r>
          </w:p>
        </w:tc>
        <w:tc>
          <w:tcPr>
            <w:tcW w:w="1106" w:type="dxa"/>
            <w:vAlign w:val="bottom"/>
          </w:tcPr>
          <w:p w14:paraId="52E97C11" w14:textId="77777777" w:rsidR="00B51828" w:rsidRPr="00DD1E22" w:rsidRDefault="00B51828" w:rsidP="002101D2">
            <w:pPr>
              <w:pStyle w:val="Tabletextboldleft"/>
              <w:jc w:val="right"/>
              <w:rPr>
                <w:b w:val="0"/>
                <w:sz w:val="19"/>
                <w:szCs w:val="19"/>
              </w:rPr>
            </w:pPr>
            <w:r w:rsidRPr="00DD1E22">
              <w:rPr>
                <w:b w:val="0"/>
                <w:color w:val="000000"/>
                <w:sz w:val="19"/>
                <w:szCs w:val="19"/>
              </w:rPr>
              <w:t>2,110</w:t>
            </w:r>
          </w:p>
        </w:tc>
        <w:tc>
          <w:tcPr>
            <w:tcW w:w="1106" w:type="dxa"/>
            <w:vAlign w:val="bottom"/>
          </w:tcPr>
          <w:p w14:paraId="62498844" w14:textId="77777777" w:rsidR="00B51828" w:rsidRPr="00DD1E22" w:rsidRDefault="00B51828" w:rsidP="002101D2">
            <w:pPr>
              <w:pStyle w:val="Tabletextboldleft"/>
              <w:jc w:val="right"/>
              <w:rPr>
                <w:b w:val="0"/>
                <w:sz w:val="19"/>
                <w:szCs w:val="19"/>
              </w:rPr>
            </w:pPr>
            <w:r w:rsidRPr="00DD1E22">
              <w:rPr>
                <w:b w:val="0"/>
                <w:color w:val="000000"/>
                <w:sz w:val="19"/>
                <w:szCs w:val="19"/>
              </w:rPr>
              <w:t>2,008</w:t>
            </w:r>
          </w:p>
        </w:tc>
        <w:tc>
          <w:tcPr>
            <w:tcW w:w="1105" w:type="dxa"/>
            <w:vAlign w:val="bottom"/>
          </w:tcPr>
          <w:p w14:paraId="39FD8EB7" w14:textId="77777777" w:rsidR="00B51828" w:rsidRPr="00DD1E22" w:rsidRDefault="00B51828" w:rsidP="002101D2">
            <w:pPr>
              <w:pStyle w:val="Tabletextboldleft"/>
              <w:jc w:val="right"/>
              <w:rPr>
                <w:b w:val="0"/>
                <w:sz w:val="19"/>
                <w:szCs w:val="19"/>
              </w:rPr>
            </w:pPr>
            <w:r w:rsidRPr="00DD1E22">
              <w:rPr>
                <w:b w:val="0"/>
                <w:color w:val="000000"/>
                <w:sz w:val="19"/>
                <w:szCs w:val="19"/>
              </w:rPr>
              <w:t>1,907</w:t>
            </w:r>
          </w:p>
        </w:tc>
        <w:tc>
          <w:tcPr>
            <w:tcW w:w="1106" w:type="dxa"/>
            <w:vAlign w:val="bottom"/>
          </w:tcPr>
          <w:p w14:paraId="4F58DF8A" w14:textId="77777777" w:rsidR="00B51828" w:rsidRPr="00DD1E22" w:rsidRDefault="00B51828" w:rsidP="002101D2">
            <w:pPr>
              <w:pStyle w:val="Tabletextboldleft"/>
              <w:jc w:val="right"/>
              <w:rPr>
                <w:b w:val="0"/>
                <w:sz w:val="19"/>
                <w:szCs w:val="19"/>
              </w:rPr>
            </w:pPr>
            <w:r w:rsidRPr="00DD1E22">
              <w:rPr>
                <w:b w:val="0"/>
                <w:color w:val="000000"/>
                <w:sz w:val="19"/>
                <w:szCs w:val="19"/>
              </w:rPr>
              <w:t>1,805</w:t>
            </w:r>
          </w:p>
        </w:tc>
        <w:tc>
          <w:tcPr>
            <w:tcW w:w="1106" w:type="dxa"/>
            <w:vAlign w:val="bottom"/>
          </w:tcPr>
          <w:p w14:paraId="1F84A1E7" w14:textId="77777777" w:rsidR="00B51828" w:rsidRPr="00DD1E22" w:rsidRDefault="00B51828" w:rsidP="002101D2">
            <w:pPr>
              <w:pStyle w:val="Tabletextboldleft"/>
              <w:jc w:val="right"/>
              <w:rPr>
                <w:b w:val="0"/>
                <w:sz w:val="19"/>
                <w:szCs w:val="19"/>
              </w:rPr>
            </w:pPr>
            <w:r w:rsidRPr="00DD1E22">
              <w:rPr>
                <w:b w:val="0"/>
                <w:color w:val="000000"/>
                <w:sz w:val="19"/>
                <w:szCs w:val="19"/>
              </w:rPr>
              <w:t>1,704</w:t>
            </w:r>
          </w:p>
        </w:tc>
        <w:tc>
          <w:tcPr>
            <w:tcW w:w="1106" w:type="dxa"/>
            <w:vAlign w:val="bottom"/>
          </w:tcPr>
          <w:p w14:paraId="3E43DC8E" w14:textId="77777777" w:rsidR="00B51828" w:rsidRPr="00DD1E22" w:rsidRDefault="00B51828" w:rsidP="002101D2">
            <w:pPr>
              <w:pStyle w:val="Tabletextboldleft"/>
              <w:jc w:val="right"/>
              <w:rPr>
                <w:b w:val="0"/>
                <w:sz w:val="19"/>
                <w:szCs w:val="19"/>
              </w:rPr>
            </w:pPr>
            <w:r w:rsidRPr="00DD1E22">
              <w:rPr>
                <w:b w:val="0"/>
                <w:color w:val="000000"/>
                <w:sz w:val="19"/>
                <w:szCs w:val="19"/>
              </w:rPr>
              <w:t>1,602</w:t>
            </w:r>
          </w:p>
        </w:tc>
      </w:tr>
      <w:tr w:rsidR="00B51828" w14:paraId="104E5E51" w14:textId="77777777" w:rsidTr="00E61184">
        <w:trPr>
          <w:trHeight w:val="84"/>
        </w:trPr>
        <w:tc>
          <w:tcPr>
            <w:tcW w:w="2835" w:type="dxa"/>
            <w:vAlign w:val="bottom"/>
          </w:tcPr>
          <w:p w14:paraId="28C95883" w14:textId="77777777" w:rsidR="00B51828" w:rsidRPr="00DD1E22" w:rsidRDefault="00B51828" w:rsidP="002101D2">
            <w:pPr>
              <w:pStyle w:val="Tabletextboldleft"/>
              <w:ind w:firstLine="317"/>
              <w:rPr>
                <w:b w:val="0"/>
                <w:sz w:val="19"/>
                <w:szCs w:val="19"/>
              </w:rPr>
            </w:pPr>
            <w:r w:rsidRPr="00DD1E22">
              <w:rPr>
                <w:b w:val="0"/>
                <w:sz w:val="19"/>
                <w:szCs w:val="19"/>
              </w:rPr>
              <w:t>MBS item 73045</w:t>
            </w:r>
          </w:p>
        </w:tc>
        <w:tc>
          <w:tcPr>
            <w:tcW w:w="1105" w:type="dxa"/>
            <w:vAlign w:val="bottom"/>
          </w:tcPr>
          <w:p w14:paraId="4F5561E5" w14:textId="77777777" w:rsidR="00B51828" w:rsidRPr="00DD1E22" w:rsidRDefault="00B51828" w:rsidP="002101D2">
            <w:pPr>
              <w:pStyle w:val="Tabletextboldleft"/>
              <w:jc w:val="right"/>
              <w:rPr>
                <w:b w:val="0"/>
                <w:sz w:val="19"/>
                <w:szCs w:val="19"/>
              </w:rPr>
            </w:pPr>
            <w:r w:rsidRPr="00DD1E22">
              <w:rPr>
                <w:b w:val="0"/>
                <w:color w:val="000000"/>
                <w:sz w:val="19"/>
                <w:szCs w:val="19"/>
              </w:rPr>
              <w:t>90,638</w:t>
            </w:r>
          </w:p>
        </w:tc>
        <w:tc>
          <w:tcPr>
            <w:tcW w:w="1106" w:type="dxa"/>
            <w:vAlign w:val="bottom"/>
          </w:tcPr>
          <w:p w14:paraId="199972E6" w14:textId="77777777" w:rsidR="00B51828" w:rsidRPr="00DD1E22" w:rsidRDefault="00B51828" w:rsidP="002101D2">
            <w:pPr>
              <w:pStyle w:val="Tabletextboldleft"/>
              <w:jc w:val="right"/>
              <w:rPr>
                <w:b w:val="0"/>
                <w:sz w:val="19"/>
                <w:szCs w:val="19"/>
              </w:rPr>
            </w:pPr>
            <w:r w:rsidRPr="00DD1E22">
              <w:rPr>
                <w:b w:val="0"/>
                <w:color w:val="000000"/>
                <w:sz w:val="19"/>
                <w:szCs w:val="19"/>
              </w:rPr>
              <w:t>93,632</w:t>
            </w:r>
          </w:p>
        </w:tc>
        <w:tc>
          <w:tcPr>
            <w:tcW w:w="1106" w:type="dxa"/>
            <w:vAlign w:val="bottom"/>
          </w:tcPr>
          <w:p w14:paraId="2ED999D4" w14:textId="77777777" w:rsidR="00B51828" w:rsidRPr="00DD1E22" w:rsidRDefault="00B51828" w:rsidP="002101D2">
            <w:pPr>
              <w:pStyle w:val="Tabletextboldleft"/>
              <w:jc w:val="right"/>
              <w:rPr>
                <w:b w:val="0"/>
                <w:sz w:val="19"/>
                <w:szCs w:val="19"/>
              </w:rPr>
            </w:pPr>
            <w:r w:rsidRPr="00DD1E22">
              <w:rPr>
                <w:b w:val="0"/>
                <w:color w:val="000000"/>
                <w:sz w:val="19"/>
                <w:szCs w:val="19"/>
              </w:rPr>
              <w:t>99,501</w:t>
            </w:r>
          </w:p>
        </w:tc>
        <w:tc>
          <w:tcPr>
            <w:tcW w:w="1105" w:type="dxa"/>
            <w:vAlign w:val="bottom"/>
          </w:tcPr>
          <w:p w14:paraId="6CEF1D4C" w14:textId="77777777" w:rsidR="00B51828" w:rsidRPr="00DD1E22" w:rsidRDefault="00B51828" w:rsidP="002101D2">
            <w:pPr>
              <w:pStyle w:val="Tabletextboldleft"/>
              <w:jc w:val="right"/>
              <w:rPr>
                <w:b w:val="0"/>
                <w:sz w:val="19"/>
                <w:szCs w:val="19"/>
              </w:rPr>
            </w:pPr>
            <w:r w:rsidRPr="00DD1E22">
              <w:rPr>
                <w:b w:val="0"/>
                <w:color w:val="000000"/>
                <w:sz w:val="19"/>
                <w:szCs w:val="19"/>
              </w:rPr>
              <w:t>101,331</w:t>
            </w:r>
          </w:p>
        </w:tc>
        <w:tc>
          <w:tcPr>
            <w:tcW w:w="1106" w:type="dxa"/>
            <w:vAlign w:val="bottom"/>
          </w:tcPr>
          <w:p w14:paraId="2C43F129" w14:textId="77777777" w:rsidR="00B51828" w:rsidRPr="00DD1E22" w:rsidRDefault="00B51828" w:rsidP="002101D2">
            <w:pPr>
              <w:pStyle w:val="Tabletextboldleft"/>
              <w:jc w:val="right"/>
              <w:rPr>
                <w:b w:val="0"/>
                <w:sz w:val="19"/>
                <w:szCs w:val="19"/>
              </w:rPr>
            </w:pPr>
            <w:r w:rsidRPr="00DD1E22">
              <w:rPr>
                <w:b w:val="0"/>
                <w:color w:val="000000"/>
                <w:sz w:val="19"/>
                <w:szCs w:val="19"/>
              </w:rPr>
              <w:t>104,692</w:t>
            </w:r>
          </w:p>
        </w:tc>
        <w:tc>
          <w:tcPr>
            <w:tcW w:w="1106" w:type="dxa"/>
            <w:vAlign w:val="bottom"/>
          </w:tcPr>
          <w:p w14:paraId="458771CF" w14:textId="77777777" w:rsidR="00B51828" w:rsidRPr="00DD1E22" w:rsidRDefault="00B51828" w:rsidP="002101D2">
            <w:pPr>
              <w:pStyle w:val="Tabletextboldleft"/>
              <w:jc w:val="right"/>
              <w:rPr>
                <w:b w:val="0"/>
                <w:sz w:val="19"/>
                <w:szCs w:val="19"/>
              </w:rPr>
            </w:pPr>
            <w:r w:rsidRPr="00DD1E22">
              <w:rPr>
                <w:b w:val="0"/>
                <w:color w:val="000000"/>
                <w:sz w:val="19"/>
                <w:szCs w:val="19"/>
              </w:rPr>
              <w:t>108,054</w:t>
            </w:r>
          </w:p>
        </w:tc>
        <w:tc>
          <w:tcPr>
            <w:tcW w:w="1105" w:type="dxa"/>
            <w:vAlign w:val="bottom"/>
          </w:tcPr>
          <w:p w14:paraId="7825E9B6" w14:textId="77777777" w:rsidR="00B51828" w:rsidRPr="00DD1E22" w:rsidRDefault="00B51828" w:rsidP="002101D2">
            <w:pPr>
              <w:pStyle w:val="Tabletextboldleft"/>
              <w:jc w:val="right"/>
              <w:rPr>
                <w:b w:val="0"/>
                <w:sz w:val="19"/>
                <w:szCs w:val="19"/>
              </w:rPr>
            </w:pPr>
            <w:r w:rsidRPr="00DD1E22">
              <w:rPr>
                <w:b w:val="0"/>
                <w:color w:val="000000"/>
                <w:sz w:val="19"/>
                <w:szCs w:val="19"/>
              </w:rPr>
              <w:t>111,415</w:t>
            </w:r>
          </w:p>
        </w:tc>
        <w:tc>
          <w:tcPr>
            <w:tcW w:w="1106" w:type="dxa"/>
            <w:vAlign w:val="bottom"/>
          </w:tcPr>
          <w:p w14:paraId="6183F150" w14:textId="77777777" w:rsidR="00B51828" w:rsidRPr="00DD1E22" w:rsidRDefault="00B51828" w:rsidP="002101D2">
            <w:pPr>
              <w:pStyle w:val="Tabletextboldleft"/>
              <w:jc w:val="right"/>
              <w:rPr>
                <w:b w:val="0"/>
                <w:sz w:val="19"/>
                <w:szCs w:val="19"/>
              </w:rPr>
            </w:pPr>
            <w:r w:rsidRPr="00DD1E22">
              <w:rPr>
                <w:b w:val="0"/>
                <w:color w:val="000000"/>
                <w:sz w:val="19"/>
                <w:szCs w:val="19"/>
              </w:rPr>
              <w:t>114,777</w:t>
            </w:r>
          </w:p>
        </w:tc>
        <w:tc>
          <w:tcPr>
            <w:tcW w:w="1106" w:type="dxa"/>
            <w:vAlign w:val="bottom"/>
          </w:tcPr>
          <w:p w14:paraId="1DCD7031" w14:textId="77777777" w:rsidR="00B51828" w:rsidRPr="00DD1E22" w:rsidRDefault="00B51828" w:rsidP="002101D2">
            <w:pPr>
              <w:pStyle w:val="Tabletextboldleft"/>
              <w:jc w:val="right"/>
              <w:rPr>
                <w:b w:val="0"/>
                <w:sz w:val="19"/>
                <w:szCs w:val="19"/>
              </w:rPr>
            </w:pPr>
            <w:r w:rsidRPr="00DD1E22">
              <w:rPr>
                <w:b w:val="0"/>
                <w:color w:val="000000"/>
                <w:sz w:val="19"/>
                <w:szCs w:val="19"/>
              </w:rPr>
              <w:t>118,138</w:t>
            </w:r>
          </w:p>
        </w:tc>
        <w:tc>
          <w:tcPr>
            <w:tcW w:w="1106" w:type="dxa"/>
            <w:vAlign w:val="bottom"/>
          </w:tcPr>
          <w:p w14:paraId="6D55D161" w14:textId="77777777" w:rsidR="00B51828" w:rsidRPr="00DD1E22" w:rsidRDefault="00B51828" w:rsidP="002101D2">
            <w:pPr>
              <w:pStyle w:val="Tabletextboldleft"/>
              <w:jc w:val="right"/>
              <w:rPr>
                <w:b w:val="0"/>
                <w:sz w:val="19"/>
                <w:szCs w:val="19"/>
              </w:rPr>
            </w:pPr>
            <w:r w:rsidRPr="00DD1E22">
              <w:rPr>
                <w:b w:val="0"/>
                <w:color w:val="000000"/>
                <w:sz w:val="19"/>
                <w:szCs w:val="19"/>
              </w:rPr>
              <w:t>121,500</w:t>
            </w:r>
          </w:p>
        </w:tc>
      </w:tr>
      <w:tr w:rsidR="00B51828" w14:paraId="437B3A53" w14:textId="77777777" w:rsidTr="00E61184">
        <w:trPr>
          <w:trHeight w:val="84"/>
        </w:trPr>
        <w:tc>
          <w:tcPr>
            <w:tcW w:w="2835" w:type="dxa"/>
            <w:vAlign w:val="bottom"/>
          </w:tcPr>
          <w:p w14:paraId="29850871" w14:textId="77777777" w:rsidR="00B51828" w:rsidRPr="00DD1E22" w:rsidRDefault="00B51828" w:rsidP="002101D2">
            <w:pPr>
              <w:pStyle w:val="Tabletextboldleft"/>
              <w:ind w:firstLine="317"/>
              <w:rPr>
                <w:b w:val="0"/>
                <w:sz w:val="19"/>
                <w:szCs w:val="19"/>
              </w:rPr>
            </w:pPr>
            <w:r w:rsidRPr="00DD1E22">
              <w:rPr>
                <w:b w:val="0"/>
                <w:sz w:val="19"/>
                <w:szCs w:val="19"/>
              </w:rPr>
              <w:t>MBS item 73047</w:t>
            </w:r>
          </w:p>
        </w:tc>
        <w:tc>
          <w:tcPr>
            <w:tcW w:w="1105" w:type="dxa"/>
            <w:vAlign w:val="bottom"/>
          </w:tcPr>
          <w:p w14:paraId="6FA1A7AC" w14:textId="77777777" w:rsidR="00B51828" w:rsidRPr="00DD1E22" w:rsidRDefault="00B51828" w:rsidP="002101D2">
            <w:pPr>
              <w:pStyle w:val="Tabletextboldleft"/>
              <w:jc w:val="right"/>
              <w:rPr>
                <w:b w:val="0"/>
                <w:sz w:val="19"/>
                <w:szCs w:val="19"/>
              </w:rPr>
            </w:pPr>
            <w:r w:rsidRPr="00DD1E22">
              <w:rPr>
                <w:b w:val="0"/>
                <w:color w:val="000000"/>
                <w:sz w:val="19"/>
                <w:szCs w:val="19"/>
              </w:rPr>
              <w:t>37,875</w:t>
            </w:r>
          </w:p>
        </w:tc>
        <w:tc>
          <w:tcPr>
            <w:tcW w:w="1106" w:type="dxa"/>
            <w:vAlign w:val="bottom"/>
          </w:tcPr>
          <w:p w14:paraId="27AA5C69" w14:textId="77777777" w:rsidR="00B51828" w:rsidRPr="00DD1E22" w:rsidRDefault="00B51828" w:rsidP="002101D2">
            <w:pPr>
              <w:pStyle w:val="Tabletextboldleft"/>
              <w:jc w:val="right"/>
              <w:rPr>
                <w:b w:val="0"/>
                <w:sz w:val="19"/>
                <w:szCs w:val="19"/>
              </w:rPr>
            </w:pPr>
            <w:r w:rsidRPr="00DD1E22">
              <w:rPr>
                <w:b w:val="0"/>
                <w:color w:val="000000"/>
                <w:sz w:val="19"/>
                <w:szCs w:val="19"/>
              </w:rPr>
              <w:t>39,889</w:t>
            </w:r>
          </w:p>
        </w:tc>
        <w:tc>
          <w:tcPr>
            <w:tcW w:w="1106" w:type="dxa"/>
            <w:vAlign w:val="bottom"/>
          </w:tcPr>
          <w:p w14:paraId="4DA7E36A" w14:textId="77777777" w:rsidR="00B51828" w:rsidRPr="00DD1E22" w:rsidRDefault="00B51828" w:rsidP="002101D2">
            <w:pPr>
              <w:pStyle w:val="Tabletextboldleft"/>
              <w:jc w:val="right"/>
              <w:rPr>
                <w:b w:val="0"/>
                <w:sz w:val="19"/>
                <w:szCs w:val="19"/>
              </w:rPr>
            </w:pPr>
            <w:r w:rsidRPr="00DD1E22">
              <w:rPr>
                <w:b w:val="0"/>
                <w:color w:val="000000"/>
                <w:sz w:val="19"/>
                <w:szCs w:val="19"/>
              </w:rPr>
              <w:t>44,010</w:t>
            </w:r>
          </w:p>
        </w:tc>
        <w:tc>
          <w:tcPr>
            <w:tcW w:w="1105" w:type="dxa"/>
            <w:vAlign w:val="bottom"/>
          </w:tcPr>
          <w:p w14:paraId="3CCC26FC" w14:textId="77777777" w:rsidR="00B51828" w:rsidRPr="00DD1E22" w:rsidRDefault="00B51828" w:rsidP="002101D2">
            <w:pPr>
              <w:pStyle w:val="Tabletextboldleft"/>
              <w:jc w:val="right"/>
              <w:rPr>
                <w:b w:val="0"/>
                <w:sz w:val="19"/>
                <w:szCs w:val="19"/>
              </w:rPr>
            </w:pPr>
            <w:r w:rsidRPr="00DD1E22">
              <w:rPr>
                <w:b w:val="0"/>
                <w:color w:val="000000"/>
                <w:sz w:val="19"/>
                <w:szCs w:val="19"/>
              </w:rPr>
              <w:t>45,566</w:t>
            </w:r>
          </w:p>
        </w:tc>
        <w:tc>
          <w:tcPr>
            <w:tcW w:w="1106" w:type="dxa"/>
            <w:vAlign w:val="bottom"/>
          </w:tcPr>
          <w:p w14:paraId="7F006457" w14:textId="77777777" w:rsidR="00B51828" w:rsidRPr="00DD1E22" w:rsidRDefault="00B51828" w:rsidP="002101D2">
            <w:pPr>
              <w:pStyle w:val="Tabletextboldleft"/>
              <w:jc w:val="right"/>
              <w:rPr>
                <w:b w:val="0"/>
                <w:sz w:val="19"/>
                <w:szCs w:val="19"/>
              </w:rPr>
            </w:pPr>
            <w:r w:rsidRPr="00DD1E22">
              <w:rPr>
                <w:b w:val="0"/>
                <w:color w:val="000000"/>
                <w:sz w:val="19"/>
                <w:szCs w:val="19"/>
              </w:rPr>
              <w:t>48,027</w:t>
            </w:r>
          </w:p>
        </w:tc>
        <w:tc>
          <w:tcPr>
            <w:tcW w:w="1106" w:type="dxa"/>
            <w:vAlign w:val="bottom"/>
          </w:tcPr>
          <w:p w14:paraId="4D1652CB" w14:textId="77777777" w:rsidR="00B51828" w:rsidRPr="00DD1E22" w:rsidRDefault="00B51828" w:rsidP="002101D2">
            <w:pPr>
              <w:pStyle w:val="Tabletextboldleft"/>
              <w:jc w:val="right"/>
              <w:rPr>
                <w:b w:val="0"/>
                <w:sz w:val="19"/>
                <w:szCs w:val="19"/>
              </w:rPr>
            </w:pPr>
            <w:r w:rsidRPr="00DD1E22">
              <w:rPr>
                <w:b w:val="0"/>
                <w:color w:val="000000"/>
                <w:sz w:val="19"/>
                <w:szCs w:val="19"/>
              </w:rPr>
              <w:t>50,488</w:t>
            </w:r>
          </w:p>
        </w:tc>
        <w:tc>
          <w:tcPr>
            <w:tcW w:w="1105" w:type="dxa"/>
            <w:vAlign w:val="bottom"/>
          </w:tcPr>
          <w:p w14:paraId="6C7312E1" w14:textId="77777777" w:rsidR="00B51828" w:rsidRPr="00DD1E22" w:rsidRDefault="00B51828" w:rsidP="002101D2">
            <w:pPr>
              <w:pStyle w:val="Tabletextboldleft"/>
              <w:jc w:val="right"/>
              <w:rPr>
                <w:b w:val="0"/>
                <w:sz w:val="19"/>
                <w:szCs w:val="19"/>
              </w:rPr>
            </w:pPr>
            <w:r w:rsidRPr="00DD1E22">
              <w:rPr>
                <w:b w:val="0"/>
                <w:color w:val="000000"/>
                <w:sz w:val="19"/>
                <w:szCs w:val="19"/>
              </w:rPr>
              <w:t>52,949</w:t>
            </w:r>
          </w:p>
        </w:tc>
        <w:tc>
          <w:tcPr>
            <w:tcW w:w="1106" w:type="dxa"/>
            <w:vAlign w:val="bottom"/>
          </w:tcPr>
          <w:p w14:paraId="15A8397A" w14:textId="77777777" w:rsidR="00B51828" w:rsidRPr="00DD1E22" w:rsidRDefault="00B51828" w:rsidP="002101D2">
            <w:pPr>
              <w:pStyle w:val="Tabletextboldleft"/>
              <w:jc w:val="right"/>
              <w:rPr>
                <w:b w:val="0"/>
                <w:sz w:val="19"/>
                <w:szCs w:val="19"/>
              </w:rPr>
            </w:pPr>
            <w:r w:rsidRPr="00DD1E22">
              <w:rPr>
                <w:b w:val="0"/>
                <w:color w:val="000000"/>
                <w:sz w:val="19"/>
                <w:szCs w:val="19"/>
              </w:rPr>
              <w:t>55,410</w:t>
            </w:r>
          </w:p>
        </w:tc>
        <w:tc>
          <w:tcPr>
            <w:tcW w:w="1106" w:type="dxa"/>
            <w:vAlign w:val="bottom"/>
          </w:tcPr>
          <w:p w14:paraId="71B1BAFC" w14:textId="77777777" w:rsidR="00B51828" w:rsidRPr="00DD1E22" w:rsidRDefault="00B51828" w:rsidP="002101D2">
            <w:pPr>
              <w:pStyle w:val="Tabletextboldleft"/>
              <w:jc w:val="right"/>
              <w:rPr>
                <w:b w:val="0"/>
                <w:sz w:val="19"/>
                <w:szCs w:val="19"/>
              </w:rPr>
            </w:pPr>
            <w:r w:rsidRPr="00DD1E22">
              <w:rPr>
                <w:b w:val="0"/>
                <w:color w:val="000000"/>
                <w:sz w:val="19"/>
                <w:szCs w:val="19"/>
              </w:rPr>
              <w:t>57,870</w:t>
            </w:r>
          </w:p>
        </w:tc>
        <w:tc>
          <w:tcPr>
            <w:tcW w:w="1106" w:type="dxa"/>
            <w:vAlign w:val="bottom"/>
          </w:tcPr>
          <w:p w14:paraId="4A5F4231" w14:textId="77777777" w:rsidR="00B51828" w:rsidRPr="00DD1E22" w:rsidRDefault="00B51828" w:rsidP="002101D2">
            <w:pPr>
              <w:pStyle w:val="Tabletextboldleft"/>
              <w:jc w:val="right"/>
              <w:rPr>
                <w:b w:val="0"/>
                <w:sz w:val="19"/>
                <w:szCs w:val="19"/>
              </w:rPr>
            </w:pPr>
            <w:r w:rsidRPr="00DD1E22">
              <w:rPr>
                <w:b w:val="0"/>
                <w:color w:val="000000"/>
                <w:sz w:val="19"/>
                <w:szCs w:val="19"/>
              </w:rPr>
              <w:t>60,331</w:t>
            </w:r>
          </w:p>
        </w:tc>
      </w:tr>
      <w:tr w:rsidR="00B51828" w14:paraId="06498C85" w14:textId="77777777" w:rsidTr="00E61184">
        <w:trPr>
          <w:trHeight w:val="84"/>
        </w:trPr>
        <w:tc>
          <w:tcPr>
            <w:tcW w:w="2835" w:type="dxa"/>
            <w:vAlign w:val="bottom"/>
          </w:tcPr>
          <w:p w14:paraId="69796AE6" w14:textId="77777777" w:rsidR="00B51828" w:rsidRPr="00DD1E22" w:rsidRDefault="00B51828" w:rsidP="002101D2">
            <w:pPr>
              <w:pStyle w:val="Tabletextboldleft"/>
              <w:ind w:firstLine="317"/>
              <w:rPr>
                <w:b w:val="0"/>
                <w:sz w:val="19"/>
                <w:szCs w:val="19"/>
              </w:rPr>
            </w:pPr>
            <w:r w:rsidRPr="00DD1E22">
              <w:rPr>
                <w:b w:val="0"/>
                <w:sz w:val="19"/>
                <w:szCs w:val="19"/>
              </w:rPr>
              <w:t>MBS item 73049</w:t>
            </w:r>
          </w:p>
        </w:tc>
        <w:tc>
          <w:tcPr>
            <w:tcW w:w="1105" w:type="dxa"/>
            <w:vAlign w:val="bottom"/>
          </w:tcPr>
          <w:p w14:paraId="7206F735" w14:textId="77777777" w:rsidR="00B51828" w:rsidRPr="00DD1E22" w:rsidRDefault="00B51828" w:rsidP="002101D2">
            <w:pPr>
              <w:pStyle w:val="Tabletextboldleft"/>
              <w:jc w:val="right"/>
              <w:rPr>
                <w:b w:val="0"/>
                <w:sz w:val="19"/>
                <w:szCs w:val="19"/>
              </w:rPr>
            </w:pPr>
            <w:r w:rsidRPr="00DD1E22">
              <w:rPr>
                <w:b w:val="0"/>
                <w:sz w:val="19"/>
                <w:szCs w:val="19"/>
              </w:rPr>
              <w:t>46,165</w:t>
            </w:r>
          </w:p>
        </w:tc>
        <w:tc>
          <w:tcPr>
            <w:tcW w:w="1106" w:type="dxa"/>
            <w:vAlign w:val="bottom"/>
          </w:tcPr>
          <w:p w14:paraId="10469D8C" w14:textId="77777777" w:rsidR="00B51828" w:rsidRPr="00DD1E22" w:rsidRDefault="00B51828" w:rsidP="002101D2">
            <w:pPr>
              <w:pStyle w:val="Tabletextboldleft"/>
              <w:jc w:val="right"/>
              <w:rPr>
                <w:b w:val="0"/>
                <w:sz w:val="19"/>
                <w:szCs w:val="19"/>
              </w:rPr>
            </w:pPr>
            <w:r w:rsidRPr="00DD1E22">
              <w:rPr>
                <w:b w:val="0"/>
                <w:sz w:val="19"/>
                <w:szCs w:val="19"/>
              </w:rPr>
              <w:t>54,030</w:t>
            </w:r>
          </w:p>
        </w:tc>
        <w:tc>
          <w:tcPr>
            <w:tcW w:w="1106" w:type="dxa"/>
            <w:vAlign w:val="bottom"/>
          </w:tcPr>
          <w:p w14:paraId="0016CFEA" w14:textId="77777777" w:rsidR="00B51828" w:rsidRPr="00DD1E22" w:rsidRDefault="00B51828" w:rsidP="002101D2">
            <w:pPr>
              <w:pStyle w:val="Tabletextboldleft"/>
              <w:jc w:val="right"/>
              <w:rPr>
                <w:b w:val="0"/>
                <w:sz w:val="19"/>
                <w:szCs w:val="19"/>
              </w:rPr>
            </w:pPr>
            <w:r w:rsidRPr="00DD1E22">
              <w:rPr>
                <w:b w:val="0"/>
                <w:sz w:val="19"/>
                <w:szCs w:val="19"/>
              </w:rPr>
              <w:t>58,404</w:t>
            </w:r>
          </w:p>
        </w:tc>
        <w:tc>
          <w:tcPr>
            <w:tcW w:w="1105" w:type="dxa"/>
            <w:vAlign w:val="bottom"/>
          </w:tcPr>
          <w:p w14:paraId="06330580" w14:textId="77777777" w:rsidR="00B51828" w:rsidRPr="00DD1E22" w:rsidRDefault="00B51828" w:rsidP="002101D2">
            <w:pPr>
              <w:pStyle w:val="Tabletextboldleft"/>
              <w:jc w:val="right"/>
              <w:rPr>
                <w:b w:val="0"/>
                <w:sz w:val="19"/>
                <w:szCs w:val="19"/>
              </w:rPr>
            </w:pPr>
            <w:r w:rsidRPr="00DD1E22">
              <w:rPr>
                <w:b w:val="0"/>
                <w:color w:val="000000"/>
                <w:sz w:val="19"/>
                <w:szCs w:val="19"/>
              </w:rPr>
              <w:t>51,444</w:t>
            </w:r>
          </w:p>
        </w:tc>
        <w:tc>
          <w:tcPr>
            <w:tcW w:w="1106" w:type="dxa"/>
            <w:vAlign w:val="bottom"/>
          </w:tcPr>
          <w:p w14:paraId="6E66A989" w14:textId="77777777" w:rsidR="00B51828" w:rsidRPr="00DD1E22" w:rsidRDefault="00B51828" w:rsidP="002101D2">
            <w:pPr>
              <w:pStyle w:val="Tabletextboldleft"/>
              <w:jc w:val="right"/>
              <w:rPr>
                <w:b w:val="0"/>
                <w:sz w:val="19"/>
                <w:szCs w:val="19"/>
              </w:rPr>
            </w:pPr>
            <w:r w:rsidRPr="00DD1E22">
              <w:rPr>
                <w:b w:val="0"/>
                <w:color w:val="000000"/>
                <w:sz w:val="19"/>
                <w:szCs w:val="19"/>
              </w:rPr>
              <w:t>50,448</w:t>
            </w:r>
          </w:p>
        </w:tc>
        <w:tc>
          <w:tcPr>
            <w:tcW w:w="1106" w:type="dxa"/>
            <w:vAlign w:val="bottom"/>
          </w:tcPr>
          <w:p w14:paraId="7382D071" w14:textId="77777777" w:rsidR="00B51828" w:rsidRPr="00DD1E22" w:rsidRDefault="00B51828" w:rsidP="002101D2">
            <w:pPr>
              <w:pStyle w:val="Tabletextboldleft"/>
              <w:jc w:val="right"/>
              <w:rPr>
                <w:b w:val="0"/>
                <w:sz w:val="19"/>
                <w:szCs w:val="19"/>
              </w:rPr>
            </w:pPr>
            <w:r w:rsidRPr="00DD1E22">
              <w:rPr>
                <w:b w:val="0"/>
                <w:color w:val="000000"/>
                <w:sz w:val="19"/>
                <w:szCs w:val="19"/>
              </w:rPr>
              <w:t>49,452</w:t>
            </w:r>
          </w:p>
        </w:tc>
        <w:tc>
          <w:tcPr>
            <w:tcW w:w="1105" w:type="dxa"/>
            <w:vAlign w:val="bottom"/>
          </w:tcPr>
          <w:p w14:paraId="7C83676C" w14:textId="77777777" w:rsidR="00B51828" w:rsidRPr="00DD1E22" w:rsidRDefault="00B51828" w:rsidP="002101D2">
            <w:pPr>
              <w:pStyle w:val="Tabletextboldleft"/>
              <w:jc w:val="right"/>
              <w:rPr>
                <w:b w:val="0"/>
                <w:sz w:val="19"/>
                <w:szCs w:val="19"/>
              </w:rPr>
            </w:pPr>
            <w:r w:rsidRPr="00DD1E22">
              <w:rPr>
                <w:b w:val="0"/>
                <w:color w:val="000000"/>
                <w:sz w:val="19"/>
                <w:szCs w:val="19"/>
              </w:rPr>
              <w:t>48,456</w:t>
            </w:r>
          </w:p>
        </w:tc>
        <w:tc>
          <w:tcPr>
            <w:tcW w:w="1106" w:type="dxa"/>
            <w:vAlign w:val="bottom"/>
          </w:tcPr>
          <w:p w14:paraId="58239B7C" w14:textId="77777777" w:rsidR="00B51828" w:rsidRPr="00DD1E22" w:rsidRDefault="00B51828" w:rsidP="002101D2">
            <w:pPr>
              <w:pStyle w:val="Tabletextboldleft"/>
              <w:jc w:val="right"/>
              <w:rPr>
                <w:b w:val="0"/>
                <w:sz w:val="19"/>
                <w:szCs w:val="19"/>
              </w:rPr>
            </w:pPr>
            <w:r w:rsidRPr="00DD1E22">
              <w:rPr>
                <w:b w:val="0"/>
                <w:color w:val="000000"/>
                <w:sz w:val="19"/>
                <w:szCs w:val="19"/>
              </w:rPr>
              <w:t>47,460</w:t>
            </w:r>
          </w:p>
        </w:tc>
        <w:tc>
          <w:tcPr>
            <w:tcW w:w="1106" w:type="dxa"/>
            <w:vAlign w:val="bottom"/>
          </w:tcPr>
          <w:p w14:paraId="6910CA9F" w14:textId="77777777" w:rsidR="00B51828" w:rsidRPr="00DD1E22" w:rsidRDefault="00B51828" w:rsidP="002101D2">
            <w:pPr>
              <w:pStyle w:val="Tabletextboldleft"/>
              <w:jc w:val="right"/>
              <w:rPr>
                <w:b w:val="0"/>
                <w:sz w:val="19"/>
                <w:szCs w:val="19"/>
              </w:rPr>
            </w:pPr>
            <w:r w:rsidRPr="00DD1E22">
              <w:rPr>
                <w:b w:val="0"/>
                <w:color w:val="000000"/>
                <w:sz w:val="19"/>
                <w:szCs w:val="19"/>
              </w:rPr>
              <w:t>46,465</w:t>
            </w:r>
          </w:p>
        </w:tc>
        <w:tc>
          <w:tcPr>
            <w:tcW w:w="1106" w:type="dxa"/>
            <w:vAlign w:val="bottom"/>
          </w:tcPr>
          <w:p w14:paraId="443A2927" w14:textId="77777777" w:rsidR="00B51828" w:rsidRPr="00DD1E22" w:rsidRDefault="00B51828" w:rsidP="002101D2">
            <w:pPr>
              <w:pStyle w:val="Tabletextboldleft"/>
              <w:jc w:val="right"/>
              <w:rPr>
                <w:b w:val="0"/>
                <w:sz w:val="19"/>
                <w:szCs w:val="19"/>
              </w:rPr>
            </w:pPr>
            <w:r w:rsidRPr="00DD1E22">
              <w:rPr>
                <w:b w:val="0"/>
                <w:color w:val="000000"/>
                <w:sz w:val="19"/>
                <w:szCs w:val="19"/>
              </w:rPr>
              <w:t>45,469</w:t>
            </w:r>
          </w:p>
        </w:tc>
      </w:tr>
      <w:tr w:rsidR="00B51828" w14:paraId="56D433E7" w14:textId="77777777" w:rsidTr="00E61184">
        <w:trPr>
          <w:trHeight w:val="84"/>
        </w:trPr>
        <w:tc>
          <w:tcPr>
            <w:tcW w:w="2835" w:type="dxa"/>
            <w:vAlign w:val="bottom"/>
          </w:tcPr>
          <w:p w14:paraId="4EA08B81" w14:textId="77777777" w:rsidR="00B51828" w:rsidRPr="00DD1E22" w:rsidRDefault="00B51828" w:rsidP="002101D2">
            <w:pPr>
              <w:pStyle w:val="Tabletextboldleft"/>
              <w:ind w:firstLine="317"/>
              <w:rPr>
                <w:b w:val="0"/>
                <w:sz w:val="19"/>
                <w:szCs w:val="19"/>
              </w:rPr>
            </w:pPr>
            <w:r w:rsidRPr="00DD1E22">
              <w:rPr>
                <w:b w:val="0"/>
                <w:sz w:val="19"/>
                <w:szCs w:val="19"/>
              </w:rPr>
              <w:t>MBS item 73051</w:t>
            </w:r>
          </w:p>
        </w:tc>
        <w:tc>
          <w:tcPr>
            <w:tcW w:w="1105" w:type="dxa"/>
            <w:vAlign w:val="bottom"/>
          </w:tcPr>
          <w:p w14:paraId="0014AEC1" w14:textId="77777777" w:rsidR="00B51828" w:rsidRPr="00DD1E22" w:rsidRDefault="00B51828" w:rsidP="002101D2">
            <w:pPr>
              <w:pStyle w:val="Tabletextboldleft"/>
              <w:jc w:val="right"/>
              <w:rPr>
                <w:b w:val="0"/>
                <w:sz w:val="19"/>
                <w:szCs w:val="19"/>
              </w:rPr>
            </w:pPr>
            <w:r w:rsidRPr="00DD1E22">
              <w:rPr>
                <w:b w:val="0"/>
                <w:color w:val="000000"/>
                <w:sz w:val="19"/>
                <w:szCs w:val="19"/>
              </w:rPr>
              <w:t>12,952</w:t>
            </w:r>
          </w:p>
        </w:tc>
        <w:tc>
          <w:tcPr>
            <w:tcW w:w="1106" w:type="dxa"/>
            <w:vAlign w:val="bottom"/>
          </w:tcPr>
          <w:p w14:paraId="3480E241" w14:textId="77777777" w:rsidR="00B51828" w:rsidRPr="00DD1E22" w:rsidRDefault="00B51828" w:rsidP="002101D2">
            <w:pPr>
              <w:pStyle w:val="Tabletextboldleft"/>
              <w:jc w:val="right"/>
              <w:rPr>
                <w:b w:val="0"/>
                <w:sz w:val="19"/>
                <w:szCs w:val="19"/>
              </w:rPr>
            </w:pPr>
            <w:r w:rsidRPr="00DD1E22">
              <w:rPr>
                <w:b w:val="0"/>
                <w:color w:val="000000"/>
                <w:sz w:val="19"/>
                <w:szCs w:val="19"/>
              </w:rPr>
              <w:t>9,867</w:t>
            </w:r>
          </w:p>
        </w:tc>
        <w:tc>
          <w:tcPr>
            <w:tcW w:w="1106" w:type="dxa"/>
            <w:vAlign w:val="bottom"/>
          </w:tcPr>
          <w:p w14:paraId="4F749DAC" w14:textId="77777777" w:rsidR="00B51828" w:rsidRPr="00DD1E22" w:rsidRDefault="00B51828" w:rsidP="002101D2">
            <w:pPr>
              <w:pStyle w:val="Tabletextboldleft"/>
              <w:jc w:val="right"/>
              <w:rPr>
                <w:b w:val="0"/>
                <w:sz w:val="19"/>
                <w:szCs w:val="19"/>
              </w:rPr>
            </w:pPr>
            <w:r w:rsidRPr="00DD1E22">
              <w:rPr>
                <w:b w:val="0"/>
                <w:color w:val="000000"/>
                <w:sz w:val="19"/>
                <w:szCs w:val="19"/>
              </w:rPr>
              <w:t>10,063</w:t>
            </w:r>
          </w:p>
        </w:tc>
        <w:tc>
          <w:tcPr>
            <w:tcW w:w="1105" w:type="dxa"/>
            <w:vAlign w:val="bottom"/>
          </w:tcPr>
          <w:p w14:paraId="47D1B097" w14:textId="77777777" w:rsidR="00B51828" w:rsidRPr="00DD1E22" w:rsidRDefault="00B51828" w:rsidP="002101D2">
            <w:pPr>
              <w:pStyle w:val="Tabletextboldleft"/>
              <w:jc w:val="right"/>
              <w:rPr>
                <w:b w:val="0"/>
                <w:sz w:val="19"/>
                <w:szCs w:val="19"/>
              </w:rPr>
            </w:pPr>
            <w:r w:rsidRPr="00DD1E22">
              <w:rPr>
                <w:b w:val="0"/>
                <w:color w:val="000000"/>
                <w:sz w:val="19"/>
                <w:szCs w:val="19"/>
              </w:rPr>
              <w:t>7,147</w:t>
            </w:r>
          </w:p>
        </w:tc>
        <w:tc>
          <w:tcPr>
            <w:tcW w:w="1106" w:type="dxa"/>
            <w:vAlign w:val="bottom"/>
          </w:tcPr>
          <w:p w14:paraId="52707A47" w14:textId="77777777" w:rsidR="00B51828" w:rsidRPr="00DD1E22" w:rsidRDefault="00B51828" w:rsidP="002101D2">
            <w:pPr>
              <w:pStyle w:val="Tabletextboldleft"/>
              <w:jc w:val="right"/>
              <w:rPr>
                <w:b w:val="0"/>
                <w:sz w:val="19"/>
                <w:szCs w:val="19"/>
              </w:rPr>
            </w:pPr>
            <w:r w:rsidRPr="00DD1E22">
              <w:rPr>
                <w:b w:val="0"/>
                <w:color w:val="000000"/>
                <w:sz w:val="19"/>
                <w:szCs w:val="19"/>
              </w:rPr>
              <w:t>5,181</w:t>
            </w:r>
          </w:p>
        </w:tc>
        <w:tc>
          <w:tcPr>
            <w:tcW w:w="1106" w:type="dxa"/>
            <w:vAlign w:val="bottom"/>
          </w:tcPr>
          <w:p w14:paraId="400FE570" w14:textId="77777777" w:rsidR="00B51828" w:rsidRPr="00DD1E22" w:rsidRDefault="00B51828" w:rsidP="002101D2">
            <w:pPr>
              <w:pStyle w:val="Tabletextboldleft"/>
              <w:jc w:val="right"/>
              <w:rPr>
                <w:b w:val="0"/>
                <w:sz w:val="19"/>
                <w:szCs w:val="19"/>
              </w:rPr>
            </w:pPr>
            <w:r w:rsidRPr="00DD1E22">
              <w:rPr>
                <w:b w:val="0"/>
                <w:color w:val="000000"/>
                <w:sz w:val="19"/>
                <w:szCs w:val="19"/>
              </w:rPr>
              <w:t>3,215</w:t>
            </w:r>
          </w:p>
        </w:tc>
        <w:tc>
          <w:tcPr>
            <w:tcW w:w="1105" w:type="dxa"/>
            <w:vAlign w:val="bottom"/>
          </w:tcPr>
          <w:p w14:paraId="3CE1C5E4" w14:textId="77777777" w:rsidR="00B51828" w:rsidRPr="00DD1E22" w:rsidRDefault="00B51828" w:rsidP="002101D2">
            <w:pPr>
              <w:pStyle w:val="Tabletextboldleft"/>
              <w:jc w:val="right"/>
              <w:rPr>
                <w:b w:val="0"/>
                <w:sz w:val="19"/>
                <w:szCs w:val="19"/>
              </w:rPr>
            </w:pPr>
            <w:r w:rsidRPr="00DD1E22">
              <w:rPr>
                <w:b w:val="0"/>
                <w:color w:val="000000"/>
                <w:sz w:val="19"/>
                <w:szCs w:val="19"/>
              </w:rPr>
              <w:t>1,249</w:t>
            </w:r>
          </w:p>
        </w:tc>
        <w:tc>
          <w:tcPr>
            <w:tcW w:w="1106" w:type="dxa"/>
            <w:vAlign w:val="bottom"/>
          </w:tcPr>
          <w:p w14:paraId="3C718B41" w14:textId="77777777" w:rsidR="00B51828" w:rsidRPr="00DD1E22" w:rsidRDefault="00B51828" w:rsidP="002101D2">
            <w:pPr>
              <w:pStyle w:val="Tabletextboldleft"/>
              <w:jc w:val="right"/>
              <w:rPr>
                <w:b w:val="0"/>
                <w:sz w:val="19"/>
                <w:szCs w:val="19"/>
              </w:rPr>
            </w:pPr>
            <w:r w:rsidRPr="00DD1E22">
              <w:rPr>
                <w:b w:val="0"/>
                <w:color w:val="000000"/>
                <w:sz w:val="19"/>
                <w:szCs w:val="19"/>
              </w:rPr>
              <w:t>-717</w:t>
            </w:r>
          </w:p>
        </w:tc>
        <w:tc>
          <w:tcPr>
            <w:tcW w:w="1106" w:type="dxa"/>
            <w:vAlign w:val="bottom"/>
          </w:tcPr>
          <w:p w14:paraId="6AF804C4" w14:textId="77777777" w:rsidR="00B51828" w:rsidRPr="00DD1E22" w:rsidRDefault="00B51828" w:rsidP="002101D2">
            <w:pPr>
              <w:pStyle w:val="Tabletextboldleft"/>
              <w:jc w:val="right"/>
              <w:rPr>
                <w:b w:val="0"/>
                <w:sz w:val="19"/>
                <w:szCs w:val="19"/>
              </w:rPr>
            </w:pPr>
            <w:r w:rsidRPr="00DD1E22">
              <w:rPr>
                <w:b w:val="0"/>
                <w:color w:val="000000"/>
                <w:sz w:val="19"/>
                <w:szCs w:val="19"/>
              </w:rPr>
              <w:t>-2,683</w:t>
            </w:r>
          </w:p>
        </w:tc>
        <w:tc>
          <w:tcPr>
            <w:tcW w:w="1106" w:type="dxa"/>
            <w:vAlign w:val="bottom"/>
          </w:tcPr>
          <w:p w14:paraId="47DBD055" w14:textId="77777777" w:rsidR="00B51828" w:rsidRPr="00DD1E22" w:rsidRDefault="00B51828" w:rsidP="002101D2">
            <w:pPr>
              <w:pStyle w:val="Tabletextboldleft"/>
              <w:jc w:val="right"/>
              <w:rPr>
                <w:b w:val="0"/>
                <w:sz w:val="19"/>
                <w:szCs w:val="19"/>
              </w:rPr>
            </w:pPr>
            <w:r w:rsidRPr="00DD1E22">
              <w:rPr>
                <w:b w:val="0"/>
                <w:color w:val="000000"/>
                <w:sz w:val="19"/>
                <w:szCs w:val="19"/>
              </w:rPr>
              <w:t>-4,649</w:t>
            </w:r>
          </w:p>
        </w:tc>
      </w:tr>
      <w:tr w:rsidR="00B51828" w14:paraId="5185992C" w14:textId="77777777" w:rsidTr="00E61184">
        <w:trPr>
          <w:trHeight w:val="84"/>
        </w:trPr>
        <w:tc>
          <w:tcPr>
            <w:tcW w:w="2835" w:type="dxa"/>
            <w:vAlign w:val="bottom"/>
          </w:tcPr>
          <w:p w14:paraId="25D81BC2" w14:textId="77777777" w:rsidR="00B51828" w:rsidRPr="00DD1E22" w:rsidRDefault="00B51828" w:rsidP="002101D2">
            <w:pPr>
              <w:pStyle w:val="Tabletextboldleft"/>
              <w:ind w:firstLine="317"/>
              <w:rPr>
                <w:b w:val="0"/>
                <w:sz w:val="19"/>
                <w:szCs w:val="19"/>
              </w:rPr>
            </w:pPr>
            <w:r w:rsidRPr="00DD1E22">
              <w:rPr>
                <w:b w:val="0"/>
                <w:sz w:val="19"/>
                <w:szCs w:val="19"/>
              </w:rPr>
              <w:t>MBS item 73053</w:t>
            </w:r>
          </w:p>
        </w:tc>
        <w:tc>
          <w:tcPr>
            <w:tcW w:w="1105" w:type="dxa"/>
            <w:vAlign w:val="bottom"/>
          </w:tcPr>
          <w:p w14:paraId="6EAD9819" w14:textId="77777777" w:rsidR="00B51828" w:rsidRPr="00DD1E22" w:rsidRDefault="00B51828" w:rsidP="002101D2">
            <w:pPr>
              <w:pStyle w:val="Tabletextboldleft"/>
              <w:jc w:val="right"/>
              <w:rPr>
                <w:b w:val="0"/>
                <w:sz w:val="19"/>
                <w:szCs w:val="19"/>
              </w:rPr>
            </w:pPr>
            <w:r w:rsidRPr="00DD1E22">
              <w:rPr>
                <w:b w:val="0"/>
                <w:color w:val="000000"/>
                <w:sz w:val="19"/>
                <w:szCs w:val="19"/>
              </w:rPr>
              <w:t>1,423,872</w:t>
            </w:r>
          </w:p>
        </w:tc>
        <w:tc>
          <w:tcPr>
            <w:tcW w:w="1106" w:type="dxa"/>
            <w:vAlign w:val="bottom"/>
          </w:tcPr>
          <w:p w14:paraId="14B0E0E2" w14:textId="77777777" w:rsidR="00B51828" w:rsidRPr="00DD1E22" w:rsidRDefault="00B51828" w:rsidP="002101D2">
            <w:pPr>
              <w:pStyle w:val="Tabletextboldleft"/>
              <w:jc w:val="right"/>
              <w:rPr>
                <w:b w:val="0"/>
                <w:sz w:val="19"/>
                <w:szCs w:val="19"/>
              </w:rPr>
            </w:pPr>
            <w:r w:rsidRPr="00DD1E22">
              <w:rPr>
                <w:b w:val="0"/>
                <w:color w:val="000000"/>
                <w:sz w:val="19"/>
                <w:szCs w:val="19"/>
              </w:rPr>
              <w:t>1,535,752</w:t>
            </w:r>
          </w:p>
        </w:tc>
        <w:tc>
          <w:tcPr>
            <w:tcW w:w="1106" w:type="dxa"/>
            <w:vAlign w:val="bottom"/>
          </w:tcPr>
          <w:p w14:paraId="60B003DC" w14:textId="77777777" w:rsidR="00B51828" w:rsidRPr="00DD1E22" w:rsidRDefault="00B51828" w:rsidP="002101D2">
            <w:pPr>
              <w:pStyle w:val="Tabletextboldleft"/>
              <w:jc w:val="right"/>
              <w:rPr>
                <w:b w:val="0"/>
                <w:sz w:val="19"/>
                <w:szCs w:val="19"/>
              </w:rPr>
            </w:pPr>
            <w:r w:rsidRPr="00DD1E22">
              <w:rPr>
                <w:b w:val="0"/>
                <w:color w:val="000000"/>
                <w:sz w:val="19"/>
                <w:szCs w:val="19"/>
              </w:rPr>
              <w:t>1,548,645</w:t>
            </w:r>
          </w:p>
        </w:tc>
        <w:tc>
          <w:tcPr>
            <w:tcW w:w="1105" w:type="dxa"/>
            <w:vAlign w:val="bottom"/>
          </w:tcPr>
          <w:p w14:paraId="5B90ECE1" w14:textId="77777777" w:rsidR="00B51828" w:rsidRPr="00DD1E22" w:rsidRDefault="00B51828" w:rsidP="002101D2">
            <w:pPr>
              <w:pStyle w:val="Tabletextboldleft"/>
              <w:jc w:val="right"/>
              <w:rPr>
                <w:b w:val="0"/>
                <w:sz w:val="19"/>
                <w:szCs w:val="19"/>
              </w:rPr>
            </w:pPr>
            <w:r w:rsidRPr="00DD1E22">
              <w:rPr>
                <w:b w:val="0"/>
                <w:color w:val="000000"/>
                <w:sz w:val="19"/>
                <w:szCs w:val="19"/>
              </w:rPr>
              <w:t>1,581,686</w:t>
            </w:r>
          </w:p>
        </w:tc>
        <w:tc>
          <w:tcPr>
            <w:tcW w:w="1106" w:type="dxa"/>
            <w:vAlign w:val="bottom"/>
          </w:tcPr>
          <w:p w14:paraId="61DC6B66" w14:textId="77777777" w:rsidR="00B51828" w:rsidRPr="00DD1E22" w:rsidRDefault="00B51828" w:rsidP="002101D2">
            <w:pPr>
              <w:pStyle w:val="Tabletextboldleft"/>
              <w:jc w:val="right"/>
              <w:rPr>
                <w:b w:val="0"/>
                <w:sz w:val="19"/>
                <w:szCs w:val="19"/>
              </w:rPr>
            </w:pPr>
            <w:r w:rsidRPr="00DD1E22">
              <w:rPr>
                <w:b w:val="0"/>
                <w:color w:val="000000"/>
                <w:sz w:val="19"/>
                <w:szCs w:val="19"/>
              </w:rPr>
              <w:t>1,618,954</w:t>
            </w:r>
          </w:p>
        </w:tc>
        <w:tc>
          <w:tcPr>
            <w:tcW w:w="1106" w:type="dxa"/>
            <w:vAlign w:val="bottom"/>
          </w:tcPr>
          <w:p w14:paraId="601104F7" w14:textId="77777777" w:rsidR="00B51828" w:rsidRPr="00DD1E22" w:rsidRDefault="00B51828" w:rsidP="002101D2">
            <w:pPr>
              <w:pStyle w:val="Tabletextboldleft"/>
              <w:jc w:val="right"/>
              <w:rPr>
                <w:b w:val="0"/>
                <w:sz w:val="19"/>
                <w:szCs w:val="19"/>
              </w:rPr>
            </w:pPr>
            <w:r w:rsidRPr="00DD1E22">
              <w:rPr>
                <w:b w:val="0"/>
                <w:color w:val="000000"/>
                <w:sz w:val="19"/>
                <w:szCs w:val="19"/>
              </w:rPr>
              <w:t>1,656,221</w:t>
            </w:r>
          </w:p>
        </w:tc>
        <w:tc>
          <w:tcPr>
            <w:tcW w:w="1105" w:type="dxa"/>
            <w:vAlign w:val="bottom"/>
          </w:tcPr>
          <w:p w14:paraId="07F85A91" w14:textId="77777777" w:rsidR="00B51828" w:rsidRPr="00DD1E22" w:rsidRDefault="00B51828" w:rsidP="002101D2">
            <w:pPr>
              <w:pStyle w:val="Tabletextboldleft"/>
              <w:jc w:val="right"/>
              <w:rPr>
                <w:b w:val="0"/>
                <w:sz w:val="19"/>
                <w:szCs w:val="19"/>
              </w:rPr>
            </w:pPr>
            <w:r w:rsidRPr="00DD1E22">
              <w:rPr>
                <w:b w:val="0"/>
                <w:color w:val="000000"/>
                <w:sz w:val="19"/>
                <w:szCs w:val="19"/>
              </w:rPr>
              <w:t>1,693,489</w:t>
            </w:r>
          </w:p>
        </w:tc>
        <w:tc>
          <w:tcPr>
            <w:tcW w:w="1106" w:type="dxa"/>
            <w:vAlign w:val="bottom"/>
          </w:tcPr>
          <w:p w14:paraId="5DB71031" w14:textId="77777777" w:rsidR="00B51828" w:rsidRPr="00DD1E22" w:rsidRDefault="00B51828" w:rsidP="002101D2">
            <w:pPr>
              <w:pStyle w:val="Tabletextboldleft"/>
              <w:jc w:val="right"/>
              <w:rPr>
                <w:b w:val="0"/>
                <w:sz w:val="19"/>
                <w:szCs w:val="19"/>
              </w:rPr>
            </w:pPr>
            <w:r w:rsidRPr="00DD1E22">
              <w:rPr>
                <w:b w:val="0"/>
                <w:color w:val="000000"/>
                <w:sz w:val="19"/>
                <w:szCs w:val="19"/>
              </w:rPr>
              <w:t>1,730,756</w:t>
            </w:r>
          </w:p>
        </w:tc>
        <w:tc>
          <w:tcPr>
            <w:tcW w:w="1106" w:type="dxa"/>
            <w:vAlign w:val="bottom"/>
          </w:tcPr>
          <w:p w14:paraId="52F50563" w14:textId="77777777" w:rsidR="00B51828" w:rsidRPr="00DD1E22" w:rsidRDefault="00B51828" w:rsidP="002101D2">
            <w:pPr>
              <w:pStyle w:val="Tabletextboldleft"/>
              <w:jc w:val="right"/>
              <w:rPr>
                <w:b w:val="0"/>
                <w:sz w:val="19"/>
                <w:szCs w:val="19"/>
              </w:rPr>
            </w:pPr>
            <w:r w:rsidRPr="00DD1E22">
              <w:rPr>
                <w:b w:val="0"/>
                <w:color w:val="000000"/>
                <w:sz w:val="19"/>
                <w:szCs w:val="19"/>
              </w:rPr>
              <w:t>1,768,023</w:t>
            </w:r>
          </w:p>
        </w:tc>
        <w:tc>
          <w:tcPr>
            <w:tcW w:w="1106" w:type="dxa"/>
            <w:vAlign w:val="bottom"/>
          </w:tcPr>
          <w:p w14:paraId="1CDC7BC9" w14:textId="77777777" w:rsidR="00B51828" w:rsidRPr="00DD1E22" w:rsidRDefault="00B51828" w:rsidP="002101D2">
            <w:pPr>
              <w:pStyle w:val="Tabletextboldleft"/>
              <w:jc w:val="right"/>
              <w:rPr>
                <w:b w:val="0"/>
                <w:sz w:val="19"/>
                <w:szCs w:val="19"/>
              </w:rPr>
            </w:pPr>
            <w:r w:rsidRPr="00DD1E22">
              <w:rPr>
                <w:b w:val="0"/>
                <w:color w:val="000000"/>
                <w:sz w:val="19"/>
                <w:szCs w:val="19"/>
              </w:rPr>
              <w:t>1,805,291</w:t>
            </w:r>
          </w:p>
        </w:tc>
      </w:tr>
      <w:tr w:rsidR="00B51828" w14:paraId="104F305A" w14:textId="77777777" w:rsidTr="00E61184">
        <w:trPr>
          <w:trHeight w:val="84"/>
        </w:trPr>
        <w:tc>
          <w:tcPr>
            <w:tcW w:w="2835" w:type="dxa"/>
            <w:vAlign w:val="bottom"/>
          </w:tcPr>
          <w:p w14:paraId="0D520DF2" w14:textId="77777777" w:rsidR="00B51828" w:rsidRPr="00DD1E22" w:rsidRDefault="00B51828" w:rsidP="002101D2">
            <w:pPr>
              <w:pStyle w:val="Tabletextboldleft"/>
              <w:ind w:firstLine="317"/>
              <w:rPr>
                <w:b w:val="0"/>
                <w:sz w:val="19"/>
                <w:szCs w:val="19"/>
              </w:rPr>
            </w:pPr>
            <w:r w:rsidRPr="00DD1E22">
              <w:rPr>
                <w:b w:val="0"/>
                <w:sz w:val="19"/>
                <w:szCs w:val="19"/>
              </w:rPr>
              <w:t>MBS item 73055</w:t>
            </w:r>
          </w:p>
        </w:tc>
        <w:tc>
          <w:tcPr>
            <w:tcW w:w="1105" w:type="dxa"/>
            <w:vAlign w:val="bottom"/>
          </w:tcPr>
          <w:p w14:paraId="1FEDB20A" w14:textId="77777777" w:rsidR="00B51828" w:rsidRPr="00DD1E22" w:rsidRDefault="00B51828" w:rsidP="002101D2">
            <w:pPr>
              <w:pStyle w:val="Tabletextboldleft"/>
              <w:jc w:val="right"/>
              <w:rPr>
                <w:b w:val="0"/>
                <w:sz w:val="19"/>
                <w:szCs w:val="19"/>
              </w:rPr>
            </w:pPr>
            <w:r w:rsidRPr="00DD1E22">
              <w:rPr>
                <w:b w:val="0"/>
                <w:sz w:val="19"/>
                <w:szCs w:val="19"/>
              </w:rPr>
              <w:t>225,815</w:t>
            </w:r>
          </w:p>
        </w:tc>
        <w:tc>
          <w:tcPr>
            <w:tcW w:w="1106" w:type="dxa"/>
            <w:vAlign w:val="bottom"/>
          </w:tcPr>
          <w:p w14:paraId="7CD3FB27" w14:textId="77777777" w:rsidR="00B51828" w:rsidRPr="00DD1E22" w:rsidRDefault="00B51828" w:rsidP="002101D2">
            <w:pPr>
              <w:pStyle w:val="Tabletextboldleft"/>
              <w:jc w:val="right"/>
              <w:rPr>
                <w:b w:val="0"/>
                <w:sz w:val="19"/>
                <w:szCs w:val="19"/>
              </w:rPr>
            </w:pPr>
            <w:r w:rsidRPr="00DD1E22">
              <w:rPr>
                <w:b w:val="0"/>
                <w:sz w:val="19"/>
                <w:szCs w:val="19"/>
              </w:rPr>
              <w:t>203,470</w:t>
            </w:r>
          </w:p>
        </w:tc>
        <w:tc>
          <w:tcPr>
            <w:tcW w:w="1106" w:type="dxa"/>
            <w:vAlign w:val="bottom"/>
          </w:tcPr>
          <w:p w14:paraId="6B56F8FB" w14:textId="77777777" w:rsidR="00B51828" w:rsidRPr="00DD1E22" w:rsidRDefault="00B51828" w:rsidP="002101D2">
            <w:pPr>
              <w:pStyle w:val="Tabletextboldleft"/>
              <w:jc w:val="right"/>
              <w:rPr>
                <w:b w:val="0"/>
                <w:sz w:val="19"/>
                <w:szCs w:val="19"/>
              </w:rPr>
            </w:pPr>
            <w:r w:rsidRPr="00DD1E22">
              <w:rPr>
                <w:b w:val="0"/>
                <w:sz w:val="19"/>
                <w:szCs w:val="19"/>
              </w:rPr>
              <w:t>213,220</w:t>
            </w:r>
          </w:p>
        </w:tc>
        <w:tc>
          <w:tcPr>
            <w:tcW w:w="1105" w:type="dxa"/>
            <w:vAlign w:val="bottom"/>
          </w:tcPr>
          <w:p w14:paraId="029AB218" w14:textId="77777777" w:rsidR="00B51828" w:rsidRPr="00DD1E22" w:rsidRDefault="00B51828" w:rsidP="002101D2">
            <w:pPr>
              <w:pStyle w:val="Tabletextboldleft"/>
              <w:jc w:val="right"/>
              <w:rPr>
                <w:b w:val="0"/>
                <w:sz w:val="19"/>
                <w:szCs w:val="19"/>
              </w:rPr>
            </w:pPr>
            <w:r w:rsidRPr="00DD1E22">
              <w:rPr>
                <w:b w:val="0"/>
                <w:color w:val="000000"/>
                <w:sz w:val="19"/>
                <w:szCs w:val="19"/>
              </w:rPr>
              <w:t>173,855</w:t>
            </w:r>
          </w:p>
        </w:tc>
        <w:tc>
          <w:tcPr>
            <w:tcW w:w="1106" w:type="dxa"/>
            <w:vAlign w:val="bottom"/>
          </w:tcPr>
          <w:p w14:paraId="03AEEE68" w14:textId="77777777" w:rsidR="00B51828" w:rsidRPr="00DD1E22" w:rsidRDefault="00B51828" w:rsidP="002101D2">
            <w:pPr>
              <w:pStyle w:val="Tabletextboldleft"/>
              <w:jc w:val="right"/>
              <w:rPr>
                <w:b w:val="0"/>
                <w:sz w:val="19"/>
                <w:szCs w:val="19"/>
              </w:rPr>
            </w:pPr>
            <w:r w:rsidRPr="00DD1E22">
              <w:rPr>
                <w:b w:val="0"/>
                <w:color w:val="000000"/>
                <w:sz w:val="19"/>
                <w:szCs w:val="19"/>
              </w:rPr>
              <w:t>152,878</w:t>
            </w:r>
          </w:p>
        </w:tc>
        <w:tc>
          <w:tcPr>
            <w:tcW w:w="1106" w:type="dxa"/>
            <w:vAlign w:val="bottom"/>
          </w:tcPr>
          <w:p w14:paraId="68FCBB49" w14:textId="77777777" w:rsidR="00B51828" w:rsidRPr="00DD1E22" w:rsidRDefault="00B51828" w:rsidP="002101D2">
            <w:pPr>
              <w:pStyle w:val="Tabletextboldleft"/>
              <w:jc w:val="right"/>
              <w:rPr>
                <w:b w:val="0"/>
                <w:sz w:val="19"/>
                <w:szCs w:val="19"/>
              </w:rPr>
            </w:pPr>
            <w:r w:rsidRPr="00DD1E22">
              <w:rPr>
                <w:b w:val="0"/>
                <w:color w:val="000000"/>
                <w:sz w:val="19"/>
                <w:szCs w:val="19"/>
              </w:rPr>
              <w:t>131,901</w:t>
            </w:r>
          </w:p>
        </w:tc>
        <w:tc>
          <w:tcPr>
            <w:tcW w:w="1105" w:type="dxa"/>
            <w:vAlign w:val="bottom"/>
          </w:tcPr>
          <w:p w14:paraId="42A9D67F" w14:textId="77777777" w:rsidR="00B51828" w:rsidRPr="00DD1E22" w:rsidRDefault="00B51828" w:rsidP="002101D2">
            <w:pPr>
              <w:pStyle w:val="Tabletextboldleft"/>
              <w:jc w:val="right"/>
              <w:rPr>
                <w:b w:val="0"/>
                <w:sz w:val="19"/>
                <w:szCs w:val="19"/>
              </w:rPr>
            </w:pPr>
            <w:r w:rsidRPr="00DD1E22">
              <w:rPr>
                <w:b w:val="0"/>
                <w:color w:val="000000"/>
                <w:sz w:val="19"/>
                <w:szCs w:val="19"/>
              </w:rPr>
              <w:t>110,924</w:t>
            </w:r>
          </w:p>
        </w:tc>
        <w:tc>
          <w:tcPr>
            <w:tcW w:w="1106" w:type="dxa"/>
            <w:vAlign w:val="bottom"/>
          </w:tcPr>
          <w:p w14:paraId="0896A1C7" w14:textId="77777777" w:rsidR="00B51828" w:rsidRPr="00DD1E22" w:rsidRDefault="00B51828" w:rsidP="002101D2">
            <w:pPr>
              <w:pStyle w:val="Tabletextboldleft"/>
              <w:jc w:val="right"/>
              <w:rPr>
                <w:b w:val="0"/>
                <w:sz w:val="19"/>
                <w:szCs w:val="19"/>
              </w:rPr>
            </w:pPr>
            <w:r w:rsidRPr="00DD1E22">
              <w:rPr>
                <w:b w:val="0"/>
                <w:color w:val="000000"/>
                <w:sz w:val="19"/>
                <w:szCs w:val="19"/>
              </w:rPr>
              <w:t>89,947</w:t>
            </w:r>
          </w:p>
        </w:tc>
        <w:tc>
          <w:tcPr>
            <w:tcW w:w="1106" w:type="dxa"/>
            <w:vAlign w:val="bottom"/>
          </w:tcPr>
          <w:p w14:paraId="15C90864" w14:textId="77777777" w:rsidR="00B51828" w:rsidRPr="00DD1E22" w:rsidRDefault="00B51828" w:rsidP="002101D2">
            <w:pPr>
              <w:pStyle w:val="Tabletextboldleft"/>
              <w:jc w:val="right"/>
              <w:rPr>
                <w:b w:val="0"/>
                <w:sz w:val="19"/>
                <w:szCs w:val="19"/>
              </w:rPr>
            </w:pPr>
            <w:r w:rsidRPr="00DD1E22">
              <w:rPr>
                <w:b w:val="0"/>
                <w:color w:val="000000"/>
                <w:sz w:val="19"/>
                <w:szCs w:val="19"/>
              </w:rPr>
              <w:t>68,969</w:t>
            </w:r>
          </w:p>
        </w:tc>
        <w:tc>
          <w:tcPr>
            <w:tcW w:w="1106" w:type="dxa"/>
            <w:vAlign w:val="bottom"/>
          </w:tcPr>
          <w:p w14:paraId="5C53A78A" w14:textId="77777777" w:rsidR="00B51828" w:rsidRPr="00DD1E22" w:rsidRDefault="00B51828" w:rsidP="002101D2">
            <w:pPr>
              <w:pStyle w:val="Tabletextboldleft"/>
              <w:jc w:val="right"/>
              <w:rPr>
                <w:b w:val="0"/>
                <w:sz w:val="19"/>
                <w:szCs w:val="19"/>
              </w:rPr>
            </w:pPr>
            <w:r w:rsidRPr="00DD1E22">
              <w:rPr>
                <w:b w:val="0"/>
                <w:color w:val="000000"/>
                <w:sz w:val="19"/>
                <w:szCs w:val="19"/>
              </w:rPr>
              <w:t>47,992</w:t>
            </w:r>
          </w:p>
        </w:tc>
      </w:tr>
      <w:tr w:rsidR="00B51828" w14:paraId="5586454E" w14:textId="77777777" w:rsidTr="00E61184">
        <w:trPr>
          <w:trHeight w:val="84"/>
        </w:trPr>
        <w:tc>
          <w:tcPr>
            <w:tcW w:w="2835" w:type="dxa"/>
            <w:vAlign w:val="bottom"/>
          </w:tcPr>
          <w:p w14:paraId="48FEB0A8" w14:textId="77777777" w:rsidR="00B51828" w:rsidRPr="00DD1E22" w:rsidRDefault="00B51828" w:rsidP="002101D2">
            <w:pPr>
              <w:pStyle w:val="Tabletextboldleft"/>
              <w:ind w:firstLine="317"/>
              <w:rPr>
                <w:b w:val="0"/>
                <w:sz w:val="19"/>
                <w:szCs w:val="19"/>
              </w:rPr>
            </w:pPr>
            <w:r w:rsidRPr="00DD1E22">
              <w:rPr>
                <w:b w:val="0"/>
                <w:sz w:val="19"/>
                <w:szCs w:val="19"/>
              </w:rPr>
              <w:t>MBS item 73057</w:t>
            </w:r>
          </w:p>
        </w:tc>
        <w:tc>
          <w:tcPr>
            <w:tcW w:w="1105" w:type="dxa"/>
            <w:vAlign w:val="bottom"/>
          </w:tcPr>
          <w:p w14:paraId="6DCBED34" w14:textId="77777777" w:rsidR="00B51828" w:rsidRPr="00DD1E22" w:rsidRDefault="00B51828" w:rsidP="002101D2">
            <w:pPr>
              <w:pStyle w:val="Tabletextboldleft"/>
              <w:jc w:val="right"/>
              <w:rPr>
                <w:b w:val="0"/>
                <w:sz w:val="19"/>
                <w:szCs w:val="19"/>
              </w:rPr>
            </w:pPr>
            <w:r w:rsidRPr="00DD1E22">
              <w:rPr>
                <w:b w:val="0"/>
                <w:color w:val="000000"/>
                <w:sz w:val="19"/>
                <w:szCs w:val="19"/>
              </w:rPr>
              <w:t>33,288</w:t>
            </w:r>
          </w:p>
        </w:tc>
        <w:tc>
          <w:tcPr>
            <w:tcW w:w="1106" w:type="dxa"/>
            <w:vAlign w:val="bottom"/>
          </w:tcPr>
          <w:p w14:paraId="4357CB5E" w14:textId="77777777" w:rsidR="00B51828" w:rsidRPr="00DD1E22" w:rsidRDefault="00B51828" w:rsidP="002101D2">
            <w:pPr>
              <w:pStyle w:val="Tabletextboldleft"/>
              <w:jc w:val="right"/>
              <w:rPr>
                <w:b w:val="0"/>
                <w:sz w:val="19"/>
                <w:szCs w:val="19"/>
              </w:rPr>
            </w:pPr>
            <w:r w:rsidRPr="00DD1E22">
              <w:rPr>
                <w:b w:val="0"/>
                <w:color w:val="000000"/>
                <w:sz w:val="19"/>
                <w:szCs w:val="19"/>
              </w:rPr>
              <w:t>32,483</w:t>
            </w:r>
          </w:p>
        </w:tc>
        <w:tc>
          <w:tcPr>
            <w:tcW w:w="1106" w:type="dxa"/>
            <w:vAlign w:val="bottom"/>
          </w:tcPr>
          <w:p w14:paraId="1A21A925" w14:textId="77777777" w:rsidR="00B51828" w:rsidRPr="00DD1E22" w:rsidRDefault="00B51828" w:rsidP="002101D2">
            <w:pPr>
              <w:pStyle w:val="Tabletextboldleft"/>
              <w:jc w:val="right"/>
              <w:rPr>
                <w:b w:val="0"/>
                <w:sz w:val="19"/>
                <w:szCs w:val="19"/>
              </w:rPr>
            </w:pPr>
            <w:r w:rsidRPr="00DD1E22">
              <w:rPr>
                <w:b w:val="0"/>
                <w:color w:val="000000"/>
                <w:sz w:val="19"/>
                <w:szCs w:val="19"/>
              </w:rPr>
              <w:t>30,916</w:t>
            </w:r>
          </w:p>
        </w:tc>
        <w:tc>
          <w:tcPr>
            <w:tcW w:w="1105" w:type="dxa"/>
            <w:vAlign w:val="bottom"/>
          </w:tcPr>
          <w:p w14:paraId="1862BBAC" w14:textId="77777777" w:rsidR="00B51828" w:rsidRPr="00DD1E22" w:rsidRDefault="00B51828" w:rsidP="002101D2">
            <w:pPr>
              <w:pStyle w:val="Tabletextboldleft"/>
              <w:jc w:val="right"/>
              <w:rPr>
                <w:b w:val="0"/>
                <w:sz w:val="19"/>
                <w:szCs w:val="19"/>
              </w:rPr>
            </w:pPr>
            <w:r w:rsidRPr="00DD1E22">
              <w:rPr>
                <w:b w:val="0"/>
                <w:color w:val="000000"/>
                <w:sz w:val="19"/>
                <w:szCs w:val="19"/>
              </w:rPr>
              <w:t>29,876</w:t>
            </w:r>
          </w:p>
        </w:tc>
        <w:tc>
          <w:tcPr>
            <w:tcW w:w="1106" w:type="dxa"/>
            <w:vAlign w:val="bottom"/>
          </w:tcPr>
          <w:p w14:paraId="1EC6770D" w14:textId="77777777" w:rsidR="00B51828" w:rsidRPr="00DD1E22" w:rsidRDefault="00B51828" w:rsidP="002101D2">
            <w:pPr>
              <w:pStyle w:val="Tabletextboldleft"/>
              <w:jc w:val="right"/>
              <w:rPr>
                <w:b w:val="0"/>
                <w:sz w:val="19"/>
                <w:szCs w:val="19"/>
              </w:rPr>
            </w:pPr>
            <w:r w:rsidRPr="00DD1E22">
              <w:rPr>
                <w:b w:val="0"/>
                <w:color w:val="000000"/>
                <w:sz w:val="19"/>
                <w:szCs w:val="19"/>
              </w:rPr>
              <w:t>28,706</w:t>
            </w:r>
          </w:p>
        </w:tc>
        <w:tc>
          <w:tcPr>
            <w:tcW w:w="1106" w:type="dxa"/>
            <w:vAlign w:val="bottom"/>
          </w:tcPr>
          <w:p w14:paraId="3ED1DEBA" w14:textId="77777777" w:rsidR="00B51828" w:rsidRPr="00DD1E22" w:rsidRDefault="00B51828" w:rsidP="002101D2">
            <w:pPr>
              <w:pStyle w:val="Tabletextboldleft"/>
              <w:jc w:val="right"/>
              <w:rPr>
                <w:b w:val="0"/>
                <w:sz w:val="19"/>
                <w:szCs w:val="19"/>
              </w:rPr>
            </w:pPr>
            <w:r w:rsidRPr="00DD1E22">
              <w:rPr>
                <w:b w:val="0"/>
                <w:color w:val="000000"/>
                <w:sz w:val="19"/>
                <w:szCs w:val="19"/>
              </w:rPr>
              <w:t>27,536</w:t>
            </w:r>
          </w:p>
        </w:tc>
        <w:tc>
          <w:tcPr>
            <w:tcW w:w="1105" w:type="dxa"/>
            <w:vAlign w:val="bottom"/>
          </w:tcPr>
          <w:p w14:paraId="145A5778" w14:textId="77777777" w:rsidR="00B51828" w:rsidRPr="00DD1E22" w:rsidRDefault="00B51828" w:rsidP="002101D2">
            <w:pPr>
              <w:pStyle w:val="Tabletextboldleft"/>
              <w:jc w:val="right"/>
              <w:rPr>
                <w:b w:val="0"/>
                <w:sz w:val="19"/>
                <w:szCs w:val="19"/>
              </w:rPr>
            </w:pPr>
            <w:r w:rsidRPr="00DD1E22">
              <w:rPr>
                <w:b w:val="0"/>
                <w:color w:val="000000"/>
                <w:sz w:val="19"/>
                <w:szCs w:val="19"/>
              </w:rPr>
              <w:t>26,366</w:t>
            </w:r>
          </w:p>
        </w:tc>
        <w:tc>
          <w:tcPr>
            <w:tcW w:w="1106" w:type="dxa"/>
            <w:vAlign w:val="bottom"/>
          </w:tcPr>
          <w:p w14:paraId="68DA5E86" w14:textId="77777777" w:rsidR="00B51828" w:rsidRPr="00DD1E22" w:rsidRDefault="00B51828" w:rsidP="002101D2">
            <w:pPr>
              <w:pStyle w:val="Tabletextboldleft"/>
              <w:jc w:val="right"/>
              <w:rPr>
                <w:b w:val="0"/>
                <w:sz w:val="19"/>
                <w:szCs w:val="19"/>
              </w:rPr>
            </w:pPr>
            <w:r w:rsidRPr="00DD1E22">
              <w:rPr>
                <w:b w:val="0"/>
                <w:color w:val="000000"/>
                <w:sz w:val="19"/>
                <w:szCs w:val="19"/>
              </w:rPr>
              <w:t>25,196</w:t>
            </w:r>
          </w:p>
        </w:tc>
        <w:tc>
          <w:tcPr>
            <w:tcW w:w="1106" w:type="dxa"/>
            <w:vAlign w:val="bottom"/>
          </w:tcPr>
          <w:p w14:paraId="1C6922E8" w14:textId="77777777" w:rsidR="00B51828" w:rsidRPr="00DD1E22" w:rsidRDefault="00B51828" w:rsidP="002101D2">
            <w:pPr>
              <w:pStyle w:val="Tabletextboldleft"/>
              <w:jc w:val="right"/>
              <w:rPr>
                <w:b w:val="0"/>
                <w:sz w:val="19"/>
                <w:szCs w:val="19"/>
              </w:rPr>
            </w:pPr>
            <w:r w:rsidRPr="00DD1E22">
              <w:rPr>
                <w:b w:val="0"/>
                <w:color w:val="000000"/>
                <w:sz w:val="19"/>
                <w:szCs w:val="19"/>
              </w:rPr>
              <w:t>24,026</w:t>
            </w:r>
          </w:p>
        </w:tc>
        <w:tc>
          <w:tcPr>
            <w:tcW w:w="1106" w:type="dxa"/>
            <w:vAlign w:val="bottom"/>
          </w:tcPr>
          <w:p w14:paraId="086CEB29" w14:textId="77777777" w:rsidR="00B51828" w:rsidRPr="00DD1E22" w:rsidRDefault="00B51828" w:rsidP="002101D2">
            <w:pPr>
              <w:pStyle w:val="Tabletextboldleft"/>
              <w:jc w:val="right"/>
              <w:rPr>
                <w:b w:val="0"/>
                <w:sz w:val="19"/>
                <w:szCs w:val="19"/>
              </w:rPr>
            </w:pPr>
            <w:r w:rsidRPr="00DD1E22">
              <w:rPr>
                <w:b w:val="0"/>
                <w:color w:val="000000"/>
                <w:sz w:val="19"/>
                <w:szCs w:val="19"/>
              </w:rPr>
              <w:t>22,856</w:t>
            </w:r>
          </w:p>
        </w:tc>
      </w:tr>
      <w:tr w:rsidR="00B51828" w14:paraId="2F7C3417" w14:textId="77777777" w:rsidTr="00E61184">
        <w:trPr>
          <w:trHeight w:val="84"/>
        </w:trPr>
        <w:tc>
          <w:tcPr>
            <w:tcW w:w="2835" w:type="dxa"/>
            <w:vAlign w:val="bottom"/>
          </w:tcPr>
          <w:p w14:paraId="1B1DB122" w14:textId="77777777" w:rsidR="00B51828" w:rsidRPr="00DD1E22" w:rsidRDefault="00B51828" w:rsidP="002101D2">
            <w:pPr>
              <w:pStyle w:val="Tabletextboldleft"/>
              <w:ind w:firstLine="317"/>
              <w:rPr>
                <w:b w:val="0"/>
                <w:sz w:val="19"/>
                <w:szCs w:val="19"/>
              </w:rPr>
            </w:pPr>
            <w:r w:rsidRPr="00DD1E22">
              <w:rPr>
                <w:b w:val="0"/>
                <w:sz w:val="19"/>
                <w:szCs w:val="19"/>
              </w:rPr>
              <w:t>MBS item 73062</w:t>
            </w:r>
          </w:p>
        </w:tc>
        <w:tc>
          <w:tcPr>
            <w:tcW w:w="1105" w:type="dxa"/>
            <w:vAlign w:val="bottom"/>
          </w:tcPr>
          <w:p w14:paraId="5D211920" w14:textId="77777777" w:rsidR="00B51828" w:rsidRPr="00DD1E22" w:rsidRDefault="00B51828" w:rsidP="002101D2">
            <w:pPr>
              <w:pStyle w:val="Tabletextboldleft"/>
              <w:jc w:val="right"/>
              <w:rPr>
                <w:b w:val="0"/>
                <w:sz w:val="19"/>
                <w:szCs w:val="19"/>
              </w:rPr>
            </w:pPr>
            <w:r w:rsidRPr="00DD1E22">
              <w:rPr>
                <w:b w:val="0"/>
                <w:color w:val="000000"/>
                <w:sz w:val="19"/>
                <w:szCs w:val="19"/>
              </w:rPr>
              <w:t>14,818</w:t>
            </w:r>
          </w:p>
        </w:tc>
        <w:tc>
          <w:tcPr>
            <w:tcW w:w="1106" w:type="dxa"/>
            <w:vAlign w:val="bottom"/>
          </w:tcPr>
          <w:p w14:paraId="59CDCE2B" w14:textId="77777777" w:rsidR="00B51828" w:rsidRPr="00DD1E22" w:rsidRDefault="00B51828" w:rsidP="002101D2">
            <w:pPr>
              <w:pStyle w:val="Tabletextboldleft"/>
              <w:jc w:val="right"/>
              <w:rPr>
                <w:b w:val="0"/>
                <w:sz w:val="19"/>
                <w:szCs w:val="19"/>
              </w:rPr>
            </w:pPr>
            <w:r w:rsidRPr="00DD1E22">
              <w:rPr>
                <w:b w:val="0"/>
                <w:color w:val="000000"/>
                <w:sz w:val="19"/>
                <w:szCs w:val="19"/>
              </w:rPr>
              <w:t>6,368</w:t>
            </w:r>
          </w:p>
        </w:tc>
        <w:tc>
          <w:tcPr>
            <w:tcW w:w="1106" w:type="dxa"/>
            <w:vAlign w:val="bottom"/>
          </w:tcPr>
          <w:p w14:paraId="476B36E4" w14:textId="77777777" w:rsidR="00B51828" w:rsidRPr="00DD1E22" w:rsidRDefault="00B51828" w:rsidP="002101D2">
            <w:pPr>
              <w:pStyle w:val="Tabletextboldleft"/>
              <w:jc w:val="right"/>
              <w:rPr>
                <w:b w:val="0"/>
                <w:sz w:val="19"/>
                <w:szCs w:val="19"/>
              </w:rPr>
            </w:pPr>
            <w:r w:rsidRPr="00DD1E22">
              <w:rPr>
                <w:b w:val="0"/>
                <w:color w:val="000000"/>
                <w:sz w:val="19"/>
                <w:szCs w:val="19"/>
              </w:rPr>
              <w:t>7,524</w:t>
            </w:r>
          </w:p>
        </w:tc>
        <w:tc>
          <w:tcPr>
            <w:tcW w:w="1105" w:type="dxa"/>
            <w:vAlign w:val="bottom"/>
          </w:tcPr>
          <w:p w14:paraId="7725988C" w14:textId="77777777" w:rsidR="00B51828" w:rsidRPr="00DD1E22" w:rsidRDefault="00B51828" w:rsidP="002101D2">
            <w:pPr>
              <w:pStyle w:val="Tabletextboldleft"/>
              <w:jc w:val="right"/>
              <w:rPr>
                <w:b w:val="0"/>
                <w:sz w:val="19"/>
                <w:szCs w:val="19"/>
              </w:rPr>
            </w:pPr>
            <w:r w:rsidRPr="00DD1E22">
              <w:rPr>
                <w:b w:val="0"/>
                <w:color w:val="000000"/>
                <w:sz w:val="19"/>
                <w:szCs w:val="19"/>
              </w:rPr>
              <w:t>10,260</w:t>
            </w:r>
          </w:p>
        </w:tc>
        <w:tc>
          <w:tcPr>
            <w:tcW w:w="1106" w:type="dxa"/>
            <w:vAlign w:val="bottom"/>
          </w:tcPr>
          <w:p w14:paraId="785A3D40" w14:textId="77777777" w:rsidR="00B51828" w:rsidRPr="00DD1E22" w:rsidRDefault="00B51828" w:rsidP="002101D2">
            <w:pPr>
              <w:pStyle w:val="Tabletextboldleft"/>
              <w:jc w:val="right"/>
              <w:rPr>
                <w:b w:val="0"/>
                <w:sz w:val="19"/>
                <w:szCs w:val="19"/>
              </w:rPr>
            </w:pPr>
            <w:r w:rsidRPr="00DD1E22">
              <w:rPr>
                <w:b w:val="0"/>
                <w:color w:val="000000"/>
                <w:sz w:val="19"/>
                <w:szCs w:val="19"/>
              </w:rPr>
              <w:t>10,728</w:t>
            </w:r>
          </w:p>
        </w:tc>
        <w:tc>
          <w:tcPr>
            <w:tcW w:w="1106" w:type="dxa"/>
            <w:vAlign w:val="bottom"/>
          </w:tcPr>
          <w:p w14:paraId="38ECACF9" w14:textId="77777777" w:rsidR="00B51828" w:rsidRPr="00DD1E22" w:rsidRDefault="00B51828" w:rsidP="002101D2">
            <w:pPr>
              <w:pStyle w:val="Tabletextboldleft"/>
              <w:jc w:val="right"/>
              <w:rPr>
                <w:b w:val="0"/>
                <w:sz w:val="19"/>
                <w:szCs w:val="19"/>
              </w:rPr>
            </w:pPr>
            <w:r w:rsidRPr="00DD1E22">
              <w:rPr>
                <w:b w:val="0"/>
                <w:color w:val="000000"/>
                <w:sz w:val="19"/>
                <w:szCs w:val="19"/>
              </w:rPr>
              <w:t>11,196</w:t>
            </w:r>
          </w:p>
        </w:tc>
        <w:tc>
          <w:tcPr>
            <w:tcW w:w="1105" w:type="dxa"/>
            <w:vAlign w:val="bottom"/>
          </w:tcPr>
          <w:p w14:paraId="6AB49583" w14:textId="77777777" w:rsidR="00B51828" w:rsidRPr="00DD1E22" w:rsidRDefault="00B51828" w:rsidP="002101D2">
            <w:pPr>
              <w:pStyle w:val="Tabletextboldleft"/>
              <w:jc w:val="right"/>
              <w:rPr>
                <w:b w:val="0"/>
                <w:sz w:val="19"/>
                <w:szCs w:val="19"/>
              </w:rPr>
            </w:pPr>
            <w:r w:rsidRPr="00DD1E22">
              <w:rPr>
                <w:b w:val="0"/>
                <w:color w:val="000000"/>
                <w:sz w:val="19"/>
                <w:szCs w:val="19"/>
              </w:rPr>
              <w:t>11,664</w:t>
            </w:r>
          </w:p>
        </w:tc>
        <w:tc>
          <w:tcPr>
            <w:tcW w:w="1106" w:type="dxa"/>
            <w:vAlign w:val="bottom"/>
          </w:tcPr>
          <w:p w14:paraId="2CD8A040" w14:textId="77777777" w:rsidR="00B51828" w:rsidRPr="00DD1E22" w:rsidRDefault="00B51828" w:rsidP="002101D2">
            <w:pPr>
              <w:pStyle w:val="Tabletextboldleft"/>
              <w:jc w:val="right"/>
              <w:rPr>
                <w:b w:val="0"/>
                <w:sz w:val="19"/>
                <w:szCs w:val="19"/>
              </w:rPr>
            </w:pPr>
            <w:r w:rsidRPr="00DD1E22">
              <w:rPr>
                <w:b w:val="0"/>
                <w:color w:val="000000"/>
                <w:sz w:val="19"/>
                <w:szCs w:val="19"/>
              </w:rPr>
              <w:t>12,132</w:t>
            </w:r>
          </w:p>
        </w:tc>
        <w:tc>
          <w:tcPr>
            <w:tcW w:w="1106" w:type="dxa"/>
            <w:vAlign w:val="bottom"/>
          </w:tcPr>
          <w:p w14:paraId="0D88930A" w14:textId="77777777" w:rsidR="00B51828" w:rsidRPr="00DD1E22" w:rsidRDefault="00B51828" w:rsidP="002101D2">
            <w:pPr>
              <w:pStyle w:val="Tabletextboldleft"/>
              <w:jc w:val="right"/>
              <w:rPr>
                <w:b w:val="0"/>
                <w:sz w:val="19"/>
                <w:szCs w:val="19"/>
              </w:rPr>
            </w:pPr>
            <w:r w:rsidRPr="00DD1E22">
              <w:rPr>
                <w:b w:val="0"/>
                <w:color w:val="000000"/>
                <w:sz w:val="19"/>
                <w:szCs w:val="19"/>
              </w:rPr>
              <w:t>12,600</w:t>
            </w:r>
          </w:p>
        </w:tc>
        <w:tc>
          <w:tcPr>
            <w:tcW w:w="1106" w:type="dxa"/>
            <w:vAlign w:val="bottom"/>
          </w:tcPr>
          <w:p w14:paraId="4B7DADAA" w14:textId="77777777" w:rsidR="00B51828" w:rsidRPr="00DD1E22" w:rsidRDefault="00B51828" w:rsidP="002101D2">
            <w:pPr>
              <w:pStyle w:val="Tabletextboldleft"/>
              <w:jc w:val="right"/>
              <w:rPr>
                <w:b w:val="0"/>
                <w:sz w:val="19"/>
                <w:szCs w:val="19"/>
              </w:rPr>
            </w:pPr>
            <w:r w:rsidRPr="00DD1E22">
              <w:rPr>
                <w:b w:val="0"/>
                <w:color w:val="000000"/>
                <w:sz w:val="19"/>
                <w:szCs w:val="19"/>
              </w:rPr>
              <w:t>13,068</w:t>
            </w:r>
          </w:p>
        </w:tc>
      </w:tr>
      <w:tr w:rsidR="00B51828" w14:paraId="41726262" w14:textId="77777777" w:rsidTr="00E61184">
        <w:trPr>
          <w:trHeight w:val="84"/>
        </w:trPr>
        <w:tc>
          <w:tcPr>
            <w:tcW w:w="2835" w:type="dxa"/>
            <w:vAlign w:val="bottom"/>
          </w:tcPr>
          <w:p w14:paraId="4AE72E52" w14:textId="77777777" w:rsidR="00B51828" w:rsidRPr="00DD1E22" w:rsidRDefault="00B51828" w:rsidP="002101D2">
            <w:pPr>
              <w:pStyle w:val="Tabletextboldleft"/>
              <w:ind w:firstLine="317"/>
              <w:rPr>
                <w:b w:val="0"/>
                <w:sz w:val="19"/>
                <w:szCs w:val="19"/>
              </w:rPr>
            </w:pPr>
            <w:r w:rsidRPr="00DD1E22">
              <w:rPr>
                <w:b w:val="0"/>
                <w:sz w:val="19"/>
                <w:szCs w:val="19"/>
              </w:rPr>
              <w:t>MBS item 73063</w:t>
            </w:r>
          </w:p>
        </w:tc>
        <w:tc>
          <w:tcPr>
            <w:tcW w:w="1105" w:type="dxa"/>
            <w:vAlign w:val="bottom"/>
          </w:tcPr>
          <w:p w14:paraId="21E8E312" w14:textId="77777777" w:rsidR="00B51828" w:rsidRPr="00DD1E22" w:rsidRDefault="00B51828" w:rsidP="002101D2">
            <w:pPr>
              <w:pStyle w:val="Tabletextboldleft"/>
              <w:jc w:val="right"/>
              <w:rPr>
                <w:b w:val="0"/>
                <w:sz w:val="19"/>
                <w:szCs w:val="19"/>
              </w:rPr>
            </w:pPr>
            <w:r w:rsidRPr="00DD1E22">
              <w:rPr>
                <w:b w:val="0"/>
                <w:sz w:val="19"/>
                <w:szCs w:val="19"/>
              </w:rPr>
              <w:t>15,070</w:t>
            </w:r>
          </w:p>
        </w:tc>
        <w:tc>
          <w:tcPr>
            <w:tcW w:w="1106" w:type="dxa"/>
            <w:vAlign w:val="bottom"/>
          </w:tcPr>
          <w:p w14:paraId="7E5BF6DD" w14:textId="77777777" w:rsidR="00B51828" w:rsidRPr="00DD1E22" w:rsidRDefault="00B51828" w:rsidP="002101D2">
            <w:pPr>
              <w:pStyle w:val="Tabletextboldleft"/>
              <w:jc w:val="right"/>
              <w:rPr>
                <w:b w:val="0"/>
                <w:sz w:val="19"/>
                <w:szCs w:val="19"/>
              </w:rPr>
            </w:pPr>
            <w:r w:rsidRPr="00DD1E22">
              <w:rPr>
                <w:b w:val="0"/>
                <w:sz w:val="19"/>
                <w:szCs w:val="19"/>
              </w:rPr>
              <w:t>15,511</w:t>
            </w:r>
          </w:p>
        </w:tc>
        <w:tc>
          <w:tcPr>
            <w:tcW w:w="1106" w:type="dxa"/>
            <w:vAlign w:val="bottom"/>
          </w:tcPr>
          <w:p w14:paraId="291A6782" w14:textId="77777777" w:rsidR="00B51828" w:rsidRPr="00DD1E22" w:rsidRDefault="00B51828" w:rsidP="002101D2">
            <w:pPr>
              <w:pStyle w:val="Tabletextboldleft"/>
              <w:jc w:val="right"/>
              <w:rPr>
                <w:b w:val="0"/>
                <w:sz w:val="19"/>
                <w:szCs w:val="19"/>
              </w:rPr>
            </w:pPr>
            <w:r w:rsidRPr="00DD1E22">
              <w:rPr>
                <w:b w:val="0"/>
                <w:sz w:val="19"/>
                <w:szCs w:val="19"/>
              </w:rPr>
              <w:t>16,189</w:t>
            </w:r>
          </w:p>
        </w:tc>
        <w:tc>
          <w:tcPr>
            <w:tcW w:w="1105" w:type="dxa"/>
            <w:vAlign w:val="bottom"/>
          </w:tcPr>
          <w:p w14:paraId="7501BD5E" w14:textId="77777777" w:rsidR="00B51828" w:rsidRPr="00DD1E22" w:rsidRDefault="00B51828" w:rsidP="002101D2">
            <w:pPr>
              <w:pStyle w:val="Tabletextboldleft"/>
              <w:jc w:val="right"/>
              <w:rPr>
                <w:b w:val="0"/>
                <w:sz w:val="19"/>
                <w:szCs w:val="19"/>
              </w:rPr>
            </w:pPr>
            <w:r w:rsidRPr="00DD1E22">
              <w:rPr>
                <w:b w:val="0"/>
                <w:color w:val="000000"/>
                <w:sz w:val="19"/>
                <w:szCs w:val="19"/>
              </w:rPr>
              <w:t>22,061</w:t>
            </w:r>
          </w:p>
        </w:tc>
        <w:tc>
          <w:tcPr>
            <w:tcW w:w="1106" w:type="dxa"/>
            <w:vAlign w:val="bottom"/>
          </w:tcPr>
          <w:p w14:paraId="5ECAA280" w14:textId="77777777" w:rsidR="00B51828" w:rsidRPr="00DD1E22" w:rsidRDefault="00B51828" w:rsidP="002101D2">
            <w:pPr>
              <w:pStyle w:val="Tabletextboldleft"/>
              <w:jc w:val="right"/>
              <w:rPr>
                <w:b w:val="0"/>
                <w:sz w:val="19"/>
                <w:szCs w:val="19"/>
              </w:rPr>
            </w:pPr>
            <w:r w:rsidRPr="00DD1E22">
              <w:rPr>
                <w:b w:val="0"/>
                <w:color w:val="000000"/>
                <w:sz w:val="19"/>
                <w:szCs w:val="19"/>
              </w:rPr>
              <w:t>25,376</w:t>
            </w:r>
          </w:p>
        </w:tc>
        <w:tc>
          <w:tcPr>
            <w:tcW w:w="1106" w:type="dxa"/>
            <w:vAlign w:val="bottom"/>
          </w:tcPr>
          <w:p w14:paraId="1EC9034F" w14:textId="77777777" w:rsidR="00B51828" w:rsidRPr="00DD1E22" w:rsidRDefault="00B51828" w:rsidP="002101D2">
            <w:pPr>
              <w:pStyle w:val="Tabletextboldleft"/>
              <w:jc w:val="right"/>
              <w:rPr>
                <w:b w:val="0"/>
                <w:sz w:val="19"/>
                <w:szCs w:val="19"/>
              </w:rPr>
            </w:pPr>
            <w:r w:rsidRPr="00DD1E22">
              <w:rPr>
                <w:b w:val="0"/>
                <w:color w:val="000000"/>
                <w:sz w:val="19"/>
                <w:szCs w:val="19"/>
              </w:rPr>
              <w:t>28,690</w:t>
            </w:r>
          </w:p>
        </w:tc>
        <w:tc>
          <w:tcPr>
            <w:tcW w:w="1105" w:type="dxa"/>
            <w:vAlign w:val="bottom"/>
          </w:tcPr>
          <w:p w14:paraId="2090BC60" w14:textId="77777777" w:rsidR="00B51828" w:rsidRPr="00DD1E22" w:rsidRDefault="00B51828" w:rsidP="002101D2">
            <w:pPr>
              <w:pStyle w:val="Tabletextboldleft"/>
              <w:jc w:val="right"/>
              <w:rPr>
                <w:b w:val="0"/>
                <w:sz w:val="19"/>
                <w:szCs w:val="19"/>
              </w:rPr>
            </w:pPr>
            <w:r w:rsidRPr="00DD1E22">
              <w:rPr>
                <w:b w:val="0"/>
                <w:color w:val="000000"/>
                <w:sz w:val="19"/>
                <w:szCs w:val="19"/>
              </w:rPr>
              <w:t>32,005</w:t>
            </w:r>
          </w:p>
        </w:tc>
        <w:tc>
          <w:tcPr>
            <w:tcW w:w="1106" w:type="dxa"/>
            <w:vAlign w:val="bottom"/>
          </w:tcPr>
          <w:p w14:paraId="6B977E12" w14:textId="77777777" w:rsidR="00B51828" w:rsidRPr="00DD1E22" w:rsidRDefault="00B51828" w:rsidP="002101D2">
            <w:pPr>
              <w:pStyle w:val="Tabletextboldleft"/>
              <w:jc w:val="right"/>
              <w:rPr>
                <w:b w:val="0"/>
                <w:sz w:val="19"/>
                <w:szCs w:val="19"/>
              </w:rPr>
            </w:pPr>
            <w:r w:rsidRPr="00DD1E22">
              <w:rPr>
                <w:b w:val="0"/>
                <w:color w:val="000000"/>
                <w:sz w:val="19"/>
                <w:szCs w:val="19"/>
              </w:rPr>
              <w:t>35,319</w:t>
            </w:r>
          </w:p>
        </w:tc>
        <w:tc>
          <w:tcPr>
            <w:tcW w:w="1106" w:type="dxa"/>
            <w:vAlign w:val="bottom"/>
          </w:tcPr>
          <w:p w14:paraId="2DCC7885" w14:textId="77777777" w:rsidR="00B51828" w:rsidRPr="00DD1E22" w:rsidRDefault="00B51828" w:rsidP="002101D2">
            <w:pPr>
              <w:pStyle w:val="Tabletextboldleft"/>
              <w:jc w:val="right"/>
              <w:rPr>
                <w:b w:val="0"/>
                <w:sz w:val="19"/>
                <w:szCs w:val="19"/>
              </w:rPr>
            </w:pPr>
            <w:r w:rsidRPr="00DD1E22">
              <w:rPr>
                <w:b w:val="0"/>
                <w:color w:val="000000"/>
                <w:sz w:val="19"/>
                <w:szCs w:val="19"/>
              </w:rPr>
              <w:t>38,634</w:t>
            </w:r>
          </w:p>
        </w:tc>
        <w:tc>
          <w:tcPr>
            <w:tcW w:w="1106" w:type="dxa"/>
            <w:vAlign w:val="bottom"/>
          </w:tcPr>
          <w:p w14:paraId="18384316" w14:textId="77777777" w:rsidR="00B51828" w:rsidRPr="00DD1E22" w:rsidRDefault="00B51828" w:rsidP="002101D2">
            <w:pPr>
              <w:pStyle w:val="Tabletextboldleft"/>
              <w:jc w:val="right"/>
              <w:rPr>
                <w:b w:val="0"/>
                <w:sz w:val="19"/>
                <w:szCs w:val="19"/>
              </w:rPr>
            </w:pPr>
            <w:r w:rsidRPr="00DD1E22">
              <w:rPr>
                <w:b w:val="0"/>
                <w:color w:val="000000"/>
                <w:sz w:val="19"/>
                <w:szCs w:val="19"/>
              </w:rPr>
              <w:t>41,949</w:t>
            </w:r>
          </w:p>
        </w:tc>
      </w:tr>
      <w:tr w:rsidR="00B51828" w14:paraId="00892BDC" w14:textId="77777777" w:rsidTr="00E61184">
        <w:trPr>
          <w:trHeight w:val="84"/>
        </w:trPr>
        <w:tc>
          <w:tcPr>
            <w:tcW w:w="2835" w:type="dxa"/>
            <w:vAlign w:val="bottom"/>
          </w:tcPr>
          <w:p w14:paraId="5C3516B4" w14:textId="77777777" w:rsidR="00B51828" w:rsidRPr="00DD1E22" w:rsidRDefault="00B51828" w:rsidP="002101D2">
            <w:pPr>
              <w:pStyle w:val="Tabletextboldleft"/>
              <w:ind w:firstLine="317"/>
              <w:rPr>
                <w:b w:val="0"/>
                <w:sz w:val="19"/>
                <w:szCs w:val="19"/>
              </w:rPr>
            </w:pPr>
            <w:r w:rsidRPr="00DD1E22">
              <w:rPr>
                <w:b w:val="0"/>
                <w:sz w:val="19"/>
                <w:szCs w:val="19"/>
              </w:rPr>
              <w:t>MBS item 73066</w:t>
            </w:r>
          </w:p>
        </w:tc>
        <w:tc>
          <w:tcPr>
            <w:tcW w:w="1105" w:type="dxa"/>
            <w:vAlign w:val="bottom"/>
          </w:tcPr>
          <w:p w14:paraId="7BB4CDB4" w14:textId="77777777" w:rsidR="00B51828" w:rsidRPr="00DD1E22" w:rsidRDefault="00B51828" w:rsidP="002101D2">
            <w:pPr>
              <w:pStyle w:val="Tabletextboldleft"/>
              <w:jc w:val="right"/>
              <w:rPr>
                <w:b w:val="0"/>
                <w:sz w:val="19"/>
                <w:szCs w:val="19"/>
              </w:rPr>
            </w:pPr>
            <w:r w:rsidRPr="00DD1E22">
              <w:rPr>
                <w:b w:val="0"/>
                <w:sz w:val="19"/>
                <w:szCs w:val="19"/>
              </w:rPr>
              <w:t>0</w:t>
            </w:r>
          </w:p>
        </w:tc>
        <w:tc>
          <w:tcPr>
            <w:tcW w:w="1106" w:type="dxa"/>
            <w:vAlign w:val="bottom"/>
          </w:tcPr>
          <w:p w14:paraId="62447C2F" w14:textId="77777777" w:rsidR="00B51828" w:rsidRPr="00DD1E22" w:rsidRDefault="00B51828" w:rsidP="002101D2">
            <w:pPr>
              <w:pStyle w:val="Tabletextboldleft"/>
              <w:jc w:val="right"/>
              <w:rPr>
                <w:b w:val="0"/>
                <w:sz w:val="19"/>
                <w:szCs w:val="19"/>
              </w:rPr>
            </w:pPr>
            <w:r w:rsidRPr="00DD1E22">
              <w:rPr>
                <w:b w:val="0"/>
                <w:color w:val="000000"/>
                <w:sz w:val="19"/>
                <w:szCs w:val="19"/>
              </w:rPr>
              <w:t>2,023</w:t>
            </w:r>
          </w:p>
        </w:tc>
        <w:tc>
          <w:tcPr>
            <w:tcW w:w="1106" w:type="dxa"/>
            <w:vAlign w:val="bottom"/>
          </w:tcPr>
          <w:p w14:paraId="785CF269" w14:textId="77777777" w:rsidR="00B51828" w:rsidRPr="00DD1E22" w:rsidRDefault="00B51828" w:rsidP="002101D2">
            <w:pPr>
              <w:pStyle w:val="Tabletextboldleft"/>
              <w:jc w:val="right"/>
              <w:rPr>
                <w:b w:val="0"/>
                <w:sz w:val="19"/>
                <w:szCs w:val="19"/>
              </w:rPr>
            </w:pPr>
            <w:r w:rsidRPr="00DD1E22">
              <w:rPr>
                <w:b w:val="0"/>
                <w:color w:val="000000"/>
                <w:sz w:val="19"/>
                <w:szCs w:val="19"/>
              </w:rPr>
              <w:t>2,380</w:t>
            </w:r>
          </w:p>
        </w:tc>
        <w:tc>
          <w:tcPr>
            <w:tcW w:w="1105" w:type="dxa"/>
            <w:vAlign w:val="bottom"/>
          </w:tcPr>
          <w:p w14:paraId="20CC9018" w14:textId="77777777" w:rsidR="00B51828" w:rsidRPr="00DD1E22" w:rsidRDefault="00B51828" w:rsidP="002101D2">
            <w:pPr>
              <w:pStyle w:val="Tabletextboldleft"/>
              <w:jc w:val="right"/>
              <w:rPr>
                <w:b w:val="0"/>
                <w:sz w:val="19"/>
                <w:szCs w:val="19"/>
              </w:rPr>
            </w:pPr>
            <w:r w:rsidRPr="00DD1E22">
              <w:rPr>
                <w:b w:val="0"/>
                <w:color w:val="000000"/>
                <w:sz w:val="19"/>
                <w:szCs w:val="19"/>
              </w:rPr>
              <w:t>2,737</w:t>
            </w:r>
          </w:p>
        </w:tc>
        <w:tc>
          <w:tcPr>
            <w:tcW w:w="1106" w:type="dxa"/>
            <w:vAlign w:val="bottom"/>
          </w:tcPr>
          <w:p w14:paraId="62C0BC90" w14:textId="77777777" w:rsidR="00B51828" w:rsidRPr="00DD1E22" w:rsidRDefault="00B51828" w:rsidP="002101D2">
            <w:pPr>
              <w:pStyle w:val="Tabletextboldleft"/>
              <w:jc w:val="right"/>
              <w:rPr>
                <w:b w:val="0"/>
                <w:sz w:val="19"/>
                <w:szCs w:val="19"/>
              </w:rPr>
            </w:pPr>
            <w:r w:rsidRPr="00DD1E22">
              <w:rPr>
                <w:b w:val="0"/>
                <w:color w:val="000000"/>
                <w:sz w:val="19"/>
                <w:szCs w:val="19"/>
              </w:rPr>
              <w:t>3,094</w:t>
            </w:r>
          </w:p>
        </w:tc>
        <w:tc>
          <w:tcPr>
            <w:tcW w:w="1106" w:type="dxa"/>
            <w:vAlign w:val="bottom"/>
          </w:tcPr>
          <w:p w14:paraId="170EC3F8" w14:textId="77777777" w:rsidR="00B51828" w:rsidRPr="00DD1E22" w:rsidRDefault="00B51828" w:rsidP="002101D2">
            <w:pPr>
              <w:pStyle w:val="Tabletextboldleft"/>
              <w:jc w:val="right"/>
              <w:rPr>
                <w:b w:val="0"/>
                <w:sz w:val="19"/>
                <w:szCs w:val="19"/>
              </w:rPr>
            </w:pPr>
            <w:r w:rsidRPr="00DD1E22">
              <w:rPr>
                <w:b w:val="0"/>
                <w:color w:val="000000"/>
                <w:sz w:val="19"/>
                <w:szCs w:val="19"/>
              </w:rPr>
              <w:t>3,451</w:t>
            </w:r>
          </w:p>
        </w:tc>
        <w:tc>
          <w:tcPr>
            <w:tcW w:w="1105" w:type="dxa"/>
            <w:vAlign w:val="bottom"/>
          </w:tcPr>
          <w:p w14:paraId="2C80CAE6" w14:textId="77777777" w:rsidR="00B51828" w:rsidRPr="00DD1E22" w:rsidRDefault="00B51828" w:rsidP="002101D2">
            <w:pPr>
              <w:pStyle w:val="Tabletextboldleft"/>
              <w:jc w:val="right"/>
              <w:rPr>
                <w:b w:val="0"/>
                <w:sz w:val="19"/>
                <w:szCs w:val="19"/>
              </w:rPr>
            </w:pPr>
            <w:r w:rsidRPr="00DD1E22">
              <w:rPr>
                <w:b w:val="0"/>
                <w:color w:val="000000"/>
                <w:sz w:val="19"/>
                <w:szCs w:val="19"/>
              </w:rPr>
              <w:t>3,808</w:t>
            </w:r>
          </w:p>
        </w:tc>
        <w:tc>
          <w:tcPr>
            <w:tcW w:w="1106" w:type="dxa"/>
            <w:vAlign w:val="bottom"/>
          </w:tcPr>
          <w:p w14:paraId="63F4B02C" w14:textId="77777777" w:rsidR="00B51828" w:rsidRPr="00DD1E22" w:rsidRDefault="00B51828" w:rsidP="002101D2">
            <w:pPr>
              <w:pStyle w:val="Tabletextboldleft"/>
              <w:jc w:val="right"/>
              <w:rPr>
                <w:b w:val="0"/>
                <w:sz w:val="19"/>
                <w:szCs w:val="19"/>
              </w:rPr>
            </w:pPr>
            <w:r w:rsidRPr="00DD1E22">
              <w:rPr>
                <w:b w:val="0"/>
                <w:color w:val="000000"/>
                <w:sz w:val="19"/>
                <w:szCs w:val="19"/>
              </w:rPr>
              <w:t>4,165</w:t>
            </w:r>
          </w:p>
        </w:tc>
        <w:tc>
          <w:tcPr>
            <w:tcW w:w="1106" w:type="dxa"/>
            <w:vAlign w:val="bottom"/>
          </w:tcPr>
          <w:p w14:paraId="3D1760ED" w14:textId="77777777" w:rsidR="00B51828" w:rsidRPr="00DD1E22" w:rsidRDefault="00B51828" w:rsidP="002101D2">
            <w:pPr>
              <w:pStyle w:val="Tabletextboldleft"/>
              <w:jc w:val="right"/>
              <w:rPr>
                <w:b w:val="0"/>
                <w:sz w:val="19"/>
                <w:szCs w:val="19"/>
              </w:rPr>
            </w:pPr>
            <w:r w:rsidRPr="00DD1E22">
              <w:rPr>
                <w:b w:val="0"/>
                <w:color w:val="000000"/>
                <w:sz w:val="19"/>
                <w:szCs w:val="19"/>
              </w:rPr>
              <w:t>4,522</w:t>
            </w:r>
          </w:p>
        </w:tc>
        <w:tc>
          <w:tcPr>
            <w:tcW w:w="1106" w:type="dxa"/>
            <w:vAlign w:val="bottom"/>
          </w:tcPr>
          <w:p w14:paraId="44EE2EE0" w14:textId="77777777" w:rsidR="00B51828" w:rsidRPr="00DD1E22" w:rsidRDefault="00B51828" w:rsidP="002101D2">
            <w:pPr>
              <w:pStyle w:val="Tabletextboldleft"/>
              <w:jc w:val="right"/>
              <w:rPr>
                <w:b w:val="0"/>
                <w:sz w:val="19"/>
                <w:szCs w:val="19"/>
              </w:rPr>
            </w:pPr>
            <w:r w:rsidRPr="00DD1E22">
              <w:rPr>
                <w:b w:val="0"/>
                <w:color w:val="000000"/>
                <w:sz w:val="19"/>
                <w:szCs w:val="19"/>
              </w:rPr>
              <w:t>4,879</w:t>
            </w:r>
          </w:p>
        </w:tc>
      </w:tr>
      <w:tr w:rsidR="00B51828" w14:paraId="31CEFC99" w14:textId="77777777" w:rsidTr="00E61184">
        <w:trPr>
          <w:trHeight w:val="84"/>
        </w:trPr>
        <w:tc>
          <w:tcPr>
            <w:tcW w:w="2835" w:type="dxa"/>
            <w:vAlign w:val="bottom"/>
          </w:tcPr>
          <w:p w14:paraId="29643A4A" w14:textId="77777777" w:rsidR="00B51828" w:rsidRPr="00DD1E22" w:rsidRDefault="00B51828" w:rsidP="002101D2">
            <w:pPr>
              <w:pStyle w:val="Tabletextboldleft"/>
              <w:ind w:firstLine="317"/>
              <w:rPr>
                <w:b w:val="0"/>
                <w:sz w:val="19"/>
                <w:szCs w:val="19"/>
              </w:rPr>
            </w:pPr>
            <w:r w:rsidRPr="00DD1E22">
              <w:rPr>
                <w:b w:val="0"/>
                <w:sz w:val="19"/>
                <w:szCs w:val="19"/>
              </w:rPr>
              <w:t>MBS item 73067</w:t>
            </w:r>
          </w:p>
        </w:tc>
        <w:tc>
          <w:tcPr>
            <w:tcW w:w="1105" w:type="dxa"/>
            <w:vAlign w:val="bottom"/>
          </w:tcPr>
          <w:p w14:paraId="051CF889" w14:textId="77777777" w:rsidR="00B51828" w:rsidRPr="00DD1E22" w:rsidRDefault="00B51828" w:rsidP="002101D2">
            <w:pPr>
              <w:pStyle w:val="Tabletextboldleft"/>
              <w:jc w:val="right"/>
              <w:rPr>
                <w:b w:val="0"/>
                <w:sz w:val="19"/>
                <w:szCs w:val="19"/>
              </w:rPr>
            </w:pPr>
            <w:r w:rsidRPr="00DD1E22">
              <w:rPr>
                <w:b w:val="0"/>
                <w:sz w:val="19"/>
                <w:szCs w:val="19"/>
              </w:rPr>
              <w:t>0</w:t>
            </w:r>
          </w:p>
        </w:tc>
        <w:tc>
          <w:tcPr>
            <w:tcW w:w="1106" w:type="dxa"/>
            <w:vAlign w:val="bottom"/>
          </w:tcPr>
          <w:p w14:paraId="437761F8" w14:textId="77777777" w:rsidR="00B51828" w:rsidRPr="00DD1E22" w:rsidRDefault="00B51828" w:rsidP="002101D2">
            <w:pPr>
              <w:pStyle w:val="Tabletextboldleft"/>
              <w:jc w:val="right"/>
              <w:rPr>
                <w:b w:val="0"/>
                <w:sz w:val="19"/>
                <w:szCs w:val="19"/>
              </w:rPr>
            </w:pPr>
            <w:r w:rsidRPr="00DD1E22">
              <w:rPr>
                <w:b w:val="0"/>
                <w:color w:val="000000"/>
                <w:sz w:val="19"/>
                <w:szCs w:val="19"/>
              </w:rPr>
              <w:t>1,813</w:t>
            </w:r>
          </w:p>
        </w:tc>
        <w:tc>
          <w:tcPr>
            <w:tcW w:w="1106" w:type="dxa"/>
            <w:vAlign w:val="bottom"/>
          </w:tcPr>
          <w:p w14:paraId="55F64025" w14:textId="77777777" w:rsidR="00B51828" w:rsidRPr="00DD1E22" w:rsidRDefault="00B51828" w:rsidP="002101D2">
            <w:pPr>
              <w:pStyle w:val="Tabletextboldleft"/>
              <w:jc w:val="right"/>
              <w:rPr>
                <w:b w:val="0"/>
                <w:sz w:val="19"/>
                <w:szCs w:val="19"/>
              </w:rPr>
            </w:pPr>
            <w:r w:rsidRPr="00DD1E22">
              <w:rPr>
                <w:b w:val="0"/>
                <w:color w:val="000000"/>
                <w:sz w:val="19"/>
                <w:szCs w:val="19"/>
              </w:rPr>
              <w:t>2,488</w:t>
            </w:r>
          </w:p>
        </w:tc>
        <w:tc>
          <w:tcPr>
            <w:tcW w:w="1105" w:type="dxa"/>
            <w:vAlign w:val="bottom"/>
          </w:tcPr>
          <w:p w14:paraId="6307B3E4" w14:textId="77777777" w:rsidR="00B51828" w:rsidRPr="00DD1E22" w:rsidRDefault="00B51828" w:rsidP="002101D2">
            <w:pPr>
              <w:pStyle w:val="Tabletextboldleft"/>
              <w:jc w:val="right"/>
              <w:rPr>
                <w:b w:val="0"/>
                <w:sz w:val="19"/>
                <w:szCs w:val="19"/>
              </w:rPr>
            </w:pPr>
            <w:r w:rsidRPr="00DD1E22">
              <w:rPr>
                <w:b w:val="0"/>
                <w:color w:val="000000"/>
                <w:sz w:val="19"/>
                <w:szCs w:val="19"/>
              </w:rPr>
              <w:t>3,163</w:t>
            </w:r>
          </w:p>
        </w:tc>
        <w:tc>
          <w:tcPr>
            <w:tcW w:w="1106" w:type="dxa"/>
            <w:vAlign w:val="bottom"/>
          </w:tcPr>
          <w:p w14:paraId="398D139C" w14:textId="77777777" w:rsidR="00B51828" w:rsidRPr="00DD1E22" w:rsidRDefault="00B51828" w:rsidP="002101D2">
            <w:pPr>
              <w:pStyle w:val="Tabletextboldleft"/>
              <w:jc w:val="right"/>
              <w:rPr>
                <w:b w:val="0"/>
                <w:sz w:val="19"/>
                <w:szCs w:val="19"/>
              </w:rPr>
            </w:pPr>
            <w:r w:rsidRPr="00DD1E22">
              <w:rPr>
                <w:b w:val="0"/>
                <w:color w:val="000000"/>
                <w:sz w:val="19"/>
                <w:szCs w:val="19"/>
              </w:rPr>
              <w:t>3,838</w:t>
            </w:r>
          </w:p>
        </w:tc>
        <w:tc>
          <w:tcPr>
            <w:tcW w:w="1106" w:type="dxa"/>
            <w:vAlign w:val="bottom"/>
          </w:tcPr>
          <w:p w14:paraId="74362315" w14:textId="77777777" w:rsidR="00B51828" w:rsidRPr="00DD1E22" w:rsidRDefault="00B51828" w:rsidP="002101D2">
            <w:pPr>
              <w:pStyle w:val="Tabletextboldleft"/>
              <w:jc w:val="right"/>
              <w:rPr>
                <w:b w:val="0"/>
                <w:sz w:val="19"/>
                <w:szCs w:val="19"/>
              </w:rPr>
            </w:pPr>
            <w:r w:rsidRPr="00DD1E22">
              <w:rPr>
                <w:b w:val="0"/>
                <w:color w:val="000000"/>
                <w:sz w:val="19"/>
                <w:szCs w:val="19"/>
              </w:rPr>
              <w:t>4,513</w:t>
            </w:r>
          </w:p>
        </w:tc>
        <w:tc>
          <w:tcPr>
            <w:tcW w:w="1105" w:type="dxa"/>
            <w:vAlign w:val="bottom"/>
          </w:tcPr>
          <w:p w14:paraId="5BECCD8B" w14:textId="77777777" w:rsidR="00B51828" w:rsidRPr="00DD1E22" w:rsidRDefault="00B51828" w:rsidP="002101D2">
            <w:pPr>
              <w:pStyle w:val="Tabletextboldleft"/>
              <w:jc w:val="right"/>
              <w:rPr>
                <w:b w:val="0"/>
                <w:sz w:val="19"/>
                <w:szCs w:val="19"/>
              </w:rPr>
            </w:pPr>
            <w:r w:rsidRPr="00DD1E22">
              <w:rPr>
                <w:b w:val="0"/>
                <w:color w:val="000000"/>
                <w:sz w:val="19"/>
                <w:szCs w:val="19"/>
              </w:rPr>
              <w:t>5,188</w:t>
            </w:r>
          </w:p>
        </w:tc>
        <w:tc>
          <w:tcPr>
            <w:tcW w:w="1106" w:type="dxa"/>
            <w:vAlign w:val="bottom"/>
          </w:tcPr>
          <w:p w14:paraId="26964383" w14:textId="77777777" w:rsidR="00B51828" w:rsidRPr="00DD1E22" w:rsidRDefault="00B51828" w:rsidP="002101D2">
            <w:pPr>
              <w:pStyle w:val="Tabletextboldleft"/>
              <w:jc w:val="right"/>
              <w:rPr>
                <w:b w:val="0"/>
                <w:sz w:val="19"/>
                <w:szCs w:val="19"/>
              </w:rPr>
            </w:pPr>
            <w:r w:rsidRPr="00DD1E22">
              <w:rPr>
                <w:b w:val="0"/>
                <w:color w:val="000000"/>
                <w:sz w:val="19"/>
                <w:szCs w:val="19"/>
              </w:rPr>
              <w:t>5,863</w:t>
            </w:r>
          </w:p>
        </w:tc>
        <w:tc>
          <w:tcPr>
            <w:tcW w:w="1106" w:type="dxa"/>
            <w:vAlign w:val="bottom"/>
          </w:tcPr>
          <w:p w14:paraId="6DA8AF49" w14:textId="77777777" w:rsidR="00B51828" w:rsidRPr="00DD1E22" w:rsidRDefault="00B51828" w:rsidP="002101D2">
            <w:pPr>
              <w:pStyle w:val="Tabletextboldleft"/>
              <w:jc w:val="right"/>
              <w:rPr>
                <w:b w:val="0"/>
                <w:sz w:val="19"/>
                <w:szCs w:val="19"/>
              </w:rPr>
            </w:pPr>
            <w:r w:rsidRPr="00DD1E22">
              <w:rPr>
                <w:b w:val="0"/>
                <w:color w:val="000000"/>
                <w:sz w:val="19"/>
                <w:szCs w:val="19"/>
              </w:rPr>
              <w:t>6,538</w:t>
            </w:r>
          </w:p>
        </w:tc>
        <w:tc>
          <w:tcPr>
            <w:tcW w:w="1106" w:type="dxa"/>
            <w:vAlign w:val="bottom"/>
          </w:tcPr>
          <w:p w14:paraId="7B597449" w14:textId="77777777" w:rsidR="00B51828" w:rsidRPr="00DD1E22" w:rsidRDefault="00B51828" w:rsidP="002101D2">
            <w:pPr>
              <w:pStyle w:val="Tabletextboldleft"/>
              <w:jc w:val="right"/>
              <w:rPr>
                <w:b w:val="0"/>
                <w:sz w:val="19"/>
                <w:szCs w:val="19"/>
              </w:rPr>
            </w:pPr>
            <w:r w:rsidRPr="00DD1E22">
              <w:rPr>
                <w:b w:val="0"/>
                <w:color w:val="000000"/>
                <w:sz w:val="19"/>
                <w:szCs w:val="19"/>
              </w:rPr>
              <w:t>7,213</w:t>
            </w:r>
          </w:p>
        </w:tc>
      </w:tr>
      <w:tr w:rsidR="00B51828" w:rsidRPr="00041E27" w14:paraId="20B1C5C0" w14:textId="77777777" w:rsidTr="00E61184">
        <w:trPr>
          <w:trHeight w:val="210"/>
        </w:trPr>
        <w:tc>
          <w:tcPr>
            <w:tcW w:w="2835" w:type="dxa"/>
            <w:shd w:val="clear" w:color="auto" w:fill="D0CECE" w:themeFill="background2" w:themeFillShade="E6"/>
          </w:tcPr>
          <w:p w14:paraId="6CBD3898" w14:textId="77777777" w:rsidR="00B51828" w:rsidRPr="00DD1E22" w:rsidRDefault="00B51828" w:rsidP="002101D2">
            <w:pPr>
              <w:pStyle w:val="Tabletextboldleft"/>
            </w:pPr>
            <w:r w:rsidRPr="00DD1E22">
              <w:t>Total (Non-gynaecological only)</w:t>
            </w:r>
          </w:p>
        </w:tc>
        <w:tc>
          <w:tcPr>
            <w:tcW w:w="1105" w:type="dxa"/>
            <w:shd w:val="clear" w:color="auto" w:fill="D0CECE" w:themeFill="background2" w:themeFillShade="E6"/>
            <w:vAlign w:val="bottom"/>
          </w:tcPr>
          <w:p w14:paraId="32311635" w14:textId="77777777" w:rsidR="00B51828" w:rsidRPr="00DD1E22" w:rsidRDefault="00B51828" w:rsidP="002101D2">
            <w:pPr>
              <w:pStyle w:val="Tabletextboldleft"/>
              <w:jc w:val="right"/>
            </w:pPr>
            <w:r w:rsidRPr="00DD1E22">
              <w:t>220,052</w:t>
            </w:r>
          </w:p>
        </w:tc>
        <w:tc>
          <w:tcPr>
            <w:tcW w:w="1106" w:type="dxa"/>
            <w:shd w:val="clear" w:color="auto" w:fill="D0CECE" w:themeFill="background2" w:themeFillShade="E6"/>
            <w:vAlign w:val="bottom"/>
          </w:tcPr>
          <w:p w14:paraId="202DB3D1" w14:textId="77777777" w:rsidR="00B51828" w:rsidRPr="00DD1E22" w:rsidRDefault="00B51828" w:rsidP="002101D2">
            <w:pPr>
              <w:pStyle w:val="Tabletextboldleft"/>
              <w:jc w:val="right"/>
            </w:pPr>
            <w:r w:rsidRPr="00DD1E22">
              <w:t>225,459</w:t>
            </w:r>
          </w:p>
        </w:tc>
        <w:tc>
          <w:tcPr>
            <w:tcW w:w="1106" w:type="dxa"/>
            <w:shd w:val="clear" w:color="auto" w:fill="D0CECE" w:themeFill="background2" w:themeFillShade="E6"/>
            <w:vAlign w:val="bottom"/>
          </w:tcPr>
          <w:p w14:paraId="1458141F" w14:textId="77777777" w:rsidR="00B51828" w:rsidRPr="00DD1E22" w:rsidRDefault="00B51828" w:rsidP="002101D2">
            <w:pPr>
              <w:pStyle w:val="Tabletextboldleft"/>
              <w:jc w:val="right"/>
            </w:pPr>
            <w:r w:rsidRPr="00DD1E22">
              <w:t>242,929</w:t>
            </w:r>
          </w:p>
        </w:tc>
        <w:tc>
          <w:tcPr>
            <w:tcW w:w="1105" w:type="dxa"/>
            <w:shd w:val="clear" w:color="auto" w:fill="D0CECE" w:themeFill="background2" w:themeFillShade="E6"/>
            <w:vAlign w:val="bottom"/>
          </w:tcPr>
          <w:p w14:paraId="1208AFC6" w14:textId="77777777" w:rsidR="00B51828" w:rsidRPr="00DD1E22" w:rsidRDefault="00B51828" w:rsidP="002101D2">
            <w:pPr>
              <w:pStyle w:val="Tabletextboldleft"/>
              <w:jc w:val="right"/>
            </w:pPr>
            <w:r w:rsidRPr="00DD1E22">
              <w:t>245,920</w:t>
            </w:r>
          </w:p>
        </w:tc>
        <w:tc>
          <w:tcPr>
            <w:tcW w:w="1106" w:type="dxa"/>
            <w:shd w:val="clear" w:color="auto" w:fill="D0CECE" w:themeFill="background2" w:themeFillShade="E6"/>
            <w:vAlign w:val="bottom"/>
          </w:tcPr>
          <w:p w14:paraId="724BEF7B" w14:textId="77777777" w:rsidR="00B51828" w:rsidRPr="00DD1E22" w:rsidRDefault="00B51828" w:rsidP="002101D2">
            <w:pPr>
              <w:pStyle w:val="Tabletextboldleft"/>
              <w:jc w:val="right"/>
            </w:pPr>
            <w:r w:rsidRPr="00DD1E22">
              <w:t>253,494</w:t>
            </w:r>
          </w:p>
        </w:tc>
        <w:tc>
          <w:tcPr>
            <w:tcW w:w="1106" w:type="dxa"/>
            <w:shd w:val="clear" w:color="auto" w:fill="D0CECE" w:themeFill="background2" w:themeFillShade="E6"/>
            <w:vAlign w:val="bottom"/>
          </w:tcPr>
          <w:p w14:paraId="662F367F" w14:textId="77777777" w:rsidR="00B51828" w:rsidRPr="00DD1E22" w:rsidRDefault="00B51828" w:rsidP="002101D2">
            <w:pPr>
              <w:pStyle w:val="Tabletextboldleft"/>
              <w:jc w:val="right"/>
            </w:pPr>
            <w:r w:rsidRPr="00DD1E22">
              <w:t>261,067</w:t>
            </w:r>
          </w:p>
        </w:tc>
        <w:tc>
          <w:tcPr>
            <w:tcW w:w="1105" w:type="dxa"/>
            <w:shd w:val="clear" w:color="auto" w:fill="D0CECE" w:themeFill="background2" w:themeFillShade="E6"/>
            <w:vAlign w:val="bottom"/>
          </w:tcPr>
          <w:p w14:paraId="3C4A86DF" w14:textId="77777777" w:rsidR="00B51828" w:rsidRPr="00DD1E22" w:rsidRDefault="00B51828" w:rsidP="002101D2">
            <w:pPr>
              <w:pStyle w:val="Tabletextboldleft"/>
              <w:jc w:val="right"/>
            </w:pPr>
            <w:r w:rsidRPr="00DD1E22">
              <w:t>268,641</w:t>
            </w:r>
          </w:p>
        </w:tc>
        <w:tc>
          <w:tcPr>
            <w:tcW w:w="1106" w:type="dxa"/>
            <w:shd w:val="clear" w:color="auto" w:fill="D0CECE" w:themeFill="background2" w:themeFillShade="E6"/>
            <w:vAlign w:val="bottom"/>
          </w:tcPr>
          <w:p w14:paraId="1224DF99" w14:textId="77777777" w:rsidR="00B51828" w:rsidRPr="00DD1E22" w:rsidRDefault="00B51828" w:rsidP="002101D2">
            <w:pPr>
              <w:pStyle w:val="Tabletextboldleft"/>
              <w:jc w:val="right"/>
            </w:pPr>
            <w:r w:rsidRPr="00DD1E22">
              <w:t>276,214</w:t>
            </w:r>
          </w:p>
        </w:tc>
        <w:tc>
          <w:tcPr>
            <w:tcW w:w="1106" w:type="dxa"/>
            <w:shd w:val="clear" w:color="auto" w:fill="D0CECE" w:themeFill="background2" w:themeFillShade="E6"/>
            <w:vAlign w:val="bottom"/>
          </w:tcPr>
          <w:p w14:paraId="2BA2A81B" w14:textId="77777777" w:rsidR="00B51828" w:rsidRPr="00DD1E22" w:rsidRDefault="00B51828" w:rsidP="002101D2">
            <w:pPr>
              <w:pStyle w:val="Tabletextboldleft"/>
              <w:jc w:val="right"/>
            </w:pPr>
            <w:r w:rsidRPr="00DD1E22">
              <w:t>283,788</w:t>
            </w:r>
          </w:p>
        </w:tc>
        <w:tc>
          <w:tcPr>
            <w:tcW w:w="1106" w:type="dxa"/>
            <w:shd w:val="clear" w:color="auto" w:fill="D0CECE" w:themeFill="background2" w:themeFillShade="E6"/>
            <w:vAlign w:val="bottom"/>
          </w:tcPr>
          <w:p w14:paraId="1A17DE24" w14:textId="77777777" w:rsidR="00B51828" w:rsidRPr="00DD1E22" w:rsidRDefault="00B51828" w:rsidP="002101D2">
            <w:pPr>
              <w:pStyle w:val="Tabletextboldleft"/>
              <w:jc w:val="right"/>
            </w:pPr>
            <w:r w:rsidRPr="00DD1E22">
              <w:t>291,362</w:t>
            </w:r>
          </w:p>
        </w:tc>
      </w:tr>
      <w:tr w:rsidR="00B51828" w:rsidRPr="00F647C7" w14:paraId="1DE34339" w14:textId="77777777" w:rsidTr="00E61184">
        <w:trPr>
          <w:trHeight w:val="210"/>
        </w:trPr>
        <w:tc>
          <w:tcPr>
            <w:tcW w:w="2835" w:type="dxa"/>
            <w:shd w:val="clear" w:color="auto" w:fill="D0CECE" w:themeFill="background2" w:themeFillShade="E6"/>
          </w:tcPr>
          <w:p w14:paraId="5EFC12D7" w14:textId="77777777" w:rsidR="00B51828" w:rsidRPr="00DD1E22" w:rsidRDefault="00B51828" w:rsidP="002101D2">
            <w:pPr>
              <w:pStyle w:val="Tabletextboldleft"/>
            </w:pPr>
            <w:r w:rsidRPr="00DD1E22">
              <w:t>Total (All cytology)</w:t>
            </w:r>
          </w:p>
        </w:tc>
        <w:tc>
          <w:tcPr>
            <w:tcW w:w="1105" w:type="dxa"/>
            <w:shd w:val="clear" w:color="auto" w:fill="D0CECE" w:themeFill="background2" w:themeFillShade="E6"/>
            <w:vAlign w:val="bottom"/>
          </w:tcPr>
          <w:p w14:paraId="076BB5E0" w14:textId="77777777" w:rsidR="00B51828" w:rsidRPr="00DD1E22" w:rsidRDefault="00B51828" w:rsidP="002101D2">
            <w:pPr>
              <w:pStyle w:val="Tabletextboldleft"/>
              <w:jc w:val="right"/>
            </w:pPr>
            <w:r w:rsidRPr="00DD1E22">
              <w:t>1,903,027</w:t>
            </w:r>
          </w:p>
        </w:tc>
        <w:tc>
          <w:tcPr>
            <w:tcW w:w="1106" w:type="dxa"/>
            <w:shd w:val="clear" w:color="auto" w:fill="D0CECE" w:themeFill="background2" w:themeFillShade="E6"/>
            <w:vAlign w:val="bottom"/>
          </w:tcPr>
          <w:p w14:paraId="4A2CF7D7" w14:textId="77777777" w:rsidR="00B51828" w:rsidRPr="00DD1E22" w:rsidRDefault="00B51828" w:rsidP="002101D2">
            <w:pPr>
              <w:pStyle w:val="Tabletextboldleft"/>
              <w:jc w:val="right"/>
            </w:pPr>
            <w:r w:rsidRPr="00DD1E22">
              <w:t>1,997,164</w:t>
            </w:r>
          </w:p>
        </w:tc>
        <w:tc>
          <w:tcPr>
            <w:tcW w:w="1106" w:type="dxa"/>
            <w:shd w:val="clear" w:color="auto" w:fill="D0CECE" w:themeFill="background2" w:themeFillShade="E6"/>
            <w:vAlign w:val="bottom"/>
          </w:tcPr>
          <w:p w14:paraId="3A2CC60D" w14:textId="77777777" w:rsidR="00B51828" w:rsidRPr="00DD1E22" w:rsidRDefault="00B51828" w:rsidP="002101D2">
            <w:pPr>
              <w:pStyle w:val="Tabletextboldleft"/>
              <w:jc w:val="right"/>
            </w:pPr>
            <w:r w:rsidRPr="00DD1E22">
              <w:t>2,035,710</w:t>
            </w:r>
          </w:p>
        </w:tc>
        <w:tc>
          <w:tcPr>
            <w:tcW w:w="1105" w:type="dxa"/>
            <w:shd w:val="clear" w:color="auto" w:fill="D0CECE" w:themeFill="background2" w:themeFillShade="E6"/>
            <w:vAlign w:val="bottom"/>
          </w:tcPr>
          <w:p w14:paraId="62B6BD7B" w14:textId="77777777" w:rsidR="00B51828" w:rsidRPr="00DD1E22" w:rsidRDefault="00B51828" w:rsidP="002101D2">
            <w:pPr>
              <w:pStyle w:val="Tabletextboldleft"/>
              <w:jc w:val="right"/>
            </w:pPr>
            <w:r w:rsidRPr="00DD1E22">
              <w:t>2,031,337</w:t>
            </w:r>
          </w:p>
        </w:tc>
        <w:tc>
          <w:tcPr>
            <w:tcW w:w="1106" w:type="dxa"/>
            <w:shd w:val="clear" w:color="auto" w:fill="D0CECE" w:themeFill="background2" w:themeFillShade="E6"/>
            <w:vAlign w:val="bottom"/>
          </w:tcPr>
          <w:p w14:paraId="179012F2" w14:textId="77777777" w:rsidR="00B51828" w:rsidRPr="00DD1E22" w:rsidRDefault="00B51828" w:rsidP="002101D2">
            <w:pPr>
              <w:pStyle w:val="Tabletextboldleft"/>
              <w:jc w:val="right"/>
            </w:pPr>
            <w:r w:rsidRPr="00DD1E22">
              <w:t>2,054,032</w:t>
            </w:r>
          </w:p>
        </w:tc>
        <w:tc>
          <w:tcPr>
            <w:tcW w:w="1106" w:type="dxa"/>
            <w:shd w:val="clear" w:color="auto" w:fill="D0CECE" w:themeFill="background2" w:themeFillShade="E6"/>
            <w:vAlign w:val="bottom"/>
          </w:tcPr>
          <w:p w14:paraId="0D3379AD" w14:textId="77777777" w:rsidR="00B51828" w:rsidRPr="00DD1E22" w:rsidRDefault="00B51828" w:rsidP="002101D2">
            <w:pPr>
              <w:pStyle w:val="Tabletextboldleft"/>
              <w:jc w:val="right"/>
            </w:pPr>
            <w:r w:rsidRPr="00DD1E22">
              <w:t>2,076,725</w:t>
            </w:r>
          </w:p>
        </w:tc>
        <w:tc>
          <w:tcPr>
            <w:tcW w:w="1105" w:type="dxa"/>
            <w:shd w:val="clear" w:color="auto" w:fill="D0CECE" w:themeFill="background2" w:themeFillShade="E6"/>
            <w:vAlign w:val="bottom"/>
          </w:tcPr>
          <w:p w14:paraId="0ACF9853" w14:textId="77777777" w:rsidR="00B51828" w:rsidRPr="00DD1E22" w:rsidRDefault="00B51828" w:rsidP="002101D2">
            <w:pPr>
              <w:pStyle w:val="Tabletextboldleft"/>
              <w:jc w:val="right"/>
            </w:pPr>
            <w:r w:rsidRPr="00DD1E22">
              <w:t>2,099,420</w:t>
            </w:r>
          </w:p>
        </w:tc>
        <w:tc>
          <w:tcPr>
            <w:tcW w:w="1106" w:type="dxa"/>
            <w:shd w:val="clear" w:color="auto" w:fill="D0CECE" w:themeFill="background2" w:themeFillShade="E6"/>
            <w:vAlign w:val="bottom"/>
          </w:tcPr>
          <w:p w14:paraId="59135DA6" w14:textId="77777777" w:rsidR="00B51828" w:rsidRPr="00DD1E22" w:rsidRDefault="00B51828" w:rsidP="002101D2">
            <w:pPr>
              <w:pStyle w:val="Tabletextboldleft"/>
              <w:jc w:val="right"/>
            </w:pPr>
            <w:r w:rsidRPr="00DD1E22">
              <w:t>2,122,113</w:t>
            </w:r>
          </w:p>
        </w:tc>
        <w:tc>
          <w:tcPr>
            <w:tcW w:w="1106" w:type="dxa"/>
            <w:shd w:val="clear" w:color="auto" w:fill="D0CECE" w:themeFill="background2" w:themeFillShade="E6"/>
            <w:vAlign w:val="bottom"/>
          </w:tcPr>
          <w:p w14:paraId="56FC9DAB" w14:textId="77777777" w:rsidR="00B51828" w:rsidRPr="00DD1E22" w:rsidRDefault="00B51828" w:rsidP="002101D2">
            <w:pPr>
              <w:pStyle w:val="Tabletextboldleft"/>
              <w:jc w:val="right"/>
            </w:pPr>
            <w:r w:rsidRPr="00DD1E22">
              <w:t>2,144,806</w:t>
            </w:r>
          </w:p>
        </w:tc>
        <w:tc>
          <w:tcPr>
            <w:tcW w:w="1106" w:type="dxa"/>
            <w:shd w:val="clear" w:color="auto" w:fill="D0CECE" w:themeFill="background2" w:themeFillShade="E6"/>
            <w:vAlign w:val="bottom"/>
          </w:tcPr>
          <w:p w14:paraId="34398655" w14:textId="77777777" w:rsidR="00B51828" w:rsidRPr="00DD1E22" w:rsidRDefault="00B51828" w:rsidP="002101D2">
            <w:pPr>
              <w:pStyle w:val="Tabletextboldleft"/>
              <w:jc w:val="right"/>
            </w:pPr>
            <w:r w:rsidRPr="00DD1E22">
              <w:t>2,167,501</w:t>
            </w:r>
          </w:p>
        </w:tc>
      </w:tr>
    </w:tbl>
    <w:p w14:paraId="32969B1A" w14:textId="77777777" w:rsidR="00B51828" w:rsidRDefault="00B51828" w:rsidP="002101D2">
      <w:pPr>
        <w:spacing w:before="20" w:after="0"/>
        <w:ind w:left="0"/>
        <w:rPr>
          <w:rFonts w:ascii="Arial Narrow" w:hAnsi="Arial Narrow"/>
          <w:sz w:val="18"/>
          <w:szCs w:val="18"/>
        </w:rPr>
      </w:pPr>
      <w:r>
        <w:rPr>
          <w:rFonts w:ascii="Arial Narrow" w:hAnsi="Arial Narrow"/>
          <w:sz w:val="18"/>
          <w:szCs w:val="18"/>
        </w:rPr>
        <w:t>Source: Excel Section E workbook &lt;Service utilisation assumptions&gt;</w:t>
      </w:r>
    </w:p>
    <w:p w14:paraId="56C91387" w14:textId="2D77CD6D" w:rsidR="00B51828" w:rsidRPr="00337FA0" w:rsidRDefault="00B51828" w:rsidP="002101D2">
      <w:pPr>
        <w:spacing w:before="20" w:after="0"/>
        <w:ind w:left="0"/>
        <w:rPr>
          <w:rFonts w:ascii="Arial Narrow" w:hAnsi="Arial Narrow"/>
          <w:sz w:val="18"/>
          <w:szCs w:val="18"/>
        </w:rPr>
      </w:pPr>
      <w:r w:rsidRPr="00337FA0">
        <w:rPr>
          <w:rFonts w:ascii="Arial Narrow" w:hAnsi="Arial Narrow"/>
          <w:sz w:val="18"/>
          <w:szCs w:val="18"/>
        </w:rPr>
        <w:t xml:space="preserve">Note: </w:t>
      </w:r>
      <w:r>
        <w:rPr>
          <w:rFonts w:ascii="Arial Narrow" w:hAnsi="Arial Narrow"/>
          <w:sz w:val="18"/>
          <w:szCs w:val="18"/>
        </w:rPr>
        <w:t xml:space="preserve">Projections were calculated based on Medicare Australia data from 2008-09 to 2012-13; however, not all historical data used in projections are presented in </w:t>
      </w:r>
      <w:r>
        <w:rPr>
          <w:rFonts w:ascii="Arial Narrow" w:hAnsi="Arial Narrow"/>
          <w:sz w:val="18"/>
          <w:szCs w:val="18"/>
        </w:rPr>
        <w:fldChar w:fldCharType="begin"/>
      </w:r>
      <w:r>
        <w:rPr>
          <w:rFonts w:ascii="Arial Narrow" w:hAnsi="Arial Narrow"/>
          <w:sz w:val="18"/>
          <w:szCs w:val="18"/>
        </w:rPr>
        <w:instrText xml:space="preserve"> REF _Ref394487293 \h  \* MERGEFORMAT </w:instrText>
      </w:r>
      <w:r>
        <w:rPr>
          <w:rFonts w:ascii="Arial Narrow" w:hAnsi="Arial Narrow"/>
          <w:sz w:val="18"/>
          <w:szCs w:val="18"/>
        </w:rPr>
      </w:r>
      <w:r>
        <w:rPr>
          <w:rFonts w:ascii="Arial Narrow" w:hAnsi="Arial Narrow"/>
          <w:sz w:val="18"/>
          <w:szCs w:val="18"/>
        </w:rPr>
        <w:fldChar w:fldCharType="separate"/>
      </w:r>
      <w:r w:rsidR="0044620B" w:rsidRPr="0044620B">
        <w:rPr>
          <w:rFonts w:ascii="Arial Narrow" w:hAnsi="Arial Narrow"/>
          <w:sz w:val="18"/>
          <w:szCs w:val="18"/>
        </w:rPr>
        <w:t>Table E.1</w:t>
      </w:r>
      <w:r w:rsidR="0044620B" w:rsidRPr="0044620B">
        <w:rPr>
          <w:rFonts w:ascii="Arial Narrow" w:hAnsi="Arial Narrow"/>
          <w:sz w:val="18"/>
          <w:szCs w:val="18"/>
        </w:rPr>
        <w:noBreakHyphen/>
        <w:t>2</w:t>
      </w:r>
      <w:r>
        <w:rPr>
          <w:rFonts w:ascii="Arial Narrow" w:hAnsi="Arial Narrow"/>
          <w:sz w:val="18"/>
          <w:szCs w:val="18"/>
        </w:rPr>
        <w:fldChar w:fldCharType="end"/>
      </w:r>
      <w:r>
        <w:rPr>
          <w:rFonts w:ascii="Arial Narrow" w:hAnsi="Arial Narrow"/>
          <w:sz w:val="18"/>
          <w:szCs w:val="18"/>
        </w:rPr>
        <w:t>.</w:t>
      </w:r>
    </w:p>
    <w:p w14:paraId="7AFF0F23" w14:textId="77777777" w:rsidR="00B51828" w:rsidRPr="00372379" w:rsidRDefault="00B51828" w:rsidP="002101D2">
      <w:pPr>
        <w:spacing w:before="20" w:after="0"/>
        <w:ind w:left="0"/>
        <w:rPr>
          <w:rFonts w:ascii="Arial Narrow" w:hAnsi="Arial Narrow"/>
          <w:sz w:val="18"/>
          <w:szCs w:val="18"/>
        </w:rPr>
        <w:sectPr w:rsidR="00B51828" w:rsidRPr="00372379" w:rsidSect="002101D2">
          <w:footerReference w:type="default" r:id="rId35"/>
          <w:pgSz w:w="16838" w:h="11906" w:orient="landscape" w:code="9"/>
          <w:pgMar w:top="1440" w:right="1440" w:bottom="1440" w:left="1440" w:header="680" w:footer="1021" w:gutter="0"/>
          <w:cols w:space="708"/>
          <w:docGrid w:linePitch="360"/>
        </w:sectPr>
      </w:pPr>
      <w:r w:rsidRPr="00DB0F9B">
        <w:rPr>
          <w:rFonts w:ascii="Arial Narrow" w:hAnsi="Arial Narrow"/>
          <w:sz w:val="18"/>
          <w:szCs w:val="18"/>
          <w:vertAlign w:val="superscript"/>
        </w:rPr>
        <w:t>a</w:t>
      </w:r>
      <w:r w:rsidRPr="00DB0F9B">
        <w:rPr>
          <w:rFonts w:ascii="Arial Narrow" w:hAnsi="Arial Narrow"/>
          <w:sz w:val="18"/>
          <w:szCs w:val="18"/>
        </w:rPr>
        <w:t xml:space="preserve"> Includes bone marrow items</w:t>
      </w:r>
      <w:r>
        <w:rPr>
          <w:rFonts w:ascii="Arial Narrow" w:hAnsi="Arial Narrow"/>
          <w:sz w:val="18"/>
          <w:szCs w:val="18"/>
        </w:rPr>
        <w:t xml:space="preserve"> (MBS items 65084 and 65087).</w:t>
      </w:r>
    </w:p>
    <w:p w14:paraId="25F49D8A" w14:textId="77777777" w:rsidR="00B51828" w:rsidRPr="00A43162" w:rsidRDefault="00B51828" w:rsidP="002101D2">
      <w:r>
        <w:lastRenderedPageBreak/>
        <w:t>As discussed above, Australian estimates of the proportion of initial pathology specimens that are referred for second, expert opinion are not available from the literature. To address the data gap, a targeted Expert Opinion Survey</w:t>
      </w:r>
      <w:r>
        <w:rPr>
          <w:rStyle w:val="FootnoteReference"/>
        </w:rPr>
        <w:footnoteReference w:id="11"/>
      </w:r>
      <w:r>
        <w:t xml:space="preserve"> was sent to eight Chief Executive Officers or Heads of Pathology Departments in Australia (see </w:t>
      </w:r>
      <w:r>
        <w:fldChar w:fldCharType="begin"/>
      </w:r>
      <w:r>
        <w:instrText xml:space="preserve"> REF _Ref394406621 \w \h </w:instrText>
      </w:r>
      <w:r>
        <w:fldChar w:fldCharType="separate"/>
      </w:r>
      <w:r w:rsidR="0044620B">
        <w:t>Appendix 1</w:t>
      </w:r>
      <w:r>
        <w:fldChar w:fldCharType="end"/>
      </w:r>
      <w:r>
        <w:t>). In order to determine the utilisation of the proposed second, expert opinion items, the respondents were asked to estimate the proportion of initial cases that would be referred to an external expert pathologist. Separate estimates were obtained according to current and proposed funding arrangements as well as tissue pathology (including bone marrow) and non-gynaecological cytology. For the purpose of the financial estimates, and in lieu of other data, it was assumed that the proportion of gynaecological cytology cases that would require a second, expert opinion would not differ from non-gynaecological cytology.</w:t>
      </w:r>
    </w:p>
    <w:p w14:paraId="344C794C" w14:textId="669657CB" w:rsidR="00B51828" w:rsidRDefault="00B51828" w:rsidP="002101D2">
      <w:r>
        <w:t xml:space="preserve">The estimated proportion of tissue pathology and cytology cases referred for second, expert opinion under the current and proposed funding arrangements are shown in </w:t>
      </w:r>
      <w:r>
        <w:fldChar w:fldCharType="begin"/>
      </w:r>
      <w:r>
        <w:instrText xml:space="preserve"> REF _Ref395253529 \h </w:instrText>
      </w:r>
      <w:r>
        <w:fldChar w:fldCharType="separate"/>
      </w:r>
      <w:r w:rsidR="0044620B">
        <w:t xml:space="preserve">Table </w:t>
      </w:r>
      <w:r w:rsidR="0044620B">
        <w:rPr>
          <w:noProof/>
        </w:rPr>
        <w:t>E.1</w:t>
      </w:r>
      <w:r w:rsidR="0044620B">
        <w:noBreakHyphen/>
      </w:r>
      <w:r w:rsidR="0044620B">
        <w:rPr>
          <w:noProof/>
        </w:rPr>
        <w:t>3</w:t>
      </w:r>
      <w:r>
        <w:fldChar w:fldCharType="end"/>
      </w:r>
      <w:r>
        <w:t xml:space="preserve">. The estimates represent the average (mean) of the responses obtained through the Expert Opinion Survey (eight responses for tissue pathology and seven for non-gynaecological cytology). </w:t>
      </w:r>
      <w:r>
        <w:rPr>
          <w:szCs w:val="24"/>
        </w:rPr>
        <w:t xml:space="preserve">The expected increase in the proportion of cases referred for second, expert opinion supports the clinical claim that second, expert opinions are not sought as frequently as they should be (particularly from isolated regional or remote pathologists) due to the cost, lack of funding, and perceived impost on colleagues (see Section A.7). </w:t>
      </w:r>
      <w:r>
        <w:t xml:space="preserve">The estimates from </w:t>
      </w:r>
      <w:r>
        <w:fldChar w:fldCharType="begin"/>
      </w:r>
      <w:r>
        <w:instrText xml:space="preserve"> REF _Ref395253529 \h </w:instrText>
      </w:r>
      <w:r>
        <w:fldChar w:fldCharType="separate"/>
      </w:r>
      <w:r w:rsidR="0044620B">
        <w:t xml:space="preserve">Table </w:t>
      </w:r>
      <w:r w:rsidR="0044620B">
        <w:rPr>
          <w:noProof/>
        </w:rPr>
        <w:t>E.1</w:t>
      </w:r>
      <w:r w:rsidR="0044620B">
        <w:noBreakHyphen/>
      </w:r>
      <w:r w:rsidR="0044620B">
        <w:rPr>
          <w:noProof/>
        </w:rPr>
        <w:t>3</w:t>
      </w:r>
      <w:r>
        <w:fldChar w:fldCharType="end"/>
      </w:r>
      <w:r>
        <w:t xml:space="preserve"> were applied in the base case financial analysis, with alternative values tested in sensitivity analyses in Section E.6.</w:t>
      </w:r>
    </w:p>
    <w:p w14:paraId="74D61AFE" w14:textId="77777777" w:rsidR="00B51828" w:rsidRDefault="00B51828" w:rsidP="002101D2">
      <w:pPr>
        <w:pStyle w:val="Caption"/>
      </w:pPr>
      <w:bookmarkStart w:id="243" w:name="_Ref395267293"/>
      <w:bookmarkStart w:id="244" w:name="_Ref395253529"/>
      <w:bookmarkStart w:id="245" w:name="_Toc396211767"/>
      <w:r>
        <w:t xml:space="preserve">Table </w:t>
      </w:r>
      <w:fldSimple w:instr=" STYLEREF 2 \s ">
        <w:r w:rsidR="0044620B">
          <w:rPr>
            <w:noProof/>
          </w:rPr>
          <w:t>E.1</w:t>
        </w:r>
      </w:fldSimple>
      <w:r>
        <w:noBreakHyphen/>
      </w:r>
      <w:fldSimple w:instr=" SEQ Table \* ARABIC \s 2 ">
        <w:r w:rsidR="0044620B">
          <w:rPr>
            <w:noProof/>
          </w:rPr>
          <w:t>3</w:t>
        </w:r>
      </w:fldSimple>
      <w:bookmarkEnd w:id="243"/>
      <w:bookmarkEnd w:id="244"/>
      <w:r>
        <w:tab/>
        <w:t>Base case estimates of proportion of cases referred for second, expert opinion</w:t>
      </w:r>
      <w:bookmarkEnd w:id="245"/>
    </w:p>
    <w:tbl>
      <w:tblPr>
        <w:tblStyle w:val="TableGrid"/>
        <w:tblW w:w="8296" w:type="dxa"/>
        <w:tblInd w:w="720" w:type="dxa"/>
        <w:tblLayout w:type="fixed"/>
        <w:tblLook w:val="04A0" w:firstRow="1" w:lastRow="0" w:firstColumn="1" w:lastColumn="0" w:noHBand="0" w:noVBand="1"/>
        <w:tblCaption w:val="Proportion of cases referred for second, expert opinion"/>
        <w:tblDescription w:val="The base case estimates of proportion of cases referred for second, expert opinion. The estimates represent the average (mean) of the responses obtained through the Expert Opinion Survey."/>
      </w:tblPr>
      <w:tblGrid>
        <w:gridCol w:w="4237"/>
        <w:gridCol w:w="1984"/>
        <w:gridCol w:w="2075"/>
      </w:tblGrid>
      <w:tr w:rsidR="00B51828" w14:paraId="54FEDAFB" w14:textId="77777777" w:rsidTr="00E61184">
        <w:trPr>
          <w:trHeight w:val="210"/>
          <w:tblHeader/>
        </w:trPr>
        <w:tc>
          <w:tcPr>
            <w:tcW w:w="4237" w:type="dxa"/>
          </w:tcPr>
          <w:p w14:paraId="54D67FED" w14:textId="77777777" w:rsidR="00B51828" w:rsidRDefault="00B51828" w:rsidP="002101D2">
            <w:pPr>
              <w:pStyle w:val="Tabletextboldleft"/>
              <w:spacing w:before="20" w:after="20"/>
            </w:pPr>
          </w:p>
        </w:tc>
        <w:tc>
          <w:tcPr>
            <w:tcW w:w="1984" w:type="dxa"/>
          </w:tcPr>
          <w:p w14:paraId="43F69877" w14:textId="77777777" w:rsidR="00B51828" w:rsidRDefault="00B51828" w:rsidP="002101D2">
            <w:pPr>
              <w:pStyle w:val="Tabletextboldleft"/>
              <w:spacing w:before="20" w:after="20"/>
              <w:jc w:val="center"/>
            </w:pPr>
            <w:r>
              <w:t>Average estimate (%) - Proposed funding arrangements</w:t>
            </w:r>
          </w:p>
        </w:tc>
        <w:tc>
          <w:tcPr>
            <w:tcW w:w="2075" w:type="dxa"/>
          </w:tcPr>
          <w:p w14:paraId="6643E040" w14:textId="77777777" w:rsidR="00B51828" w:rsidRDefault="00B51828" w:rsidP="002101D2">
            <w:pPr>
              <w:pStyle w:val="Tabletextboldleft"/>
              <w:spacing w:before="20" w:after="20"/>
              <w:jc w:val="center"/>
            </w:pPr>
            <w:r>
              <w:t>Average estimate (%) - Current funding arrangements</w:t>
            </w:r>
          </w:p>
        </w:tc>
      </w:tr>
      <w:tr w:rsidR="00B51828" w:rsidRPr="00701236" w14:paraId="4BCC502F" w14:textId="77777777" w:rsidTr="00E61184">
        <w:trPr>
          <w:trHeight w:val="84"/>
        </w:trPr>
        <w:tc>
          <w:tcPr>
            <w:tcW w:w="4237" w:type="dxa"/>
            <w:shd w:val="clear" w:color="auto" w:fill="D0CECE" w:themeFill="background2" w:themeFillShade="E6"/>
          </w:tcPr>
          <w:p w14:paraId="50239FF5" w14:textId="77777777" w:rsidR="00B51828" w:rsidRDefault="00B51828" w:rsidP="002101D2">
            <w:pPr>
              <w:pStyle w:val="Tabletextboldleft"/>
              <w:spacing w:before="20" w:after="20"/>
            </w:pPr>
            <w:r>
              <w:t>Tissue pathology</w:t>
            </w:r>
          </w:p>
        </w:tc>
        <w:tc>
          <w:tcPr>
            <w:tcW w:w="1984" w:type="dxa"/>
            <w:shd w:val="clear" w:color="auto" w:fill="D0CECE" w:themeFill="background2" w:themeFillShade="E6"/>
          </w:tcPr>
          <w:p w14:paraId="01BC4C81" w14:textId="77777777" w:rsidR="00B51828" w:rsidRPr="0054200C" w:rsidRDefault="00B51828" w:rsidP="002101D2">
            <w:pPr>
              <w:pStyle w:val="Tabletextboldleft"/>
              <w:spacing w:before="20" w:after="20"/>
              <w:jc w:val="center"/>
              <w:rPr>
                <w:b w:val="0"/>
              </w:rPr>
            </w:pPr>
            <w:r w:rsidRPr="0054200C">
              <w:rPr>
                <w:b w:val="0"/>
              </w:rPr>
              <w:t>-</w:t>
            </w:r>
          </w:p>
        </w:tc>
        <w:tc>
          <w:tcPr>
            <w:tcW w:w="2075" w:type="dxa"/>
            <w:shd w:val="clear" w:color="auto" w:fill="D0CECE" w:themeFill="background2" w:themeFillShade="E6"/>
          </w:tcPr>
          <w:p w14:paraId="2FCFA3D1" w14:textId="77777777" w:rsidR="00B51828" w:rsidRPr="0054200C" w:rsidRDefault="00B51828" w:rsidP="002101D2">
            <w:pPr>
              <w:pStyle w:val="Tabletextboldleft"/>
              <w:spacing w:before="20" w:after="20"/>
              <w:jc w:val="center"/>
              <w:rPr>
                <w:b w:val="0"/>
              </w:rPr>
            </w:pPr>
            <w:r w:rsidRPr="0054200C">
              <w:rPr>
                <w:b w:val="0"/>
              </w:rPr>
              <w:t>-</w:t>
            </w:r>
          </w:p>
        </w:tc>
      </w:tr>
      <w:tr w:rsidR="00B51828" w:rsidRPr="00A75B17" w14:paraId="61215786" w14:textId="77777777" w:rsidTr="00E61184">
        <w:trPr>
          <w:trHeight w:val="210"/>
        </w:trPr>
        <w:tc>
          <w:tcPr>
            <w:tcW w:w="4237" w:type="dxa"/>
          </w:tcPr>
          <w:p w14:paraId="782D01F3" w14:textId="77777777" w:rsidR="00B51828" w:rsidRPr="00041E27" w:rsidRDefault="00B51828" w:rsidP="002101D2">
            <w:pPr>
              <w:pStyle w:val="Tabletextboldleft"/>
              <w:spacing w:before="20" w:after="20"/>
              <w:rPr>
                <w:b w:val="0"/>
              </w:rPr>
            </w:pPr>
            <w:r>
              <w:rPr>
                <w:b w:val="0"/>
              </w:rPr>
              <w:t>Proportion of cases referred for second, expert opinion</w:t>
            </w:r>
          </w:p>
        </w:tc>
        <w:tc>
          <w:tcPr>
            <w:tcW w:w="1984" w:type="dxa"/>
          </w:tcPr>
          <w:p w14:paraId="71B0B02D" w14:textId="77777777" w:rsidR="00B51828" w:rsidRPr="00616A3F" w:rsidRDefault="00B51828" w:rsidP="002101D2">
            <w:pPr>
              <w:spacing w:before="20" w:after="20"/>
              <w:ind w:left="0"/>
              <w:jc w:val="center"/>
              <w:rPr>
                <w:rFonts w:ascii="Arial Narrow" w:hAnsi="Arial Narrow"/>
                <w:sz w:val="20"/>
                <w:szCs w:val="20"/>
              </w:rPr>
            </w:pPr>
            <w:r>
              <w:rPr>
                <w:rFonts w:ascii="Arial Narrow" w:hAnsi="Arial Narrow"/>
                <w:sz w:val="20"/>
                <w:szCs w:val="20"/>
              </w:rPr>
              <w:t>1.41%</w:t>
            </w:r>
          </w:p>
        </w:tc>
        <w:tc>
          <w:tcPr>
            <w:tcW w:w="2075" w:type="dxa"/>
          </w:tcPr>
          <w:p w14:paraId="22639394" w14:textId="77777777" w:rsidR="00B51828" w:rsidRPr="00616A3F" w:rsidRDefault="00B51828" w:rsidP="002101D2">
            <w:pPr>
              <w:spacing w:before="20" w:after="20"/>
              <w:ind w:left="0"/>
              <w:jc w:val="center"/>
              <w:rPr>
                <w:rFonts w:ascii="Arial Narrow" w:hAnsi="Arial Narrow"/>
                <w:sz w:val="20"/>
                <w:szCs w:val="20"/>
              </w:rPr>
            </w:pPr>
            <w:r>
              <w:rPr>
                <w:rFonts w:ascii="Arial Narrow" w:hAnsi="Arial Narrow"/>
                <w:sz w:val="20"/>
                <w:szCs w:val="20"/>
              </w:rPr>
              <w:t>0.57%</w:t>
            </w:r>
          </w:p>
        </w:tc>
      </w:tr>
      <w:tr w:rsidR="00B51828" w:rsidRPr="00A75B17" w14:paraId="0F7CDA98" w14:textId="77777777" w:rsidTr="00E61184">
        <w:trPr>
          <w:trHeight w:val="210"/>
        </w:trPr>
        <w:tc>
          <w:tcPr>
            <w:tcW w:w="4237" w:type="dxa"/>
            <w:shd w:val="clear" w:color="auto" w:fill="D0CECE" w:themeFill="background2" w:themeFillShade="E6"/>
          </w:tcPr>
          <w:p w14:paraId="5727A9D0" w14:textId="77777777" w:rsidR="00B51828" w:rsidRPr="00F647C7" w:rsidRDefault="00B51828" w:rsidP="002101D2">
            <w:pPr>
              <w:pStyle w:val="Tabletextboldleft"/>
              <w:spacing w:before="20" w:after="20"/>
            </w:pPr>
            <w:r>
              <w:t>Cytology</w:t>
            </w:r>
            <w:r>
              <w:rPr>
                <w:vertAlign w:val="superscript"/>
              </w:rPr>
              <w:t>a</w:t>
            </w:r>
          </w:p>
        </w:tc>
        <w:tc>
          <w:tcPr>
            <w:tcW w:w="1984" w:type="dxa"/>
            <w:shd w:val="clear" w:color="auto" w:fill="D0CECE" w:themeFill="background2" w:themeFillShade="E6"/>
          </w:tcPr>
          <w:p w14:paraId="27AA6D40" w14:textId="77777777" w:rsidR="00B51828" w:rsidRPr="00616A3F" w:rsidRDefault="00B51828" w:rsidP="002101D2">
            <w:pPr>
              <w:pStyle w:val="Tabletextboldleft"/>
              <w:spacing w:before="20" w:after="20"/>
              <w:jc w:val="center"/>
              <w:rPr>
                <w:b w:val="0"/>
              </w:rPr>
            </w:pPr>
            <w:r>
              <w:rPr>
                <w:b w:val="0"/>
              </w:rPr>
              <w:t>-</w:t>
            </w:r>
          </w:p>
        </w:tc>
        <w:tc>
          <w:tcPr>
            <w:tcW w:w="2075" w:type="dxa"/>
            <w:shd w:val="clear" w:color="auto" w:fill="D0CECE" w:themeFill="background2" w:themeFillShade="E6"/>
          </w:tcPr>
          <w:p w14:paraId="502DFE2D" w14:textId="77777777" w:rsidR="00B51828" w:rsidRPr="00616A3F" w:rsidRDefault="00B51828" w:rsidP="002101D2">
            <w:pPr>
              <w:pStyle w:val="Tabletextboldleft"/>
              <w:spacing w:before="20" w:after="20"/>
              <w:jc w:val="center"/>
              <w:rPr>
                <w:b w:val="0"/>
              </w:rPr>
            </w:pPr>
            <w:r>
              <w:rPr>
                <w:b w:val="0"/>
              </w:rPr>
              <w:t>-</w:t>
            </w:r>
          </w:p>
        </w:tc>
      </w:tr>
      <w:tr w:rsidR="00B51828" w:rsidRPr="00A75B17" w14:paraId="2282A22D" w14:textId="77777777" w:rsidTr="00E61184">
        <w:trPr>
          <w:trHeight w:val="210"/>
        </w:trPr>
        <w:tc>
          <w:tcPr>
            <w:tcW w:w="4237" w:type="dxa"/>
          </w:tcPr>
          <w:p w14:paraId="43DAAF51" w14:textId="77777777" w:rsidR="00B51828" w:rsidRDefault="00B51828" w:rsidP="002101D2">
            <w:pPr>
              <w:pStyle w:val="Tabletextboldleft"/>
              <w:spacing w:before="20" w:after="20"/>
              <w:rPr>
                <w:b w:val="0"/>
              </w:rPr>
            </w:pPr>
            <w:r>
              <w:rPr>
                <w:b w:val="0"/>
              </w:rPr>
              <w:t>Proportion of cases referred for second, expert opinion</w:t>
            </w:r>
          </w:p>
        </w:tc>
        <w:tc>
          <w:tcPr>
            <w:tcW w:w="1984" w:type="dxa"/>
          </w:tcPr>
          <w:p w14:paraId="378495CF" w14:textId="77777777" w:rsidR="00B51828" w:rsidRPr="00616A3F" w:rsidRDefault="00B51828" w:rsidP="002101D2">
            <w:pPr>
              <w:spacing w:before="20" w:after="20"/>
              <w:ind w:left="0"/>
              <w:jc w:val="center"/>
              <w:rPr>
                <w:rFonts w:ascii="Arial Narrow" w:hAnsi="Arial Narrow"/>
                <w:sz w:val="20"/>
                <w:szCs w:val="20"/>
              </w:rPr>
            </w:pPr>
            <w:r>
              <w:rPr>
                <w:rFonts w:ascii="Arial Narrow" w:hAnsi="Arial Narrow"/>
                <w:sz w:val="20"/>
                <w:szCs w:val="20"/>
              </w:rPr>
              <w:t>1.17%</w:t>
            </w:r>
          </w:p>
        </w:tc>
        <w:tc>
          <w:tcPr>
            <w:tcW w:w="2075" w:type="dxa"/>
          </w:tcPr>
          <w:p w14:paraId="747408CD" w14:textId="77777777" w:rsidR="00B51828" w:rsidRPr="00616A3F" w:rsidRDefault="00B51828" w:rsidP="002101D2">
            <w:pPr>
              <w:spacing w:before="20" w:after="20"/>
              <w:ind w:left="0"/>
              <w:jc w:val="center"/>
              <w:rPr>
                <w:rFonts w:ascii="Arial Narrow" w:hAnsi="Arial Narrow"/>
                <w:sz w:val="20"/>
                <w:szCs w:val="20"/>
              </w:rPr>
            </w:pPr>
            <w:r>
              <w:rPr>
                <w:rFonts w:ascii="Arial Narrow" w:hAnsi="Arial Narrow"/>
                <w:sz w:val="20"/>
                <w:szCs w:val="20"/>
              </w:rPr>
              <w:t>0.33%</w:t>
            </w:r>
          </w:p>
        </w:tc>
      </w:tr>
    </w:tbl>
    <w:p w14:paraId="08945C03" w14:textId="77777777" w:rsidR="00B51828" w:rsidRPr="00DD1E22" w:rsidRDefault="00B51828" w:rsidP="002101D2">
      <w:pPr>
        <w:spacing w:before="20" w:after="0"/>
        <w:ind w:left="0" w:firstLine="720"/>
        <w:rPr>
          <w:rFonts w:ascii="Arial Narrow" w:hAnsi="Arial Narrow"/>
          <w:sz w:val="18"/>
          <w:szCs w:val="18"/>
        </w:rPr>
      </w:pPr>
      <w:r>
        <w:rPr>
          <w:rFonts w:ascii="Arial Narrow" w:hAnsi="Arial Narrow"/>
          <w:sz w:val="18"/>
          <w:szCs w:val="18"/>
        </w:rPr>
        <w:t>Source: Expert Opinion Survey (Appendix 5)</w:t>
      </w:r>
    </w:p>
    <w:p w14:paraId="3E9A9364" w14:textId="77777777" w:rsidR="00B51828" w:rsidRDefault="00B51828" w:rsidP="002101D2">
      <w:pPr>
        <w:spacing w:before="20"/>
        <w:rPr>
          <w:rFonts w:ascii="Arial Narrow" w:hAnsi="Arial Narrow"/>
          <w:sz w:val="18"/>
          <w:szCs w:val="18"/>
        </w:rPr>
      </w:pPr>
      <w:r w:rsidRPr="00DB0F44">
        <w:rPr>
          <w:rFonts w:ascii="Arial Narrow" w:hAnsi="Arial Narrow"/>
          <w:sz w:val="18"/>
          <w:szCs w:val="18"/>
          <w:vertAlign w:val="superscript"/>
        </w:rPr>
        <w:t>a</w:t>
      </w:r>
      <w:r w:rsidRPr="00DB0F44">
        <w:rPr>
          <w:rFonts w:ascii="Arial Narrow" w:hAnsi="Arial Narrow"/>
          <w:sz w:val="18"/>
          <w:szCs w:val="18"/>
        </w:rPr>
        <w:t xml:space="preserve"> The estimate refers to the proportion of non-gynaecological cytology cases referred for second, expert opinion. The base case financial analysis assumes that a similar rate would apply to gynaecological cytology cases.</w:t>
      </w:r>
    </w:p>
    <w:p w14:paraId="4B1534ED" w14:textId="77777777" w:rsidR="00B51828" w:rsidRDefault="00B51828" w:rsidP="002101D2">
      <w:r>
        <w:t>The second, expert opinion rates from the Expert Opinion Survey (</w:t>
      </w:r>
      <w:r>
        <w:fldChar w:fldCharType="begin"/>
      </w:r>
      <w:r>
        <w:instrText xml:space="preserve"> REF _Ref395253529 \h </w:instrText>
      </w:r>
      <w:r>
        <w:fldChar w:fldCharType="separate"/>
      </w:r>
      <w:r w:rsidR="0044620B">
        <w:t xml:space="preserve">Table </w:t>
      </w:r>
      <w:r w:rsidR="0044620B">
        <w:rPr>
          <w:noProof/>
        </w:rPr>
        <w:t>E.1</w:t>
      </w:r>
      <w:r w:rsidR="0044620B">
        <w:noBreakHyphen/>
      </w:r>
      <w:r w:rsidR="0044620B">
        <w:rPr>
          <w:noProof/>
        </w:rPr>
        <w:t>3</w:t>
      </w:r>
      <w:r>
        <w:fldChar w:fldCharType="end"/>
      </w:r>
      <w:r>
        <w:t xml:space="preserve">) are applied to the estimated number of ‘core’ services in </w:t>
      </w:r>
      <w:r>
        <w:fldChar w:fldCharType="begin"/>
      </w:r>
      <w:r>
        <w:instrText xml:space="preserve"> REF _Ref394487293 \h </w:instrText>
      </w:r>
      <w:r>
        <w:fldChar w:fldCharType="separate"/>
      </w:r>
      <w:r w:rsidR="0044620B">
        <w:t xml:space="preserve">Table </w:t>
      </w:r>
      <w:r w:rsidR="0044620B">
        <w:rPr>
          <w:noProof/>
        </w:rPr>
        <w:t>E.1</w:t>
      </w:r>
      <w:r w:rsidR="0044620B">
        <w:noBreakHyphen/>
      </w:r>
      <w:r w:rsidR="0044620B">
        <w:rPr>
          <w:noProof/>
        </w:rPr>
        <w:t>2</w:t>
      </w:r>
      <w:r>
        <w:fldChar w:fldCharType="end"/>
      </w:r>
      <w:r>
        <w:t xml:space="preserve"> to estimate the number of second, expert opinion services that would be expected to occur under the current and proposed funding arrangements (see Section </w:t>
      </w:r>
      <w:r>
        <w:fldChar w:fldCharType="begin"/>
      </w:r>
      <w:r>
        <w:instrText xml:space="preserve"> REF _Ref394574253 \w \h </w:instrText>
      </w:r>
      <w:r>
        <w:fldChar w:fldCharType="separate"/>
      </w:r>
      <w:r w:rsidR="0044620B">
        <w:t>E.2</w:t>
      </w:r>
      <w:r>
        <w:fldChar w:fldCharType="end"/>
      </w:r>
      <w:r>
        <w:t xml:space="preserve">).  </w:t>
      </w:r>
    </w:p>
    <w:p w14:paraId="079C3A86" w14:textId="77777777" w:rsidR="00B51828" w:rsidRDefault="00B51828" w:rsidP="002101D2">
      <w:pPr>
        <w:rPr>
          <w:szCs w:val="24"/>
        </w:rPr>
      </w:pPr>
      <w:r>
        <w:t xml:space="preserve">As discussed in Section </w:t>
      </w:r>
      <w:r>
        <w:fldChar w:fldCharType="begin"/>
      </w:r>
      <w:r>
        <w:instrText xml:space="preserve"> REF _Ref394918627 \w \h </w:instrText>
      </w:r>
      <w:r>
        <w:fldChar w:fldCharType="separate"/>
      </w:r>
      <w:r w:rsidR="0044620B">
        <w:t>A.3</w:t>
      </w:r>
      <w:r>
        <w:fldChar w:fldCharType="end"/>
      </w:r>
      <w:r>
        <w:t xml:space="preserve"> it is possible, though highly unlikely, </w:t>
      </w:r>
      <w:r w:rsidRPr="008E1459">
        <w:rPr>
          <w:szCs w:val="24"/>
        </w:rPr>
        <w:t xml:space="preserve">that </w:t>
      </w:r>
      <w:r>
        <w:rPr>
          <w:szCs w:val="24"/>
        </w:rPr>
        <w:t xml:space="preserve">in some cases </w:t>
      </w:r>
      <w:r w:rsidRPr="008E1459">
        <w:rPr>
          <w:szCs w:val="24"/>
        </w:rPr>
        <w:t>a third opinion would be requ</w:t>
      </w:r>
      <w:r>
        <w:rPr>
          <w:szCs w:val="24"/>
        </w:rPr>
        <w:t xml:space="preserve">ired in order to obtain a definitive diagnosis. The financial analysis assumes that MBS funding would only be available for one expert opinion per patient episode. </w:t>
      </w:r>
    </w:p>
    <w:p w14:paraId="0F7DD2AA" w14:textId="77777777" w:rsidR="00B51828" w:rsidRDefault="00B51828" w:rsidP="002101D2">
      <w:r>
        <w:t xml:space="preserve">As discussed in Section </w:t>
      </w:r>
      <w:r>
        <w:fldChar w:fldCharType="begin"/>
      </w:r>
      <w:r>
        <w:instrText xml:space="preserve"> REF _Ref394575050 \w \h </w:instrText>
      </w:r>
      <w:r>
        <w:fldChar w:fldCharType="separate"/>
      </w:r>
      <w:r w:rsidR="0044620B">
        <w:t>A.3</w:t>
      </w:r>
      <w:r>
        <w:fldChar w:fldCharType="end"/>
      </w:r>
      <w:r>
        <w:t xml:space="preserve">, the Applicant suggested a two-tiered fee structure with different rebates reflecting the time and work involved in second, expert opinions. It would be up to </w:t>
      </w:r>
      <w:r w:rsidRPr="00E42A35">
        <w:t xml:space="preserve">the </w:t>
      </w:r>
      <w:r>
        <w:t xml:space="preserve">expert pathologist to determine the workload involved in providing </w:t>
      </w:r>
      <w:r>
        <w:lastRenderedPageBreak/>
        <w:t>the</w:t>
      </w:r>
      <w:r w:rsidRPr="00E42A35">
        <w:t xml:space="preserve"> </w:t>
      </w:r>
      <w:r>
        <w:t>second</w:t>
      </w:r>
      <w:r w:rsidRPr="00E42A35">
        <w:t xml:space="preserve"> opinion and </w:t>
      </w:r>
      <w:r>
        <w:t>bill the</w:t>
      </w:r>
      <w:r w:rsidRPr="00E42A35">
        <w:t xml:space="preserve"> item accordi</w:t>
      </w:r>
      <w:r>
        <w:t xml:space="preserve">ngly as ‘complex’ or ‘non-complex’. The proposed fee structure therefore necessitated the attainment of estimates relating to the proportion of cases that would be ‘complex’ and ‘non-complex’, also taking into consideration whether the initial pathologist or clinician initiated the referral (i.e. </w:t>
      </w:r>
      <w:r>
        <w:rPr>
          <w:i/>
        </w:rPr>
        <w:t>Scenario 1</w:t>
      </w:r>
      <w:r>
        <w:t xml:space="preserve"> and </w:t>
      </w:r>
      <w:r>
        <w:rPr>
          <w:i/>
        </w:rPr>
        <w:t xml:space="preserve">Scenario 2 </w:t>
      </w:r>
      <w:r w:rsidRPr="00861B6C">
        <w:t>described in Section A.2</w:t>
      </w:r>
      <w:r>
        <w:t xml:space="preserve">). Those estimates, which are applied in the base case, were obtained from the Expert Opinion Survey and are presented in </w:t>
      </w:r>
      <w:r>
        <w:fldChar w:fldCharType="begin"/>
      </w:r>
      <w:r>
        <w:instrText xml:space="preserve"> REF _Ref394575645 \h </w:instrText>
      </w:r>
      <w:r>
        <w:fldChar w:fldCharType="separate"/>
      </w:r>
      <w:r w:rsidR="0044620B">
        <w:t xml:space="preserve">Table </w:t>
      </w:r>
      <w:r w:rsidR="0044620B">
        <w:rPr>
          <w:noProof/>
        </w:rPr>
        <w:t>E.1</w:t>
      </w:r>
      <w:r w:rsidR="0044620B">
        <w:noBreakHyphen/>
      </w:r>
      <w:r w:rsidR="0044620B">
        <w:rPr>
          <w:noProof/>
        </w:rPr>
        <w:t>4</w:t>
      </w:r>
      <w:r>
        <w:fldChar w:fldCharType="end"/>
      </w:r>
      <w:r>
        <w:t xml:space="preserve">.  </w:t>
      </w:r>
    </w:p>
    <w:p w14:paraId="69078F22" w14:textId="77777777" w:rsidR="00B51828" w:rsidRDefault="00B51828" w:rsidP="002101D2">
      <w:pPr>
        <w:pStyle w:val="Caption"/>
      </w:pPr>
      <w:bookmarkStart w:id="246" w:name="_Ref394575645"/>
      <w:bookmarkStart w:id="247" w:name="_Toc396211768"/>
      <w:r>
        <w:t xml:space="preserve">Table </w:t>
      </w:r>
      <w:fldSimple w:instr=" STYLEREF 2 \s ">
        <w:r w:rsidR="0044620B">
          <w:rPr>
            <w:noProof/>
          </w:rPr>
          <w:t>E.1</w:t>
        </w:r>
      </w:fldSimple>
      <w:r>
        <w:noBreakHyphen/>
      </w:r>
      <w:fldSimple w:instr=" SEQ Table \* ARABIC \s 2 ">
        <w:r w:rsidR="0044620B">
          <w:rPr>
            <w:noProof/>
          </w:rPr>
          <w:t>4</w:t>
        </w:r>
      </w:fldSimple>
      <w:bookmarkEnd w:id="246"/>
      <w:r>
        <w:tab/>
        <w:t>Base case estimates of proportion of second, expert opinions which are ‘complex’ and ‘non-complex’</w:t>
      </w:r>
      <w:bookmarkEnd w:id="247"/>
    </w:p>
    <w:tbl>
      <w:tblPr>
        <w:tblStyle w:val="TableGrid"/>
        <w:tblW w:w="8296" w:type="dxa"/>
        <w:tblInd w:w="720" w:type="dxa"/>
        <w:tblLayout w:type="fixed"/>
        <w:tblLook w:val="04A0" w:firstRow="1" w:lastRow="0" w:firstColumn="1" w:lastColumn="0" w:noHBand="0" w:noVBand="1"/>
        <w:tblCaption w:val="Base case estimates of proportion of second, expert opinions which are ‘complex’ and ‘non-complex’"/>
        <w:tblDescription w:val="The base case estimates of proportion of second, expert opinions which are ‘complex’ and ‘non-complex’. The estimates were obtained from the Expert Opinion Survey.  "/>
      </w:tblPr>
      <w:tblGrid>
        <w:gridCol w:w="4378"/>
        <w:gridCol w:w="1959"/>
        <w:gridCol w:w="1959"/>
      </w:tblGrid>
      <w:tr w:rsidR="00B51828" w14:paraId="48522964" w14:textId="77777777" w:rsidTr="00E61184">
        <w:trPr>
          <w:trHeight w:val="210"/>
          <w:tblHeader/>
        </w:trPr>
        <w:tc>
          <w:tcPr>
            <w:tcW w:w="4378" w:type="dxa"/>
          </w:tcPr>
          <w:p w14:paraId="620B0136" w14:textId="77777777" w:rsidR="00B51828" w:rsidRDefault="00B51828" w:rsidP="002101D2">
            <w:pPr>
              <w:pStyle w:val="Tabletextboldleft"/>
              <w:spacing w:before="20" w:after="20"/>
            </w:pPr>
          </w:p>
        </w:tc>
        <w:tc>
          <w:tcPr>
            <w:tcW w:w="1959" w:type="dxa"/>
          </w:tcPr>
          <w:p w14:paraId="5B3A6A1A" w14:textId="77777777" w:rsidR="00B51828" w:rsidRDefault="00B51828" w:rsidP="002101D2">
            <w:pPr>
              <w:pStyle w:val="Tabletextboldleft"/>
              <w:spacing w:before="20" w:after="20"/>
              <w:jc w:val="center"/>
            </w:pPr>
            <w:r>
              <w:t>Average estimate (%) - Proposed funding arrangements</w:t>
            </w:r>
          </w:p>
        </w:tc>
        <w:tc>
          <w:tcPr>
            <w:tcW w:w="1959" w:type="dxa"/>
          </w:tcPr>
          <w:p w14:paraId="6B056074" w14:textId="77777777" w:rsidR="00B51828" w:rsidRDefault="00B51828" w:rsidP="002101D2">
            <w:pPr>
              <w:pStyle w:val="Tabletextboldleft"/>
              <w:spacing w:before="20" w:after="20"/>
              <w:jc w:val="center"/>
            </w:pPr>
            <w:r>
              <w:t>Average estimate (%) - Current funding arrangements</w:t>
            </w:r>
          </w:p>
        </w:tc>
      </w:tr>
      <w:tr w:rsidR="00B51828" w:rsidRPr="00701236" w14:paraId="628E5B12" w14:textId="77777777" w:rsidTr="00E61184">
        <w:trPr>
          <w:trHeight w:val="84"/>
        </w:trPr>
        <w:tc>
          <w:tcPr>
            <w:tcW w:w="4378" w:type="dxa"/>
            <w:shd w:val="clear" w:color="auto" w:fill="D0CECE" w:themeFill="background2" w:themeFillShade="E6"/>
          </w:tcPr>
          <w:p w14:paraId="130AC6DC" w14:textId="77777777" w:rsidR="00B51828" w:rsidRDefault="00B51828" w:rsidP="002101D2">
            <w:pPr>
              <w:pStyle w:val="Tabletextboldleft"/>
              <w:spacing w:before="20" w:after="20"/>
            </w:pPr>
            <w:r>
              <w:t>Tissue pathology</w:t>
            </w:r>
          </w:p>
        </w:tc>
        <w:tc>
          <w:tcPr>
            <w:tcW w:w="1959" w:type="dxa"/>
            <w:shd w:val="clear" w:color="auto" w:fill="D0CECE" w:themeFill="background2" w:themeFillShade="E6"/>
          </w:tcPr>
          <w:p w14:paraId="1F7B9E1F" w14:textId="77777777" w:rsidR="00B51828" w:rsidRPr="00EA1823" w:rsidRDefault="00B51828" w:rsidP="002101D2">
            <w:pPr>
              <w:pStyle w:val="Tabletextboldleft"/>
              <w:spacing w:before="20" w:after="20"/>
              <w:jc w:val="center"/>
              <w:rPr>
                <w:b w:val="0"/>
              </w:rPr>
            </w:pPr>
            <w:r w:rsidRPr="00EA1823">
              <w:rPr>
                <w:b w:val="0"/>
              </w:rPr>
              <w:t>-</w:t>
            </w:r>
          </w:p>
        </w:tc>
        <w:tc>
          <w:tcPr>
            <w:tcW w:w="1959" w:type="dxa"/>
            <w:shd w:val="clear" w:color="auto" w:fill="D0CECE" w:themeFill="background2" w:themeFillShade="E6"/>
          </w:tcPr>
          <w:p w14:paraId="646DC794" w14:textId="77777777" w:rsidR="00B51828" w:rsidRPr="00EA1823" w:rsidRDefault="00B51828" w:rsidP="002101D2">
            <w:pPr>
              <w:pStyle w:val="Tabletextboldleft"/>
              <w:spacing w:before="20" w:after="20"/>
              <w:jc w:val="center"/>
              <w:rPr>
                <w:b w:val="0"/>
              </w:rPr>
            </w:pPr>
            <w:r w:rsidRPr="00EA1823">
              <w:rPr>
                <w:b w:val="0"/>
              </w:rPr>
              <w:t>-</w:t>
            </w:r>
          </w:p>
        </w:tc>
      </w:tr>
      <w:tr w:rsidR="00B51828" w:rsidRPr="00A75B17" w14:paraId="6FA12CEF" w14:textId="77777777" w:rsidTr="00E61184">
        <w:trPr>
          <w:trHeight w:val="210"/>
        </w:trPr>
        <w:tc>
          <w:tcPr>
            <w:tcW w:w="4378" w:type="dxa"/>
            <w:vAlign w:val="bottom"/>
          </w:tcPr>
          <w:p w14:paraId="0A48A75F" w14:textId="77777777" w:rsidR="00B51828" w:rsidRPr="006F1DBE" w:rsidRDefault="00B51828" w:rsidP="002101D2">
            <w:pPr>
              <w:pStyle w:val="Tabletextboldleft"/>
              <w:spacing w:before="20" w:after="20"/>
              <w:rPr>
                <w:b w:val="0"/>
              </w:rPr>
            </w:pPr>
            <w:r w:rsidRPr="006F1DBE">
              <w:rPr>
                <w:b w:val="0"/>
              </w:rPr>
              <w:t xml:space="preserve">Proportion of </w:t>
            </w:r>
            <w:r w:rsidRPr="006F1DBE">
              <w:rPr>
                <w:b w:val="0"/>
                <w:i/>
                <w:iCs/>
                <w:color w:val="000000"/>
              </w:rPr>
              <w:t>Scenario 1</w:t>
            </w:r>
            <w:r w:rsidRPr="006F1DBE">
              <w:rPr>
                <w:b w:val="0"/>
                <w:color w:val="000000"/>
              </w:rPr>
              <w:t xml:space="preserve"> cases which are </w:t>
            </w:r>
            <w:r>
              <w:rPr>
                <w:b w:val="0"/>
                <w:color w:val="000000"/>
              </w:rPr>
              <w:t>‘</w:t>
            </w:r>
            <w:r w:rsidRPr="006F1DBE">
              <w:rPr>
                <w:b w:val="0"/>
                <w:color w:val="000000"/>
              </w:rPr>
              <w:t>complex</w:t>
            </w:r>
            <w:r>
              <w:rPr>
                <w:b w:val="0"/>
                <w:color w:val="000000"/>
              </w:rPr>
              <w:t>’</w:t>
            </w:r>
          </w:p>
        </w:tc>
        <w:tc>
          <w:tcPr>
            <w:tcW w:w="1959" w:type="dxa"/>
          </w:tcPr>
          <w:p w14:paraId="20499538"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53.75%</w:t>
            </w:r>
          </w:p>
        </w:tc>
        <w:tc>
          <w:tcPr>
            <w:tcW w:w="1959" w:type="dxa"/>
          </w:tcPr>
          <w:p w14:paraId="41EE578A"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60.00%</w:t>
            </w:r>
          </w:p>
        </w:tc>
      </w:tr>
      <w:tr w:rsidR="00B51828" w:rsidRPr="00A75B17" w14:paraId="2B6A58F4" w14:textId="77777777" w:rsidTr="00E61184">
        <w:trPr>
          <w:trHeight w:val="210"/>
        </w:trPr>
        <w:tc>
          <w:tcPr>
            <w:tcW w:w="4378" w:type="dxa"/>
            <w:vAlign w:val="bottom"/>
          </w:tcPr>
          <w:p w14:paraId="1545CAEE" w14:textId="77777777" w:rsidR="00B51828" w:rsidRPr="006F1DBE" w:rsidRDefault="00B51828" w:rsidP="002101D2">
            <w:pPr>
              <w:pStyle w:val="Tabletextboldleft"/>
              <w:spacing w:before="20" w:after="20"/>
              <w:rPr>
                <w:b w:val="0"/>
              </w:rPr>
            </w:pPr>
            <w:r w:rsidRPr="006F1DBE">
              <w:rPr>
                <w:b w:val="0"/>
              </w:rPr>
              <w:t xml:space="preserve">Proportion of </w:t>
            </w:r>
            <w:r w:rsidRPr="006F1DBE">
              <w:rPr>
                <w:b w:val="0"/>
                <w:i/>
                <w:iCs/>
                <w:color w:val="000000"/>
              </w:rPr>
              <w:t>Scenario 1</w:t>
            </w:r>
            <w:r w:rsidRPr="006F1DBE">
              <w:rPr>
                <w:b w:val="0"/>
                <w:color w:val="000000"/>
              </w:rPr>
              <w:t xml:space="preserve"> cases which are </w:t>
            </w:r>
            <w:r>
              <w:rPr>
                <w:b w:val="0"/>
                <w:color w:val="000000"/>
              </w:rPr>
              <w:t>‘</w:t>
            </w:r>
            <w:r w:rsidRPr="006F1DBE">
              <w:rPr>
                <w:b w:val="0"/>
                <w:color w:val="000000"/>
              </w:rPr>
              <w:t>non-complex</w:t>
            </w:r>
            <w:r>
              <w:rPr>
                <w:b w:val="0"/>
                <w:color w:val="000000"/>
              </w:rPr>
              <w:t>’</w:t>
            </w:r>
          </w:p>
        </w:tc>
        <w:tc>
          <w:tcPr>
            <w:tcW w:w="1959" w:type="dxa"/>
          </w:tcPr>
          <w:p w14:paraId="3186DAE9"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46.25%</w:t>
            </w:r>
          </w:p>
        </w:tc>
        <w:tc>
          <w:tcPr>
            <w:tcW w:w="1959" w:type="dxa"/>
          </w:tcPr>
          <w:p w14:paraId="1D88FD4E"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40.00%</w:t>
            </w:r>
          </w:p>
        </w:tc>
      </w:tr>
      <w:tr w:rsidR="00B51828" w:rsidRPr="00A75B17" w14:paraId="0ACCFE4B" w14:textId="77777777" w:rsidTr="00E61184">
        <w:trPr>
          <w:trHeight w:val="210"/>
        </w:trPr>
        <w:tc>
          <w:tcPr>
            <w:tcW w:w="4378" w:type="dxa"/>
            <w:vAlign w:val="bottom"/>
          </w:tcPr>
          <w:p w14:paraId="29E34449" w14:textId="77777777" w:rsidR="00B51828" w:rsidRPr="006F1DBE" w:rsidRDefault="00B51828" w:rsidP="002101D2">
            <w:pPr>
              <w:pStyle w:val="Tabletextboldleft"/>
              <w:spacing w:before="20" w:after="20"/>
              <w:rPr>
                <w:b w:val="0"/>
              </w:rPr>
            </w:pPr>
            <w:r w:rsidRPr="006F1DBE">
              <w:rPr>
                <w:b w:val="0"/>
              </w:rPr>
              <w:t xml:space="preserve">Proportion of </w:t>
            </w:r>
            <w:r w:rsidRPr="006F1DBE">
              <w:rPr>
                <w:b w:val="0"/>
                <w:i/>
                <w:iCs/>
                <w:color w:val="000000"/>
              </w:rPr>
              <w:t>Scenario 2</w:t>
            </w:r>
            <w:r w:rsidRPr="006F1DBE">
              <w:rPr>
                <w:b w:val="0"/>
                <w:color w:val="000000"/>
              </w:rPr>
              <w:t xml:space="preserve"> cases which are </w:t>
            </w:r>
            <w:r>
              <w:rPr>
                <w:b w:val="0"/>
                <w:color w:val="000000"/>
              </w:rPr>
              <w:t>‘</w:t>
            </w:r>
            <w:r w:rsidRPr="006F1DBE">
              <w:rPr>
                <w:b w:val="0"/>
                <w:color w:val="000000"/>
              </w:rPr>
              <w:t>complex</w:t>
            </w:r>
            <w:r>
              <w:rPr>
                <w:b w:val="0"/>
                <w:color w:val="000000"/>
              </w:rPr>
              <w:t>’</w:t>
            </w:r>
          </w:p>
        </w:tc>
        <w:tc>
          <w:tcPr>
            <w:tcW w:w="1959" w:type="dxa"/>
          </w:tcPr>
          <w:p w14:paraId="0EBF6E7A" w14:textId="77777777" w:rsidR="00B51828" w:rsidRPr="006F1DBE" w:rsidRDefault="00B51828" w:rsidP="002101D2">
            <w:pPr>
              <w:pStyle w:val="Tabletextboldleft"/>
              <w:spacing w:before="20" w:after="20"/>
              <w:jc w:val="center"/>
              <w:rPr>
                <w:b w:val="0"/>
              </w:rPr>
            </w:pPr>
            <w:r w:rsidRPr="006F1DBE">
              <w:rPr>
                <w:b w:val="0"/>
              </w:rPr>
              <w:t>30.00%</w:t>
            </w:r>
          </w:p>
        </w:tc>
        <w:tc>
          <w:tcPr>
            <w:tcW w:w="1959" w:type="dxa"/>
          </w:tcPr>
          <w:p w14:paraId="60FDFC82" w14:textId="77777777" w:rsidR="00B51828" w:rsidRPr="006F1DBE" w:rsidRDefault="00B51828" w:rsidP="002101D2">
            <w:pPr>
              <w:pStyle w:val="Tabletextboldleft"/>
              <w:spacing w:before="20" w:after="20"/>
              <w:jc w:val="center"/>
              <w:rPr>
                <w:b w:val="0"/>
              </w:rPr>
            </w:pPr>
            <w:r w:rsidRPr="006F1DBE">
              <w:rPr>
                <w:b w:val="0"/>
              </w:rPr>
              <w:t>31.25%</w:t>
            </w:r>
          </w:p>
        </w:tc>
      </w:tr>
      <w:tr w:rsidR="00B51828" w:rsidRPr="00A75B17" w14:paraId="3BD0DE5B" w14:textId="77777777" w:rsidTr="00E61184">
        <w:trPr>
          <w:trHeight w:val="210"/>
        </w:trPr>
        <w:tc>
          <w:tcPr>
            <w:tcW w:w="4378" w:type="dxa"/>
            <w:vAlign w:val="bottom"/>
          </w:tcPr>
          <w:p w14:paraId="75442868" w14:textId="77777777" w:rsidR="00B51828" w:rsidRPr="006F1DBE" w:rsidRDefault="00B51828" w:rsidP="002101D2">
            <w:pPr>
              <w:pStyle w:val="Tabletextboldleft"/>
              <w:spacing w:before="20" w:after="20"/>
              <w:rPr>
                <w:b w:val="0"/>
              </w:rPr>
            </w:pPr>
            <w:r w:rsidRPr="006F1DBE">
              <w:rPr>
                <w:b w:val="0"/>
              </w:rPr>
              <w:t xml:space="preserve">Proportion of </w:t>
            </w:r>
            <w:r w:rsidRPr="006F1DBE">
              <w:rPr>
                <w:b w:val="0"/>
                <w:i/>
                <w:iCs/>
                <w:color w:val="000000"/>
              </w:rPr>
              <w:t>Scenario 2</w:t>
            </w:r>
            <w:r w:rsidRPr="006F1DBE">
              <w:rPr>
                <w:b w:val="0"/>
                <w:color w:val="000000"/>
              </w:rPr>
              <w:t xml:space="preserve"> cases which are </w:t>
            </w:r>
            <w:r>
              <w:rPr>
                <w:b w:val="0"/>
                <w:color w:val="000000"/>
              </w:rPr>
              <w:t>‘</w:t>
            </w:r>
            <w:r w:rsidRPr="006F1DBE">
              <w:rPr>
                <w:b w:val="0"/>
                <w:color w:val="000000"/>
              </w:rPr>
              <w:t>non-complex</w:t>
            </w:r>
            <w:r>
              <w:rPr>
                <w:b w:val="0"/>
                <w:color w:val="000000"/>
              </w:rPr>
              <w:t>’</w:t>
            </w:r>
          </w:p>
        </w:tc>
        <w:tc>
          <w:tcPr>
            <w:tcW w:w="1959" w:type="dxa"/>
          </w:tcPr>
          <w:p w14:paraId="52CF2194" w14:textId="77777777" w:rsidR="00B51828" w:rsidRPr="006F1DBE" w:rsidRDefault="00B51828" w:rsidP="002101D2">
            <w:pPr>
              <w:pStyle w:val="Tabletextboldleft"/>
              <w:spacing w:before="20" w:after="20"/>
              <w:jc w:val="center"/>
              <w:rPr>
                <w:b w:val="0"/>
              </w:rPr>
            </w:pPr>
            <w:r w:rsidRPr="006F1DBE">
              <w:rPr>
                <w:b w:val="0"/>
              </w:rPr>
              <w:t>70.00%</w:t>
            </w:r>
          </w:p>
        </w:tc>
        <w:tc>
          <w:tcPr>
            <w:tcW w:w="1959" w:type="dxa"/>
          </w:tcPr>
          <w:p w14:paraId="6F481815" w14:textId="77777777" w:rsidR="00B51828" w:rsidRPr="006F1DBE" w:rsidRDefault="00B51828" w:rsidP="002101D2">
            <w:pPr>
              <w:pStyle w:val="Tabletextboldleft"/>
              <w:spacing w:before="20" w:after="20"/>
              <w:jc w:val="center"/>
              <w:rPr>
                <w:b w:val="0"/>
              </w:rPr>
            </w:pPr>
            <w:r w:rsidRPr="006F1DBE">
              <w:rPr>
                <w:b w:val="0"/>
              </w:rPr>
              <w:t>68.75%</w:t>
            </w:r>
          </w:p>
        </w:tc>
      </w:tr>
      <w:tr w:rsidR="00B51828" w:rsidRPr="00A75B17" w14:paraId="5138A095" w14:textId="77777777" w:rsidTr="00E61184">
        <w:trPr>
          <w:trHeight w:val="210"/>
        </w:trPr>
        <w:tc>
          <w:tcPr>
            <w:tcW w:w="4378" w:type="dxa"/>
            <w:shd w:val="clear" w:color="auto" w:fill="D0CECE" w:themeFill="background2" w:themeFillShade="E6"/>
          </w:tcPr>
          <w:p w14:paraId="56EF254B" w14:textId="77777777" w:rsidR="00B51828" w:rsidRPr="00F647C7" w:rsidRDefault="00B51828" w:rsidP="002101D2">
            <w:pPr>
              <w:pStyle w:val="Tabletextboldleft"/>
              <w:spacing w:before="20" w:after="20"/>
            </w:pPr>
            <w:r>
              <w:t>Cytology</w:t>
            </w:r>
            <w:r>
              <w:rPr>
                <w:vertAlign w:val="superscript"/>
              </w:rPr>
              <w:t>a</w:t>
            </w:r>
          </w:p>
        </w:tc>
        <w:tc>
          <w:tcPr>
            <w:tcW w:w="1959" w:type="dxa"/>
            <w:shd w:val="clear" w:color="auto" w:fill="D0CECE" w:themeFill="background2" w:themeFillShade="E6"/>
          </w:tcPr>
          <w:p w14:paraId="2F769F17" w14:textId="77777777" w:rsidR="00B51828" w:rsidRPr="00616A3F" w:rsidRDefault="00B51828" w:rsidP="002101D2">
            <w:pPr>
              <w:pStyle w:val="Tabletextboldleft"/>
              <w:spacing w:before="20" w:after="20"/>
              <w:jc w:val="center"/>
              <w:rPr>
                <w:b w:val="0"/>
              </w:rPr>
            </w:pPr>
            <w:r>
              <w:rPr>
                <w:b w:val="0"/>
              </w:rPr>
              <w:t>-</w:t>
            </w:r>
          </w:p>
        </w:tc>
        <w:tc>
          <w:tcPr>
            <w:tcW w:w="1959" w:type="dxa"/>
            <w:shd w:val="clear" w:color="auto" w:fill="D0CECE" w:themeFill="background2" w:themeFillShade="E6"/>
          </w:tcPr>
          <w:p w14:paraId="74C1FDF5" w14:textId="77777777" w:rsidR="00B51828" w:rsidRPr="00616A3F" w:rsidRDefault="00B51828" w:rsidP="002101D2">
            <w:pPr>
              <w:pStyle w:val="Tabletextboldleft"/>
              <w:spacing w:before="20" w:after="20"/>
              <w:jc w:val="center"/>
              <w:rPr>
                <w:b w:val="0"/>
              </w:rPr>
            </w:pPr>
            <w:r>
              <w:rPr>
                <w:b w:val="0"/>
              </w:rPr>
              <w:t>-</w:t>
            </w:r>
          </w:p>
        </w:tc>
      </w:tr>
      <w:tr w:rsidR="00B51828" w:rsidRPr="00A75B17" w14:paraId="7248A1CF" w14:textId="77777777" w:rsidTr="00E61184">
        <w:trPr>
          <w:trHeight w:val="210"/>
        </w:trPr>
        <w:tc>
          <w:tcPr>
            <w:tcW w:w="4378" w:type="dxa"/>
            <w:vAlign w:val="bottom"/>
          </w:tcPr>
          <w:p w14:paraId="04754248" w14:textId="77777777" w:rsidR="00B51828" w:rsidRPr="006F1DBE" w:rsidRDefault="00B51828" w:rsidP="002101D2">
            <w:pPr>
              <w:pStyle w:val="Tabletextboldleft"/>
              <w:spacing w:before="20" w:after="20"/>
              <w:rPr>
                <w:b w:val="0"/>
              </w:rPr>
            </w:pPr>
            <w:r w:rsidRPr="006F1DBE">
              <w:rPr>
                <w:b w:val="0"/>
              </w:rPr>
              <w:t xml:space="preserve">Proportion of </w:t>
            </w:r>
            <w:r w:rsidRPr="006F1DBE">
              <w:rPr>
                <w:b w:val="0"/>
                <w:i/>
                <w:iCs/>
                <w:color w:val="000000"/>
              </w:rPr>
              <w:t>Scenario 1</w:t>
            </w:r>
            <w:r w:rsidRPr="006F1DBE">
              <w:rPr>
                <w:b w:val="0"/>
                <w:color w:val="000000"/>
              </w:rPr>
              <w:t xml:space="preserve"> cases which are </w:t>
            </w:r>
            <w:r>
              <w:rPr>
                <w:b w:val="0"/>
                <w:color w:val="000000"/>
              </w:rPr>
              <w:t>‘</w:t>
            </w:r>
            <w:r w:rsidRPr="006F1DBE">
              <w:rPr>
                <w:b w:val="0"/>
                <w:color w:val="000000"/>
              </w:rPr>
              <w:t>complex</w:t>
            </w:r>
            <w:r>
              <w:rPr>
                <w:b w:val="0"/>
                <w:color w:val="000000"/>
              </w:rPr>
              <w:t>’</w:t>
            </w:r>
          </w:p>
        </w:tc>
        <w:tc>
          <w:tcPr>
            <w:tcW w:w="1959" w:type="dxa"/>
          </w:tcPr>
          <w:p w14:paraId="217C88F1"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18.57%</w:t>
            </w:r>
          </w:p>
        </w:tc>
        <w:tc>
          <w:tcPr>
            <w:tcW w:w="1959" w:type="dxa"/>
          </w:tcPr>
          <w:p w14:paraId="419E55A6"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19.29%</w:t>
            </w:r>
          </w:p>
        </w:tc>
      </w:tr>
      <w:tr w:rsidR="00B51828" w:rsidRPr="00A75B17" w14:paraId="4F5824C9" w14:textId="77777777" w:rsidTr="00E61184">
        <w:trPr>
          <w:trHeight w:val="210"/>
        </w:trPr>
        <w:tc>
          <w:tcPr>
            <w:tcW w:w="4378" w:type="dxa"/>
            <w:vAlign w:val="bottom"/>
          </w:tcPr>
          <w:p w14:paraId="6774809A" w14:textId="77777777" w:rsidR="00B51828" w:rsidRPr="006F1DBE" w:rsidRDefault="00B51828" w:rsidP="002101D2">
            <w:pPr>
              <w:pStyle w:val="Tabletextboldleft"/>
              <w:spacing w:before="20" w:after="20"/>
              <w:rPr>
                <w:b w:val="0"/>
              </w:rPr>
            </w:pPr>
            <w:r w:rsidRPr="006F1DBE">
              <w:rPr>
                <w:b w:val="0"/>
              </w:rPr>
              <w:t xml:space="preserve">Proportion of </w:t>
            </w:r>
            <w:r w:rsidRPr="006F1DBE">
              <w:rPr>
                <w:b w:val="0"/>
                <w:i/>
                <w:iCs/>
                <w:color w:val="000000"/>
              </w:rPr>
              <w:t>Scenario 1</w:t>
            </w:r>
            <w:r w:rsidRPr="006F1DBE">
              <w:rPr>
                <w:b w:val="0"/>
                <w:color w:val="000000"/>
              </w:rPr>
              <w:t xml:space="preserve"> cases which are </w:t>
            </w:r>
            <w:r>
              <w:rPr>
                <w:b w:val="0"/>
                <w:color w:val="000000"/>
              </w:rPr>
              <w:t>‘</w:t>
            </w:r>
            <w:r w:rsidRPr="006F1DBE">
              <w:rPr>
                <w:b w:val="0"/>
                <w:color w:val="000000"/>
              </w:rPr>
              <w:t>non-complex</w:t>
            </w:r>
            <w:r>
              <w:rPr>
                <w:b w:val="0"/>
                <w:color w:val="000000"/>
              </w:rPr>
              <w:t>’</w:t>
            </w:r>
          </w:p>
        </w:tc>
        <w:tc>
          <w:tcPr>
            <w:tcW w:w="1959" w:type="dxa"/>
          </w:tcPr>
          <w:p w14:paraId="7B767E44"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81.43%</w:t>
            </w:r>
          </w:p>
        </w:tc>
        <w:tc>
          <w:tcPr>
            <w:tcW w:w="1959" w:type="dxa"/>
          </w:tcPr>
          <w:p w14:paraId="0BD6ED3E"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80.71%</w:t>
            </w:r>
          </w:p>
        </w:tc>
      </w:tr>
      <w:tr w:rsidR="00B51828" w:rsidRPr="00A75B17" w14:paraId="7C1AE197" w14:textId="77777777" w:rsidTr="00E61184">
        <w:trPr>
          <w:trHeight w:val="210"/>
        </w:trPr>
        <w:tc>
          <w:tcPr>
            <w:tcW w:w="4378" w:type="dxa"/>
            <w:vAlign w:val="bottom"/>
          </w:tcPr>
          <w:p w14:paraId="038814E1" w14:textId="77777777" w:rsidR="00B51828" w:rsidRPr="006F1DBE" w:rsidRDefault="00B51828" w:rsidP="002101D2">
            <w:pPr>
              <w:pStyle w:val="Tabletextboldleft"/>
              <w:spacing w:before="20" w:after="20"/>
              <w:rPr>
                <w:b w:val="0"/>
              </w:rPr>
            </w:pPr>
            <w:r w:rsidRPr="006F1DBE">
              <w:rPr>
                <w:b w:val="0"/>
              </w:rPr>
              <w:t xml:space="preserve">Proportion of </w:t>
            </w:r>
            <w:r w:rsidRPr="006F1DBE">
              <w:rPr>
                <w:b w:val="0"/>
                <w:i/>
                <w:iCs/>
                <w:color w:val="000000"/>
              </w:rPr>
              <w:t>Scenario 2</w:t>
            </w:r>
            <w:r w:rsidRPr="006F1DBE">
              <w:rPr>
                <w:b w:val="0"/>
                <w:color w:val="000000"/>
              </w:rPr>
              <w:t xml:space="preserve"> cases which are </w:t>
            </w:r>
            <w:r>
              <w:rPr>
                <w:b w:val="0"/>
                <w:color w:val="000000"/>
              </w:rPr>
              <w:t>‘</w:t>
            </w:r>
            <w:r w:rsidRPr="006F1DBE">
              <w:rPr>
                <w:b w:val="0"/>
                <w:color w:val="000000"/>
              </w:rPr>
              <w:t>complex</w:t>
            </w:r>
            <w:r>
              <w:rPr>
                <w:b w:val="0"/>
                <w:color w:val="000000"/>
              </w:rPr>
              <w:t>’</w:t>
            </w:r>
          </w:p>
        </w:tc>
        <w:tc>
          <w:tcPr>
            <w:tcW w:w="1959" w:type="dxa"/>
          </w:tcPr>
          <w:p w14:paraId="1695B7C2"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18.33%</w:t>
            </w:r>
          </w:p>
        </w:tc>
        <w:tc>
          <w:tcPr>
            <w:tcW w:w="1959" w:type="dxa"/>
          </w:tcPr>
          <w:p w14:paraId="08B753EA"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18.33%</w:t>
            </w:r>
          </w:p>
        </w:tc>
      </w:tr>
      <w:tr w:rsidR="00B51828" w:rsidRPr="00A75B17" w14:paraId="062B3A03" w14:textId="77777777" w:rsidTr="00E61184">
        <w:trPr>
          <w:trHeight w:val="210"/>
        </w:trPr>
        <w:tc>
          <w:tcPr>
            <w:tcW w:w="4378" w:type="dxa"/>
            <w:vAlign w:val="bottom"/>
          </w:tcPr>
          <w:p w14:paraId="2E4D56CB" w14:textId="77777777" w:rsidR="00B51828" w:rsidRPr="006F1DBE" w:rsidRDefault="00B51828" w:rsidP="002101D2">
            <w:pPr>
              <w:pStyle w:val="Tabletextboldleft"/>
              <w:spacing w:before="20" w:after="20"/>
              <w:rPr>
                <w:b w:val="0"/>
              </w:rPr>
            </w:pPr>
            <w:r w:rsidRPr="006F1DBE">
              <w:rPr>
                <w:b w:val="0"/>
              </w:rPr>
              <w:t xml:space="preserve">Proportion of </w:t>
            </w:r>
            <w:r w:rsidRPr="006F1DBE">
              <w:rPr>
                <w:b w:val="0"/>
                <w:i/>
                <w:iCs/>
                <w:color w:val="000000"/>
              </w:rPr>
              <w:t>Scenario 2</w:t>
            </w:r>
            <w:r w:rsidRPr="006F1DBE">
              <w:rPr>
                <w:b w:val="0"/>
                <w:color w:val="000000"/>
              </w:rPr>
              <w:t xml:space="preserve"> cases which are </w:t>
            </w:r>
            <w:r>
              <w:rPr>
                <w:b w:val="0"/>
                <w:color w:val="000000"/>
              </w:rPr>
              <w:t>‘</w:t>
            </w:r>
            <w:r w:rsidRPr="006F1DBE">
              <w:rPr>
                <w:b w:val="0"/>
                <w:color w:val="000000"/>
              </w:rPr>
              <w:t>non-complex</w:t>
            </w:r>
            <w:r>
              <w:rPr>
                <w:b w:val="0"/>
                <w:color w:val="000000"/>
              </w:rPr>
              <w:t>’</w:t>
            </w:r>
          </w:p>
        </w:tc>
        <w:tc>
          <w:tcPr>
            <w:tcW w:w="1959" w:type="dxa"/>
          </w:tcPr>
          <w:p w14:paraId="680763D0"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81.67%</w:t>
            </w:r>
          </w:p>
        </w:tc>
        <w:tc>
          <w:tcPr>
            <w:tcW w:w="1959" w:type="dxa"/>
          </w:tcPr>
          <w:p w14:paraId="7E8D19FF" w14:textId="77777777" w:rsidR="00B51828" w:rsidRPr="006F1DBE" w:rsidRDefault="00B51828" w:rsidP="002101D2">
            <w:pPr>
              <w:spacing w:before="20" w:after="20"/>
              <w:ind w:left="0"/>
              <w:jc w:val="center"/>
              <w:rPr>
                <w:rFonts w:ascii="Arial Narrow" w:hAnsi="Arial Narrow"/>
                <w:sz w:val="20"/>
                <w:szCs w:val="20"/>
              </w:rPr>
            </w:pPr>
            <w:r w:rsidRPr="006F1DBE">
              <w:rPr>
                <w:rFonts w:ascii="Arial Narrow" w:hAnsi="Arial Narrow"/>
                <w:sz w:val="20"/>
                <w:szCs w:val="20"/>
              </w:rPr>
              <w:t>81.67%</w:t>
            </w:r>
          </w:p>
        </w:tc>
      </w:tr>
    </w:tbl>
    <w:p w14:paraId="435D27A2"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&lt;Service utilisation assumptions&gt;</w:t>
      </w:r>
    </w:p>
    <w:p w14:paraId="67C64193" w14:textId="77777777" w:rsidR="00B51828" w:rsidRPr="00861B6C" w:rsidRDefault="00B51828" w:rsidP="002101D2">
      <w:pPr>
        <w:spacing w:before="20" w:after="0"/>
        <w:rPr>
          <w:rFonts w:ascii="Arial Narrow" w:hAnsi="Arial Narrow"/>
          <w:sz w:val="18"/>
          <w:szCs w:val="18"/>
        </w:rPr>
      </w:pPr>
      <w:r w:rsidRPr="00861B6C">
        <w:rPr>
          <w:rFonts w:ascii="Arial Narrow" w:hAnsi="Arial Narrow"/>
          <w:sz w:val="18"/>
          <w:szCs w:val="18"/>
        </w:rPr>
        <w:t xml:space="preserve">Note: For the purposes of the financial estimates, </w:t>
      </w:r>
      <w:r w:rsidRPr="00D4743C">
        <w:rPr>
          <w:rFonts w:ascii="Arial Narrow" w:hAnsi="Arial Narrow"/>
          <w:i/>
          <w:sz w:val="18"/>
          <w:szCs w:val="18"/>
        </w:rPr>
        <w:t>Scenario 1</w:t>
      </w:r>
      <w:r w:rsidRPr="00861B6C">
        <w:rPr>
          <w:rFonts w:ascii="Arial Narrow" w:hAnsi="Arial Narrow"/>
          <w:sz w:val="18"/>
          <w:szCs w:val="18"/>
        </w:rPr>
        <w:t xml:space="preserve"> refers to requests for a second, expert opinion initiated by the pathologist. </w:t>
      </w:r>
      <w:r w:rsidRPr="00D4743C">
        <w:rPr>
          <w:rFonts w:ascii="Arial Narrow" w:hAnsi="Arial Narrow"/>
          <w:i/>
          <w:sz w:val="18"/>
          <w:szCs w:val="18"/>
        </w:rPr>
        <w:t>Scenario 2</w:t>
      </w:r>
      <w:r w:rsidRPr="00861B6C">
        <w:rPr>
          <w:rFonts w:ascii="Arial Narrow" w:hAnsi="Arial Narrow"/>
          <w:sz w:val="18"/>
          <w:szCs w:val="18"/>
        </w:rPr>
        <w:t xml:space="preserve"> refers to requests for a second, expert opinion initiated by the clinician.</w:t>
      </w:r>
    </w:p>
    <w:p w14:paraId="3BCE886F" w14:textId="77777777" w:rsidR="00B51828" w:rsidRDefault="00B51828" w:rsidP="002101D2">
      <w:pPr>
        <w:spacing w:before="20"/>
        <w:rPr>
          <w:rFonts w:ascii="Arial Narrow" w:hAnsi="Arial Narrow"/>
          <w:sz w:val="18"/>
          <w:szCs w:val="18"/>
        </w:rPr>
      </w:pPr>
      <w:r w:rsidRPr="007D70F1">
        <w:rPr>
          <w:rFonts w:ascii="Arial Narrow" w:hAnsi="Arial Narrow"/>
          <w:sz w:val="18"/>
          <w:szCs w:val="18"/>
          <w:vertAlign w:val="superscript"/>
        </w:rPr>
        <w:t>a</w:t>
      </w:r>
      <w:r w:rsidRPr="007D70F1">
        <w:rPr>
          <w:rFonts w:ascii="Arial Narrow" w:hAnsi="Arial Narrow"/>
          <w:sz w:val="18"/>
          <w:szCs w:val="18"/>
        </w:rPr>
        <w:t xml:space="preserve"> The estimate refers to the proportion of non-gynaecological cytology cases. The base</w:t>
      </w:r>
      <w:r>
        <w:rPr>
          <w:rFonts w:ascii="Arial Narrow" w:hAnsi="Arial Narrow"/>
          <w:sz w:val="18"/>
          <w:szCs w:val="18"/>
        </w:rPr>
        <w:t xml:space="preserve"> case financial analysis assumes that the estimated proportion of ‘complex’ and ‘non-complex’ cases are the same for gynaecological cytology. </w:t>
      </w:r>
    </w:p>
    <w:p w14:paraId="7D54D09B" w14:textId="77777777" w:rsidR="00B51828" w:rsidRDefault="00B51828" w:rsidP="00B51828">
      <w:pPr>
        <w:pStyle w:val="Heading3"/>
        <w:numPr>
          <w:ilvl w:val="2"/>
          <w:numId w:val="1"/>
        </w:numPr>
      </w:pPr>
      <w:bookmarkStart w:id="248" w:name="_Ref394923111"/>
      <w:r>
        <w:t>Estimated utilisation of the associated services</w:t>
      </w:r>
      <w:bookmarkEnd w:id="248"/>
    </w:p>
    <w:p w14:paraId="39D3B2AF" w14:textId="77777777" w:rsidR="00B51828" w:rsidRDefault="00B51828" w:rsidP="002101D2">
      <w:r>
        <w:t>The financial analysis also takes into consideration additional MBS items that may be used in conjunction with the proposed MBS items for second, expert opinion. In particular, it is anticipated that ancillary tests (e.g. IHC, molecular testing) undertaken as part of the second, expert opinion would be charged to the MBS in the usual way. The Expert Opinion Survey (</w:t>
      </w:r>
      <w:r>
        <w:fldChar w:fldCharType="begin"/>
      </w:r>
      <w:r>
        <w:instrText xml:space="preserve"> REF _Ref394406621 \w \h </w:instrText>
      </w:r>
      <w:r>
        <w:fldChar w:fldCharType="separate"/>
      </w:r>
      <w:r w:rsidR="0044620B">
        <w:t>Appendix 1</w:t>
      </w:r>
      <w:r>
        <w:fldChar w:fldCharType="end"/>
      </w:r>
      <w:r>
        <w:t xml:space="preserve">) asked respondents to estimate the proportion of ‘complex’ and ‘non-complex’ second, expert opinions that would require ancillary tests in both the proposed and current funding arrangements. Separate estimates were also provided for tissue pathology and cytology, as shown in </w:t>
      </w:r>
      <w:r>
        <w:fldChar w:fldCharType="begin"/>
      </w:r>
      <w:r>
        <w:instrText xml:space="preserve"> REF _Ref394481980 \h </w:instrText>
      </w:r>
      <w:r>
        <w:fldChar w:fldCharType="separate"/>
      </w:r>
      <w:r w:rsidR="0044620B">
        <w:t xml:space="preserve">Table </w:t>
      </w:r>
      <w:r w:rsidR="0044620B">
        <w:rPr>
          <w:noProof/>
        </w:rPr>
        <w:t>E.1</w:t>
      </w:r>
      <w:r w:rsidR="0044620B">
        <w:noBreakHyphen/>
      </w:r>
      <w:r w:rsidR="0044620B">
        <w:rPr>
          <w:noProof/>
        </w:rPr>
        <w:t>5</w:t>
      </w:r>
      <w:r>
        <w:fldChar w:fldCharType="end"/>
      </w:r>
      <w:r>
        <w:t xml:space="preserve">. In general, the average estimates were similar under the proposed and current funding arrangements. </w:t>
      </w:r>
    </w:p>
    <w:p w14:paraId="097ABE77" w14:textId="77777777" w:rsidR="00B51828" w:rsidRDefault="00B51828" w:rsidP="002101D2">
      <w:pPr>
        <w:pStyle w:val="Caption"/>
      </w:pPr>
      <w:bookmarkStart w:id="249" w:name="_Ref394481980"/>
      <w:bookmarkStart w:id="250" w:name="_Toc396211769"/>
      <w:r>
        <w:t xml:space="preserve">Table </w:t>
      </w:r>
      <w:fldSimple w:instr=" STYLEREF 2 \s ">
        <w:r w:rsidR="0044620B">
          <w:rPr>
            <w:noProof/>
          </w:rPr>
          <w:t>E.1</w:t>
        </w:r>
      </w:fldSimple>
      <w:r>
        <w:noBreakHyphen/>
      </w:r>
      <w:fldSimple w:instr=" SEQ Table \* ARABIC \s 2 ">
        <w:r w:rsidR="0044620B">
          <w:rPr>
            <w:noProof/>
          </w:rPr>
          <w:t>5</w:t>
        </w:r>
      </w:fldSimple>
      <w:bookmarkEnd w:id="249"/>
      <w:r>
        <w:tab/>
        <w:t>Base case estimates of changes in use of ancillary tests according to availability of MBS funding for second, expert opinions</w:t>
      </w:r>
      <w:bookmarkEnd w:id="250"/>
    </w:p>
    <w:tbl>
      <w:tblPr>
        <w:tblStyle w:val="TableGrid"/>
        <w:tblW w:w="8296" w:type="dxa"/>
        <w:tblInd w:w="720" w:type="dxa"/>
        <w:tblLayout w:type="fixed"/>
        <w:tblLook w:val="04A0" w:firstRow="1" w:lastRow="0" w:firstColumn="1" w:lastColumn="0" w:noHBand="0" w:noVBand="1"/>
        <w:tblCaption w:val="Base case estimates of changes in use of ancillary tests according to availability of MBS funding for second, expert opinions"/>
        <w:tblDescription w:val="Base case estimates of changes in use of ancillary tests according to availability of MBS funding for second, expert opinions. Separate estimates are shown for tissue pathology and cytology, which were obtained from the Expert Opinion Survey."/>
      </w:tblPr>
      <w:tblGrid>
        <w:gridCol w:w="4520"/>
        <w:gridCol w:w="1888"/>
        <w:gridCol w:w="1888"/>
      </w:tblGrid>
      <w:tr w:rsidR="00B51828" w14:paraId="6ECA5F66" w14:textId="77777777" w:rsidTr="00E61184">
        <w:trPr>
          <w:trHeight w:val="210"/>
          <w:tblHeader/>
        </w:trPr>
        <w:tc>
          <w:tcPr>
            <w:tcW w:w="4520" w:type="dxa"/>
          </w:tcPr>
          <w:p w14:paraId="44E99B5E" w14:textId="77777777" w:rsidR="00B51828" w:rsidRDefault="00B51828" w:rsidP="002101D2">
            <w:pPr>
              <w:pStyle w:val="Tabletextboldleft"/>
              <w:spacing w:before="20" w:after="20"/>
            </w:pPr>
          </w:p>
        </w:tc>
        <w:tc>
          <w:tcPr>
            <w:tcW w:w="1888" w:type="dxa"/>
          </w:tcPr>
          <w:p w14:paraId="50FA5192" w14:textId="77777777" w:rsidR="00B51828" w:rsidRDefault="00B51828" w:rsidP="002101D2">
            <w:pPr>
              <w:pStyle w:val="Tabletextboldleft"/>
              <w:spacing w:before="20" w:after="20"/>
              <w:jc w:val="center"/>
            </w:pPr>
            <w:r>
              <w:t>Average estimate (%) - Proposed funding arrangements</w:t>
            </w:r>
          </w:p>
        </w:tc>
        <w:tc>
          <w:tcPr>
            <w:tcW w:w="1888" w:type="dxa"/>
          </w:tcPr>
          <w:p w14:paraId="2E182183" w14:textId="77777777" w:rsidR="00B51828" w:rsidRDefault="00B51828" w:rsidP="002101D2">
            <w:pPr>
              <w:pStyle w:val="Tabletextboldleft"/>
              <w:spacing w:before="20" w:after="20"/>
              <w:jc w:val="center"/>
            </w:pPr>
            <w:r>
              <w:t>Average estimate (%) - Current funding arrangements</w:t>
            </w:r>
          </w:p>
        </w:tc>
      </w:tr>
      <w:tr w:rsidR="00B51828" w:rsidRPr="00701236" w14:paraId="78FBE568" w14:textId="77777777" w:rsidTr="00E61184">
        <w:trPr>
          <w:trHeight w:val="84"/>
        </w:trPr>
        <w:tc>
          <w:tcPr>
            <w:tcW w:w="4520" w:type="dxa"/>
            <w:shd w:val="clear" w:color="auto" w:fill="D0CECE" w:themeFill="background2" w:themeFillShade="E6"/>
          </w:tcPr>
          <w:p w14:paraId="64BAD0D3" w14:textId="77777777" w:rsidR="00B51828" w:rsidRDefault="00B51828" w:rsidP="002101D2">
            <w:pPr>
              <w:pStyle w:val="Tabletextboldleft"/>
              <w:spacing w:before="20" w:after="20"/>
            </w:pPr>
            <w:r>
              <w:t>Tissue pathology</w:t>
            </w:r>
          </w:p>
        </w:tc>
        <w:tc>
          <w:tcPr>
            <w:tcW w:w="1888" w:type="dxa"/>
            <w:shd w:val="clear" w:color="auto" w:fill="D0CECE" w:themeFill="background2" w:themeFillShade="E6"/>
          </w:tcPr>
          <w:p w14:paraId="6DEA29C2" w14:textId="77777777" w:rsidR="00B51828" w:rsidRPr="003D73F8" w:rsidRDefault="00B51828" w:rsidP="002101D2">
            <w:pPr>
              <w:pStyle w:val="Tabletextboldleft"/>
              <w:spacing w:before="20" w:after="20"/>
              <w:jc w:val="center"/>
              <w:rPr>
                <w:b w:val="0"/>
              </w:rPr>
            </w:pPr>
            <w:r w:rsidRPr="003D73F8">
              <w:rPr>
                <w:b w:val="0"/>
              </w:rPr>
              <w:t>-</w:t>
            </w:r>
          </w:p>
        </w:tc>
        <w:tc>
          <w:tcPr>
            <w:tcW w:w="1888" w:type="dxa"/>
            <w:shd w:val="clear" w:color="auto" w:fill="D0CECE" w:themeFill="background2" w:themeFillShade="E6"/>
          </w:tcPr>
          <w:p w14:paraId="4B50E206" w14:textId="77777777" w:rsidR="00B51828" w:rsidRPr="003D73F8" w:rsidRDefault="00B51828" w:rsidP="002101D2">
            <w:pPr>
              <w:pStyle w:val="Tabletextboldleft"/>
              <w:spacing w:before="20" w:after="20"/>
              <w:jc w:val="center"/>
              <w:rPr>
                <w:b w:val="0"/>
              </w:rPr>
            </w:pPr>
            <w:r w:rsidRPr="003D73F8">
              <w:rPr>
                <w:b w:val="0"/>
              </w:rPr>
              <w:t>-</w:t>
            </w:r>
          </w:p>
        </w:tc>
      </w:tr>
      <w:tr w:rsidR="00B51828" w:rsidRPr="00A75B17" w14:paraId="41D8E385" w14:textId="77777777" w:rsidTr="00E61184">
        <w:trPr>
          <w:trHeight w:val="210"/>
        </w:trPr>
        <w:tc>
          <w:tcPr>
            <w:tcW w:w="4520" w:type="dxa"/>
          </w:tcPr>
          <w:p w14:paraId="729CAFD4" w14:textId="77777777" w:rsidR="00B51828" w:rsidRPr="00041E27" w:rsidRDefault="00B51828" w:rsidP="002101D2">
            <w:pPr>
              <w:pStyle w:val="Tabletextboldleft"/>
              <w:spacing w:before="20" w:after="20"/>
              <w:rPr>
                <w:b w:val="0"/>
              </w:rPr>
            </w:pPr>
            <w:r>
              <w:rPr>
                <w:b w:val="0"/>
              </w:rPr>
              <w:t>Proportion of ‘complex’ cases requiring ancillary tests</w:t>
            </w:r>
          </w:p>
        </w:tc>
        <w:tc>
          <w:tcPr>
            <w:tcW w:w="1888" w:type="dxa"/>
          </w:tcPr>
          <w:p w14:paraId="00124B56" w14:textId="77777777" w:rsidR="00B51828" w:rsidRPr="00616A3F" w:rsidRDefault="00B51828" w:rsidP="002101D2">
            <w:pPr>
              <w:spacing w:before="20" w:after="20"/>
              <w:ind w:left="0"/>
              <w:jc w:val="center"/>
              <w:rPr>
                <w:rFonts w:ascii="Arial Narrow" w:hAnsi="Arial Narrow"/>
                <w:sz w:val="20"/>
                <w:szCs w:val="20"/>
              </w:rPr>
            </w:pPr>
            <w:r w:rsidRPr="00616A3F">
              <w:rPr>
                <w:rFonts w:ascii="Arial Narrow" w:hAnsi="Arial Narrow"/>
                <w:sz w:val="20"/>
                <w:szCs w:val="20"/>
              </w:rPr>
              <w:t>62.50%</w:t>
            </w:r>
          </w:p>
        </w:tc>
        <w:tc>
          <w:tcPr>
            <w:tcW w:w="1888" w:type="dxa"/>
          </w:tcPr>
          <w:p w14:paraId="58E0C455" w14:textId="77777777" w:rsidR="00B51828" w:rsidRPr="00616A3F" w:rsidRDefault="00B51828" w:rsidP="002101D2">
            <w:pPr>
              <w:spacing w:before="20" w:after="20"/>
              <w:ind w:left="0"/>
              <w:jc w:val="center"/>
              <w:rPr>
                <w:rFonts w:ascii="Arial Narrow" w:hAnsi="Arial Narrow"/>
                <w:sz w:val="20"/>
                <w:szCs w:val="20"/>
              </w:rPr>
            </w:pPr>
            <w:r w:rsidRPr="00616A3F">
              <w:rPr>
                <w:rFonts w:ascii="Arial Narrow" w:hAnsi="Arial Narrow"/>
                <w:sz w:val="20"/>
                <w:szCs w:val="20"/>
              </w:rPr>
              <w:t>62.63%</w:t>
            </w:r>
          </w:p>
        </w:tc>
      </w:tr>
      <w:tr w:rsidR="00B51828" w:rsidRPr="00A75B17" w14:paraId="791952F4" w14:textId="77777777" w:rsidTr="00E61184">
        <w:trPr>
          <w:trHeight w:val="210"/>
        </w:trPr>
        <w:tc>
          <w:tcPr>
            <w:tcW w:w="4520" w:type="dxa"/>
          </w:tcPr>
          <w:p w14:paraId="389D4959" w14:textId="77777777" w:rsidR="00B51828" w:rsidRDefault="00B51828" w:rsidP="002101D2">
            <w:pPr>
              <w:pStyle w:val="Tabletextboldleft"/>
              <w:spacing w:before="20" w:after="20"/>
              <w:rPr>
                <w:b w:val="0"/>
              </w:rPr>
            </w:pPr>
            <w:r>
              <w:rPr>
                <w:b w:val="0"/>
              </w:rPr>
              <w:t>Proportion of ‘non-complex’ cases requiring ancillary tests</w:t>
            </w:r>
          </w:p>
        </w:tc>
        <w:tc>
          <w:tcPr>
            <w:tcW w:w="1888" w:type="dxa"/>
          </w:tcPr>
          <w:p w14:paraId="0513A19E" w14:textId="77777777" w:rsidR="00B51828" w:rsidRPr="00616A3F" w:rsidRDefault="00B51828" w:rsidP="002101D2">
            <w:pPr>
              <w:spacing w:before="20" w:after="20"/>
              <w:ind w:left="0"/>
              <w:jc w:val="center"/>
              <w:rPr>
                <w:rFonts w:ascii="Arial Narrow" w:hAnsi="Arial Narrow"/>
                <w:sz w:val="20"/>
                <w:szCs w:val="20"/>
              </w:rPr>
            </w:pPr>
            <w:r w:rsidRPr="00616A3F">
              <w:rPr>
                <w:rFonts w:ascii="Arial Narrow" w:hAnsi="Arial Narrow"/>
                <w:sz w:val="20"/>
                <w:szCs w:val="20"/>
              </w:rPr>
              <w:t>23.75%</w:t>
            </w:r>
          </w:p>
        </w:tc>
        <w:tc>
          <w:tcPr>
            <w:tcW w:w="1888" w:type="dxa"/>
          </w:tcPr>
          <w:p w14:paraId="5D2BEC69" w14:textId="77777777" w:rsidR="00B51828" w:rsidRPr="00616A3F" w:rsidRDefault="00B51828" w:rsidP="002101D2">
            <w:pPr>
              <w:spacing w:before="20" w:after="20"/>
              <w:ind w:left="0"/>
              <w:jc w:val="center"/>
              <w:rPr>
                <w:rFonts w:ascii="Arial Narrow" w:hAnsi="Arial Narrow"/>
                <w:sz w:val="20"/>
                <w:szCs w:val="20"/>
              </w:rPr>
            </w:pPr>
            <w:r w:rsidRPr="00616A3F">
              <w:rPr>
                <w:rFonts w:ascii="Arial Narrow" w:hAnsi="Arial Narrow"/>
                <w:sz w:val="20"/>
                <w:szCs w:val="20"/>
              </w:rPr>
              <w:t>25.00%</w:t>
            </w:r>
          </w:p>
        </w:tc>
      </w:tr>
      <w:tr w:rsidR="00B51828" w:rsidRPr="00A75B17" w14:paraId="4FEDFB1F" w14:textId="77777777" w:rsidTr="00E61184">
        <w:trPr>
          <w:trHeight w:val="210"/>
        </w:trPr>
        <w:tc>
          <w:tcPr>
            <w:tcW w:w="4520" w:type="dxa"/>
            <w:shd w:val="clear" w:color="auto" w:fill="D0CECE" w:themeFill="background2" w:themeFillShade="E6"/>
          </w:tcPr>
          <w:p w14:paraId="5B906089" w14:textId="77777777" w:rsidR="00B51828" w:rsidRPr="0074343D" w:rsidRDefault="00B51828" w:rsidP="002101D2">
            <w:pPr>
              <w:pStyle w:val="Tabletextboldleft"/>
              <w:spacing w:before="20" w:after="20"/>
              <w:rPr>
                <w:vertAlign w:val="superscript"/>
              </w:rPr>
            </w:pPr>
            <w:r>
              <w:t>Cytology</w:t>
            </w:r>
            <w:r>
              <w:rPr>
                <w:vertAlign w:val="superscript"/>
              </w:rPr>
              <w:t>a</w:t>
            </w:r>
          </w:p>
        </w:tc>
        <w:tc>
          <w:tcPr>
            <w:tcW w:w="1888" w:type="dxa"/>
            <w:shd w:val="clear" w:color="auto" w:fill="D0CECE" w:themeFill="background2" w:themeFillShade="E6"/>
          </w:tcPr>
          <w:p w14:paraId="4CD45863" w14:textId="77777777" w:rsidR="00B51828" w:rsidRPr="00616A3F" w:rsidRDefault="00B51828" w:rsidP="002101D2">
            <w:pPr>
              <w:pStyle w:val="Tabletextboldleft"/>
              <w:spacing w:before="20" w:after="20"/>
              <w:jc w:val="center"/>
              <w:rPr>
                <w:b w:val="0"/>
              </w:rPr>
            </w:pPr>
            <w:r>
              <w:rPr>
                <w:b w:val="0"/>
              </w:rPr>
              <w:t>-</w:t>
            </w:r>
          </w:p>
        </w:tc>
        <w:tc>
          <w:tcPr>
            <w:tcW w:w="1888" w:type="dxa"/>
            <w:shd w:val="clear" w:color="auto" w:fill="D0CECE" w:themeFill="background2" w:themeFillShade="E6"/>
          </w:tcPr>
          <w:p w14:paraId="094FA808" w14:textId="77777777" w:rsidR="00B51828" w:rsidRPr="00616A3F" w:rsidRDefault="00B51828" w:rsidP="002101D2">
            <w:pPr>
              <w:pStyle w:val="Tabletextboldleft"/>
              <w:spacing w:before="20" w:after="20"/>
              <w:jc w:val="center"/>
              <w:rPr>
                <w:b w:val="0"/>
              </w:rPr>
            </w:pPr>
            <w:r>
              <w:rPr>
                <w:b w:val="0"/>
              </w:rPr>
              <w:t>-</w:t>
            </w:r>
          </w:p>
        </w:tc>
      </w:tr>
      <w:tr w:rsidR="00B51828" w:rsidRPr="00A75B17" w14:paraId="308F3F4F" w14:textId="77777777" w:rsidTr="00E61184">
        <w:trPr>
          <w:trHeight w:val="210"/>
        </w:trPr>
        <w:tc>
          <w:tcPr>
            <w:tcW w:w="4520" w:type="dxa"/>
          </w:tcPr>
          <w:p w14:paraId="77C7A149" w14:textId="77777777" w:rsidR="00B51828" w:rsidRDefault="00B51828" w:rsidP="002101D2">
            <w:pPr>
              <w:pStyle w:val="Tabletextboldleft"/>
              <w:spacing w:before="20" w:after="20"/>
              <w:rPr>
                <w:b w:val="0"/>
              </w:rPr>
            </w:pPr>
            <w:r>
              <w:rPr>
                <w:b w:val="0"/>
              </w:rPr>
              <w:t>Proportion of ‘complex’ cases requiring ancillary tests</w:t>
            </w:r>
          </w:p>
        </w:tc>
        <w:tc>
          <w:tcPr>
            <w:tcW w:w="1888" w:type="dxa"/>
          </w:tcPr>
          <w:p w14:paraId="4083633B" w14:textId="77777777" w:rsidR="00B51828" w:rsidRPr="00616A3F" w:rsidRDefault="00B51828" w:rsidP="002101D2">
            <w:pPr>
              <w:spacing w:before="20" w:after="20"/>
              <w:ind w:left="0"/>
              <w:jc w:val="center"/>
              <w:rPr>
                <w:rFonts w:ascii="Arial Narrow" w:hAnsi="Arial Narrow"/>
                <w:sz w:val="20"/>
                <w:szCs w:val="20"/>
              </w:rPr>
            </w:pPr>
            <w:r w:rsidRPr="00616A3F">
              <w:rPr>
                <w:rFonts w:ascii="Arial Narrow" w:hAnsi="Arial Narrow"/>
                <w:sz w:val="20"/>
                <w:szCs w:val="20"/>
              </w:rPr>
              <w:t>32.14%</w:t>
            </w:r>
          </w:p>
        </w:tc>
        <w:tc>
          <w:tcPr>
            <w:tcW w:w="1888" w:type="dxa"/>
          </w:tcPr>
          <w:p w14:paraId="0B82B610" w14:textId="77777777" w:rsidR="00B51828" w:rsidRPr="00616A3F" w:rsidRDefault="00B51828" w:rsidP="002101D2">
            <w:pPr>
              <w:spacing w:before="20" w:after="20"/>
              <w:ind w:left="0"/>
              <w:jc w:val="center"/>
              <w:rPr>
                <w:rFonts w:ascii="Arial Narrow" w:hAnsi="Arial Narrow"/>
                <w:sz w:val="20"/>
                <w:szCs w:val="20"/>
              </w:rPr>
            </w:pPr>
            <w:r w:rsidRPr="00616A3F">
              <w:rPr>
                <w:rFonts w:ascii="Arial Narrow" w:hAnsi="Arial Narrow"/>
                <w:sz w:val="20"/>
                <w:szCs w:val="20"/>
              </w:rPr>
              <w:t>30.43%</w:t>
            </w:r>
          </w:p>
        </w:tc>
      </w:tr>
      <w:tr w:rsidR="00B51828" w:rsidRPr="00A75B17" w14:paraId="27F95399" w14:textId="77777777" w:rsidTr="00E61184">
        <w:trPr>
          <w:trHeight w:val="70"/>
        </w:trPr>
        <w:tc>
          <w:tcPr>
            <w:tcW w:w="4520" w:type="dxa"/>
          </w:tcPr>
          <w:p w14:paraId="027C75B9" w14:textId="77777777" w:rsidR="00B51828" w:rsidRDefault="00B51828" w:rsidP="002101D2">
            <w:pPr>
              <w:pStyle w:val="Tabletextboldleft"/>
              <w:spacing w:before="20" w:after="20"/>
              <w:rPr>
                <w:b w:val="0"/>
              </w:rPr>
            </w:pPr>
            <w:r>
              <w:rPr>
                <w:b w:val="0"/>
              </w:rPr>
              <w:t>Proportion of ‘non-complex’ cases requiring ancillary tests</w:t>
            </w:r>
          </w:p>
        </w:tc>
        <w:tc>
          <w:tcPr>
            <w:tcW w:w="1888" w:type="dxa"/>
          </w:tcPr>
          <w:p w14:paraId="7BBCDA46" w14:textId="77777777" w:rsidR="00B51828" w:rsidRPr="00616A3F" w:rsidRDefault="00B51828" w:rsidP="002101D2">
            <w:pPr>
              <w:spacing w:before="20" w:after="20"/>
              <w:ind w:left="0"/>
              <w:jc w:val="center"/>
              <w:rPr>
                <w:rFonts w:ascii="Arial Narrow" w:hAnsi="Arial Narrow"/>
                <w:sz w:val="20"/>
                <w:szCs w:val="20"/>
              </w:rPr>
            </w:pPr>
            <w:r w:rsidRPr="00616A3F">
              <w:rPr>
                <w:rFonts w:ascii="Arial Narrow" w:hAnsi="Arial Narrow"/>
                <w:sz w:val="20"/>
                <w:szCs w:val="20"/>
              </w:rPr>
              <w:t>11.57%</w:t>
            </w:r>
          </w:p>
        </w:tc>
        <w:tc>
          <w:tcPr>
            <w:tcW w:w="1888" w:type="dxa"/>
          </w:tcPr>
          <w:p w14:paraId="170EA5BF" w14:textId="77777777" w:rsidR="00B51828" w:rsidRPr="00616A3F" w:rsidRDefault="00B51828" w:rsidP="002101D2">
            <w:pPr>
              <w:spacing w:before="20" w:after="20"/>
              <w:ind w:left="0"/>
              <w:jc w:val="center"/>
              <w:rPr>
                <w:rFonts w:ascii="Arial Narrow" w:hAnsi="Arial Narrow"/>
                <w:sz w:val="20"/>
                <w:szCs w:val="20"/>
              </w:rPr>
            </w:pPr>
            <w:r w:rsidRPr="00616A3F">
              <w:rPr>
                <w:rFonts w:ascii="Arial Narrow" w:hAnsi="Arial Narrow"/>
                <w:sz w:val="20"/>
                <w:szCs w:val="20"/>
              </w:rPr>
              <w:t>10.14%</w:t>
            </w:r>
          </w:p>
        </w:tc>
      </w:tr>
    </w:tbl>
    <w:p w14:paraId="2308EBCD" w14:textId="77777777" w:rsidR="00B51828" w:rsidRPr="00DD1E22"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&lt;Service utilisation assumptions&gt;</w:t>
      </w:r>
    </w:p>
    <w:p w14:paraId="284ADB6F" w14:textId="77777777" w:rsidR="00B51828" w:rsidRDefault="00B51828" w:rsidP="002101D2">
      <w:pPr>
        <w:spacing w:before="20"/>
        <w:rPr>
          <w:rFonts w:ascii="Arial Narrow" w:hAnsi="Arial Narrow"/>
          <w:sz w:val="18"/>
          <w:szCs w:val="18"/>
        </w:rPr>
      </w:pPr>
      <w:r>
        <w:rPr>
          <w:rFonts w:ascii="Arial Narrow" w:hAnsi="Arial Narrow"/>
          <w:sz w:val="18"/>
          <w:szCs w:val="18"/>
          <w:vertAlign w:val="superscript"/>
        </w:rPr>
        <w:t>a</w:t>
      </w:r>
      <w:r>
        <w:rPr>
          <w:rFonts w:ascii="Arial Narrow" w:hAnsi="Arial Narrow"/>
          <w:sz w:val="18"/>
          <w:szCs w:val="18"/>
        </w:rPr>
        <w:t xml:space="preserve"> </w:t>
      </w:r>
      <w:r w:rsidRPr="007D70F1">
        <w:rPr>
          <w:rFonts w:ascii="Arial Narrow" w:hAnsi="Arial Narrow"/>
          <w:sz w:val="18"/>
          <w:szCs w:val="18"/>
        </w:rPr>
        <w:t>The estimate refers to the proportion of non-gynaecological cytology cases. The base</w:t>
      </w:r>
      <w:r>
        <w:rPr>
          <w:rFonts w:ascii="Arial Narrow" w:hAnsi="Arial Narrow"/>
          <w:sz w:val="18"/>
          <w:szCs w:val="18"/>
        </w:rPr>
        <w:t xml:space="preserve"> case financial analysis assumes that use of ancillary tests is the same for gynaecological cytology. </w:t>
      </w:r>
    </w:p>
    <w:p w14:paraId="5AD1017F" w14:textId="77777777" w:rsidR="00B51828" w:rsidRDefault="00B51828" w:rsidP="002101D2">
      <w:r w:rsidRPr="00BC1874">
        <w:lastRenderedPageBreak/>
        <w:t>Several other existing MBS</w:t>
      </w:r>
      <w:r>
        <w:t xml:space="preserve"> items may be affected by an MBS listing for second, expert pathology opinions. As discussed in Section </w:t>
      </w:r>
      <w:r>
        <w:fldChar w:fldCharType="begin"/>
      </w:r>
      <w:r>
        <w:instrText xml:space="preserve"> REF _Ref394580046 \w \h </w:instrText>
      </w:r>
      <w:r>
        <w:fldChar w:fldCharType="separate"/>
      </w:r>
      <w:r w:rsidR="0044620B">
        <w:t>A.2.3</w:t>
      </w:r>
      <w:r>
        <w:fldChar w:fldCharType="end"/>
      </w:r>
      <w:r>
        <w:t xml:space="preserve">, the provision of the proposed service may be associated with administrative and handling costs in order to transfer the original specimens/slides to and from an expert pathologist. As such, the utilisation of the ‘specimen referred fee’ (MBS Group 11, item 73940) may be affected by the proposed listing. Despite the fact that the first (referring) laboratory would incur costs associated with the second, expert opinion (e.g. retrieving slides from the archives, collating the case, sending the slides, refining the original diagnosis and re-filing the case material), the specimen referred fee is currently restricted to being claimed by the second (receiving) laboratory. Therefore, the base case assumption is that each case referred for second, expert opinion would result in one additional claim for MBS item 73940 (i.e. the number of services for MBS item 73940 would be equal to 100% of the estimate for second, expert opinion utilisation), see </w:t>
      </w:r>
      <w:r>
        <w:fldChar w:fldCharType="begin"/>
      </w:r>
      <w:r>
        <w:instrText xml:space="preserve"> REF _Ref394666441 \h </w:instrText>
      </w:r>
      <w:r>
        <w:fldChar w:fldCharType="separate"/>
      </w:r>
      <w:r w:rsidR="0044620B">
        <w:t xml:space="preserve">Table </w:t>
      </w:r>
      <w:r w:rsidR="0044620B">
        <w:rPr>
          <w:noProof/>
        </w:rPr>
        <w:t>E.1</w:t>
      </w:r>
      <w:r w:rsidR="0044620B">
        <w:noBreakHyphen/>
      </w:r>
      <w:r w:rsidR="0044620B">
        <w:rPr>
          <w:noProof/>
        </w:rPr>
        <w:t>6</w:t>
      </w:r>
      <w:r>
        <w:fldChar w:fldCharType="end"/>
      </w:r>
      <w:r>
        <w:t>. The current Schedule fee for the bulk billing incentive is $10.25.</w:t>
      </w:r>
    </w:p>
    <w:p w14:paraId="1F334C9D" w14:textId="77777777" w:rsidR="00B51828" w:rsidRDefault="00B51828" w:rsidP="002101D2">
      <w:r>
        <w:rPr>
          <w:szCs w:val="24"/>
        </w:rPr>
        <w:t xml:space="preserve">In the Final Protocol (p14), </w:t>
      </w:r>
      <w:r w:rsidRPr="00770688">
        <w:rPr>
          <w:szCs w:val="24"/>
        </w:rPr>
        <w:t>PA</w:t>
      </w:r>
      <w:r>
        <w:rPr>
          <w:szCs w:val="24"/>
        </w:rPr>
        <w:t>SC suggested that the</w:t>
      </w:r>
      <w:r w:rsidRPr="00770688">
        <w:rPr>
          <w:szCs w:val="24"/>
        </w:rPr>
        <w:t xml:space="preserve"> costs</w:t>
      </w:r>
      <w:r>
        <w:rPr>
          <w:szCs w:val="24"/>
        </w:rPr>
        <w:t xml:space="preserve"> incurred by the first laboratory may</w:t>
      </w:r>
      <w:r w:rsidRPr="00770688">
        <w:rPr>
          <w:szCs w:val="24"/>
        </w:rPr>
        <w:t xml:space="preserve"> </w:t>
      </w:r>
      <w:r>
        <w:rPr>
          <w:szCs w:val="24"/>
        </w:rPr>
        <w:t>require separate consideration (</w:t>
      </w:r>
      <w:r w:rsidRPr="00770688">
        <w:rPr>
          <w:szCs w:val="24"/>
        </w:rPr>
        <w:t xml:space="preserve">similar to </w:t>
      </w:r>
      <w:r>
        <w:rPr>
          <w:szCs w:val="24"/>
        </w:rPr>
        <w:t xml:space="preserve">MSAC Application 1331 – Retrieval of </w:t>
      </w:r>
      <w:r w:rsidRPr="00770688">
        <w:rPr>
          <w:szCs w:val="24"/>
        </w:rPr>
        <w:t>tissue for further diagnostic testing specifically genetic testing for d</w:t>
      </w:r>
      <w:r>
        <w:rPr>
          <w:szCs w:val="24"/>
        </w:rPr>
        <w:t xml:space="preserve">iagnostic/prognostic purposes); however such potential costs have not been included in the current financial analysis. </w:t>
      </w:r>
    </w:p>
    <w:p w14:paraId="0E0EF6F5" w14:textId="77777777" w:rsidR="00B51828" w:rsidRDefault="00B51828" w:rsidP="002101D2">
      <w:r>
        <w:t>In addition to increased usage of the specimen referred fee, an MBS listing for second, expert opinions would be likely to result in additional utilisation of the ‘bulk billing incentive’ (MBS item 74996). As stated in the Final Protocol (p23), pathology items have a greater than 90% bulk billing rate. For simplicity, the base case assumes that 100% of cases referred for second, expert opinion would result in one additional claim for MBS item 74996 (</w:t>
      </w:r>
      <w:r>
        <w:fldChar w:fldCharType="begin"/>
      </w:r>
      <w:r>
        <w:instrText xml:space="preserve"> REF _Ref394666441 \h </w:instrText>
      </w:r>
      <w:r>
        <w:fldChar w:fldCharType="separate"/>
      </w:r>
      <w:r w:rsidR="0044620B">
        <w:t xml:space="preserve">Table </w:t>
      </w:r>
      <w:r w:rsidR="0044620B">
        <w:rPr>
          <w:noProof/>
        </w:rPr>
        <w:t>E.1</w:t>
      </w:r>
      <w:r w:rsidR="0044620B">
        <w:noBreakHyphen/>
      </w:r>
      <w:r w:rsidR="0044620B">
        <w:rPr>
          <w:noProof/>
        </w:rPr>
        <w:t>6</w:t>
      </w:r>
      <w:r>
        <w:fldChar w:fldCharType="end"/>
      </w:r>
      <w:r>
        <w:t>). The current Schedule fee for the bulk billing incentive is $3.70.</w:t>
      </w:r>
    </w:p>
    <w:p w14:paraId="6F24D943" w14:textId="77777777" w:rsidR="00B51828" w:rsidRDefault="00B51828" w:rsidP="002101D2">
      <w:r>
        <w:t>Finally, while the Final Protocol (p23) suggested a possible increase in utilisation of clinician consultation items (MBS items 23 and 105), it is considered to be highly unlikely that the referral of case material to an expert pathologist would require an additional consultation between the treating clinician and the patient. Under the proposed funding arrangements, a second, expert opinion could not be conducted at the behest of the patient. Furthermore, any additional consultations between the treating clinician and patient may unnecessarily increase the time taken to obtain a definitive diagnosis. Therefore it is assumed that no additional use of MBS items 23 and 105 would result from the proposed listing, regardless of whether the pathologist or treating clinician initiated the referral.</w:t>
      </w:r>
    </w:p>
    <w:p w14:paraId="73AFCB62" w14:textId="77777777" w:rsidR="00B51828" w:rsidRDefault="00B51828" w:rsidP="002101D2">
      <w:pPr>
        <w:pStyle w:val="Caption"/>
      </w:pPr>
      <w:bookmarkStart w:id="251" w:name="_Ref394666441"/>
      <w:bookmarkStart w:id="252" w:name="_Toc396211770"/>
      <w:r>
        <w:t xml:space="preserve">Table </w:t>
      </w:r>
      <w:fldSimple w:instr=" STYLEREF 2 \s ">
        <w:r w:rsidR="0044620B">
          <w:rPr>
            <w:noProof/>
          </w:rPr>
          <w:t>E.1</w:t>
        </w:r>
      </w:fldSimple>
      <w:r>
        <w:noBreakHyphen/>
      </w:r>
      <w:fldSimple w:instr=" SEQ Table \* ARABIC \s 2 ">
        <w:r w:rsidR="0044620B">
          <w:rPr>
            <w:noProof/>
          </w:rPr>
          <w:t>6</w:t>
        </w:r>
      </w:fldSimple>
      <w:bookmarkEnd w:id="251"/>
      <w:r>
        <w:tab/>
        <w:t>Base case estimates of changes in use of other associated MBS items</w:t>
      </w:r>
      <w:bookmarkEnd w:id="252"/>
    </w:p>
    <w:tbl>
      <w:tblPr>
        <w:tblStyle w:val="TableGrid"/>
        <w:tblW w:w="8296" w:type="dxa"/>
        <w:tblInd w:w="720" w:type="dxa"/>
        <w:tblLayout w:type="fixed"/>
        <w:tblLook w:val="04A0" w:firstRow="1" w:lastRow="0" w:firstColumn="1" w:lastColumn="0" w:noHBand="0" w:noVBand="1"/>
        <w:tblCaption w:val="Base case estimates of changes in use of other associated MBS items"/>
        <w:tblDescription w:val="Estimated use of the specimen referred fee (MBS item 73940) and the bulk billing incentive (MBS item 74996) under current and proposed funding arrangements."/>
      </w:tblPr>
      <w:tblGrid>
        <w:gridCol w:w="4520"/>
        <w:gridCol w:w="1888"/>
        <w:gridCol w:w="1888"/>
      </w:tblGrid>
      <w:tr w:rsidR="00B51828" w14:paraId="12977838" w14:textId="77777777" w:rsidTr="00E61184">
        <w:trPr>
          <w:trHeight w:val="210"/>
          <w:tblHeader/>
        </w:trPr>
        <w:tc>
          <w:tcPr>
            <w:tcW w:w="4520" w:type="dxa"/>
          </w:tcPr>
          <w:p w14:paraId="3A1A6C1B" w14:textId="77777777" w:rsidR="00B51828" w:rsidRDefault="00B51828" w:rsidP="002101D2">
            <w:pPr>
              <w:pStyle w:val="Tabletextboldleft"/>
              <w:spacing w:before="20" w:after="20"/>
            </w:pPr>
          </w:p>
        </w:tc>
        <w:tc>
          <w:tcPr>
            <w:tcW w:w="1888" w:type="dxa"/>
          </w:tcPr>
          <w:p w14:paraId="22B22B3E" w14:textId="77777777" w:rsidR="00B51828" w:rsidRDefault="00B51828" w:rsidP="002101D2">
            <w:pPr>
              <w:pStyle w:val="Tabletextboldleft"/>
              <w:spacing w:before="20" w:after="20"/>
              <w:jc w:val="center"/>
            </w:pPr>
            <w:r>
              <w:t>Proportion applied in financial analysis (%) - Proposed funding arrangements</w:t>
            </w:r>
          </w:p>
        </w:tc>
        <w:tc>
          <w:tcPr>
            <w:tcW w:w="1888" w:type="dxa"/>
          </w:tcPr>
          <w:p w14:paraId="28319E6D" w14:textId="77777777" w:rsidR="00B51828" w:rsidRDefault="00B51828" w:rsidP="002101D2">
            <w:pPr>
              <w:pStyle w:val="Tabletextboldleft"/>
              <w:spacing w:before="20" w:after="20"/>
              <w:jc w:val="center"/>
            </w:pPr>
            <w:r>
              <w:t>Proportion applied in financial analysis (%) - Current funding arrangements</w:t>
            </w:r>
          </w:p>
        </w:tc>
      </w:tr>
      <w:tr w:rsidR="00B51828" w:rsidRPr="00A75B17" w14:paraId="182D453B" w14:textId="77777777" w:rsidTr="00E61184">
        <w:trPr>
          <w:trHeight w:val="210"/>
        </w:trPr>
        <w:tc>
          <w:tcPr>
            <w:tcW w:w="4520" w:type="dxa"/>
          </w:tcPr>
          <w:p w14:paraId="57EBADCC" w14:textId="77777777" w:rsidR="00B51828" w:rsidRPr="00041E27" w:rsidRDefault="00B51828" w:rsidP="002101D2">
            <w:pPr>
              <w:pStyle w:val="Tabletextboldleft"/>
              <w:spacing w:before="20" w:after="20"/>
              <w:rPr>
                <w:b w:val="0"/>
              </w:rPr>
            </w:pPr>
            <w:r>
              <w:rPr>
                <w:b w:val="0"/>
              </w:rPr>
              <w:t>Proportion of second, expert opinions incurring specimen referred fee (MBS item 73940)</w:t>
            </w:r>
          </w:p>
        </w:tc>
        <w:tc>
          <w:tcPr>
            <w:tcW w:w="1888" w:type="dxa"/>
          </w:tcPr>
          <w:p w14:paraId="07774075" w14:textId="77777777" w:rsidR="00B51828" w:rsidRPr="00616A3F" w:rsidRDefault="00B51828" w:rsidP="002101D2">
            <w:pPr>
              <w:spacing w:before="20" w:after="20"/>
              <w:ind w:left="0"/>
              <w:jc w:val="center"/>
              <w:rPr>
                <w:rFonts w:ascii="Arial Narrow" w:hAnsi="Arial Narrow"/>
                <w:sz w:val="20"/>
                <w:szCs w:val="20"/>
              </w:rPr>
            </w:pPr>
            <w:r>
              <w:rPr>
                <w:rFonts w:ascii="Arial Narrow" w:hAnsi="Arial Narrow"/>
                <w:sz w:val="20"/>
                <w:szCs w:val="20"/>
              </w:rPr>
              <w:t>100%</w:t>
            </w:r>
          </w:p>
        </w:tc>
        <w:tc>
          <w:tcPr>
            <w:tcW w:w="1888" w:type="dxa"/>
          </w:tcPr>
          <w:p w14:paraId="04F077B6" w14:textId="77777777" w:rsidR="00B51828" w:rsidRPr="00616A3F" w:rsidRDefault="00B51828" w:rsidP="002101D2">
            <w:pPr>
              <w:spacing w:before="20" w:after="20"/>
              <w:ind w:left="0"/>
              <w:jc w:val="center"/>
              <w:rPr>
                <w:rFonts w:ascii="Arial Narrow" w:hAnsi="Arial Narrow"/>
                <w:sz w:val="20"/>
                <w:szCs w:val="20"/>
              </w:rPr>
            </w:pPr>
            <w:r>
              <w:rPr>
                <w:rFonts w:ascii="Arial Narrow" w:hAnsi="Arial Narrow"/>
                <w:sz w:val="20"/>
                <w:szCs w:val="20"/>
              </w:rPr>
              <w:t>0%</w:t>
            </w:r>
          </w:p>
        </w:tc>
      </w:tr>
      <w:tr w:rsidR="00B51828" w:rsidRPr="00A75B17" w14:paraId="6BE02AB5" w14:textId="77777777" w:rsidTr="00E61184">
        <w:trPr>
          <w:trHeight w:val="210"/>
        </w:trPr>
        <w:tc>
          <w:tcPr>
            <w:tcW w:w="4520" w:type="dxa"/>
          </w:tcPr>
          <w:p w14:paraId="1BC5A02F" w14:textId="77777777" w:rsidR="00B51828" w:rsidRDefault="00B51828" w:rsidP="002101D2">
            <w:pPr>
              <w:pStyle w:val="Tabletextboldleft"/>
              <w:spacing w:before="20" w:after="20"/>
              <w:rPr>
                <w:b w:val="0"/>
              </w:rPr>
            </w:pPr>
            <w:r>
              <w:rPr>
                <w:b w:val="0"/>
              </w:rPr>
              <w:t>Proportion of second, expert opinions incurring bulk billing incentive (MBS item 74996)</w:t>
            </w:r>
          </w:p>
        </w:tc>
        <w:tc>
          <w:tcPr>
            <w:tcW w:w="1888" w:type="dxa"/>
          </w:tcPr>
          <w:p w14:paraId="079EE3F3" w14:textId="77777777" w:rsidR="00B51828" w:rsidRPr="00616A3F" w:rsidRDefault="00B51828" w:rsidP="002101D2">
            <w:pPr>
              <w:spacing w:before="20" w:after="20"/>
              <w:ind w:left="0"/>
              <w:jc w:val="center"/>
              <w:rPr>
                <w:rFonts w:ascii="Arial Narrow" w:hAnsi="Arial Narrow"/>
                <w:sz w:val="20"/>
                <w:szCs w:val="20"/>
              </w:rPr>
            </w:pPr>
            <w:r>
              <w:rPr>
                <w:rFonts w:ascii="Arial Narrow" w:hAnsi="Arial Narrow"/>
                <w:sz w:val="20"/>
                <w:szCs w:val="20"/>
              </w:rPr>
              <w:t>100%</w:t>
            </w:r>
          </w:p>
        </w:tc>
        <w:tc>
          <w:tcPr>
            <w:tcW w:w="1888" w:type="dxa"/>
          </w:tcPr>
          <w:p w14:paraId="759B8F95" w14:textId="77777777" w:rsidR="00B51828" w:rsidRPr="00616A3F" w:rsidRDefault="00B51828" w:rsidP="002101D2">
            <w:pPr>
              <w:spacing w:before="20" w:after="20"/>
              <w:ind w:left="0"/>
              <w:jc w:val="center"/>
              <w:rPr>
                <w:rFonts w:ascii="Arial Narrow" w:hAnsi="Arial Narrow"/>
                <w:sz w:val="20"/>
                <w:szCs w:val="20"/>
              </w:rPr>
            </w:pPr>
            <w:r>
              <w:rPr>
                <w:rFonts w:ascii="Arial Narrow" w:hAnsi="Arial Narrow"/>
                <w:sz w:val="20"/>
                <w:szCs w:val="20"/>
              </w:rPr>
              <w:t>0%</w:t>
            </w:r>
          </w:p>
        </w:tc>
      </w:tr>
    </w:tbl>
    <w:p w14:paraId="11D34B08" w14:textId="77777777" w:rsidR="00B51828" w:rsidRPr="00775CFC" w:rsidRDefault="00B51828" w:rsidP="002101D2">
      <w:pPr>
        <w:rPr>
          <w:rFonts w:ascii="Arial Narrow" w:hAnsi="Arial Narrow"/>
          <w:sz w:val="18"/>
          <w:szCs w:val="18"/>
        </w:rPr>
      </w:pPr>
      <w:r>
        <w:rPr>
          <w:rFonts w:ascii="Arial Narrow" w:hAnsi="Arial Narrow"/>
          <w:sz w:val="18"/>
          <w:szCs w:val="18"/>
        </w:rPr>
        <w:t xml:space="preserve">Note: Assumes no difference in use of MBS items 73940 and 74996 between tissue pathology and cytology cases. </w:t>
      </w:r>
    </w:p>
    <w:p w14:paraId="71F22D52" w14:textId="77777777" w:rsidR="00B51828" w:rsidRDefault="00B51828" w:rsidP="002101D2"/>
    <w:p w14:paraId="72C1A490" w14:textId="77777777" w:rsidR="00B51828" w:rsidRDefault="00B51828" w:rsidP="00B51828">
      <w:pPr>
        <w:pStyle w:val="Heading3"/>
        <w:numPr>
          <w:ilvl w:val="2"/>
          <w:numId w:val="1"/>
        </w:numPr>
      </w:pPr>
      <w:r>
        <w:lastRenderedPageBreak/>
        <w:t>Summary of the sources of data and assumptions underpinning the financial analysis</w:t>
      </w:r>
    </w:p>
    <w:p w14:paraId="09D3193C" w14:textId="77777777" w:rsidR="00B51828" w:rsidRPr="002512F1" w:rsidRDefault="00B51828" w:rsidP="002101D2">
      <w:r>
        <w:fldChar w:fldCharType="begin"/>
      </w:r>
      <w:r>
        <w:instrText xml:space="preserve"> REF _Ref394589194 \h </w:instrText>
      </w:r>
      <w:r>
        <w:fldChar w:fldCharType="separate"/>
      </w:r>
      <w:r w:rsidR="0044620B">
        <w:t xml:space="preserve">Table </w:t>
      </w:r>
      <w:r w:rsidR="0044620B">
        <w:rPr>
          <w:noProof/>
        </w:rPr>
        <w:t>E.1</w:t>
      </w:r>
      <w:r w:rsidR="0044620B">
        <w:noBreakHyphen/>
      </w:r>
      <w:r w:rsidR="0044620B">
        <w:rPr>
          <w:noProof/>
        </w:rPr>
        <w:t>7</w:t>
      </w:r>
      <w:r>
        <w:fldChar w:fldCharType="end"/>
      </w:r>
      <w:r>
        <w:t xml:space="preserve"> provides a summary of the assumptions and sources of data that contribute to the estimate of financial impact provided in the Assessment Report. </w:t>
      </w:r>
    </w:p>
    <w:p w14:paraId="027BBC16" w14:textId="77777777" w:rsidR="00B51828" w:rsidRDefault="00B51828" w:rsidP="002101D2">
      <w:pPr>
        <w:pStyle w:val="Caption"/>
      </w:pPr>
      <w:bookmarkStart w:id="253" w:name="_Ref394589194"/>
      <w:bookmarkStart w:id="254" w:name="_Toc396211771"/>
      <w:r>
        <w:t xml:space="preserve">Table </w:t>
      </w:r>
      <w:fldSimple w:instr=" STYLEREF 2 \s ">
        <w:r w:rsidR="0044620B">
          <w:rPr>
            <w:noProof/>
          </w:rPr>
          <w:t>E.1</w:t>
        </w:r>
      </w:fldSimple>
      <w:r>
        <w:noBreakHyphen/>
      </w:r>
      <w:fldSimple w:instr=" SEQ Table \* ARABIC \s 2 ">
        <w:r w:rsidR="0044620B">
          <w:rPr>
            <w:noProof/>
          </w:rPr>
          <w:t>7</w:t>
        </w:r>
      </w:fldSimple>
      <w:bookmarkEnd w:id="253"/>
      <w:r>
        <w:tab/>
        <w:t>Key assumptions and data sources used for the financial analysis</w:t>
      </w:r>
      <w:bookmarkEnd w:id="254"/>
    </w:p>
    <w:tbl>
      <w:tblPr>
        <w:tblStyle w:val="TableGrid"/>
        <w:tblW w:w="8296" w:type="dxa"/>
        <w:tblInd w:w="720" w:type="dxa"/>
        <w:tblLayout w:type="fixed"/>
        <w:tblCellMar>
          <w:left w:w="57" w:type="dxa"/>
          <w:right w:w="57" w:type="dxa"/>
        </w:tblCellMar>
        <w:tblLook w:val="04A0" w:firstRow="1" w:lastRow="0" w:firstColumn="1" w:lastColumn="0" w:noHBand="0" w:noVBand="1"/>
        <w:tblCaption w:val="Key assumptions and data sources used for the financial analysis"/>
        <w:tblDescription w:val="A list of the key assumptions that underpin the financial analysis."/>
      </w:tblPr>
      <w:tblGrid>
        <w:gridCol w:w="2677"/>
        <w:gridCol w:w="5619"/>
      </w:tblGrid>
      <w:tr w:rsidR="00B51828" w14:paraId="08A64666" w14:textId="77777777" w:rsidTr="00E61184">
        <w:trPr>
          <w:trHeight w:val="210"/>
          <w:tblHeader/>
        </w:trPr>
        <w:tc>
          <w:tcPr>
            <w:tcW w:w="2677" w:type="dxa"/>
          </w:tcPr>
          <w:p w14:paraId="5FEB4EB0" w14:textId="77777777" w:rsidR="00B51828" w:rsidRDefault="00B51828" w:rsidP="002101D2">
            <w:pPr>
              <w:pStyle w:val="Tabletextboldleft"/>
              <w:keepNext w:val="0"/>
              <w:spacing w:before="20" w:after="20"/>
            </w:pPr>
            <w:r>
              <w:t>Input</w:t>
            </w:r>
          </w:p>
        </w:tc>
        <w:tc>
          <w:tcPr>
            <w:tcW w:w="5619" w:type="dxa"/>
          </w:tcPr>
          <w:p w14:paraId="6136A6B5" w14:textId="77777777" w:rsidR="00B51828" w:rsidRDefault="00B51828" w:rsidP="002101D2">
            <w:pPr>
              <w:pStyle w:val="Tabletextboldleft"/>
              <w:keepNext w:val="0"/>
              <w:spacing w:before="20" w:after="20"/>
            </w:pPr>
            <w:r>
              <w:t>Assumption(s) and source of data</w:t>
            </w:r>
          </w:p>
        </w:tc>
      </w:tr>
      <w:tr w:rsidR="00B51828" w:rsidRPr="00701236" w14:paraId="56DE5E66" w14:textId="77777777" w:rsidTr="00E61184">
        <w:trPr>
          <w:trHeight w:val="84"/>
        </w:trPr>
        <w:tc>
          <w:tcPr>
            <w:tcW w:w="2677" w:type="dxa"/>
          </w:tcPr>
          <w:p w14:paraId="6DE765F5" w14:textId="77777777" w:rsidR="00B51828" w:rsidRPr="00026BBF" w:rsidRDefault="00B51828" w:rsidP="002101D2">
            <w:pPr>
              <w:pStyle w:val="Tabletextboldleft"/>
              <w:keepNext w:val="0"/>
              <w:spacing w:before="20" w:after="20"/>
              <w:rPr>
                <w:b w:val="0"/>
              </w:rPr>
            </w:pPr>
            <w:r w:rsidRPr="00026BBF">
              <w:rPr>
                <w:b w:val="0"/>
              </w:rPr>
              <w:t xml:space="preserve">Future utilisation of </w:t>
            </w:r>
            <w:r>
              <w:rPr>
                <w:b w:val="0"/>
              </w:rPr>
              <w:t>‘</w:t>
            </w:r>
            <w:r w:rsidRPr="00026BBF">
              <w:rPr>
                <w:b w:val="0"/>
              </w:rPr>
              <w:t>core</w:t>
            </w:r>
            <w:r>
              <w:rPr>
                <w:b w:val="0"/>
              </w:rPr>
              <w:t>’</w:t>
            </w:r>
            <w:r w:rsidRPr="00026BBF">
              <w:rPr>
                <w:b w:val="0"/>
              </w:rPr>
              <w:t xml:space="preserve"> MBS items for initial pathology opinion</w:t>
            </w:r>
            <w:r>
              <w:rPr>
                <w:b w:val="0"/>
              </w:rPr>
              <w:t>s</w:t>
            </w:r>
          </w:p>
        </w:tc>
        <w:tc>
          <w:tcPr>
            <w:tcW w:w="5619" w:type="dxa"/>
          </w:tcPr>
          <w:p w14:paraId="613F5CF7" w14:textId="77777777" w:rsidR="00B51828" w:rsidRPr="00026BBF" w:rsidRDefault="00B51828" w:rsidP="002101D2">
            <w:pPr>
              <w:pStyle w:val="Tabletextboldleft"/>
              <w:keepNext w:val="0"/>
              <w:spacing w:before="20" w:after="20"/>
              <w:rPr>
                <w:b w:val="0"/>
              </w:rPr>
            </w:pPr>
            <w:r w:rsidRPr="00026BBF">
              <w:rPr>
                <w:b w:val="0"/>
              </w:rPr>
              <w:t xml:space="preserve">Assume </w:t>
            </w:r>
            <w:r>
              <w:rPr>
                <w:b w:val="0"/>
              </w:rPr>
              <w:t xml:space="preserve">that </w:t>
            </w:r>
            <w:r w:rsidRPr="00026BBF">
              <w:rPr>
                <w:b w:val="0"/>
              </w:rPr>
              <w:t>future utilisation follow</w:t>
            </w:r>
            <w:r>
              <w:rPr>
                <w:b w:val="0"/>
              </w:rPr>
              <w:t>s</w:t>
            </w:r>
            <w:r w:rsidRPr="00026BBF">
              <w:rPr>
                <w:b w:val="0"/>
              </w:rPr>
              <w:t xml:space="preserve"> recent trends. Projections </w:t>
            </w:r>
            <w:r>
              <w:rPr>
                <w:b w:val="0"/>
              </w:rPr>
              <w:t>a</w:t>
            </w:r>
            <w:r w:rsidRPr="00026BBF">
              <w:rPr>
                <w:b w:val="0"/>
              </w:rPr>
              <w:t>re calculated using</w:t>
            </w:r>
            <w:r>
              <w:rPr>
                <w:b w:val="0"/>
              </w:rPr>
              <w:t xml:space="preserve"> simple linear regression of</w:t>
            </w:r>
            <w:r w:rsidRPr="00026BBF">
              <w:rPr>
                <w:b w:val="0"/>
              </w:rPr>
              <w:t xml:space="preserve"> historical MBS data from 2008-09 to 2012-13</w:t>
            </w:r>
            <w:r>
              <w:rPr>
                <w:b w:val="0"/>
              </w:rPr>
              <w:t xml:space="preserve">. The relevant MBS items are: MBS items </w:t>
            </w:r>
            <w:r w:rsidRPr="00026BBF">
              <w:rPr>
                <w:b w:val="0"/>
              </w:rPr>
              <w:t xml:space="preserve">65084-87; 72813-38; 73043-57; 73062-63; </w:t>
            </w:r>
            <w:r>
              <w:rPr>
                <w:b w:val="0"/>
              </w:rPr>
              <w:t xml:space="preserve">and </w:t>
            </w:r>
            <w:r w:rsidRPr="00026BBF">
              <w:rPr>
                <w:b w:val="0"/>
              </w:rPr>
              <w:t>73066-67</w:t>
            </w:r>
            <w:r>
              <w:rPr>
                <w:b w:val="0"/>
              </w:rPr>
              <w:t>.</w:t>
            </w:r>
            <w:r w:rsidRPr="00026BBF">
              <w:rPr>
                <w:b w:val="0"/>
              </w:rPr>
              <w:t xml:space="preserve">  </w:t>
            </w:r>
          </w:p>
        </w:tc>
      </w:tr>
      <w:tr w:rsidR="00B51828" w:rsidRPr="00A75B17" w14:paraId="4233D3D2" w14:textId="77777777" w:rsidTr="00E61184">
        <w:trPr>
          <w:trHeight w:val="210"/>
        </w:trPr>
        <w:tc>
          <w:tcPr>
            <w:tcW w:w="2677" w:type="dxa"/>
          </w:tcPr>
          <w:p w14:paraId="2BD853C3" w14:textId="77777777" w:rsidR="00B51828" w:rsidRPr="00026BBF" w:rsidRDefault="00B51828" w:rsidP="002101D2">
            <w:pPr>
              <w:pStyle w:val="Tabletextboldleft"/>
              <w:keepNext w:val="0"/>
              <w:spacing w:before="20" w:after="20"/>
              <w:rPr>
                <w:b w:val="0"/>
              </w:rPr>
            </w:pPr>
            <w:r w:rsidRPr="00026BBF">
              <w:rPr>
                <w:b w:val="0"/>
              </w:rPr>
              <w:t>Proportion of initial pathology opinions referred for second, expert opinion</w:t>
            </w:r>
          </w:p>
        </w:tc>
        <w:tc>
          <w:tcPr>
            <w:tcW w:w="5619" w:type="dxa"/>
          </w:tcPr>
          <w:p w14:paraId="2512181D" w14:textId="77777777" w:rsidR="00B51828" w:rsidRPr="00026BBF" w:rsidRDefault="00B51828" w:rsidP="002101D2">
            <w:pPr>
              <w:spacing w:before="20" w:after="20"/>
              <w:ind w:left="0"/>
              <w:rPr>
                <w:rFonts w:ascii="Arial Narrow" w:hAnsi="Arial Narrow"/>
                <w:sz w:val="20"/>
                <w:szCs w:val="20"/>
              </w:rPr>
            </w:pPr>
            <w:r w:rsidRPr="00026BBF">
              <w:rPr>
                <w:rFonts w:ascii="Arial Narrow" w:hAnsi="Arial Narrow"/>
                <w:sz w:val="20"/>
                <w:szCs w:val="20"/>
              </w:rPr>
              <w:t xml:space="preserve">Mean estimates sourced from </w:t>
            </w:r>
            <w:r>
              <w:rPr>
                <w:rFonts w:ascii="Arial Narrow" w:hAnsi="Arial Narrow"/>
                <w:sz w:val="20"/>
                <w:szCs w:val="20"/>
              </w:rPr>
              <w:t>E</w:t>
            </w:r>
            <w:r w:rsidRPr="00026BBF">
              <w:rPr>
                <w:rFonts w:ascii="Arial Narrow" w:hAnsi="Arial Narrow"/>
                <w:sz w:val="20"/>
                <w:szCs w:val="20"/>
              </w:rPr>
              <w:t xml:space="preserve">xpert </w:t>
            </w:r>
            <w:r>
              <w:rPr>
                <w:rFonts w:ascii="Arial Narrow" w:hAnsi="Arial Narrow"/>
                <w:sz w:val="20"/>
                <w:szCs w:val="20"/>
              </w:rPr>
              <w:t>O</w:t>
            </w:r>
            <w:r w:rsidRPr="00026BBF">
              <w:rPr>
                <w:rFonts w:ascii="Arial Narrow" w:hAnsi="Arial Narrow"/>
                <w:sz w:val="20"/>
                <w:szCs w:val="20"/>
              </w:rPr>
              <w:t xml:space="preserve">pinion </w:t>
            </w:r>
            <w:r>
              <w:rPr>
                <w:rFonts w:ascii="Arial Narrow" w:hAnsi="Arial Narrow"/>
                <w:sz w:val="20"/>
                <w:szCs w:val="20"/>
              </w:rPr>
              <w:t>S</w:t>
            </w:r>
            <w:r w:rsidRPr="00026BBF">
              <w:rPr>
                <w:rFonts w:ascii="Arial Narrow" w:hAnsi="Arial Narrow"/>
                <w:sz w:val="20"/>
                <w:szCs w:val="20"/>
              </w:rPr>
              <w:t xml:space="preserve">urvey (see </w:t>
            </w:r>
            <w:r w:rsidRPr="00026BBF">
              <w:rPr>
                <w:rFonts w:ascii="Arial Narrow" w:hAnsi="Arial Narrow"/>
                <w:sz w:val="20"/>
                <w:szCs w:val="20"/>
              </w:rPr>
              <w:fldChar w:fldCharType="begin"/>
            </w:r>
            <w:r w:rsidRPr="00026BBF">
              <w:rPr>
                <w:rFonts w:ascii="Arial Narrow" w:hAnsi="Arial Narrow"/>
                <w:sz w:val="20"/>
                <w:szCs w:val="20"/>
              </w:rPr>
              <w:instrText xml:space="preserve"> REF _Ref394406621 \w \h </w:instrText>
            </w:r>
            <w:r w:rsidRPr="00026BBF">
              <w:rPr>
                <w:rFonts w:ascii="Arial Narrow" w:hAnsi="Arial Narrow"/>
                <w:sz w:val="20"/>
                <w:szCs w:val="20"/>
              </w:rPr>
            </w:r>
            <w:r w:rsidRPr="00026BBF">
              <w:rPr>
                <w:rFonts w:ascii="Arial Narrow" w:hAnsi="Arial Narrow"/>
                <w:sz w:val="20"/>
                <w:szCs w:val="20"/>
              </w:rPr>
              <w:fldChar w:fldCharType="separate"/>
            </w:r>
            <w:r w:rsidR="0044620B">
              <w:rPr>
                <w:rFonts w:ascii="Arial Narrow" w:hAnsi="Arial Narrow"/>
                <w:sz w:val="20"/>
                <w:szCs w:val="20"/>
              </w:rPr>
              <w:t>Appendix 1</w:t>
            </w:r>
            <w:r w:rsidRPr="00026BBF">
              <w:rPr>
                <w:rFonts w:ascii="Arial Narrow" w:hAnsi="Arial Narrow"/>
                <w:sz w:val="20"/>
                <w:szCs w:val="20"/>
              </w:rPr>
              <w:fldChar w:fldCharType="end"/>
            </w:r>
            <w:r w:rsidRPr="00026BBF">
              <w:rPr>
                <w:rFonts w:ascii="Arial Narrow" w:hAnsi="Arial Narrow"/>
                <w:sz w:val="20"/>
                <w:szCs w:val="20"/>
              </w:rPr>
              <w:t xml:space="preserve">). Survey respondents were asked to base their </w:t>
            </w:r>
            <w:r>
              <w:rPr>
                <w:rFonts w:ascii="Arial Narrow" w:hAnsi="Arial Narrow"/>
                <w:sz w:val="20"/>
                <w:szCs w:val="20"/>
              </w:rPr>
              <w:t>estimate on the proposed conditions for MBS-</w:t>
            </w:r>
            <w:r w:rsidRPr="00026BBF">
              <w:rPr>
                <w:rFonts w:ascii="Arial Narrow" w:hAnsi="Arial Narrow"/>
                <w:sz w:val="20"/>
                <w:szCs w:val="20"/>
              </w:rPr>
              <w:t>funded second, expert opinion</w:t>
            </w:r>
            <w:r>
              <w:rPr>
                <w:rFonts w:ascii="Arial Narrow" w:hAnsi="Arial Narrow"/>
                <w:sz w:val="20"/>
                <w:szCs w:val="20"/>
              </w:rPr>
              <w:t>s, as</w:t>
            </w:r>
            <w:r w:rsidRPr="00026BBF">
              <w:rPr>
                <w:rFonts w:ascii="Arial Narrow" w:hAnsi="Arial Narrow"/>
                <w:sz w:val="20"/>
                <w:szCs w:val="20"/>
              </w:rPr>
              <w:t xml:space="preserve"> specified in Section </w:t>
            </w:r>
            <w:r w:rsidRPr="00026BBF">
              <w:rPr>
                <w:rFonts w:ascii="Arial Narrow" w:hAnsi="Arial Narrow"/>
                <w:sz w:val="20"/>
                <w:szCs w:val="20"/>
              </w:rPr>
              <w:fldChar w:fldCharType="begin"/>
            </w:r>
            <w:r w:rsidRPr="00026BBF">
              <w:rPr>
                <w:rFonts w:ascii="Arial Narrow" w:hAnsi="Arial Narrow"/>
                <w:sz w:val="20"/>
                <w:szCs w:val="20"/>
              </w:rPr>
              <w:instrText xml:space="preserve"> REF _Ref393786125 \w \h </w:instrText>
            </w:r>
            <w:r w:rsidRPr="00026BBF">
              <w:rPr>
                <w:rFonts w:ascii="Arial Narrow" w:hAnsi="Arial Narrow"/>
                <w:sz w:val="20"/>
                <w:szCs w:val="20"/>
              </w:rPr>
            </w:r>
            <w:r w:rsidRPr="00026BBF">
              <w:rPr>
                <w:rFonts w:ascii="Arial Narrow" w:hAnsi="Arial Narrow"/>
                <w:sz w:val="20"/>
                <w:szCs w:val="20"/>
              </w:rPr>
              <w:fldChar w:fldCharType="separate"/>
            </w:r>
            <w:r w:rsidR="0044620B">
              <w:rPr>
                <w:rFonts w:ascii="Arial Narrow" w:hAnsi="Arial Narrow"/>
                <w:sz w:val="20"/>
                <w:szCs w:val="20"/>
              </w:rPr>
              <w:t>A.2</w:t>
            </w:r>
            <w:r w:rsidRPr="00026BBF">
              <w:rPr>
                <w:rFonts w:ascii="Arial Narrow" w:hAnsi="Arial Narrow"/>
                <w:sz w:val="20"/>
                <w:szCs w:val="20"/>
              </w:rPr>
              <w:fldChar w:fldCharType="end"/>
            </w:r>
            <w:r w:rsidRPr="00026BBF">
              <w:rPr>
                <w:rFonts w:ascii="Arial Narrow" w:hAnsi="Arial Narrow"/>
                <w:sz w:val="20"/>
                <w:szCs w:val="20"/>
              </w:rPr>
              <w:t xml:space="preserve">. </w:t>
            </w:r>
          </w:p>
        </w:tc>
      </w:tr>
      <w:tr w:rsidR="00B51828" w:rsidRPr="00A75B17" w14:paraId="7CB18270" w14:textId="77777777" w:rsidTr="00E61184">
        <w:trPr>
          <w:trHeight w:val="210"/>
        </w:trPr>
        <w:tc>
          <w:tcPr>
            <w:tcW w:w="2677" w:type="dxa"/>
          </w:tcPr>
          <w:p w14:paraId="5951FD79" w14:textId="77777777" w:rsidR="00B51828" w:rsidRPr="00026BBF" w:rsidRDefault="00B51828" w:rsidP="002101D2">
            <w:pPr>
              <w:pStyle w:val="Tabletextboldleft"/>
              <w:keepNext w:val="0"/>
              <w:spacing w:before="20" w:after="20"/>
              <w:rPr>
                <w:b w:val="0"/>
              </w:rPr>
            </w:pPr>
            <w:r w:rsidRPr="00026BBF">
              <w:rPr>
                <w:b w:val="0"/>
              </w:rPr>
              <w:t xml:space="preserve">Proportion of second, expert opinions that would be </w:t>
            </w:r>
            <w:r>
              <w:rPr>
                <w:b w:val="0"/>
              </w:rPr>
              <w:t>‘</w:t>
            </w:r>
            <w:r w:rsidRPr="00026BBF">
              <w:rPr>
                <w:b w:val="0"/>
              </w:rPr>
              <w:t>complex</w:t>
            </w:r>
            <w:r>
              <w:rPr>
                <w:b w:val="0"/>
              </w:rPr>
              <w:t>’</w:t>
            </w:r>
            <w:r w:rsidRPr="00026BBF">
              <w:rPr>
                <w:b w:val="0"/>
              </w:rPr>
              <w:t xml:space="preserve"> and </w:t>
            </w:r>
            <w:r>
              <w:rPr>
                <w:b w:val="0"/>
              </w:rPr>
              <w:t>‘</w:t>
            </w:r>
            <w:r w:rsidRPr="00026BBF">
              <w:rPr>
                <w:b w:val="0"/>
              </w:rPr>
              <w:t>non-complex</w:t>
            </w:r>
            <w:r>
              <w:rPr>
                <w:b w:val="0"/>
              </w:rPr>
              <w:t>’</w:t>
            </w:r>
          </w:p>
        </w:tc>
        <w:tc>
          <w:tcPr>
            <w:tcW w:w="5619" w:type="dxa"/>
          </w:tcPr>
          <w:p w14:paraId="3975F129" w14:textId="77777777" w:rsidR="00B51828" w:rsidRPr="00026BBF" w:rsidRDefault="00B51828" w:rsidP="002101D2">
            <w:pPr>
              <w:spacing w:before="20" w:after="20"/>
              <w:ind w:left="0"/>
              <w:rPr>
                <w:rFonts w:ascii="Arial Narrow" w:hAnsi="Arial Narrow"/>
                <w:sz w:val="20"/>
                <w:szCs w:val="20"/>
              </w:rPr>
            </w:pPr>
            <w:r w:rsidRPr="00026BBF">
              <w:rPr>
                <w:rFonts w:ascii="Arial Narrow" w:hAnsi="Arial Narrow"/>
                <w:sz w:val="20"/>
                <w:szCs w:val="20"/>
              </w:rPr>
              <w:t xml:space="preserve">Mean estimates </w:t>
            </w:r>
            <w:r>
              <w:rPr>
                <w:rFonts w:ascii="Arial Narrow" w:hAnsi="Arial Narrow"/>
                <w:sz w:val="20"/>
                <w:szCs w:val="20"/>
              </w:rPr>
              <w:t>sourced from Expert Opinion Survey</w:t>
            </w:r>
            <w:r w:rsidRPr="00026BBF">
              <w:rPr>
                <w:rFonts w:ascii="Arial Narrow" w:hAnsi="Arial Narrow"/>
                <w:sz w:val="20"/>
                <w:szCs w:val="20"/>
              </w:rPr>
              <w:t xml:space="preserve"> (see </w:t>
            </w:r>
            <w:r w:rsidRPr="00026BBF">
              <w:rPr>
                <w:rFonts w:ascii="Arial Narrow" w:hAnsi="Arial Narrow"/>
                <w:sz w:val="20"/>
                <w:szCs w:val="20"/>
              </w:rPr>
              <w:fldChar w:fldCharType="begin"/>
            </w:r>
            <w:r w:rsidRPr="00026BBF">
              <w:rPr>
                <w:rFonts w:ascii="Arial Narrow" w:hAnsi="Arial Narrow"/>
                <w:sz w:val="20"/>
                <w:szCs w:val="20"/>
              </w:rPr>
              <w:instrText xml:space="preserve"> REF _Ref394406621 \w \h </w:instrText>
            </w:r>
            <w:r w:rsidRPr="00026BBF">
              <w:rPr>
                <w:rFonts w:ascii="Arial Narrow" w:hAnsi="Arial Narrow"/>
                <w:sz w:val="20"/>
                <w:szCs w:val="20"/>
              </w:rPr>
            </w:r>
            <w:r w:rsidRPr="00026BBF">
              <w:rPr>
                <w:rFonts w:ascii="Arial Narrow" w:hAnsi="Arial Narrow"/>
                <w:sz w:val="20"/>
                <w:szCs w:val="20"/>
              </w:rPr>
              <w:fldChar w:fldCharType="separate"/>
            </w:r>
            <w:r w:rsidR="0044620B">
              <w:rPr>
                <w:rFonts w:ascii="Arial Narrow" w:hAnsi="Arial Narrow"/>
                <w:sz w:val="20"/>
                <w:szCs w:val="20"/>
              </w:rPr>
              <w:t>Appendix 1</w:t>
            </w:r>
            <w:r w:rsidRPr="00026BBF">
              <w:rPr>
                <w:rFonts w:ascii="Arial Narrow" w:hAnsi="Arial Narrow"/>
                <w:sz w:val="20"/>
                <w:szCs w:val="20"/>
              </w:rPr>
              <w:fldChar w:fldCharType="end"/>
            </w:r>
            <w:r>
              <w:rPr>
                <w:rFonts w:ascii="Arial Narrow" w:hAnsi="Arial Narrow"/>
                <w:sz w:val="20"/>
                <w:szCs w:val="20"/>
              </w:rPr>
              <w:t>).</w:t>
            </w:r>
          </w:p>
        </w:tc>
      </w:tr>
      <w:tr w:rsidR="00B51828" w:rsidRPr="00A75B17" w14:paraId="5DD2BCDE" w14:textId="77777777" w:rsidTr="00E61184">
        <w:trPr>
          <w:trHeight w:val="210"/>
        </w:trPr>
        <w:tc>
          <w:tcPr>
            <w:tcW w:w="2677" w:type="dxa"/>
          </w:tcPr>
          <w:p w14:paraId="40E60D01" w14:textId="77777777" w:rsidR="00B51828" w:rsidRPr="00026BBF" w:rsidRDefault="00B51828" w:rsidP="002101D2">
            <w:pPr>
              <w:pStyle w:val="Tabletextboldleft"/>
              <w:keepNext w:val="0"/>
              <w:spacing w:before="20" w:after="20"/>
              <w:rPr>
                <w:b w:val="0"/>
              </w:rPr>
            </w:pPr>
            <w:r>
              <w:rPr>
                <w:b w:val="0"/>
              </w:rPr>
              <w:t>Change in utilisation</w:t>
            </w:r>
            <w:r w:rsidRPr="00026BBF">
              <w:rPr>
                <w:b w:val="0"/>
              </w:rPr>
              <w:t xml:space="preserve"> of ancillary tests</w:t>
            </w:r>
            <w:r>
              <w:rPr>
                <w:b w:val="0"/>
              </w:rPr>
              <w:t xml:space="preserve"> associated with second, expert opinions</w:t>
            </w:r>
          </w:p>
        </w:tc>
        <w:tc>
          <w:tcPr>
            <w:tcW w:w="5619" w:type="dxa"/>
          </w:tcPr>
          <w:p w14:paraId="548DC531" w14:textId="77777777" w:rsidR="00B51828" w:rsidRPr="00026BBF" w:rsidRDefault="00B51828" w:rsidP="002101D2">
            <w:pPr>
              <w:spacing w:before="20" w:after="20"/>
              <w:ind w:left="0"/>
              <w:rPr>
                <w:rFonts w:ascii="Arial Narrow" w:hAnsi="Arial Narrow"/>
                <w:sz w:val="20"/>
                <w:szCs w:val="20"/>
              </w:rPr>
            </w:pPr>
            <w:r>
              <w:rPr>
                <w:rFonts w:ascii="Arial Narrow" w:hAnsi="Arial Narrow"/>
                <w:sz w:val="20"/>
                <w:szCs w:val="20"/>
              </w:rPr>
              <w:t>Assume that the use of ancillary tests may vary between ‘complex’ and ‘non-complex’ expert opinions. Mean e</w:t>
            </w:r>
            <w:r w:rsidRPr="00026BBF">
              <w:rPr>
                <w:rFonts w:ascii="Arial Narrow" w:hAnsi="Arial Narrow"/>
                <w:sz w:val="20"/>
                <w:szCs w:val="20"/>
              </w:rPr>
              <w:t>stimates</w:t>
            </w:r>
            <w:r>
              <w:rPr>
                <w:rFonts w:ascii="Arial Narrow" w:hAnsi="Arial Narrow"/>
                <w:sz w:val="20"/>
                <w:szCs w:val="20"/>
              </w:rPr>
              <w:t xml:space="preserve"> for both ‘complex’ and ‘non-complex’ second, expert opinions</w:t>
            </w:r>
            <w:r w:rsidRPr="00026BBF">
              <w:rPr>
                <w:rFonts w:ascii="Arial Narrow" w:hAnsi="Arial Narrow"/>
                <w:sz w:val="20"/>
                <w:szCs w:val="20"/>
              </w:rPr>
              <w:t xml:space="preserve"> </w:t>
            </w:r>
            <w:r>
              <w:rPr>
                <w:rFonts w:ascii="Arial Narrow" w:hAnsi="Arial Narrow"/>
                <w:sz w:val="20"/>
                <w:szCs w:val="20"/>
              </w:rPr>
              <w:t>were</w:t>
            </w:r>
            <w:r w:rsidRPr="00026BBF">
              <w:rPr>
                <w:rFonts w:ascii="Arial Narrow" w:hAnsi="Arial Narrow"/>
                <w:sz w:val="20"/>
                <w:szCs w:val="20"/>
              </w:rPr>
              <w:t xml:space="preserve"> obtained from the </w:t>
            </w:r>
            <w:r>
              <w:rPr>
                <w:rFonts w:ascii="Arial Narrow" w:hAnsi="Arial Narrow"/>
                <w:sz w:val="20"/>
                <w:szCs w:val="20"/>
              </w:rPr>
              <w:t>E</w:t>
            </w:r>
            <w:r w:rsidRPr="00026BBF">
              <w:rPr>
                <w:rFonts w:ascii="Arial Narrow" w:hAnsi="Arial Narrow"/>
                <w:sz w:val="20"/>
                <w:szCs w:val="20"/>
              </w:rPr>
              <w:t xml:space="preserve">xpert </w:t>
            </w:r>
            <w:r>
              <w:rPr>
                <w:rFonts w:ascii="Arial Narrow" w:hAnsi="Arial Narrow"/>
                <w:sz w:val="20"/>
                <w:szCs w:val="20"/>
              </w:rPr>
              <w:t>O</w:t>
            </w:r>
            <w:r w:rsidRPr="00026BBF">
              <w:rPr>
                <w:rFonts w:ascii="Arial Narrow" w:hAnsi="Arial Narrow"/>
                <w:sz w:val="20"/>
                <w:szCs w:val="20"/>
              </w:rPr>
              <w:t xml:space="preserve">pinion </w:t>
            </w:r>
            <w:r>
              <w:rPr>
                <w:rFonts w:ascii="Arial Narrow" w:hAnsi="Arial Narrow"/>
                <w:sz w:val="20"/>
                <w:szCs w:val="20"/>
              </w:rPr>
              <w:t>S</w:t>
            </w:r>
            <w:r w:rsidRPr="00026BBF">
              <w:rPr>
                <w:rFonts w:ascii="Arial Narrow" w:hAnsi="Arial Narrow"/>
                <w:sz w:val="20"/>
                <w:szCs w:val="20"/>
              </w:rPr>
              <w:t xml:space="preserve">urvey (see </w:t>
            </w:r>
            <w:r w:rsidRPr="00026BBF">
              <w:rPr>
                <w:rFonts w:ascii="Arial Narrow" w:hAnsi="Arial Narrow"/>
                <w:sz w:val="20"/>
                <w:szCs w:val="20"/>
              </w:rPr>
              <w:fldChar w:fldCharType="begin"/>
            </w:r>
            <w:r w:rsidRPr="00026BBF">
              <w:rPr>
                <w:rFonts w:ascii="Arial Narrow" w:hAnsi="Arial Narrow"/>
                <w:sz w:val="20"/>
                <w:szCs w:val="20"/>
              </w:rPr>
              <w:instrText xml:space="preserve"> REF _Ref394406621 \w \h </w:instrText>
            </w:r>
            <w:r w:rsidRPr="00026BBF">
              <w:rPr>
                <w:rFonts w:ascii="Arial Narrow" w:hAnsi="Arial Narrow"/>
                <w:sz w:val="20"/>
                <w:szCs w:val="20"/>
              </w:rPr>
            </w:r>
            <w:r w:rsidRPr="00026BBF">
              <w:rPr>
                <w:rFonts w:ascii="Arial Narrow" w:hAnsi="Arial Narrow"/>
                <w:sz w:val="20"/>
                <w:szCs w:val="20"/>
              </w:rPr>
              <w:fldChar w:fldCharType="separate"/>
            </w:r>
            <w:r w:rsidR="0044620B">
              <w:rPr>
                <w:rFonts w:ascii="Arial Narrow" w:hAnsi="Arial Narrow"/>
                <w:sz w:val="20"/>
                <w:szCs w:val="20"/>
              </w:rPr>
              <w:t>Appendix 1</w:t>
            </w:r>
            <w:r w:rsidRPr="00026BBF">
              <w:rPr>
                <w:rFonts w:ascii="Arial Narrow" w:hAnsi="Arial Narrow"/>
                <w:sz w:val="20"/>
                <w:szCs w:val="20"/>
              </w:rPr>
              <w:fldChar w:fldCharType="end"/>
            </w:r>
            <w:r w:rsidRPr="00026BBF">
              <w:rPr>
                <w:rFonts w:ascii="Arial Narrow" w:hAnsi="Arial Narrow"/>
                <w:sz w:val="20"/>
                <w:szCs w:val="20"/>
              </w:rPr>
              <w:t xml:space="preserve">). </w:t>
            </w:r>
          </w:p>
        </w:tc>
      </w:tr>
      <w:tr w:rsidR="00B51828" w:rsidRPr="00A75B17" w14:paraId="72930930" w14:textId="77777777" w:rsidTr="00E61184">
        <w:trPr>
          <w:trHeight w:val="210"/>
        </w:trPr>
        <w:tc>
          <w:tcPr>
            <w:tcW w:w="2677" w:type="dxa"/>
          </w:tcPr>
          <w:p w14:paraId="78A48934" w14:textId="77777777" w:rsidR="00B51828" w:rsidRPr="00026BBF" w:rsidRDefault="00B51828" w:rsidP="002101D2">
            <w:pPr>
              <w:pStyle w:val="Tabletextboldleft"/>
              <w:keepNext w:val="0"/>
              <w:spacing w:before="20" w:after="20"/>
              <w:rPr>
                <w:b w:val="0"/>
              </w:rPr>
            </w:pPr>
            <w:r>
              <w:rPr>
                <w:b w:val="0"/>
              </w:rPr>
              <w:t>Change in utilisation</w:t>
            </w:r>
            <w:r w:rsidRPr="00026BBF">
              <w:rPr>
                <w:b w:val="0"/>
              </w:rPr>
              <w:t xml:space="preserve"> of specimen referred fee (MBS item 73940)</w:t>
            </w:r>
          </w:p>
        </w:tc>
        <w:tc>
          <w:tcPr>
            <w:tcW w:w="5619" w:type="dxa"/>
          </w:tcPr>
          <w:p w14:paraId="5B309A0F" w14:textId="77777777" w:rsidR="00B51828" w:rsidRPr="00026BBF" w:rsidRDefault="00B51828" w:rsidP="002101D2">
            <w:pPr>
              <w:spacing w:before="20" w:after="20"/>
              <w:ind w:left="0"/>
              <w:rPr>
                <w:rFonts w:ascii="Arial Narrow" w:hAnsi="Arial Narrow"/>
                <w:sz w:val="20"/>
                <w:szCs w:val="20"/>
              </w:rPr>
            </w:pPr>
            <w:r>
              <w:rPr>
                <w:rFonts w:ascii="Arial Narrow" w:hAnsi="Arial Narrow"/>
                <w:sz w:val="20"/>
                <w:szCs w:val="20"/>
              </w:rPr>
              <w:t>Financial analysis assumes that (i) u</w:t>
            </w:r>
            <w:r w:rsidRPr="00026BBF">
              <w:rPr>
                <w:rFonts w:ascii="Arial Narrow" w:hAnsi="Arial Narrow"/>
                <w:sz w:val="20"/>
                <w:szCs w:val="20"/>
              </w:rPr>
              <w:t>nd</w:t>
            </w:r>
            <w:r>
              <w:rPr>
                <w:rFonts w:ascii="Arial Narrow" w:hAnsi="Arial Narrow"/>
                <w:sz w:val="20"/>
                <w:szCs w:val="20"/>
              </w:rPr>
              <w:t>er current funding arrangements</w:t>
            </w:r>
            <w:r w:rsidRPr="00026BBF">
              <w:rPr>
                <w:rFonts w:ascii="Arial Narrow" w:hAnsi="Arial Narrow"/>
                <w:sz w:val="20"/>
                <w:szCs w:val="20"/>
              </w:rPr>
              <w:t xml:space="preserve"> no specimen referred fees would be charged to the MBS because second, expert opinions are not currently funded on the MBS</w:t>
            </w:r>
            <w:r>
              <w:rPr>
                <w:rFonts w:ascii="Arial Narrow" w:hAnsi="Arial Narrow"/>
                <w:sz w:val="20"/>
                <w:szCs w:val="20"/>
              </w:rPr>
              <w:t>; and (ii) under proposed funding arrangements all cases (100%)</w:t>
            </w:r>
            <w:r w:rsidRPr="00026BBF">
              <w:rPr>
                <w:rFonts w:ascii="Arial Narrow" w:hAnsi="Arial Narrow"/>
                <w:sz w:val="20"/>
                <w:szCs w:val="20"/>
              </w:rPr>
              <w:t xml:space="preserve"> referred for second, expert opinion would result in one additional </w:t>
            </w:r>
            <w:r>
              <w:rPr>
                <w:rFonts w:ascii="Arial Narrow" w:hAnsi="Arial Narrow"/>
                <w:sz w:val="20"/>
                <w:szCs w:val="20"/>
              </w:rPr>
              <w:t xml:space="preserve">use of </w:t>
            </w:r>
            <w:r w:rsidRPr="00026BBF">
              <w:rPr>
                <w:rFonts w:ascii="Arial Narrow" w:hAnsi="Arial Narrow"/>
                <w:sz w:val="20"/>
                <w:szCs w:val="20"/>
              </w:rPr>
              <w:t xml:space="preserve">MBS item 73940. </w:t>
            </w:r>
          </w:p>
        </w:tc>
      </w:tr>
      <w:tr w:rsidR="00B51828" w:rsidRPr="00A75B17" w14:paraId="5D893E1C" w14:textId="77777777" w:rsidTr="00E61184">
        <w:trPr>
          <w:trHeight w:val="210"/>
        </w:trPr>
        <w:tc>
          <w:tcPr>
            <w:tcW w:w="2677" w:type="dxa"/>
          </w:tcPr>
          <w:p w14:paraId="0DD46B2E" w14:textId="77777777" w:rsidR="00B51828" w:rsidRPr="00026BBF" w:rsidRDefault="00B51828" w:rsidP="002101D2">
            <w:pPr>
              <w:pStyle w:val="Tabletextboldleft"/>
              <w:keepNext w:val="0"/>
              <w:spacing w:before="20" w:after="20"/>
              <w:rPr>
                <w:b w:val="0"/>
              </w:rPr>
            </w:pPr>
            <w:r>
              <w:rPr>
                <w:b w:val="0"/>
              </w:rPr>
              <w:t>Change in utilisation</w:t>
            </w:r>
            <w:r w:rsidRPr="00026BBF">
              <w:rPr>
                <w:b w:val="0"/>
              </w:rPr>
              <w:t xml:space="preserve"> of bulk billing incentive (MBS item 74996)</w:t>
            </w:r>
          </w:p>
        </w:tc>
        <w:tc>
          <w:tcPr>
            <w:tcW w:w="5619" w:type="dxa"/>
          </w:tcPr>
          <w:p w14:paraId="29207730" w14:textId="77777777" w:rsidR="00B51828" w:rsidRPr="00026BBF" w:rsidRDefault="00B51828" w:rsidP="002101D2">
            <w:pPr>
              <w:spacing w:before="20" w:after="20"/>
              <w:ind w:left="0"/>
              <w:rPr>
                <w:rFonts w:ascii="Arial Narrow" w:hAnsi="Arial Narrow"/>
                <w:sz w:val="20"/>
                <w:szCs w:val="20"/>
              </w:rPr>
            </w:pPr>
            <w:r>
              <w:rPr>
                <w:rFonts w:ascii="Arial Narrow" w:hAnsi="Arial Narrow"/>
                <w:sz w:val="20"/>
                <w:szCs w:val="20"/>
              </w:rPr>
              <w:t>Financial analysis assumes that (i) u</w:t>
            </w:r>
            <w:r w:rsidRPr="00026BBF">
              <w:rPr>
                <w:rFonts w:ascii="Arial Narrow" w:hAnsi="Arial Narrow"/>
                <w:sz w:val="20"/>
                <w:szCs w:val="20"/>
              </w:rPr>
              <w:t>nd</w:t>
            </w:r>
            <w:r>
              <w:rPr>
                <w:rFonts w:ascii="Arial Narrow" w:hAnsi="Arial Narrow"/>
                <w:sz w:val="20"/>
                <w:szCs w:val="20"/>
              </w:rPr>
              <w:t>er current funding arrangements</w:t>
            </w:r>
            <w:r w:rsidRPr="00026BBF">
              <w:rPr>
                <w:rFonts w:ascii="Arial Narrow" w:hAnsi="Arial Narrow"/>
                <w:sz w:val="20"/>
                <w:szCs w:val="20"/>
              </w:rPr>
              <w:t xml:space="preserve"> no </w:t>
            </w:r>
            <w:r>
              <w:rPr>
                <w:rFonts w:ascii="Arial Narrow" w:hAnsi="Arial Narrow"/>
                <w:sz w:val="20"/>
                <w:szCs w:val="20"/>
              </w:rPr>
              <w:t>bulk billing incentives</w:t>
            </w:r>
            <w:r w:rsidRPr="00026BBF">
              <w:rPr>
                <w:rFonts w:ascii="Arial Narrow" w:hAnsi="Arial Narrow"/>
                <w:sz w:val="20"/>
                <w:szCs w:val="20"/>
              </w:rPr>
              <w:t xml:space="preserve"> would be charged to the MBS because second, expert opinions are not currently funded on the MBS</w:t>
            </w:r>
            <w:r>
              <w:rPr>
                <w:rFonts w:ascii="Arial Narrow" w:hAnsi="Arial Narrow"/>
                <w:sz w:val="20"/>
                <w:szCs w:val="20"/>
              </w:rPr>
              <w:t>; and (ii) under proposed funding arrangements all cases (100%)</w:t>
            </w:r>
            <w:r w:rsidRPr="00026BBF">
              <w:rPr>
                <w:rFonts w:ascii="Arial Narrow" w:hAnsi="Arial Narrow"/>
                <w:sz w:val="20"/>
                <w:szCs w:val="20"/>
              </w:rPr>
              <w:t xml:space="preserve"> referred for second, expert opinion would result in one addi</w:t>
            </w:r>
            <w:r>
              <w:rPr>
                <w:rFonts w:ascii="Arial Narrow" w:hAnsi="Arial Narrow"/>
                <w:sz w:val="20"/>
                <w:szCs w:val="20"/>
              </w:rPr>
              <w:t>tional use of MBS item 74996</w:t>
            </w:r>
            <w:r w:rsidRPr="00026BBF">
              <w:rPr>
                <w:rFonts w:ascii="Arial Narrow" w:hAnsi="Arial Narrow"/>
                <w:sz w:val="20"/>
                <w:szCs w:val="20"/>
              </w:rPr>
              <w:t>.</w:t>
            </w:r>
          </w:p>
        </w:tc>
      </w:tr>
      <w:tr w:rsidR="00B51828" w:rsidRPr="00A75B17" w14:paraId="41C9ECE3" w14:textId="77777777" w:rsidTr="00E61184">
        <w:trPr>
          <w:trHeight w:val="210"/>
        </w:trPr>
        <w:tc>
          <w:tcPr>
            <w:tcW w:w="2677" w:type="dxa"/>
          </w:tcPr>
          <w:p w14:paraId="7520918F" w14:textId="77777777" w:rsidR="00B51828" w:rsidRPr="00026BBF" w:rsidRDefault="00B51828" w:rsidP="002101D2">
            <w:pPr>
              <w:pStyle w:val="Tabletextboldleft"/>
              <w:keepNext w:val="0"/>
              <w:spacing w:before="20" w:after="20"/>
              <w:rPr>
                <w:b w:val="0"/>
              </w:rPr>
            </w:pPr>
            <w:r>
              <w:rPr>
                <w:b w:val="0"/>
              </w:rPr>
              <w:t>Change in utilisation</w:t>
            </w:r>
            <w:r w:rsidRPr="00026BBF">
              <w:rPr>
                <w:b w:val="0"/>
              </w:rPr>
              <w:t xml:space="preserve"> of clinician consultation items (MBS item 23 or 105)</w:t>
            </w:r>
          </w:p>
        </w:tc>
        <w:tc>
          <w:tcPr>
            <w:tcW w:w="5619" w:type="dxa"/>
          </w:tcPr>
          <w:p w14:paraId="7D7D0F89" w14:textId="77777777" w:rsidR="00B51828" w:rsidRPr="00026BBF" w:rsidRDefault="00B51828" w:rsidP="002101D2">
            <w:pPr>
              <w:spacing w:before="20" w:after="20"/>
              <w:ind w:left="0"/>
              <w:rPr>
                <w:rFonts w:ascii="Arial Narrow" w:hAnsi="Arial Narrow"/>
                <w:sz w:val="20"/>
                <w:szCs w:val="20"/>
              </w:rPr>
            </w:pPr>
            <w:r w:rsidRPr="00026BBF">
              <w:rPr>
                <w:rFonts w:ascii="Arial Narrow" w:hAnsi="Arial Narrow"/>
                <w:sz w:val="20"/>
                <w:szCs w:val="20"/>
              </w:rPr>
              <w:t xml:space="preserve">In lieu of data, assume that 0% of referrals for second, expert opinion require </w:t>
            </w:r>
            <w:r>
              <w:rPr>
                <w:rFonts w:ascii="Arial Narrow" w:hAnsi="Arial Narrow"/>
                <w:sz w:val="20"/>
                <w:szCs w:val="20"/>
              </w:rPr>
              <w:t xml:space="preserve">additional </w:t>
            </w:r>
            <w:r w:rsidRPr="00026BBF">
              <w:rPr>
                <w:rFonts w:ascii="Arial Narrow" w:hAnsi="Arial Narrow"/>
                <w:sz w:val="20"/>
                <w:szCs w:val="20"/>
              </w:rPr>
              <w:t xml:space="preserve">consultation between </w:t>
            </w:r>
            <w:r>
              <w:rPr>
                <w:rFonts w:ascii="Arial Narrow" w:hAnsi="Arial Narrow"/>
                <w:sz w:val="20"/>
                <w:szCs w:val="20"/>
              </w:rPr>
              <w:t xml:space="preserve">the referring </w:t>
            </w:r>
            <w:r w:rsidRPr="00026BBF">
              <w:rPr>
                <w:rFonts w:ascii="Arial Narrow" w:hAnsi="Arial Narrow"/>
                <w:sz w:val="20"/>
                <w:szCs w:val="20"/>
              </w:rPr>
              <w:t>clinician and patient</w:t>
            </w:r>
            <w:r>
              <w:rPr>
                <w:rFonts w:ascii="Arial Narrow" w:hAnsi="Arial Narrow"/>
                <w:sz w:val="20"/>
                <w:szCs w:val="20"/>
              </w:rPr>
              <w:t>.</w:t>
            </w:r>
          </w:p>
        </w:tc>
      </w:tr>
      <w:tr w:rsidR="00B51828" w:rsidRPr="00A75B17" w14:paraId="74A82E62" w14:textId="77777777" w:rsidTr="00E61184">
        <w:trPr>
          <w:trHeight w:val="84"/>
        </w:trPr>
        <w:tc>
          <w:tcPr>
            <w:tcW w:w="2677" w:type="dxa"/>
          </w:tcPr>
          <w:p w14:paraId="7A918C84" w14:textId="77777777" w:rsidR="00B51828" w:rsidRPr="005869EB" w:rsidRDefault="00B51828" w:rsidP="002101D2">
            <w:pPr>
              <w:pStyle w:val="Tabletextboldleft"/>
              <w:keepNext w:val="0"/>
              <w:spacing w:before="20" w:after="20"/>
              <w:rPr>
                <w:b w:val="0"/>
              </w:rPr>
            </w:pPr>
            <w:r w:rsidRPr="005869EB">
              <w:rPr>
                <w:b w:val="0"/>
              </w:rPr>
              <w:t>Estimat</w:t>
            </w:r>
            <w:r>
              <w:rPr>
                <w:b w:val="0"/>
              </w:rPr>
              <w:t>es for gynaecological cytology cases</w:t>
            </w:r>
            <w:r w:rsidRPr="005869EB">
              <w:rPr>
                <w:b w:val="0"/>
              </w:rPr>
              <w:t xml:space="preserve"> (initial MBS items 73053, 73055 and 73057) </w:t>
            </w:r>
          </w:p>
        </w:tc>
        <w:tc>
          <w:tcPr>
            <w:tcW w:w="5619" w:type="dxa"/>
          </w:tcPr>
          <w:p w14:paraId="3CC88BCE" w14:textId="77777777" w:rsidR="00B51828" w:rsidRPr="005869EB" w:rsidRDefault="00B51828" w:rsidP="002101D2">
            <w:pPr>
              <w:spacing w:before="20" w:after="20"/>
              <w:ind w:left="0"/>
              <w:rPr>
                <w:rFonts w:ascii="Arial Narrow" w:hAnsi="Arial Narrow"/>
                <w:sz w:val="20"/>
                <w:szCs w:val="20"/>
              </w:rPr>
            </w:pPr>
            <w:r w:rsidRPr="005869EB">
              <w:rPr>
                <w:rFonts w:ascii="Arial Narrow" w:hAnsi="Arial Narrow"/>
                <w:sz w:val="20"/>
                <w:szCs w:val="20"/>
              </w:rPr>
              <w:t xml:space="preserve">In lieu of data, assume that the estimates obtained in the </w:t>
            </w:r>
            <w:r>
              <w:rPr>
                <w:rFonts w:ascii="Arial Narrow" w:hAnsi="Arial Narrow"/>
                <w:sz w:val="20"/>
                <w:szCs w:val="20"/>
              </w:rPr>
              <w:t>E</w:t>
            </w:r>
            <w:r w:rsidRPr="005869EB">
              <w:rPr>
                <w:rFonts w:ascii="Arial Narrow" w:hAnsi="Arial Narrow"/>
                <w:sz w:val="20"/>
                <w:szCs w:val="20"/>
              </w:rPr>
              <w:t xml:space="preserve">xpert </w:t>
            </w:r>
            <w:r>
              <w:rPr>
                <w:rFonts w:ascii="Arial Narrow" w:hAnsi="Arial Narrow"/>
                <w:sz w:val="20"/>
                <w:szCs w:val="20"/>
              </w:rPr>
              <w:t>O</w:t>
            </w:r>
            <w:r w:rsidRPr="005869EB">
              <w:rPr>
                <w:rFonts w:ascii="Arial Narrow" w:hAnsi="Arial Narrow"/>
                <w:sz w:val="20"/>
                <w:szCs w:val="20"/>
              </w:rPr>
              <w:t xml:space="preserve">pinion </w:t>
            </w:r>
            <w:r>
              <w:rPr>
                <w:rFonts w:ascii="Arial Narrow" w:hAnsi="Arial Narrow"/>
                <w:sz w:val="20"/>
                <w:szCs w:val="20"/>
              </w:rPr>
              <w:t>S</w:t>
            </w:r>
            <w:r w:rsidRPr="005869EB">
              <w:rPr>
                <w:rFonts w:ascii="Arial Narrow" w:hAnsi="Arial Narrow"/>
                <w:sz w:val="20"/>
                <w:szCs w:val="20"/>
              </w:rPr>
              <w:t>urvey for non-gynaecological cytology also apply to gynaecological cytology.</w:t>
            </w:r>
            <w:r>
              <w:rPr>
                <w:rFonts w:ascii="Arial Narrow" w:hAnsi="Arial Narrow"/>
                <w:sz w:val="20"/>
                <w:szCs w:val="20"/>
              </w:rPr>
              <w:t xml:space="preserve"> This assumption applies to all estimates (e.g. referral rate, complexity, use of ancillary tests). </w:t>
            </w:r>
          </w:p>
        </w:tc>
      </w:tr>
    </w:tbl>
    <w:p w14:paraId="7308498E" w14:textId="77777777" w:rsidR="00B51828" w:rsidRDefault="00B51828" w:rsidP="002101D2"/>
    <w:p w14:paraId="1FFAB26A" w14:textId="77777777" w:rsidR="00B51828" w:rsidRPr="00A95217" w:rsidRDefault="00B51828" w:rsidP="00B51828">
      <w:pPr>
        <w:pStyle w:val="Heading3"/>
        <w:numPr>
          <w:ilvl w:val="2"/>
          <w:numId w:val="1"/>
        </w:numPr>
      </w:pPr>
      <w:bookmarkStart w:id="255" w:name="_Ref394917702"/>
      <w:r>
        <w:t>Costing assumptions</w:t>
      </w:r>
      <w:bookmarkEnd w:id="255"/>
    </w:p>
    <w:p w14:paraId="6F9B60A6" w14:textId="77777777" w:rsidR="00B51828" w:rsidRDefault="00B51828" w:rsidP="002101D2">
      <w:r>
        <w:fldChar w:fldCharType="begin"/>
      </w:r>
      <w:r>
        <w:instrText xml:space="preserve"> REF _Ref394668656 \h  \* MERGEFORMAT </w:instrText>
      </w:r>
      <w:r>
        <w:fldChar w:fldCharType="separate"/>
      </w:r>
      <w:r w:rsidR="0044620B">
        <w:t>Table E.1</w:t>
      </w:r>
      <w:r w:rsidR="0044620B">
        <w:noBreakHyphen/>
        <w:t>8</w:t>
      </w:r>
      <w:r>
        <w:fldChar w:fldCharType="end"/>
      </w:r>
      <w:r>
        <w:t xml:space="preserve"> summarises the proposed second, expert opinion items and fees that contribute to the estimate of financial impact provided in the Assessment Report. As discussed in Section </w:t>
      </w:r>
      <w:r>
        <w:fldChar w:fldCharType="begin"/>
      </w:r>
      <w:r>
        <w:instrText xml:space="preserve"> REF _Ref394669259 \w \h  \* MERGEFORMAT </w:instrText>
      </w:r>
      <w:r>
        <w:fldChar w:fldCharType="separate"/>
      </w:r>
      <w:r w:rsidR="0044620B">
        <w:t>A.3</w:t>
      </w:r>
      <w:r>
        <w:fldChar w:fldCharType="end"/>
      </w:r>
      <w:r>
        <w:t xml:space="preserve">, the proposed Schedule fees were suggested by the Applicant and were set at a level that is commensurate with the existing fees for initial pathology items on the MBS. </w:t>
      </w:r>
    </w:p>
    <w:p w14:paraId="36D7BFD5" w14:textId="77777777" w:rsidR="00B51828" w:rsidRDefault="00B51828" w:rsidP="002101D2">
      <w:r>
        <w:t xml:space="preserve">The financial analysis assumes that all MBS services undertaken by expert pathologists are bulk-billed using the 85% benefit (as shown in </w:t>
      </w:r>
      <w:r>
        <w:fldChar w:fldCharType="begin"/>
      </w:r>
      <w:r>
        <w:instrText xml:space="preserve"> REF _Ref394666441 \h  \* MERGEFORMAT </w:instrText>
      </w:r>
      <w:r>
        <w:fldChar w:fldCharType="separate"/>
      </w:r>
      <w:r w:rsidR="0044620B">
        <w:t>Table E.1</w:t>
      </w:r>
      <w:r w:rsidR="0044620B">
        <w:noBreakHyphen/>
        <w:t>6</w:t>
      </w:r>
      <w:r>
        <w:fldChar w:fldCharType="end"/>
      </w:r>
      <w:r>
        <w:t xml:space="preserve">). Importantly, it is possible that some patients may receive a second, expert opinion as an inpatient (i.e. patients who have been transferred from regional or rural areas for definitive treatment). Expert opinion services undertaken on public inpatients would be non-reimbursable under Medicare. Private inpatients are not expected to represent a large proportion of </w:t>
      </w:r>
      <w:r>
        <w:lastRenderedPageBreak/>
        <w:t>expert opinion services as patients would not often be admitted for treatment before a definitive diagnosis has been obtained. As such, and for simplicity, the financial estimates assume that 100% of cases are outpatients, bulk-billed using the 85% benefit. Any use of the proposed service for private inpatients would reduce the financial impact to the MBS.</w:t>
      </w:r>
    </w:p>
    <w:p w14:paraId="0DE72E37" w14:textId="77777777" w:rsidR="00B51828" w:rsidRDefault="00B51828" w:rsidP="002101D2">
      <w:r>
        <w:t xml:space="preserve">Finally, for simplicity, the financial analysis assumes that the MBS fees, for both proposed and associated items, do not change over the five-year projection period. The Medicare Safety Net, Extended Medicare Safety Net (EMSN) and EMSN capping are not taken into consideration. </w:t>
      </w:r>
    </w:p>
    <w:p w14:paraId="78E4B3AB" w14:textId="77777777" w:rsidR="00B51828" w:rsidRDefault="00B51828" w:rsidP="002101D2">
      <w:pPr>
        <w:pStyle w:val="Caption"/>
      </w:pPr>
      <w:bookmarkStart w:id="256" w:name="_Ref394668656"/>
      <w:bookmarkStart w:id="257" w:name="_Toc396211772"/>
      <w:r>
        <w:t xml:space="preserve">Table </w:t>
      </w:r>
      <w:fldSimple w:instr=" STYLEREF 2 \s ">
        <w:r w:rsidR="0044620B">
          <w:rPr>
            <w:noProof/>
          </w:rPr>
          <w:t>E.1</w:t>
        </w:r>
      </w:fldSimple>
      <w:r>
        <w:noBreakHyphen/>
      </w:r>
      <w:fldSimple w:instr=" SEQ Table \* ARABIC \s 2 ">
        <w:r w:rsidR="0044620B">
          <w:rPr>
            <w:noProof/>
          </w:rPr>
          <w:t>8</w:t>
        </w:r>
      </w:fldSimple>
      <w:bookmarkEnd w:id="256"/>
      <w:r>
        <w:tab/>
        <w:t>Second, expert opinion items and fees used in the base case financial analysis</w:t>
      </w:r>
      <w:bookmarkEnd w:id="257"/>
    </w:p>
    <w:tbl>
      <w:tblPr>
        <w:tblStyle w:val="TableGrid"/>
        <w:tblW w:w="8206" w:type="dxa"/>
        <w:tblInd w:w="720" w:type="dxa"/>
        <w:tblLayout w:type="fixed"/>
        <w:tblLook w:val="04A0" w:firstRow="1" w:lastRow="0" w:firstColumn="1" w:lastColumn="0" w:noHBand="0" w:noVBand="1"/>
        <w:tblCaption w:val="Second, expert opinion items and fees used in the base case financial analysis"/>
        <w:tblDescription w:val="The MBS Schedule fee and 85% benefit suggested by the Applicant and used in the base case financial analysis."/>
      </w:tblPr>
      <w:tblGrid>
        <w:gridCol w:w="4945"/>
        <w:gridCol w:w="1630"/>
        <w:gridCol w:w="1631"/>
      </w:tblGrid>
      <w:tr w:rsidR="00B51828" w14:paraId="453A47B4" w14:textId="77777777" w:rsidTr="00E61184">
        <w:trPr>
          <w:trHeight w:val="210"/>
          <w:tblHeader/>
        </w:trPr>
        <w:tc>
          <w:tcPr>
            <w:tcW w:w="4945" w:type="dxa"/>
          </w:tcPr>
          <w:p w14:paraId="78CD9018" w14:textId="77777777" w:rsidR="00B51828" w:rsidRDefault="00B51828" w:rsidP="002101D2">
            <w:pPr>
              <w:pStyle w:val="Tabletextboldleft"/>
              <w:spacing w:before="20" w:after="20"/>
            </w:pPr>
          </w:p>
        </w:tc>
        <w:tc>
          <w:tcPr>
            <w:tcW w:w="1630" w:type="dxa"/>
          </w:tcPr>
          <w:p w14:paraId="011DD4FF" w14:textId="77777777" w:rsidR="00B51828" w:rsidRDefault="00B51828" w:rsidP="002101D2">
            <w:pPr>
              <w:pStyle w:val="Tabletextboldleft"/>
              <w:spacing w:before="20" w:after="20"/>
              <w:jc w:val="center"/>
            </w:pPr>
            <w:r>
              <w:t>Proposed Schedule fee</w:t>
            </w:r>
          </w:p>
        </w:tc>
        <w:tc>
          <w:tcPr>
            <w:tcW w:w="1631" w:type="dxa"/>
          </w:tcPr>
          <w:p w14:paraId="7080D9E1" w14:textId="77777777" w:rsidR="00B51828" w:rsidRDefault="00B51828" w:rsidP="002101D2">
            <w:pPr>
              <w:pStyle w:val="Tabletextboldleft"/>
              <w:spacing w:before="20" w:after="20"/>
              <w:jc w:val="center"/>
            </w:pPr>
            <w:r>
              <w:t>Proposed</w:t>
            </w:r>
          </w:p>
          <w:p w14:paraId="1A338321" w14:textId="77777777" w:rsidR="00B51828" w:rsidRDefault="00B51828" w:rsidP="002101D2">
            <w:pPr>
              <w:pStyle w:val="Tabletextboldleft"/>
              <w:spacing w:before="20" w:after="20"/>
              <w:jc w:val="center"/>
            </w:pPr>
            <w:r>
              <w:t>85% benefit</w:t>
            </w:r>
          </w:p>
        </w:tc>
      </w:tr>
      <w:tr w:rsidR="00B51828" w:rsidRPr="00F81D47" w14:paraId="67D1BE33" w14:textId="77777777" w:rsidTr="00E61184">
        <w:trPr>
          <w:trHeight w:val="84"/>
        </w:trPr>
        <w:tc>
          <w:tcPr>
            <w:tcW w:w="4945" w:type="dxa"/>
            <w:shd w:val="clear" w:color="auto" w:fill="D0CECE" w:themeFill="background2" w:themeFillShade="E6"/>
          </w:tcPr>
          <w:p w14:paraId="67DD9F80" w14:textId="77777777" w:rsidR="00B51828" w:rsidRDefault="00B51828" w:rsidP="002101D2">
            <w:pPr>
              <w:pStyle w:val="Tabletextboldleft"/>
              <w:spacing w:before="20" w:after="20"/>
            </w:pPr>
            <w:r w:rsidRPr="00A65DF0">
              <w:t>Proposed funding arrangements</w:t>
            </w:r>
          </w:p>
        </w:tc>
        <w:tc>
          <w:tcPr>
            <w:tcW w:w="1630" w:type="dxa"/>
            <w:shd w:val="clear" w:color="auto" w:fill="D0CECE" w:themeFill="background2" w:themeFillShade="E6"/>
          </w:tcPr>
          <w:p w14:paraId="3C3CECE8" w14:textId="77777777" w:rsidR="00B51828" w:rsidRPr="00F81D47" w:rsidRDefault="00B51828" w:rsidP="002101D2">
            <w:pPr>
              <w:pStyle w:val="Tabletextboldleft"/>
              <w:spacing w:before="20" w:after="20"/>
              <w:jc w:val="center"/>
              <w:rPr>
                <w:b w:val="0"/>
              </w:rPr>
            </w:pPr>
            <w:r>
              <w:rPr>
                <w:b w:val="0"/>
              </w:rPr>
              <w:t>-</w:t>
            </w:r>
          </w:p>
        </w:tc>
        <w:tc>
          <w:tcPr>
            <w:tcW w:w="1631" w:type="dxa"/>
            <w:shd w:val="clear" w:color="auto" w:fill="D0CECE" w:themeFill="background2" w:themeFillShade="E6"/>
          </w:tcPr>
          <w:p w14:paraId="08596058" w14:textId="77777777" w:rsidR="00B51828" w:rsidRPr="00F81D47" w:rsidRDefault="00B51828" w:rsidP="002101D2">
            <w:pPr>
              <w:pStyle w:val="Tabletextboldleft"/>
              <w:spacing w:before="20" w:after="20"/>
              <w:jc w:val="center"/>
              <w:rPr>
                <w:b w:val="0"/>
              </w:rPr>
            </w:pPr>
            <w:r>
              <w:rPr>
                <w:b w:val="0"/>
              </w:rPr>
              <w:t>-</w:t>
            </w:r>
          </w:p>
        </w:tc>
      </w:tr>
      <w:tr w:rsidR="00B51828" w:rsidRPr="00F81D47" w14:paraId="4F7FB8CF" w14:textId="77777777" w:rsidTr="00E61184">
        <w:trPr>
          <w:trHeight w:val="84"/>
        </w:trPr>
        <w:tc>
          <w:tcPr>
            <w:tcW w:w="4945" w:type="dxa"/>
          </w:tcPr>
          <w:p w14:paraId="747A8723" w14:textId="77777777" w:rsidR="00B51828" w:rsidRDefault="00B51828" w:rsidP="002101D2">
            <w:pPr>
              <w:pStyle w:val="Tabletextboldleft"/>
              <w:spacing w:before="20" w:after="20"/>
            </w:pPr>
            <w:r>
              <w:rPr>
                <w:b w:val="0"/>
              </w:rPr>
              <w:t>‘Non-complex’ second, expert opinion</w:t>
            </w:r>
          </w:p>
        </w:tc>
        <w:tc>
          <w:tcPr>
            <w:tcW w:w="1630" w:type="dxa"/>
          </w:tcPr>
          <w:p w14:paraId="1B9F370A" w14:textId="77777777" w:rsidR="00B51828" w:rsidRPr="00F81D47" w:rsidRDefault="00B51828" w:rsidP="002101D2">
            <w:pPr>
              <w:pStyle w:val="Tabletextboldleft"/>
              <w:spacing w:before="20" w:after="20"/>
              <w:jc w:val="center"/>
              <w:rPr>
                <w:b w:val="0"/>
              </w:rPr>
            </w:pPr>
            <w:r>
              <w:rPr>
                <w:b w:val="0"/>
              </w:rPr>
              <w:t>$180.00</w:t>
            </w:r>
          </w:p>
        </w:tc>
        <w:tc>
          <w:tcPr>
            <w:tcW w:w="1631" w:type="dxa"/>
          </w:tcPr>
          <w:p w14:paraId="460F2EB5" w14:textId="77777777" w:rsidR="00B51828" w:rsidRPr="00F81D47" w:rsidRDefault="00B51828" w:rsidP="002101D2">
            <w:pPr>
              <w:pStyle w:val="Tabletextboldleft"/>
              <w:spacing w:before="20" w:after="20"/>
              <w:jc w:val="center"/>
              <w:rPr>
                <w:b w:val="0"/>
              </w:rPr>
            </w:pPr>
            <w:r>
              <w:rPr>
                <w:b w:val="0"/>
              </w:rPr>
              <w:t>$153.00</w:t>
            </w:r>
          </w:p>
        </w:tc>
      </w:tr>
      <w:tr w:rsidR="00B51828" w:rsidRPr="00F81D47" w14:paraId="15804C42" w14:textId="77777777" w:rsidTr="00E61184">
        <w:trPr>
          <w:trHeight w:val="84"/>
        </w:trPr>
        <w:tc>
          <w:tcPr>
            <w:tcW w:w="4945" w:type="dxa"/>
          </w:tcPr>
          <w:p w14:paraId="71E1BBFB" w14:textId="77777777" w:rsidR="00B51828" w:rsidRDefault="00B51828" w:rsidP="002101D2">
            <w:pPr>
              <w:pStyle w:val="Tabletextboldleft"/>
              <w:spacing w:before="20" w:after="20"/>
            </w:pPr>
            <w:r>
              <w:rPr>
                <w:b w:val="0"/>
              </w:rPr>
              <w:t>‘Complex’ second, expert opinion</w:t>
            </w:r>
          </w:p>
        </w:tc>
        <w:tc>
          <w:tcPr>
            <w:tcW w:w="1630" w:type="dxa"/>
          </w:tcPr>
          <w:p w14:paraId="7BF583C4" w14:textId="77777777" w:rsidR="00B51828" w:rsidRPr="00F81D47" w:rsidRDefault="00B51828" w:rsidP="002101D2">
            <w:pPr>
              <w:pStyle w:val="Tabletextboldleft"/>
              <w:spacing w:before="20" w:after="20"/>
              <w:jc w:val="center"/>
              <w:rPr>
                <w:b w:val="0"/>
              </w:rPr>
            </w:pPr>
            <w:r>
              <w:rPr>
                <w:b w:val="0"/>
              </w:rPr>
              <w:t>$370.00</w:t>
            </w:r>
          </w:p>
        </w:tc>
        <w:tc>
          <w:tcPr>
            <w:tcW w:w="1631" w:type="dxa"/>
          </w:tcPr>
          <w:p w14:paraId="14CCF283" w14:textId="77777777" w:rsidR="00B51828" w:rsidRPr="00F81D47" w:rsidRDefault="00B51828" w:rsidP="002101D2">
            <w:pPr>
              <w:pStyle w:val="Tabletextboldleft"/>
              <w:spacing w:before="20" w:after="20"/>
              <w:jc w:val="center"/>
              <w:rPr>
                <w:b w:val="0"/>
              </w:rPr>
            </w:pPr>
            <w:r>
              <w:rPr>
                <w:b w:val="0"/>
              </w:rPr>
              <w:t>$314.50</w:t>
            </w:r>
          </w:p>
        </w:tc>
      </w:tr>
      <w:tr w:rsidR="00B51828" w:rsidRPr="00F81D47" w14:paraId="589E9364" w14:textId="77777777" w:rsidTr="00E61184">
        <w:trPr>
          <w:trHeight w:val="84"/>
        </w:trPr>
        <w:tc>
          <w:tcPr>
            <w:tcW w:w="4945" w:type="dxa"/>
            <w:shd w:val="clear" w:color="auto" w:fill="D0CECE" w:themeFill="background2" w:themeFillShade="E6"/>
          </w:tcPr>
          <w:p w14:paraId="75FA2A15" w14:textId="77777777" w:rsidR="00B51828" w:rsidRDefault="00B51828" w:rsidP="002101D2">
            <w:pPr>
              <w:pStyle w:val="Tabletextboldleft"/>
              <w:spacing w:before="20" w:after="20"/>
            </w:pPr>
            <w:r>
              <w:t>Current funding arrangements</w:t>
            </w:r>
          </w:p>
        </w:tc>
        <w:tc>
          <w:tcPr>
            <w:tcW w:w="1630" w:type="dxa"/>
            <w:shd w:val="clear" w:color="auto" w:fill="D0CECE" w:themeFill="background2" w:themeFillShade="E6"/>
          </w:tcPr>
          <w:p w14:paraId="192D6AFB" w14:textId="77777777" w:rsidR="00B51828" w:rsidRPr="00F81D47" w:rsidRDefault="00B51828" w:rsidP="002101D2">
            <w:pPr>
              <w:pStyle w:val="Tabletextboldleft"/>
              <w:spacing w:before="20" w:after="20"/>
              <w:jc w:val="center"/>
              <w:rPr>
                <w:b w:val="0"/>
              </w:rPr>
            </w:pPr>
            <w:r w:rsidRPr="00F81D47">
              <w:rPr>
                <w:b w:val="0"/>
              </w:rPr>
              <w:t>-</w:t>
            </w:r>
          </w:p>
        </w:tc>
        <w:tc>
          <w:tcPr>
            <w:tcW w:w="1631" w:type="dxa"/>
            <w:shd w:val="clear" w:color="auto" w:fill="D0CECE" w:themeFill="background2" w:themeFillShade="E6"/>
          </w:tcPr>
          <w:p w14:paraId="7E6DE2B1" w14:textId="77777777" w:rsidR="00B51828" w:rsidRPr="00F81D47" w:rsidRDefault="00B51828" w:rsidP="002101D2">
            <w:pPr>
              <w:pStyle w:val="Tabletextboldleft"/>
              <w:spacing w:before="20" w:after="20"/>
              <w:jc w:val="center"/>
              <w:rPr>
                <w:b w:val="0"/>
              </w:rPr>
            </w:pPr>
            <w:r w:rsidRPr="00F81D47">
              <w:rPr>
                <w:b w:val="0"/>
              </w:rPr>
              <w:t>-</w:t>
            </w:r>
          </w:p>
        </w:tc>
      </w:tr>
      <w:tr w:rsidR="00B51828" w:rsidRPr="00A96C59" w14:paraId="2D160571" w14:textId="77777777" w:rsidTr="00E61184">
        <w:trPr>
          <w:trHeight w:val="210"/>
        </w:trPr>
        <w:tc>
          <w:tcPr>
            <w:tcW w:w="4945" w:type="dxa"/>
          </w:tcPr>
          <w:p w14:paraId="56893D2B" w14:textId="77777777" w:rsidR="00B51828" w:rsidRPr="00A96C59" w:rsidRDefault="00B51828" w:rsidP="002101D2">
            <w:pPr>
              <w:pStyle w:val="Tabletextboldleft"/>
              <w:spacing w:before="20" w:after="20"/>
              <w:rPr>
                <w:b w:val="0"/>
              </w:rPr>
            </w:pPr>
            <w:r>
              <w:rPr>
                <w:b w:val="0"/>
              </w:rPr>
              <w:t>‘Non-complex’ second, expert opinion</w:t>
            </w:r>
          </w:p>
        </w:tc>
        <w:tc>
          <w:tcPr>
            <w:tcW w:w="1630" w:type="dxa"/>
          </w:tcPr>
          <w:p w14:paraId="69FC6C4A" w14:textId="77777777" w:rsidR="00B51828" w:rsidRPr="00A96C59" w:rsidRDefault="00B51828" w:rsidP="002101D2">
            <w:pPr>
              <w:pStyle w:val="Tabletextboldleft"/>
              <w:spacing w:before="20" w:after="20"/>
              <w:jc w:val="center"/>
              <w:rPr>
                <w:b w:val="0"/>
              </w:rPr>
            </w:pPr>
            <w:r>
              <w:rPr>
                <w:b w:val="0"/>
              </w:rPr>
              <w:t>$0.00</w:t>
            </w:r>
          </w:p>
        </w:tc>
        <w:tc>
          <w:tcPr>
            <w:tcW w:w="1631" w:type="dxa"/>
          </w:tcPr>
          <w:p w14:paraId="13D352A3" w14:textId="77777777" w:rsidR="00B51828" w:rsidRPr="00A96C59" w:rsidRDefault="00B51828" w:rsidP="002101D2">
            <w:pPr>
              <w:pStyle w:val="Tabletextboldleft"/>
              <w:spacing w:before="20" w:after="20"/>
              <w:jc w:val="center"/>
              <w:rPr>
                <w:b w:val="0"/>
              </w:rPr>
            </w:pPr>
            <w:r>
              <w:rPr>
                <w:b w:val="0"/>
              </w:rPr>
              <w:t>$0.00</w:t>
            </w:r>
          </w:p>
        </w:tc>
      </w:tr>
      <w:tr w:rsidR="00B51828" w:rsidRPr="00A96C59" w14:paraId="459276EF" w14:textId="77777777" w:rsidTr="00E61184">
        <w:trPr>
          <w:trHeight w:val="210"/>
        </w:trPr>
        <w:tc>
          <w:tcPr>
            <w:tcW w:w="4945" w:type="dxa"/>
          </w:tcPr>
          <w:p w14:paraId="40DB8BCE" w14:textId="77777777" w:rsidR="00B51828" w:rsidRPr="00A96C59" w:rsidRDefault="00B51828" w:rsidP="002101D2">
            <w:pPr>
              <w:pStyle w:val="Tabletextboldleft"/>
              <w:spacing w:before="20" w:after="20"/>
              <w:rPr>
                <w:b w:val="0"/>
              </w:rPr>
            </w:pPr>
            <w:r>
              <w:rPr>
                <w:b w:val="0"/>
              </w:rPr>
              <w:t>‘Complex’ second, expert opinion</w:t>
            </w:r>
          </w:p>
        </w:tc>
        <w:tc>
          <w:tcPr>
            <w:tcW w:w="1630" w:type="dxa"/>
          </w:tcPr>
          <w:p w14:paraId="418F29D0" w14:textId="77777777" w:rsidR="00B51828" w:rsidRPr="00A96C59" w:rsidRDefault="00B51828" w:rsidP="002101D2">
            <w:pPr>
              <w:pStyle w:val="Tabletextboldleft"/>
              <w:spacing w:before="20" w:after="20"/>
              <w:jc w:val="center"/>
              <w:rPr>
                <w:b w:val="0"/>
              </w:rPr>
            </w:pPr>
            <w:r>
              <w:rPr>
                <w:b w:val="0"/>
              </w:rPr>
              <w:t>$0.00</w:t>
            </w:r>
          </w:p>
        </w:tc>
        <w:tc>
          <w:tcPr>
            <w:tcW w:w="1631" w:type="dxa"/>
          </w:tcPr>
          <w:p w14:paraId="2C43F172" w14:textId="77777777" w:rsidR="00B51828" w:rsidRPr="00A96C59" w:rsidRDefault="00B51828" w:rsidP="002101D2">
            <w:pPr>
              <w:pStyle w:val="Tabletextboldleft"/>
              <w:spacing w:before="20" w:after="20"/>
              <w:jc w:val="center"/>
              <w:rPr>
                <w:b w:val="0"/>
              </w:rPr>
            </w:pPr>
            <w:r>
              <w:rPr>
                <w:b w:val="0"/>
              </w:rPr>
              <w:t>$0.00</w:t>
            </w:r>
          </w:p>
        </w:tc>
      </w:tr>
    </w:tbl>
    <w:p w14:paraId="1EE98478" w14:textId="77777777" w:rsidR="00B51828" w:rsidRDefault="00B51828" w:rsidP="002101D2">
      <w:pPr>
        <w:spacing w:before="20" w:after="0"/>
        <w:rPr>
          <w:rFonts w:ascii="Arial Narrow" w:hAnsi="Arial Narrow"/>
          <w:sz w:val="18"/>
          <w:szCs w:val="18"/>
        </w:rPr>
      </w:pPr>
      <w:r>
        <w:rPr>
          <w:rFonts w:ascii="Arial Narrow" w:hAnsi="Arial Narrow"/>
          <w:sz w:val="18"/>
          <w:szCs w:val="18"/>
        </w:rPr>
        <w:t>Source: Schedule fees proposed by the Applicant (see Section A.2), currently unfunded. Excel Section E workbook &lt;Costing inputs&gt;</w:t>
      </w:r>
    </w:p>
    <w:p w14:paraId="7F8BBAAB" w14:textId="77777777" w:rsidR="00B51828" w:rsidRPr="00DD1E22" w:rsidRDefault="00B51828" w:rsidP="002101D2">
      <w:pPr>
        <w:spacing w:before="20" w:after="0"/>
        <w:ind w:left="0" w:firstLine="720"/>
        <w:rPr>
          <w:rFonts w:ascii="Arial Narrow" w:hAnsi="Arial Narrow"/>
          <w:sz w:val="18"/>
          <w:szCs w:val="18"/>
        </w:rPr>
      </w:pPr>
    </w:p>
    <w:p w14:paraId="2E85327A" w14:textId="77777777" w:rsidR="00B51828" w:rsidRDefault="00B51828" w:rsidP="002101D2">
      <w:r>
        <w:t>For the purpose of the financial estimates, an average cost of ancillary tests for tissue pathology was calculated by dividing the total value of benefits of ancillary tests (i.e. Group P5, MBS items 72844-72852) in 2012-13 by the total number of services of those items in the same year (</w:t>
      </w:r>
      <w:r>
        <w:fldChar w:fldCharType="begin"/>
      </w:r>
      <w:r>
        <w:instrText xml:space="preserve"> REF _Ref395262596 \h </w:instrText>
      </w:r>
      <w:r>
        <w:fldChar w:fldCharType="separate"/>
      </w:r>
      <w:r w:rsidR="0044620B">
        <w:t xml:space="preserve">Table </w:t>
      </w:r>
      <w:r w:rsidR="0044620B">
        <w:rPr>
          <w:noProof/>
        </w:rPr>
        <w:t>E.1</w:t>
      </w:r>
      <w:r w:rsidR="0044620B">
        <w:noBreakHyphen/>
      </w:r>
      <w:r w:rsidR="0044620B">
        <w:rPr>
          <w:noProof/>
        </w:rPr>
        <w:t>9</w:t>
      </w:r>
      <w:r>
        <w:fldChar w:fldCharType="end"/>
      </w:r>
      <w:r>
        <w:t xml:space="preserve">). This method of calculation, as opposed to simply averaging the Schedule fees of the eight ‘non-core’ items, was chosen to account for higher use of some ‘non-core’ (ancillary) items over others and also the impact of ‘coning’ on the total cost to the MBS, given that multiple different tests can be conducted on the same patient sample. The same approach was used to calculate the average cost of ancillary tests used on cytological samples, see </w:t>
      </w:r>
      <w:r>
        <w:fldChar w:fldCharType="begin"/>
      </w:r>
      <w:r>
        <w:instrText xml:space="preserve"> REF _Ref395262596 \h </w:instrText>
      </w:r>
      <w:r>
        <w:fldChar w:fldCharType="separate"/>
      </w:r>
      <w:r w:rsidR="0044620B">
        <w:t xml:space="preserve">Table </w:t>
      </w:r>
      <w:r w:rsidR="0044620B">
        <w:rPr>
          <w:noProof/>
        </w:rPr>
        <w:t>E.1</w:t>
      </w:r>
      <w:r w:rsidR="0044620B">
        <w:noBreakHyphen/>
      </w:r>
      <w:r w:rsidR="0044620B">
        <w:rPr>
          <w:noProof/>
        </w:rPr>
        <w:t>9</w:t>
      </w:r>
      <w:r>
        <w:fldChar w:fldCharType="end"/>
      </w:r>
      <w:r>
        <w:t>.</w:t>
      </w:r>
    </w:p>
    <w:p w14:paraId="46EE2BA4" w14:textId="77777777" w:rsidR="00B51828" w:rsidRDefault="00B51828" w:rsidP="002101D2">
      <w:r>
        <w:t>Despite the absence of MBS funding for second, expert opinions, expert pathologists may still conduct ancillary tests as part of the service, either without payment, at the expense of the referring institution, or at the expense of the patient. Under current funding arrangements, new ancillary tests undertaken in conjunction with a second, expert opinion may be charged by the expert pathologist through the existing MBS items. However, under current arrangements, if an expert pathologist providing second opinion repeats an ancillary test that has already been undertaken as part of the initial pathology opinion, an MBS item cannot be charged by the expert pathologist (unless it is conducted as part of a new patient episode). As such, there may well be a cost associated with ancillary tests conducted for the purposes of second, expert opinion under the current funding arrangements.</w:t>
      </w:r>
    </w:p>
    <w:p w14:paraId="3A0D0AB2" w14:textId="77777777" w:rsidR="00B51828" w:rsidRDefault="00B51828" w:rsidP="002101D2">
      <w:r>
        <w:t xml:space="preserve">The Expert Opinion Survey did not provide an estimate of the proportion of current MBS claims for ancillary test items which are likely to be associated with a second, expert opinion. Furthermore, MBS data that could provide insight into the current utilisation of those items for the purpose of second, expert opinions (e.g. an analysis of whether claims for ‘non-core’ items are regularly made at a later date to that of the initial pathology opinion) are not readily available. As such, it is difficult to quantify the current cost to the MBS of ancillary items associated with second, expert opinions. The financial analysis therefore assumes that ancillary tests undertaken as part of second, expert opinion bear </w:t>
      </w:r>
      <w:r>
        <w:lastRenderedPageBreak/>
        <w:t xml:space="preserve">no cost to the MBS under current funding arrangements. As such, the incremental cost of ancillary tests under the proposed listing may be overestimated (see Section E.3).  </w:t>
      </w:r>
      <w:bookmarkStart w:id="258" w:name="_Ref395014974"/>
    </w:p>
    <w:p w14:paraId="21601985" w14:textId="77777777" w:rsidR="00B51828" w:rsidRDefault="00B51828" w:rsidP="002101D2">
      <w:pPr>
        <w:pStyle w:val="Caption"/>
      </w:pPr>
      <w:bookmarkStart w:id="259" w:name="_Ref395262596"/>
      <w:bookmarkStart w:id="260" w:name="_Toc396211773"/>
      <w:bookmarkEnd w:id="258"/>
      <w:r>
        <w:t xml:space="preserve">Table </w:t>
      </w:r>
      <w:fldSimple w:instr=" STYLEREF 2 \s ">
        <w:r w:rsidR="0044620B">
          <w:rPr>
            <w:noProof/>
          </w:rPr>
          <w:t>E.1</w:t>
        </w:r>
      </w:fldSimple>
      <w:r>
        <w:noBreakHyphen/>
      </w:r>
      <w:fldSimple w:instr=" SEQ Table \* ARABIC \s 2 ">
        <w:r w:rsidR="0044620B">
          <w:rPr>
            <w:noProof/>
          </w:rPr>
          <w:t>9</w:t>
        </w:r>
      </w:fldSimple>
      <w:bookmarkEnd w:id="259"/>
      <w:r>
        <w:tab/>
        <w:t>Ancillary items and fees used in the financial analysis</w:t>
      </w:r>
      <w:bookmarkEnd w:id="260"/>
    </w:p>
    <w:tbl>
      <w:tblPr>
        <w:tblStyle w:val="TableGrid"/>
        <w:tblW w:w="8206" w:type="dxa"/>
        <w:tblInd w:w="720" w:type="dxa"/>
        <w:tblLayout w:type="fixed"/>
        <w:tblLook w:val="04A0" w:firstRow="1" w:lastRow="0" w:firstColumn="1" w:lastColumn="0" w:noHBand="0" w:noVBand="1"/>
        <w:tblCaption w:val="Costing assumptions for ancillary items"/>
        <w:tblDescription w:val="Ancillary items and fees used in the financial analysis"/>
      </w:tblPr>
      <w:tblGrid>
        <w:gridCol w:w="1543"/>
        <w:gridCol w:w="1665"/>
        <w:gridCol w:w="1666"/>
        <w:gridCol w:w="1666"/>
        <w:gridCol w:w="1666"/>
      </w:tblGrid>
      <w:tr w:rsidR="00B51828" w14:paraId="015CD0E6" w14:textId="77777777" w:rsidTr="00E61184">
        <w:trPr>
          <w:trHeight w:val="199"/>
          <w:tblHeader/>
        </w:trPr>
        <w:tc>
          <w:tcPr>
            <w:tcW w:w="1543" w:type="dxa"/>
          </w:tcPr>
          <w:p w14:paraId="7EBFC866" w14:textId="77777777" w:rsidR="00B51828" w:rsidRDefault="00B51828" w:rsidP="002101D2">
            <w:pPr>
              <w:pStyle w:val="Tabletextboldleft"/>
              <w:spacing w:before="20" w:after="20"/>
            </w:pPr>
          </w:p>
        </w:tc>
        <w:tc>
          <w:tcPr>
            <w:tcW w:w="1665" w:type="dxa"/>
          </w:tcPr>
          <w:p w14:paraId="1E77DD07" w14:textId="77777777" w:rsidR="00B51828" w:rsidRDefault="00B51828" w:rsidP="002101D2">
            <w:pPr>
              <w:pStyle w:val="Tabletextboldleft"/>
              <w:spacing w:before="20" w:after="20"/>
              <w:jc w:val="center"/>
            </w:pPr>
            <w:r>
              <w:t>Total number of services in</w:t>
            </w:r>
          </w:p>
          <w:p w14:paraId="776725A3" w14:textId="77777777" w:rsidR="00B51828" w:rsidRDefault="00B51828" w:rsidP="002101D2">
            <w:pPr>
              <w:pStyle w:val="Tabletextboldleft"/>
              <w:spacing w:before="20" w:after="20"/>
              <w:jc w:val="center"/>
            </w:pPr>
            <w:r>
              <w:t>2012-13</w:t>
            </w:r>
          </w:p>
        </w:tc>
        <w:tc>
          <w:tcPr>
            <w:tcW w:w="1666" w:type="dxa"/>
          </w:tcPr>
          <w:p w14:paraId="4B1BE516" w14:textId="77777777" w:rsidR="00B51828" w:rsidRDefault="00B51828" w:rsidP="002101D2">
            <w:pPr>
              <w:pStyle w:val="Tabletextboldleft"/>
              <w:spacing w:before="20" w:after="20"/>
              <w:jc w:val="center"/>
            </w:pPr>
            <w:r>
              <w:t>Total value of benefits ($) in</w:t>
            </w:r>
          </w:p>
          <w:p w14:paraId="08305509" w14:textId="77777777" w:rsidR="00B51828" w:rsidRDefault="00B51828" w:rsidP="002101D2">
            <w:pPr>
              <w:pStyle w:val="Tabletextboldleft"/>
              <w:spacing w:before="20" w:after="20"/>
              <w:jc w:val="center"/>
            </w:pPr>
            <w:r>
              <w:t>2012-13</w:t>
            </w:r>
          </w:p>
        </w:tc>
        <w:tc>
          <w:tcPr>
            <w:tcW w:w="1666" w:type="dxa"/>
          </w:tcPr>
          <w:p w14:paraId="413AFE28" w14:textId="77777777" w:rsidR="00B51828" w:rsidRDefault="00B51828" w:rsidP="002101D2">
            <w:pPr>
              <w:pStyle w:val="Tabletextboldleft"/>
              <w:spacing w:before="20" w:after="20"/>
              <w:jc w:val="center"/>
            </w:pPr>
            <w:r>
              <w:t>Average cost of ancillary items under proposed funding arrangements</w:t>
            </w:r>
          </w:p>
        </w:tc>
        <w:tc>
          <w:tcPr>
            <w:tcW w:w="1666" w:type="dxa"/>
          </w:tcPr>
          <w:p w14:paraId="0F350DBD" w14:textId="77777777" w:rsidR="00B51828" w:rsidRDefault="00B51828" w:rsidP="002101D2">
            <w:pPr>
              <w:pStyle w:val="Tabletextboldleft"/>
              <w:spacing w:before="20" w:after="20"/>
              <w:jc w:val="center"/>
            </w:pPr>
            <w:r>
              <w:t>Average cost of ancillary items under current funding arrangements</w:t>
            </w:r>
          </w:p>
        </w:tc>
      </w:tr>
      <w:tr w:rsidR="00B51828" w:rsidRPr="00E714ED" w14:paraId="452EF64B" w14:textId="77777777" w:rsidTr="00E61184">
        <w:trPr>
          <w:trHeight w:val="79"/>
        </w:trPr>
        <w:tc>
          <w:tcPr>
            <w:tcW w:w="1543" w:type="dxa"/>
          </w:tcPr>
          <w:p w14:paraId="60C6B4BC" w14:textId="77777777" w:rsidR="00B51828" w:rsidRPr="00B21D66" w:rsidRDefault="00B51828" w:rsidP="002101D2">
            <w:pPr>
              <w:pStyle w:val="Tabletextboldleft"/>
              <w:spacing w:before="20" w:after="20"/>
              <w:rPr>
                <w:b w:val="0"/>
                <w:vertAlign w:val="superscript"/>
              </w:rPr>
            </w:pPr>
            <w:r w:rsidRPr="00E714ED">
              <w:rPr>
                <w:b w:val="0"/>
              </w:rPr>
              <w:t>Tissue pathology</w:t>
            </w:r>
            <w:r>
              <w:rPr>
                <w:b w:val="0"/>
                <w:vertAlign w:val="superscript"/>
              </w:rPr>
              <w:t>a</w:t>
            </w:r>
          </w:p>
        </w:tc>
        <w:tc>
          <w:tcPr>
            <w:tcW w:w="1665" w:type="dxa"/>
          </w:tcPr>
          <w:p w14:paraId="42107E71" w14:textId="77777777" w:rsidR="00B51828" w:rsidRPr="00E714ED" w:rsidRDefault="00B51828" w:rsidP="002101D2">
            <w:pPr>
              <w:spacing w:before="20" w:after="20"/>
              <w:ind w:left="0"/>
              <w:jc w:val="center"/>
              <w:rPr>
                <w:rFonts w:ascii="Arial Narrow" w:hAnsi="Arial Narrow"/>
                <w:color w:val="000000"/>
                <w:sz w:val="20"/>
                <w:szCs w:val="20"/>
              </w:rPr>
            </w:pPr>
            <w:r>
              <w:rPr>
                <w:rFonts w:ascii="Arial Narrow" w:hAnsi="Arial Narrow"/>
                <w:color w:val="000000"/>
                <w:sz w:val="20"/>
                <w:szCs w:val="20"/>
              </w:rPr>
              <w:t>157,111</w:t>
            </w:r>
          </w:p>
        </w:tc>
        <w:tc>
          <w:tcPr>
            <w:tcW w:w="1666" w:type="dxa"/>
          </w:tcPr>
          <w:p w14:paraId="0DCF9ACF" w14:textId="77777777" w:rsidR="00B51828" w:rsidRPr="00E714ED" w:rsidRDefault="00B51828" w:rsidP="002101D2">
            <w:pPr>
              <w:spacing w:before="20" w:after="20"/>
              <w:ind w:left="0"/>
              <w:jc w:val="center"/>
              <w:rPr>
                <w:rFonts w:ascii="Arial Narrow" w:hAnsi="Arial Narrow"/>
                <w:color w:val="000000"/>
                <w:sz w:val="20"/>
                <w:szCs w:val="20"/>
              </w:rPr>
            </w:pPr>
            <w:r w:rsidRPr="00E714ED">
              <w:rPr>
                <w:rFonts w:ascii="Arial Narrow" w:hAnsi="Arial Narrow"/>
                <w:color w:val="000000"/>
                <w:sz w:val="20"/>
                <w:szCs w:val="20"/>
              </w:rPr>
              <w:t>$9,703</w:t>
            </w:r>
            <w:r>
              <w:rPr>
                <w:rFonts w:ascii="Arial Narrow" w:hAnsi="Arial Narrow"/>
                <w:color w:val="000000"/>
                <w:sz w:val="20"/>
                <w:szCs w:val="20"/>
              </w:rPr>
              <w:t>,766</w:t>
            </w:r>
          </w:p>
        </w:tc>
        <w:tc>
          <w:tcPr>
            <w:tcW w:w="1666" w:type="dxa"/>
          </w:tcPr>
          <w:p w14:paraId="70729DEF" w14:textId="77777777" w:rsidR="00B51828" w:rsidRPr="00E714ED" w:rsidRDefault="00B51828" w:rsidP="002101D2">
            <w:pPr>
              <w:spacing w:before="20" w:after="20"/>
              <w:ind w:left="0"/>
              <w:jc w:val="center"/>
              <w:rPr>
                <w:rFonts w:ascii="Arial Narrow" w:hAnsi="Arial Narrow"/>
                <w:color w:val="000000"/>
                <w:sz w:val="20"/>
                <w:szCs w:val="20"/>
              </w:rPr>
            </w:pPr>
            <w:r w:rsidRPr="00E714ED">
              <w:rPr>
                <w:rFonts w:ascii="Arial Narrow" w:hAnsi="Arial Narrow"/>
                <w:color w:val="000000"/>
                <w:sz w:val="20"/>
                <w:szCs w:val="20"/>
              </w:rPr>
              <w:t>$61.76</w:t>
            </w:r>
          </w:p>
        </w:tc>
        <w:tc>
          <w:tcPr>
            <w:tcW w:w="1666" w:type="dxa"/>
          </w:tcPr>
          <w:p w14:paraId="7821D680" w14:textId="77777777" w:rsidR="00B51828" w:rsidRPr="00E714ED" w:rsidRDefault="00B51828" w:rsidP="002101D2">
            <w:pPr>
              <w:spacing w:before="20" w:after="20"/>
              <w:ind w:left="0"/>
              <w:jc w:val="center"/>
              <w:rPr>
                <w:rFonts w:ascii="Arial Narrow" w:hAnsi="Arial Narrow"/>
                <w:color w:val="000000"/>
                <w:sz w:val="20"/>
                <w:szCs w:val="20"/>
              </w:rPr>
            </w:pPr>
            <w:r>
              <w:rPr>
                <w:rFonts w:ascii="Arial Narrow" w:hAnsi="Arial Narrow"/>
                <w:color w:val="000000"/>
                <w:sz w:val="20"/>
                <w:szCs w:val="20"/>
              </w:rPr>
              <w:t>$0.00</w:t>
            </w:r>
          </w:p>
        </w:tc>
      </w:tr>
      <w:tr w:rsidR="00B51828" w:rsidRPr="00E714ED" w14:paraId="4A04BC80" w14:textId="77777777" w:rsidTr="00E61184">
        <w:trPr>
          <w:trHeight w:val="199"/>
        </w:trPr>
        <w:tc>
          <w:tcPr>
            <w:tcW w:w="1543" w:type="dxa"/>
          </w:tcPr>
          <w:p w14:paraId="35AB7696" w14:textId="77777777" w:rsidR="00B51828" w:rsidRPr="00B21D66" w:rsidRDefault="00B51828" w:rsidP="002101D2">
            <w:pPr>
              <w:pStyle w:val="Tabletextboldleft"/>
              <w:spacing w:before="20" w:after="20"/>
              <w:rPr>
                <w:b w:val="0"/>
                <w:vertAlign w:val="superscript"/>
              </w:rPr>
            </w:pPr>
            <w:r>
              <w:rPr>
                <w:b w:val="0"/>
              </w:rPr>
              <w:t>Cytology</w:t>
            </w:r>
            <w:r>
              <w:rPr>
                <w:b w:val="0"/>
                <w:vertAlign w:val="superscript"/>
              </w:rPr>
              <w:t>b</w:t>
            </w:r>
          </w:p>
        </w:tc>
        <w:tc>
          <w:tcPr>
            <w:tcW w:w="1665" w:type="dxa"/>
          </w:tcPr>
          <w:p w14:paraId="0DF11C15" w14:textId="77777777" w:rsidR="00B51828" w:rsidRPr="00E714ED" w:rsidRDefault="00B51828" w:rsidP="002101D2">
            <w:pPr>
              <w:spacing w:before="20" w:after="20"/>
              <w:ind w:left="0"/>
              <w:jc w:val="center"/>
              <w:rPr>
                <w:rFonts w:ascii="Arial Narrow" w:hAnsi="Arial Narrow"/>
                <w:color w:val="000000"/>
                <w:sz w:val="20"/>
                <w:szCs w:val="20"/>
              </w:rPr>
            </w:pPr>
            <w:r>
              <w:rPr>
                <w:rFonts w:ascii="Arial Narrow" w:hAnsi="Arial Narrow"/>
                <w:color w:val="000000"/>
                <w:sz w:val="20"/>
                <w:szCs w:val="20"/>
              </w:rPr>
              <w:t>5,542</w:t>
            </w:r>
          </w:p>
        </w:tc>
        <w:tc>
          <w:tcPr>
            <w:tcW w:w="1666" w:type="dxa"/>
          </w:tcPr>
          <w:p w14:paraId="75CEFEF5" w14:textId="77777777" w:rsidR="00B51828" w:rsidRPr="00E714ED" w:rsidRDefault="00B51828" w:rsidP="002101D2">
            <w:pPr>
              <w:spacing w:before="20" w:after="20"/>
              <w:ind w:left="0"/>
              <w:jc w:val="center"/>
              <w:rPr>
                <w:rFonts w:ascii="Arial Narrow" w:hAnsi="Arial Narrow"/>
                <w:color w:val="000000"/>
                <w:sz w:val="20"/>
                <w:szCs w:val="20"/>
              </w:rPr>
            </w:pPr>
            <w:r>
              <w:rPr>
                <w:rFonts w:ascii="Arial Narrow" w:hAnsi="Arial Narrow"/>
                <w:color w:val="000000"/>
                <w:sz w:val="20"/>
                <w:szCs w:val="20"/>
              </w:rPr>
              <w:t>$266,709</w:t>
            </w:r>
          </w:p>
        </w:tc>
        <w:tc>
          <w:tcPr>
            <w:tcW w:w="1666" w:type="dxa"/>
          </w:tcPr>
          <w:p w14:paraId="2117F916" w14:textId="77777777" w:rsidR="00B51828" w:rsidRPr="00E714ED" w:rsidRDefault="00B51828" w:rsidP="002101D2">
            <w:pPr>
              <w:spacing w:before="20" w:after="20"/>
              <w:ind w:left="0"/>
              <w:jc w:val="center"/>
              <w:rPr>
                <w:rFonts w:ascii="Arial Narrow" w:hAnsi="Arial Narrow"/>
                <w:color w:val="000000"/>
                <w:sz w:val="20"/>
                <w:szCs w:val="20"/>
              </w:rPr>
            </w:pPr>
            <w:r w:rsidRPr="00E714ED">
              <w:rPr>
                <w:rFonts w:ascii="Arial Narrow" w:hAnsi="Arial Narrow"/>
                <w:color w:val="000000"/>
                <w:sz w:val="20"/>
                <w:szCs w:val="20"/>
              </w:rPr>
              <w:t>$48.13</w:t>
            </w:r>
          </w:p>
        </w:tc>
        <w:tc>
          <w:tcPr>
            <w:tcW w:w="1666" w:type="dxa"/>
          </w:tcPr>
          <w:p w14:paraId="2FBB930A" w14:textId="77777777" w:rsidR="00B51828" w:rsidRPr="00E714ED" w:rsidRDefault="00B51828" w:rsidP="002101D2">
            <w:pPr>
              <w:spacing w:before="20" w:after="20"/>
              <w:ind w:left="0"/>
              <w:jc w:val="center"/>
              <w:rPr>
                <w:rFonts w:ascii="Arial Narrow" w:hAnsi="Arial Narrow"/>
                <w:color w:val="000000"/>
                <w:sz w:val="20"/>
                <w:szCs w:val="20"/>
              </w:rPr>
            </w:pPr>
            <w:r>
              <w:rPr>
                <w:rFonts w:ascii="Arial Narrow" w:hAnsi="Arial Narrow"/>
                <w:color w:val="000000"/>
                <w:sz w:val="20"/>
                <w:szCs w:val="20"/>
              </w:rPr>
              <w:t>$0.00</w:t>
            </w:r>
          </w:p>
        </w:tc>
      </w:tr>
    </w:tbl>
    <w:p w14:paraId="32C05A7C"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&lt;Costing inputs&gt; and &lt;MBS Data&gt;</w:t>
      </w:r>
    </w:p>
    <w:p w14:paraId="185C14AD" w14:textId="77777777" w:rsidR="00B51828" w:rsidRPr="00A02659" w:rsidRDefault="00B51828" w:rsidP="002101D2">
      <w:pPr>
        <w:spacing w:after="0"/>
        <w:rPr>
          <w:rFonts w:ascii="Arial Narrow" w:hAnsi="Arial Narrow"/>
          <w:sz w:val="18"/>
          <w:szCs w:val="18"/>
        </w:rPr>
      </w:pPr>
      <w:r w:rsidRPr="00A02659">
        <w:rPr>
          <w:rFonts w:ascii="Arial Narrow" w:hAnsi="Arial Narrow"/>
          <w:sz w:val="18"/>
          <w:szCs w:val="18"/>
        </w:rPr>
        <w:t>Note: Items and fees sou</w:t>
      </w:r>
      <w:r>
        <w:rPr>
          <w:rFonts w:ascii="Arial Narrow" w:hAnsi="Arial Narrow"/>
          <w:sz w:val="18"/>
          <w:szCs w:val="18"/>
        </w:rPr>
        <w:t>rced from Medicare Australia, accessed 10</w:t>
      </w:r>
      <w:r w:rsidRPr="00A02659">
        <w:rPr>
          <w:rFonts w:ascii="Arial Narrow" w:hAnsi="Arial Narrow"/>
          <w:sz w:val="18"/>
          <w:szCs w:val="18"/>
        </w:rPr>
        <w:t xml:space="preserve"> </w:t>
      </w:r>
      <w:r>
        <w:rPr>
          <w:rFonts w:ascii="Arial Narrow" w:hAnsi="Arial Narrow"/>
          <w:sz w:val="18"/>
          <w:szCs w:val="18"/>
        </w:rPr>
        <w:t>June</w:t>
      </w:r>
      <w:r w:rsidRPr="00A02659">
        <w:rPr>
          <w:rFonts w:ascii="Arial Narrow" w:hAnsi="Arial Narrow"/>
          <w:sz w:val="18"/>
          <w:szCs w:val="18"/>
        </w:rPr>
        <w:t xml:space="preserve"> 2014</w:t>
      </w:r>
    </w:p>
    <w:p w14:paraId="1F91EB38" w14:textId="77777777" w:rsidR="00B51828" w:rsidRPr="00B21D66" w:rsidRDefault="00B51828" w:rsidP="002101D2">
      <w:pPr>
        <w:spacing w:after="0"/>
        <w:rPr>
          <w:rFonts w:ascii="Arial Narrow" w:hAnsi="Arial Narrow"/>
          <w:sz w:val="18"/>
          <w:szCs w:val="18"/>
        </w:rPr>
      </w:pPr>
      <w:r w:rsidRPr="00B21D66">
        <w:rPr>
          <w:rFonts w:ascii="Arial Narrow" w:hAnsi="Arial Narrow"/>
          <w:sz w:val="18"/>
          <w:szCs w:val="18"/>
          <w:vertAlign w:val="superscript"/>
        </w:rPr>
        <w:t>a</w:t>
      </w:r>
      <w:r>
        <w:rPr>
          <w:rFonts w:ascii="Arial Narrow" w:hAnsi="Arial Narrow"/>
          <w:sz w:val="18"/>
          <w:szCs w:val="18"/>
        </w:rPr>
        <w:t xml:space="preserve"> Ancillary tests include</w:t>
      </w:r>
      <w:r w:rsidRPr="00B21D66">
        <w:rPr>
          <w:rFonts w:ascii="Arial Narrow" w:hAnsi="Arial Narrow"/>
          <w:sz w:val="18"/>
          <w:szCs w:val="18"/>
        </w:rPr>
        <w:t xml:space="preserve"> MBS items 72844-72852.</w:t>
      </w:r>
    </w:p>
    <w:p w14:paraId="3BF989ED" w14:textId="77777777" w:rsidR="00B51828" w:rsidRPr="00B21D66" w:rsidRDefault="00B51828" w:rsidP="002101D2">
      <w:pPr>
        <w:rPr>
          <w:rFonts w:ascii="Arial Narrow" w:hAnsi="Arial Narrow"/>
          <w:sz w:val="18"/>
          <w:szCs w:val="18"/>
        </w:rPr>
      </w:pPr>
      <w:r w:rsidRPr="00B21D66">
        <w:rPr>
          <w:rFonts w:ascii="Arial Narrow" w:hAnsi="Arial Narrow"/>
          <w:sz w:val="18"/>
          <w:szCs w:val="18"/>
          <w:vertAlign w:val="superscript"/>
        </w:rPr>
        <w:t>b</w:t>
      </w:r>
      <w:r>
        <w:rPr>
          <w:rFonts w:ascii="Arial Narrow" w:hAnsi="Arial Narrow"/>
          <w:sz w:val="18"/>
          <w:szCs w:val="18"/>
        </w:rPr>
        <w:t xml:space="preserve"> Ancillary tests include</w:t>
      </w:r>
      <w:r w:rsidRPr="00B21D66">
        <w:rPr>
          <w:rFonts w:ascii="Arial Narrow" w:hAnsi="Arial Narrow"/>
          <w:sz w:val="18"/>
          <w:szCs w:val="18"/>
        </w:rPr>
        <w:t xml:space="preserve"> MBS items 73059-73061 and 73064-73065.</w:t>
      </w:r>
    </w:p>
    <w:p w14:paraId="6F2D26FB" w14:textId="77777777" w:rsidR="00B51828" w:rsidRDefault="00B51828" w:rsidP="002101D2">
      <w:r>
        <w:t xml:space="preserve">The cost assumptions for other associated MBS items included in the financial analysis are presented in </w:t>
      </w:r>
      <w:r>
        <w:fldChar w:fldCharType="begin"/>
      </w:r>
      <w:r>
        <w:instrText xml:space="preserve"> REF _Ref394668845 \h </w:instrText>
      </w:r>
      <w:r>
        <w:fldChar w:fldCharType="separate"/>
      </w:r>
      <w:r w:rsidR="0044620B">
        <w:t xml:space="preserve">Table </w:t>
      </w:r>
      <w:r w:rsidR="0044620B">
        <w:rPr>
          <w:noProof/>
        </w:rPr>
        <w:t>E.1</w:t>
      </w:r>
      <w:r w:rsidR="0044620B">
        <w:noBreakHyphen/>
      </w:r>
      <w:r w:rsidR="0044620B">
        <w:rPr>
          <w:noProof/>
        </w:rPr>
        <w:t>10</w:t>
      </w:r>
      <w:r>
        <w:fldChar w:fldCharType="end"/>
      </w:r>
      <w:r>
        <w:t xml:space="preserve">. For simplicity, the financial analysis assumes that the cost of the associated MBS items do not change over the five-year projection period.  </w:t>
      </w:r>
    </w:p>
    <w:p w14:paraId="323D5BE0" w14:textId="77777777" w:rsidR="00B51828" w:rsidRDefault="00B51828" w:rsidP="002101D2">
      <w:pPr>
        <w:pStyle w:val="Caption"/>
      </w:pPr>
      <w:bookmarkStart w:id="261" w:name="_Ref394668845"/>
      <w:bookmarkStart w:id="262" w:name="_Toc396211774"/>
      <w:r>
        <w:t xml:space="preserve">Table </w:t>
      </w:r>
      <w:fldSimple w:instr=" STYLEREF 2 \s ">
        <w:r w:rsidR="0044620B">
          <w:rPr>
            <w:noProof/>
          </w:rPr>
          <w:t>E.1</w:t>
        </w:r>
      </w:fldSimple>
      <w:r>
        <w:noBreakHyphen/>
      </w:r>
      <w:fldSimple w:instr=" SEQ Table \* ARABIC \s 2 ">
        <w:r w:rsidR="0044620B">
          <w:rPr>
            <w:noProof/>
          </w:rPr>
          <w:t>10</w:t>
        </w:r>
      </w:fldSimple>
      <w:bookmarkEnd w:id="261"/>
      <w:r>
        <w:tab/>
        <w:t>Other associated MBS items and fees used in the financial analysis</w:t>
      </w:r>
      <w:bookmarkEnd w:id="262"/>
    </w:p>
    <w:tbl>
      <w:tblPr>
        <w:tblStyle w:val="TableGrid"/>
        <w:tblW w:w="8206" w:type="dxa"/>
        <w:tblInd w:w="720" w:type="dxa"/>
        <w:tblLayout w:type="fixed"/>
        <w:tblLook w:val="04A0" w:firstRow="1" w:lastRow="0" w:firstColumn="1" w:lastColumn="0" w:noHBand="0" w:noVBand="1"/>
        <w:tblCaption w:val="Costing assumptions for other MBS items"/>
        <w:tblDescription w:val="Other associated MBS items and fees used in the financial analysis"/>
      </w:tblPr>
      <w:tblGrid>
        <w:gridCol w:w="1969"/>
        <w:gridCol w:w="1559"/>
        <w:gridCol w:w="1559"/>
        <w:gridCol w:w="1559"/>
        <w:gridCol w:w="1560"/>
      </w:tblGrid>
      <w:tr w:rsidR="00B51828" w14:paraId="7DE79977" w14:textId="77777777" w:rsidTr="00E61184">
        <w:trPr>
          <w:trHeight w:val="284"/>
          <w:tblHeader/>
        </w:trPr>
        <w:tc>
          <w:tcPr>
            <w:tcW w:w="1969" w:type="dxa"/>
          </w:tcPr>
          <w:p w14:paraId="76FA8167" w14:textId="77777777" w:rsidR="00B51828" w:rsidRDefault="00B51828" w:rsidP="002101D2">
            <w:pPr>
              <w:pStyle w:val="Tabletextboldleft"/>
              <w:spacing w:before="20" w:after="20"/>
            </w:pPr>
          </w:p>
        </w:tc>
        <w:tc>
          <w:tcPr>
            <w:tcW w:w="1559" w:type="dxa"/>
          </w:tcPr>
          <w:p w14:paraId="0343553E" w14:textId="77777777" w:rsidR="00B51828" w:rsidRPr="003416BA" w:rsidRDefault="00B51828" w:rsidP="002101D2">
            <w:pPr>
              <w:pStyle w:val="Tabletextboldleft"/>
              <w:spacing w:before="20" w:after="20"/>
              <w:jc w:val="center"/>
              <w:rPr>
                <w:vertAlign w:val="superscript"/>
              </w:rPr>
            </w:pPr>
            <w:r>
              <w:t>MBS item</w:t>
            </w:r>
          </w:p>
        </w:tc>
        <w:tc>
          <w:tcPr>
            <w:tcW w:w="1559" w:type="dxa"/>
          </w:tcPr>
          <w:p w14:paraId="4929D2B6" w14:textId="77777777" w:rsidR="00B51828" w:rsidRDefault="00B51828" w:rsidP="002101D2">
            <w:pPr>
              <w:pStyle w:val="Tabletextboldleft"/>
              <w:spacing w:before="20" w:after="20"/>
              <w:jc w:val="center"/>
            </w:pPr>
            <w:r>
              <w:t>Schedule fee</w:t>
            </w:r>
          </w:p>
          <w:p w14:paraId="648569E2" w14:textId="77777777" w:rsidR="00B51828" w:rsidRDefault="00B51828" w:rsidP="002101D2">
            <w:pPr>
              <w:pStyle w:val="Tabletextboldleft"/>
              <w:spacing w:before="20" w:after="20"/>
              <w:jc w:val="center"/>
            </w:pPr>
            <w:r>
              <w:t>– Proposed funding arrangements</w:t>
            </w:r>
          </w:p>
        </w:tc>
        <w:tc>
          <w:tcPr>
            <w:tcW w:w="1559" w:type="dxa"/>
          </w:tcPr>
          <w:p w14:paraId="6D3BE4CE" w14:textId="77777777" w:rsidR="00B51828" w:rsidRDefault="00B51828" w:rsidP="002101D2">
            <w:pPr>
              <w:pStyle w:val="Tabletextboldleft"/>
              <w:spacing w:before="20" w:after="20"/>
              <w:jc w:val="center"/>
            </w:pPr>
            <w:r>
              <w:t>85% benefit</w:t>
            </w:r>
          </w:p>
          <w:p w14:paraId="2DC5ADA5" w14:textId="77777777" w:rsidR="00B51828" w:rsidRDefault="00B51828" w:rsidP="002101D2">
            <w:pPr>
              <w:pStyle w:val="Tabletextboldleft"/>
              <w:spacing w:before="20" w:after="20"/>
              <w:jc w:val="center"/>
            </w:pPr>
            <w:r>
              <w:t>– Proposed funding arrangements</w:t>
            </w:r>
          </w:p>
        </w:tc>
        <w:tc>
          <w:tcPr>
            <w:tcW w:w="1560" w:type="dxa"/>
          </w:tcPr>
          <w:p w14:paraId="13A361B2" w14:textId="77777777" w:rsidR="00B51828" w:rsidRDefault="00B51828" w:rsidP="002101D2">
            <w:pPr>
              <w:pStyle w:val="Tabletextboldleft"/>
              <w:spacing w:before="20" w:after="20"/>
              <w:jc w:val="center"/>
            </w:pPr>
            <w:r>
              <w:t>Cost assumption – Current funding arrangements</w:t>
            </w:r>
          </w:p>
        </w:tc>
      </w:tr>
      <w:tr w:rsidR="00B51828" w:rsidRPr="00F647C7" w14:paraId="727AB08F" w14:textId="77777777" w:rsidTr="00E61184">
        <w:trPr>
          <w:trHeight w:val="284"/>
        </w:trPr>
        <w:tc>
          <w:tcPr>
            <w:tcW w:w="1969" w:type="dxa"/>
          </w:tcPr>
          <w:p w14:paraId="38F76616" w14:textId="77777777" w:rsidR="00B51828" w:rsidRPr="00186BAB" w:rsidRDefault="00B51828" w:rsidP="002101D2">
            <w:pPr>
              <w:pStyle w:val="Tabletextboldleft"/>
              <w:spacing w:before="20" w:after="20"/>
              <w:rPr>
                <w:b w:val="0"/>
              </w:rPr>
            </w:pPr>
            <w:r>
              <w:rPr>
                <w:b w:val="0"/>
              </w:rPr>
              <w:t>Specimen referred fee</w:t>
            </w:r>
          </w:p>
        </w:tc>
        <w:tc>
          <w:tcPr>
            <w:tcW w:w="1559" w:type="dxa"/>
          </w:tcPr>
          <w:p w14:paraId="06143D93" w14:textId="77777777" w:rsidR="00B51828" w:rsidRPr="00A96C59" w:rsidRDefault="00B51828" w:rsidP="002101D2">
            <w:pPr>
              <w:pStyle w:val="Tabletextboldleft"/>
              <w:spacing w:before="20" w:after="20"/>
              <w:jc w:val="center"/>
              <w:rPr>
                <w:b w:val="0"/>
              </w:rPr>
            </w:pPr>
            <w:r>
              <w:rPr>
                <w:b w:val="0"/>
              </w:rPr>
              <w:t>MBS item 73940</w:t>
            </w:r>
          </w:p>
        </w:tc>
        <w:tc>
          <w:tcPr>
            <w:tcW w:w="1559" w:type="dxa"/>
          </w:tcPr>
          <w:p w14:paraId="518AF33D" w14:textId="77777777" w:rsidR="00B51828" w:rsidRPr="00A96C59" w:rsidRDefault="00B51828" w:rsidP="002101D2">
            <w:pPr>
              <w:pStyle w:val="Tabletextboldleft"/>
              <w:spacing w:before="20" w:after="20"/>
              <w:jc w:val="center"/>
              <w:rPr>
                <w:b w:val="0"/>
              </w:rPr>
            </w:pPr>
            <w:r>
              <w:rPr>
                <w:b w:val="0"/>
              </w:rPr>
              <w:t>$10.25</w:t>
            </w:r>
          </w:p>
        </w:tc>
        <w:tc>
          <w:tcPr>
            <w:tcW w:w="1559" w:type="dxa"/>
          </w:tcPr>
          <w:p w14:paraId="5AA245E6" w14:textId="77777777" w:rsidR="00B51828" w:rsidRDefault="00B51828" w:rsidP="002101D2">
            <w:pPr>
              <w:pStyle w:val="Tabletextboldleft"/>
              <w:spacing w:before="20" w:after="20"/>
              <w:jc w:val="center"/>
              <w:rPr>
                <w:b w:val="0"/>
              </w:rPr>
            </w:pPr>
            <w:r>
              <w:rPr>
                <w:b w:val="0"/>
              </w:rPr>
              <w:t>$8.75</w:t>
            </w:r>
          </w:p>
        </w:tc>
        <w:tc>
          <w:tcPr>
            <w:tcW w:w="1560" w:type="dxa"/>
          </w:tcPr>
          <w:p w14:paraId="1E60611F" w14:textId="77777777" w:rsidR="00B51828" w:rsidRPr="00A96C59" w:rsidRDefault="00B51828" w:rsidP="002101D2">
            <w:pPr>
              <w:pStyle w:val="Tabletextboldleft"/>
              <w:spacing w:before="20" w:after="20"/>
              <w:jc w:val="center"/>
              <w:rPr>
                <w:b w:val="0"/>
              </w:rPr>
            </w:pPr>
            <w:r>
              <w:rPr>
                <w:b w:val="0"/>
              </w:rPr>
              <w:t>$0.00</w:t>
            </w:r>
          </w:p>
        </w:tc>
      </w:tr>
      <w:tr w:rsidR="00B51828" w:rsidRPr="00F647C7" w14:paraId="79AAEEFF" w14:textId="77777777" w:rsidTr="00E61184">
        <w:trPr>
          <w:trHeight w:val="284"/>
        </w:trPr>
        <w:tc>
          <w:tcPr>
            <w:tcW w:w="1969" w:type="dxa"/>
          </w:tcPr>
          <w:p w14:paraId="67D45708" w14:textId="77777777" w:rsidR="00B51828" w:rsidRPr="00A96C59" w:rsidRDefault="00B51828" w:rsidP="002101D2">
            <w:pPr>
              <w:pStyle w:val="Tabletextboldleft"/>
              <w:spacing w:before="20" w:after="20"/>
              <w:rPr>
                <w:b w:val="0"/>
              </w:rPr>
            </w:pPr>
            <w:r>
              <w:rPr>
                <w:b w:val="0"/>
              </w:rPr>
              <w:t>Bulk billing incentive</w:t>
            </w:r>
          </w:p>
        </w:tc>
        <w:tc>
          <w:tcPr>
            <w:tcW w:w="1559" w:type="dxa"/>
          </w:tcPr>
          <w:p w14:paraId="581BBC20" w14:textId="77777777" w:rsidR="00B51828" w:rsidRPr="00A96C59" w:rsidRDefault="00B51828" w:rsidP="002101D2">
            <w:pPr>
              <w:pStyle w:val="Tabletextboldleft"/>
              <w:spacing w:before="20" w:after="20"/>
              <w:jc w:val="center"/>
              <w:rPr>
                <w:b w:val="0"/>
              </w:rPr>
            </w:pPr>
            <w:r>
              <w:rPr>
                <w:b w:val="0"/>
              </w:rPr>
              <w:t>MBS item 74996</w:t>
            </w:r>
          </w:p>
        </w:tc>
        <w:tc>
          <w:tcPr>
            <w:tcW w:w="1559" w:type="dxa"/>
          </w:tcPr>
          <w:p w14:paraId="3B0CF8E2" w14:textId="77777777" w:rsidR="00B51828" w:rsidRPr="00A96C59" w:rsidRDefault="00B51828" w:rsidP="002101D2">
            <w:pPr>
              <w:pStyle w:val="Tabletextboldleft"/>
              <w:spacing w:before="20" w:after="20"/>
              <w:jc w:val="center"/>
              <w:rPr>
                <w:b w:val="0"/>
              </w:rPr>
            </w:pPr>
            <w:r>
              <w:rPr>
                <w:b w:val="0"/>
              </w:rPr>
              <w:t>$3.70</w:t>
            </w:r>
          </w:p>
        </w:tc>
        <w:tc>
          <w:tcPr>
            <w:tcW w:w="1559" w:type="dxa"/>
          </w:tcPr>
          <w:p w14:paraId="7BB4C719" w14:textId="77777777" w:rsidR="00B51828" w:rsidRDefault="00B51828" w:rsidP="002101D2">
            <w:pPr>
              <w:pStyle w:val="Tabletextboldleft"/>
              <w:spacing w:before="20" w:after="20"/>
              <w:jc w:val="center"/>
              <w:rPr>
                <w:b w:val="0"/>
              </w:rPr>
            </w:pPr>
            <w:r>
              <w:rPr>
                <w:b w:val="0"/>
              </w:rPr>
              <w:t>$3.15</w:t>
            </w:r>
          </w:p>
        </w:tc>
        <w:tc>
          <w:tcPr>
            <w:tcW w:w="1560" w:type="dxa"/>
          </w:tcPr>
          <w:p w14:paraId="6146F17B" w14:textId="77777777" w:rsidR="00B51828" w:rsidRPr="00A96C59" w:rsidRDefault="00B51828" w:rsidP="002101D2">
            <w:pPr>
              <w:pStyle w:val="Tabletextboldleft"/>
              <w:spacing w:before="20" w:after="20"/>
              <w:jc w:val="center"/>
              <w:rPr>
                <w:b w:val="0"/>
              </w:rPr>
            </w:pPr>
            <w:r>
              <w:rPr>
                <w:b w:val="0"/>
              </w:rPr>
              <w:t>$0.00</w:t>
            </w:r>
          </w:p>
        </w:tc>
      </w:tr>
    </w:tbl>
    <w:p w14:paraId="2D9F9B62"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&lt;Costing inputs&gt;</w:t>
      </w:r>
    </w:p>
    <w:p w14:paraId="5F18C40F" w14:textId="77777777" w:rsidR="00B51828" w:rsidRPr="00A02659" w:rsidRDefault="00B51828" w:rsidP="002101D2">
      <w:pPr>
        <w:spacing w:after="0"/>
        <w:rPr>
          <w:rFonts w:ascii="Arial Narrow" w:hAnsi="Arial Narrow"/>
          <w:sz w:val="18"/>
          <w:szCs w:val="18"/>
        </w:rPr>
      </w:pPr>
      <w:r w:rsidRPr="00A02659">
        <w:rPr>
          <w:rFonts w:ascii="Arial Narrow" w:hAnsi="Arial Narrow"/>
          <w:sz w:val="18"/>
          <w:szCs w:val="18"/>
        </w:rPr>
        <w:t>Note: Items and fees sourced from MBS Online, accessed 2</w:t>
      </w:r>
      <w:r>
        <w:rPr>
          <w:rFonts w:ascii="Arial Narrow" w:hAnsi="Arial Narrow"/>
          <w:sz w:val="18"/>
          <w:szCs w:val="18"/>
        </w:rPr>
        <w:t>4</w:t>
      </w:r>
      <w:r w:rsidRPr="00A02659">
        <w:rPr>
          <w:rFonts w:ascii="Arial Narrow" w:hAnsi="Arial Narrow"/>
          <w:sz w:val="18"/>
          <w:szCs w:val="18"/>
        </w:rPr>
        <w:t xml:space="preserve"> July 2014</w:t>
      </w:r>
    </w:p>
    <w:p w14:paraId="54265BE6" w14:textId="77777777" w:rsidR="00B51828" w:rsidRPr="00414562" w:rsidRDefault="00B51828" w:rsidP="002101D2">
      <w:pPr>
        <w:ind w:left="0"/>
      </w:pPr>
    </w:p>
    <w:p w14:paraId="5EA06856" w14:textId="77777777" w:rsidR="00B51828" w:rsidRDefault="00B51828" w:rsidP="00B51828">
      <w:pPr>
        <w:pStyle w:val="Heading2"/>
        <w:numPr>
          <w:ilvl w:val="1"/>
          <w:numId w:val="1"/>
        </w:numPr>
      </w:pPr>
      <w:bookmarkStart w:id="263" w:name="_Ref394574253"/>
      <w:bookmarkStart w:id="264" w:name="_Toc396211712"/>
      <w:r>
        <w:t>Estimation of use and costs of the proposed medical service</w:t>
      </w:r>
      <w:bookmarkEnd w:id="263"/>
      <w:bookmarkEnd w:id="264"/>
    </w:p>
    <w:p w14:paraId="4ACF86A8" w14:textId="0B726956" w:rsidR="00B51828" w:rsidRDefault="00B51828" w:rsidP="002101D2">
      <w:r>
        <w:fldChar w:fldCharType="begin"/>
      </w:r>
      <w:r>
        <w:instrText xml:space="preserve"> REF _Ref394572120 \h </w:instrText>
      </w:r>
      <w:r>
        <w:fldChar w:fldCharType="separate"/>
      </w:r>
      <w:r w:rsidR="0044620B">
        <w:t xml:space="preserve">Table </w:t>
      </w:r>
      <w:r w:rsidR="0044620B">
        <w:rPr>
          <w:noProof/>
        </w:rPr>
        <w:t>E.2</w:t>
      </w:r>
      <w:r w:rsidR="0044620B">
        <w:noBreakHyphen/>
      </w:r>
      <w:r w:rsidR="0044620B">
        <w:rPr>
          <w:noProof/>
        </w:rPr>
        <w:t>1</w:t>
      </w:r>
      <w:r>
        <w:fldChar w:fldCharType="end"/>
      </w:r>
      <w:r>
        <w:t xml:space="preserve"> shows the number of second, expert opinion services that would be expected over the first five years of the proposed MBS listing. The estimates were obtained by multiplying the projected number of initial pathology opinions through to the fifth year of listing (</w:t>
      </w:r>
      <w:r>
        <w:fldChar w:fldCharType="begin"/>
      </w:r>
      <w:r>
        <w:instrText xml:space="preserve"> REF _Ref395267262 \h </w:instrText>
      </w:r>
      <w:r>
        <w:fldChar w:fldCharType="separate"/>
      </w:r>
      <w:r w:rsidR="0044620B">
        <w:t xml:space="preserve">Table </w:t>
      </w:r>
      <w:r w:rsidR="0044620B">
        <w:rPr>
          <w:noProof/>
        </w:rPr>
        <w:t>E.1</w:t>
      </w:r>
      <w:r w:rsidR="0044620B">
        <w:noBreakHyphen/>
      </w:r>
      <w:r w:rsidR="0044620B">
        <w:rPr>
          <w:noProof/>
        </w:rPr>
        <w:t>2</w:t>
      </w:r>
      <w:r>
        <w:fldChar w:fldCharType="end"/>
      </w:r>
      <w:r>
        <w:t>) by the proportion of initial cases that would be referred for second, expert opinion (</w:t>
      </w:r>
      <w:r>
        <w:fldChar w:fldCharType="begin"/>
      </w:r>
      <w:r>
        <w:instrText xml:space="preserve"> REF _Ref395267293 \h </w:instrText>
      </w:r>
      <w:r>
        <w:fldChar w:fldCharType="separate"/>
      </w:r>
      <w:r w:rsidR="0044620B">
        <w:t xml:space="preserve">Table </w:t>
      </w:r>
      <w:r w:rsidR="0044620B">
        <w:rPr>
          <w:noProof/>
        </w:rPr>
        <w:t>E.1</w:t>
      </w:r>
      <w:r w:rsidR="0044620B">
        <w:noBreakHyphen/>
      </w:r>
      <w:r w:rsidR="0044620B">
        <w:rPr>
          <w:noProof/>
        </w:rPr>
        <w:t>3</w:t>
      </w:r>
      <w:r>
        <w:fldChar w:fldCharType="end"/>
      </w:r>
      <w:r>
        <w:t xml:space="preserve">). The table also shows the number of second, expert opinions that would be expected to occur over the next five years if current funding arrangements continue, using the relevant estimates from </w:t>
      </w:r>
      <w:r>
        <w:fldChar w:fldCharType="begin"/>
      </w:r>
      <w:r>
        <w:instrText xml:space="preserve"> REF _Ref395267262 \h </w:instrText>
      </w:r>
      <w:r>
        <w:fldChar w:fldCharType="separate"/>
      </w:r>
      <w:r w:rsidR="0044620B">
        <w:t xml:space="preserve">Table </w:t>
      </w:r>
      <w:r w:rsidR="0044620B">
        <w:rPr>
          <w:noProof/>
        </w:rPr>
        <w:t>E.1</w:t>
      </w:r>
      <w:r w:rsidR="0044620B">
        <w:noBreakHyphen/>
      </w:r>
      <w:r w:rsidR="0044620B">
        <w:rPr>
          <w:noProof/>
        </w:rPr>
        <w:t>2</w:t>
      </w:r>
      <w:r>
        <w:fldChar w:fldCharType="end"/>
      </w:r>
      <w:r>
        <w:t xml:space="preserve">. </w:t>
      </w:r>
    </w:p>
    <w:p w14:paraId="166DA596" w14:textId="77777777" w:rsidR="00B51828" w:rsidRDefault="00B51828" w:rsidP="002101D2">
      <w:pPr>
        <w:pStyle w:val="Caption"/>
      </w:pPr>
      <w:bookmarkStart w:id="265" w:name="_Ref394572120"/>
      <w:bookmarkStart w:id="266" w:name="_Toc396211775"/>
      <w:r>
        <w:lastRenderedPageBreak/>
        <w:t xml:space="preserve">Table </w:t>
      </w:r>
      <w:fldSimple w:instr=" STYLEREF 2 \s ">
        <w:r w:rsidR="0044620B">
          <w:rPr>
            <w:noProof/>
          </w:rPr>
          <w:t>E.2</w:t>
        </w:r>
      </w:fldSimple>
      <w:r>
        <w:noBreakHyphen/>
      </w:r>
      <w:fldSimple w:instr=" SEQ Table \* ARABIC \s 2 ">
        <w:r w:rsidR="0044620B">
          <w:rPr>
            <w:noProof/>
          </w:rPr>
          <w:t>1</w:t>
        </w:r>
      </w:fldSimple>
      <w:bookmarkEnd w:id="265"/>
      <w:r>
        <w:tab/>
        <w:t>Estimated number of MBS services for second, expert opinions, over the first five years of the proposed MBS listing</w:t>
      </w:r>
      <w:bookmarkEnd w:id="266"/>
    </w:p>
    <w:tbl>
      <w:tblPr>
        <w:tblStyle w:val="TableGrid"/>
        <w:tblW w:w="8363" w:type="dxa"/>
        <w:tblInd w:w="704" w:type="dxa"/>
        <w:tblLayout w:type="fixed"/>
        <w:tblLook w:val="04A0" w:firstRow="1" w:lastRow="0" w:firstColumn="1" w:lastColumn="0" w:noHBand="0" w:noVBand="1"/>
        <w:tblCaption w:val="Number of MBS services"/>
        <w:tblDescription w:val="Estimated number of MBS services for second, expert opinions, over the first five years of the proposed MBS listing"/>
      </w:tblPr>
      <w:tblGrid>
        <w:gridCol w:w="2835"/>
        <w:gridCol w:w="1105"/>
        <w:gridCol w:w="1106"/>
        <w:gridCol w:w="1105"/>
        <w:gridCol w:w="1106"/>
        <w:gridCol w:w="1106"/>
      </w:tblGrid>
      <w:tr w:rsidR="00B51828" w14:paraId="56EA132B" w14:textId="77777777" w:rsidTr="00E61184">
        <w:trPr>
          <w:trHeight w:val="210"/>
          <w:tblHeader/>
        </w:trPr>
        <w:tc>
          <w:tcPr>
            <w:tcW w:w="2835" w:type="dxa"/>
          </w:tcPr>
          <w:p w14:paraId="07763B12" w14:textId="77777777" w:rsidR="00B51828" w:rsidRDefault="00B51828" w:rsidP="002101D2">
            <w:pPr>
              <w:pStyle w:val="Tabletextboldleft"/>
              <w:spacing w:before="20" w:after="20"/>
            </w:pPr>
          </w:p>
        </w:tc>
        <w:tc>
          <w:tcPr>
            <w:tcW w:w="1105" w:type="dxa"/>
          </w:tcPr>
          <w:p w14:paraId="5DC4D144" w14:textId="77777777" w:rsidR="00B51828" w:rsidRDefault="00B51828" w:rsidP="002101D2">
            <w:pPr>
              <w:pStyle w:val="Tabletextboldleft"/>
              <w:spacing w:before="20" w:after="20"/>
              <w:jc w:val="right"/>
            </w:pPr>
            <w:r>
              <w:t>Year 1</w:t>
            </w:r>
          </w:p>
          <w:p w14:paraId="629D1297" w14:textId="77777777" w:rsidR="00B51828" w:rsidRDefault="00B51828" w:rsidP="002101D2">
            <w:pPr>
              <w:pStyle w:val="Tabletextboldleft"/>
              <w:spacing w:before="20" w:after="20"/>
              <w:jc w:val="right"/>
            </w:pPr>
            <w:r>
              <w:t>(2015-16)</w:t>
            </w:r>
          </w:p>
        </w:tc>
        <w:tc>
          <w:tcPr>
            <w:tcW w:w="1106" w:type="dxa"/>
          </w:tcPr>
          <w:p w14:paraId="3EDF127B" w14:textId="77777777" w:rsidR="00B51828" w:rsidRDefault="00B51828" w:rsidP="002101D2">
            <w:pPr>
              <w:pStyle w:val="Tabletextboldleft"/>
              <w:spacing w:before="20" w:after="20"/>
              <w:jc w:val="right"/>
            </w:pPr>
            <w:r>
              <w:t>Year 2</w:t>
            </w:r>
          </w:p>
          <w:p w14:paraId="0ED4DA8B" w14:textId="77777777" w:rsidR="00B51828" w:rsidRDefault="00B51828" w:rsidP="002101D2">
            <w:pPr>
              <w:pStyle w:val="Tabletextboldleft"/>
              <w:spacing w:before="20" w:after="20"/>
              <w:jc w:val="right"/>
            </w:pPr>
            <w:r>
              <w:t>(2016-17)</w:t>
            </w:r>
          </w:p>
        </w:tc>
        <w:tc>
          <w:tcPr>
            <w:tcW w:w="1105" w:type="dxa"/>
          </w:tcPr>
          <w:p w14:paraId="16D0C284" w14:textId="77777777" w:rsidR="00B51828" w:rsidRDefault="00B51828" w:rsidP="002101D2">
            <w:pPr>
              <w:pStyle w:val="Tabletextboldleft"/>
              <w:spacing w:before="20" w:after="20"/>
              <w:jc w:val="right"/>
            </w:pPr>
            <w:r>
              <w:t>Year 3</w:t>
            </w:r>
          </w:p>
          <w:p w14:paraId="61C30862" w14:textId="77777777" w:rsidR="00B51828" w:rsidRDefault="00B51828" w:rsidP="002101D2">
            <w:pPr>
              <w:pStyle w:val="Tabletextboldleft"/>
              <w:spacing w:before="20" w:after="20"/>
              <w:jc w:val="right"/>
            </w:pPr>
            <w:r>
              <w:t>(2017-18)</w:t>
            </w:r>
          </w:p>
        </w:tc>
        <w:tc>
          <w:tcPr>
            <w:tcW w:w="1106" w:type="dxa"/>
          </w:tcPr>
          <w:p w14:paraId="12258DEB" w14:textId="77777777" w:rsidR="00B51828" w:rsidRDefault="00B51828" w:rsidP="002101D2">
            <w:pPr>
              <w:pStyle w:val="Tabletextboldleft"/>
              <w:spacing w:before="20" w:after="20"/>
              <w:jc w:val="right"/>
            </w:pPr>
            <w:r>
              <w:t>Year 4</w:t>
            </w:r>
          </w:p>
          <w:p w14:paraId="45C21C94" w14:textId="77777777" w:rsidR="00B51828" w:rsidRDefault="00B51828" w:rsidP="002101D2">
            <w:pPr>
              <w:pStyle w:val="Tabletextboldleft"/>
              <w:spacing w:before="20" w:after="20"/>
              <w:jc w:val="right"/>
            </w:pPr>
            <w:r>
              <w:t>(2018-19)</w:t>
            </w:r>
          </w:p>
        </w:tc>
        <w:tc>
          <w:tcPr>
            <w:tcW w:w="1106" w:type="dxa"/>
          </w:tcPr>
          <w:p w14:paraId="42CF3A0C" w14:textId="77777777" w:rsidR="00B51828" w:rsidRDefault="00B51828" w:rsidP="002101D2">
            <w:pPr>
              <w:pStyle w:val="Tabletextboldleft"/>
              <w:spacing w:before="20" w:after="20"/>
              <w:jc w:val="right"/>
            </w:pPr>
            <w:r>
              <w:t>Year 5</w:t>
            </w:r>
          </w:p>
          <w:p w14:paraId="22F2C7DC" w14:textId="77777777" w:rsidR="00B51828" w:rsidRDefault="00B51828" w:rsidP="002101D2">
            <w:pPr>
              <w:pStyle w:val="Tabletextboldleft"/>
              <w:spacing w:before="20" w:after="20"/>
              <w:jc w:val="right"/>
            </w:pPr>
            <w:r>
              <w:t>(2019-20)</w:t>
            </w:r>
          </w:p>
        </w:tc>
      </w:tr>
      <w:tr w:rsidR="00B51828" w:rsidRPr="00F647C7" w14:paraId="554F179D" w14:textId="77777777" w:rsidTr="00E61184">
        <w:trPr>
          <w:trHeight w:val="210"/>
        </w:trPr>
        <w:tc>
          <w:tcPr>
            <w:tcW w:w="2835" w:type="dxa"/>
            <w:shd w:val="clear" w:color="auto" w:fill="D0CECE" w:themeFill="background2" w:themeFillShade="E6"/>
          </w:tcPr>
          <w:p w14:paraId="6CEE4710" w14:textId="77777777" w:rsidR="00B51828" w:rsidRPr="00A80CE4" w:rsidRDefault="00B51828" w:rsidP="002101D2">
            <w:pPr>
              <w:pStyle w:val="Tabletextboldleft"/>
              <w:spacing w:before="20" w:after="20"/>
            </w:pPr>
            <w:r>
              <w:t>Proposed funding arrangements</w:t>
            </w:r>
          </w:p>
        </w:tc>
        <w:tc>
          <w:tcPr>
            <w:tcW w:w="1105" w:type="dxa"/>
            <w:shd w:val="clear" w:color="auto" w:fill="D0CECE" w:themeFill="background2" w:themeFillShade="E6"/>
            <w:vAlign w:val="bottom"/>
          </w:tcPr>
          <w:p w14:paraId="0C2926FA" w14:textId="77777777" w:rsidR="00B51828" w:rsidRPr="002D0B57" w:rsidRDefault="00B51828" w:rsidP="002101D2">
            <w:pPr>
              <w:pStyle w:val="Tabletextboldleft"/>
              <w:spacing w:before="20" w:after="20"/>
              <w:jc w:val="right"/>
              <w:rPr>
                <w:b w:val="0"/>
              </w:rPr>
            </w:pPr>
            <w:r>
              <w:rPr>
                <w:b w:val="0"/>
              </w:rPr>
              <w:t>-</w:t>
            </w:r>
          </w:p>
        </w:tc>
        <w:tc>
          <w:tcPr>
            <w:tcW w:w="1106" w:type="dxa"/>
            <w:shd w:val="clear" w:color="auto" w:fill="D0CECE" w:themeFill="background2" w:themeFillShade="E6"/>
            <w:vAlign w:val="bottom"/>
          </w:tcPr>
          <w:p w14:paraId="21C90988" w14:textId="77777777" w:rsidR="00B51828" w:rsidRPr="002D0B57" w:rsidRDefault="00B51828" w:rsidP="002101D2">
            <w:pPr>
              <w:pStyle w:val="Tabletextboldleft"/>
              <w:spacing w:before="20" w:after="20"/>
              <w:jc w:val="right"/>
              <w:rPr>
                <w:b w:val="0"/>
              </w:rPr>
            </w:pPr>
            <w:r>
              <w:rPr>
                <w:b w:val="0"/>
              </w:rPr>
              <w:t>-</w:t>
            </w:r>
          </w:p>
        </w:tc>
        <w:tc>
          <w:tcPr>
            <w:tcW w:w="1105" w:type="dxa"/>
            <w:shd w:val="clear" w:color="auto" w:fill="D0CECE" w:themeFill="background2" w:themeFillShade="E6"/>
            <w:vAlign w:val="bottom"/>
          </w:tcPr>
          <w:p w14:paraId="387F6F89" w14:textId="77777777" w:rsidR="00B51828" w:rsidRPr="002D0B57" w:rsidRDefault="00B51828" w:rsidP="002101D2">
            <w:pPr>
              <w:pStyle w:val="Tabletextboldleft"/>
              <w:spacing w:before="20" w:after="20"/>
              <w:jc w:val="right"/>
              <w:rPr>
                <w:b w:val="0"/>
              </w:rPr>
            </w:pPr>
            <w:r>
              <w:rPr>
                <w:b w:val="0"/>
              </w:rPr>
              <w:t>-</w:t>
            </w:r>
          </w:p>
        </w:tc>
        <w:tc>
          <w:tcPr>
            <w:tcW w:w="1106" w:type="dxa"/>
            <w:shd w:val="clear" w:color="auto" w:fill="D0CECE" w:themeFill="background2" w:themeFillShade="E6"/>
            <w:vAlign w:val="bottom"/>
          </w:tcPr>
          <w:p w14:paraId="0BE6BF67" w14:textId="77777777" w:rsidR="00B51828" w:rsidRPr="002D0B57" w:rsidRDefault="00B51828" w:rsidP="002101D2">
            <w:pPr>
              <w:pStyle w:val="Tabletextboldleft"/>
              <w:spacing w:before="20" w:after="20"/>
              <w:jc w:val="right"/>
              <w:rPr>
                <w:b w:val="0"/>
              </w:rPr>
            </w:pPr>
            <w:r>
              <w:rPr>
                <w:b w:val="0"/>
              </w:rPr>
              <w:t>-</w:t>
            </w:r>
          </w:p>
        </w:tc>
        <w:tc>
          <w:tcPr>
            <w:tcW w:w="1106" w:type="dxa"/>
            <w:shd w:val="clear" w:color="auto" w:fill="D0CECE" w:themeFill="background2" w:themeFillShade="E6"/>
            <w:vAlign w:val="bottom"/>
          </w:tcPr>
          <w:p w14:paraId="2E4983B9" w14:textId="77777777" w:rsidR="00B51828" w:rsidRPr="002D0B57" w:rsidRDefault="00B51828" w:rsidP="002101D2">
            <w:pPr>
              <w:pStyle w:val="Tabletextboldleft"/>
              <w:spacing w:before="20" w:after="20"/>
              <w:jc w:val="right"/>
              <w:rPr>
                <w:b w:val="0"/>
              </w:rPr>
            </w:pPr>
            <w:r>
              <w:rPr>
                <w:b w:val="0"/>
              </w:rPr>
              <w:t>-</w:t>
            </w:r>
          </w:p>
        </w:tc>
      </w:tr>
      <w:tr w:rsidR="00B51828" w:rsidRPr="00F647C7" w14:paraId="1858294F" w14:textId="77777777" w:rsidTr="00E61184">
        <w:trPr>
          <w:trHeight w:val="210"/>
        </w:trPr>
        <w:tc>
          <w:tcPr>
            <w:tcW w:w="2835" w:type="dxa"/>
          </w:tcPr>
          <w:p w14:paraId="5649BFD8" w14:textId="77777777" w:rsidR="00B51828" w:rsidRDefault="00B51828" w:rsidP="002101D2">
            <w:pPr>
              <w:pStyle w:val="Tabletextboldleft"/>
              <w:spacing w:before="20" w:after="20"/>
            </w:pPr>
            <w:r w:rsidRPr="002D0B57">
              <w:rPr>
                <w:b w:val="0"/>
              </w:rPr>
              <w:t>Tissue pathology</w:t>
            </w:r>
            <w:r w:rsidRPr="002D0B57">
              <w:rPr>
                <w:b w:val="0"/>
                <w:vertAlign w:val="superscript"/>
              </w:rPr>
              <w:t>a</w:t>
            </w:r>
          </w:p>
        </w:tc>
        <w:tc>
          <w:tcPr>
            <w:tcW w:w="1105" w:type="dxa"/>
            <w:vAlign w:val="bottom"/>
          </w:tcPr>
          <w:p w14:paraId="6651AB31" w14:textId="77777777" w:rsidR="00B51828" w:rsidRPr="002D0B57" w:rsidRDefault="00B51828" w:rsidP="002101D2">
            <w:pPr>
              <w:pStyle w:val="Tabletextboldleft"/>
              <w:spacing w:before="20" w:after="20"/>
              <w:jc w:val="right"/>
              <w:rPr>
                <w:b w:val="0"/>
              </w:rPr>
            </w:pPr>
            <w:r w:rsidRPr="002D0B57">
              <w:rPr>
                <w:b w:val="0"/>
              </w:rPr>
              <w:t>44,362</w:t>
            </w:r>
          </w:p>
        </w:tc>
        <w:tc>
          <w:tcPr>
            <w:tcW w:w="1106" w:type="dxa"/>
            <w:vAlign w:val="bottom"/>
          </w:tcPr>
          <w:p w14:paraId="66215BF4" w14:textId="77777777" w:rsidR="00B51828" w:rsidRPr="002D0B57" w:rsidRDefault="00B51828" w:rsidP="002101D2">
            <w:pPr>
              <w:pStyle w:val="Tabletextboldleft"/>
              <w:spacing w:before="20" w:after="20"/>
              <w:jc w:val="right"/>
              <w:rPr>
                <w:b w:val="0"/>
              </w:rPr>
            </w:pPr>
            <w:r w:rsidRPr="002D0B57">
              <w:rPr>
                <w:b w:val="0"/>
              </w:rPr>
              <w:t>45,969</w:t>
            </w:r>
          </w:p>
        </w:tc>
        <w:tc>
          <w:tcPr>
            <w:tcW w:w="1105" w:type="dxa"/>
            <w:vAlign w:val="bottom"/>
          </w:tcPr>
          <w:p w14:paraId="28D181B9" w14:textId="77777777" w:rsidR="00B51828" w:rsidRPr="002D0B57" w:rsidRDefault="00B51828" w:rsidP="002101D2">
            <w:pPr>
              <w:pStyle w:val="Tabletextboldleft"/>
              <w:spacing w:before="20" w:after="20"/>
              <w:jc w:val="right"/>
              <w:rPr>
                <w:b w:val="0"/>
              </w:rPr>
            </w:pPr>
            <w:r w:rsidRPr="002D0B57">
              <w:rPr>
                <w:b w:val="0"/>
              </w:rPr>
              <w:t>47,576</w:t>
            </w:r>
          </w:p>
        </w:tc>
        <w:tc>
          <w:tcPr>
            <w:tcW w:w="1106" w:type="dxa"/>
            <w:vAlign w:val="bottom"/>
          </w:tcPr>
          <w:p w14:paraId="086A6722" w14:textId="77777777" w:rsidR="00B51828" w:rsidRPr="002D0B57" w:rsidRDefault="00B51828" w:rsidP="002101D2">
            <w:pPr>
              <w:pStyle w:val="Tabletextboldleft"/>
              <w:spacing w:before="20" w:after="20"/>
              <w:jc w:val="right"/>
              <w:rPr>
                <w:b w:val="0"/>
              </w:rPr>
            </w:pPr>
            <w:r w:rsidRPr="002D0B57">
              <w:rPr>
                <w:b w:val="0"/>
              </w:rPr>
              <w:t>49,184</w:t>
            </w:r>
          </w:p>
        </w:tc>
        <w:tc>
          <w:tcPr>
            <w:tcW w:w="1106" w:type="dxa"/>
            <w:vAlign w:val="bottom"/>
          </w:tcPr>
          <w:p w14:paraId="75033D6B" w14:textId="77777777" w:rsidR="00B51828" w:rsidRPr="002D0B57" w:rsidRDefault="00B51828" w:rsidP="002101D2">
            <w:pPr>
              <w:pStyle w:val="Tabletextboldleft"/>
              <w:spacing w:before="20" w:after="20"/>
              <w:jc w:val="right"/>
              <w:rPr>
                <w:b w:val="0"/>
              </w:rPr>
            </w:pPr>
            <w:r w:rsidRPr="002D0B57">
              <w:rPr>
                <w:b w:val="0"/>
              </w:rPr>
              <w:t>50,791</w:t>
            </w:r>
          </w:p>
        </w:tc>
      </w:tr>
      <w:tr w:rsidR="00B51828" w:rsidRPr="00F647C7" w14:paraId="4D1F9E6B" w14:textId="77777777" w:rsidTr="00E61184">
        <w:trPr>
          <w:trHeight w:val="210"/>
        </w:trPr>
        <w:tc>
          <w:tcPr>
            <w:tcW w:w="2835" w:type="dxa"/>
          </w:tcPr>
          <w:p w14:paraId="093583DC" w14:textId="77777777" w:rsidR="00B51828" w:rsidRDefault="00B51828" w:rsidP="002101D2">
            <w:pPr>
              <w:pStyle w:val="Tabletextboldleft"/>
              <w:spacing w:before="20" w:after="20"/>
            </w:pPr>
            <w:r w:rsidRPr="002D0B57">
              <w:rPr>
                <w:b w:val="0"/>
              </w:rPr>
              <w:t>Non-gynaecological cytology</w:t>
            </w:r>
          </w:p>
        </w:tc>
        <w:tc>
          <w:tcPr>
            <w:tcW w:w="1105" w:type="dxa"/>
            <w:vAlign w:val="bottom"/>
          </w:tcPr>
          <w:p w14:paraId="65103F53" w14:textId="77777777" w:rsidR="00B51828" w:rsidRPr="002D0B57" w:rsidRDefault="00B51828" w:rsidP="002101D2">
            <w:pPr>
              <w:pStyle w:val="Tabletextboldleft"/>
              <w:spacing w:before="20" w:after="20"/>
              <w:jc w:val="right"/>
              <w:rPr>
                <w:b w:val="0"/>
              </w:rPr>
            </w:pPr>
            <w:r w:rsidRPr="002D0B57">
              <w:rPr>
                <w:b w:val="0"/>
              </w:rPr>
              <w:t>3,058</w:t>
            </w:r>
          </w:p>
        </w:tc>
        <w:tc>
          <w:tcPr>
            <w:tcW w:w="1106" w:type="dxa"/>
            <w:vAlign w:val="bottom"/>
          </w:tcPr>
          <w:p w14:paraId="3B5A3A08" w14:textId="77777777" w:rsidR="00B51828" w:rsidRPr="002D0B57" w:rsidRDefault="00B51828" w:rsidP="002101D2">
            <w:pPr>
              <w:pStyle w:val="Tabletextboldleft"/>
              <w:spacing w:before="20" w:after="20"/>
              <w:jc w:val="right"/>
              <w:rPr>
                <w:b w:val="0"/>
              </w:rPr>
            </w:pPr>
            <w:r w:rsidRPr="002D0B57">
              <w:rPr>
                <w:b w:val="0"/>
              </w:rPr>
              <w:t>3,147</w:t>
            </w:r>
          </w:p>
        </w:tc>
        <w:tc>
          <w:tcPr>
            <w:tcW w:w="1105" w:type="dxa"/>
            <w:vAlign w:val="bottom"/>
          </w:tcPr>
          <w:p w14:paraId="0F710772" w14:textId="77777777" w:rsidR="00B51828" w:rsidRPr="002D0B57" w:rsidRDefault="00B51828" w:rsidP="002101D2">
            <w:pPr>
              <w:pStyle w:val="Tabletextboldleft"/>
              <w:spacing w:before="20" w:after="20"/>
              <w:jc w:val="right"/>
              <w:rPr>
                <w:b w:val="0"/>
              </w:rPr>
            </w:pPr>
            <w:r w:rsidRPr="002D0B57">
              <w:rPr>
                <w:b w:val="0"/>
              </w:rPr>
              <w:t>3,236</w:t>
            </w:r>
          </w:p>
        </w:tc>
        <w:tc>
          <w:tcPr>
            <w:tcW w:w="1106" w:type="dxa"/>
            <w:vAlign w:val="bottom"/>
          </w:tcPr>
          <w:p w14:paraId="7E375F47" w14:textId="77777777" w:rsidR="00B51828" w:rsidRPr="002D0B57" w:rsidRDefault="00B51828" w:rsidP="002101D2">
            <w:pPr>
              <w:pStyle w:val="Tabletextboldleft"/>
              <w:spacing w:before="20" w:after="20"/>
              <w:jc w:val="right"/>
              <w:rPr>
                <w:b w:val="0"/>
              </w:rPr>
            </w:pPr>
            <w:r w:rsidRPr="002D0B57">
              <w:rPr>
                <w:b w:val="0"/>
              </w:rPr>
              <w:t>3,324</w:t>
            </w:r>
          </w:p>
        </w:tc>
        <w:tc>
          <w:tcPr>
            <w:tcW w:w="1106" w:type="dxa"/>
            <w:vAlign w:val="bottom"/>
          </w:tcPr>
          <w:p w14:paraId="2D4F0FD8" w14:textId="77777777" w:rsidR="00B51828" w:rsidRPr="002D0B57" w:rsidRDefault="00B51828" w:rsidP="002101D2">
            <w:pPr>
              <w:pStyle w:val="Tabletextboldleft"/>
              <w:spacing w:before="20" w:after="20"/>
              <w:jc w:val="right"/>
              <w:rPr>
                <w:b w:val="0"/>
              </w:rPr>
            </w:pPr>
            <w:r w:rsidRPr="002D0B57">
              <w:rPr>
                <w:b w:val="0"/>
              </w:rPr>
              <w:t>3,413</w:t>
            </w:r>
          </w:p>
        </w:tc>
      </w:tr>
      <w:tr w:rsidR="00B51828" w:rsidRPr="00F647C7" w14:paraId="535E6D1D" w14:textId="77777777" w:rsidTr="00E61184">
        <w:trPr>
          <w:trHeight w:val="210"/>
        </w:trPr>
        <w:tc>
          <w:tcPr>
            <w:tcW w:w="2835" w:type="dxa"/>
          </w:tcPr>
          <w:p w14:paraId="510D5D9D" w14:textId="77777777" w:rsidR="00B51828" w:rsidRDefault="00B51828" w:rsidP="002101D2">
            <w:pPr>
              <w:pStyle w:val="Tabletextboldleft"/>
              <w:spacing w:before="20" w:after="20"/>
            </w:pPr>
            <w:r w:rsidRPr="002D0B57">
              <w:rPr>
                <w:b w:val="0"/>
              </w:rPr>
              <w:t>All cytology</w:t>
            </w:r>
          </w:p>
        </w:tc>
        <w:tc>
          <w:tcPr>
            <w:tcW w:w="1105" w:type="dxa"/>
            <w:vAlign w:val="bottom"/>
          </w:tcPr>
          <w:p w14:paraId="08CD3BB6" w14:textId="77777777" w:rsidR="00B51828" w:rsidRPr="002D0B57" w:rsidRDefault="00B51828" w:rsidP="002101D2">
            <w:pPr>
              <w:pStyle w:val="Tabletextboldleft"/>
              <w:spacing w:before="20" w:after="20"/>
              <w:jc w:val="right"/>
              <w:rPr>
                <w:b w:val="0"/>
              </w:rPr>
            </w:pPr>
            <w:r w:rsidRPr="002D0B57">
              <w:rPr>
                <w:b w:val="0"/>
              </w:rPr>
              <w:t>24,327</w:t>
            </w:r>
          </w:p>
        </w:tc>
        <w:tc>
          <w:tcPr>
            <w:tcW w:w="1106" w:type="dxa"/>
            <w:vAlign w:val="bottom"/>
          </w:tcPr>
          <w:p w14:paraId="44786944" w14:textId="77777777" w:rsidR="00B51828" w:rsidRPr="002D0B57" w:rsidRDefault="00B51828" w:rsidP="002101D2">
            <w:pPr>
              <w:pStyle w:val="Tabletextboldleft"/>
              <w:spacing w:before="20" w:after="20"/>
              <w:jc w:val="right"/>
              <w:rPr>
                <w:b w:val="0"/>
              </w:rPr>
            </w:pPr>
            <w:r w:rsidRPr="002D0B57">
              <w:rPr>
                <w:b w:val="0"/>
              </w:rPr>
              <w:t>24,593</w:t>
            </w:r>
          </w:p>
        </w:tc>
        <w:tc>
          <w:tcPr>
            <w:tcW w:w="1105" w:type="dxa"/>
            <w:vAlign w:val="bottom"/>
          </w:tcPr>
          <w:p w14:paraId="5A6B3FBA" w14:textId="77777777" w:rsidR="00B51828" w:rsidRPr="002D0B57" w:rsidRDefault="00B51828" w:rsidP="002101D2">
            <w:pPr>
              <w:pStyle w:val="Tabletextboldleft"/>
              <w:spacing w:before="20" w:after="20"/>
              <w:jc w:val="right"/>
              <w:rPr>
                <w:b w:val="0"/>
              </w:rPr>
            </w:pPr>
            <w:r w:rsidRPr="002D0B57">
              <w:rPr>
                <w:b w:val="0"/>
              </w:rPr>
              <w:t>24,859</w:t>
            </w:r>
          </w:p>
        </w:tc>
        <w:tc>
          <w:tcPr>
            <w:tcW w:w="1106" w:type="dxa"/>
            <w:vAlign w:val="bottom"/>
          </w:tcPr>
          <w:p w14:paraId="5F789D3B" w14:textId="77777777" w:rsidR="00B51828" w:rsidRPr="002D0B57" w:rsidRDefault="00B51828" w:rsidP="002101D2">
            <w:pPr>
              <w:pStyle w:val="Tabletextboldleft"/>
              <w:spacing w:before="20" w:after="20"/>
              <w:jc w:val="right"/>
              <w:rPr>
                <w:b w:val="0"/>
              </w:rPr>
            </w:pPr>
            <w:r w:rsidRPr="002D0B57">
              <w:rPr>
                <w:b w:val="0"/>
              </w:rPr>
              <w:t>25,125</w:t>
            </w:r>
          </w:p>
        </w:tc>
        <w:tc>
          <w:tcPr>
            <w:tcW w:w="1106" w:type="dxa"/>
            <w:vAlign w:val="bottom"/>
          </w:tcPr>
          <w:p w14:paraId="3134D865" w14:textId="77777777" w:rsidR="00B51828" w:rsidRPr="002D0B57" w:rsidRDefault="00B51828" w:rsidP="002101D2">
            <w:pPr>
              <w:pStyle w:val="Tabletextboldleft"/>
              <w:spacing w:before="20" w:after="20"/>
              <w:jc w:val="right"/>
              <w:rPr>
                <w:b w:val="0"/>
              </w:rPr>
            </w:pPr>
            <w:r w:rsidRPr="002D0B57">
              <w:rPr>
                <w:b w:val="0"/>
              </w:rPr>
              <w:t>25,391</w:t>
            </w:r>
          </w:p>
        </w:tc>
      </w:tr>
      <w:tr w:rsidR="00B51828" w:rsidRPr="00F647C7" w14:paraId="5EE22560" w14:textId="77777777" w:rsidTr="00E61184">
        <w:trPr>
          <w:trHeight w:val="210"/>
        </w:trPr>
        <w:tc>
          <w:tcPr>
            <w:tcW w:w="2835" w:type="dxa"/>
            <w:shd w:val="clear" w:color="auto" w:fill="D0CECE" w:themeFill="background2" w:themeFillShade="E6"/>
          </w:tcPr>
          <w:p w14:paraId="688CC3E1" w14:textId="77777777" w:rsidR="00B51828" w:rsidRPr="002D0B57" w:rsidRDefault="00B51828" w:rsidP="002101D2">
            <w:pPr>
              <w:pStyle w:val="Tabletextboldleft"/>
              <w:spacing w:before="20" w:after="20"/>
              <w:rPr>
                <w:b w:val="0"/>
              </w:rPr>
            </w:pPr>
            <w:r>
              <w:t>Current funding arrangements</w:t>
            </w:r>
          </w:p>
        </w:tc>
        <w:tc>
          <w:tcPr>
            <w:tcW w:w="1105" w:type="dxa"/>
            <w:shd w:val="clear" w:color="auto" w:fill="D0CECE" w:themeFill="background2" w:themeFillShade="E6"/>
            <w:vAlign w:val="bottom"/>
          </w:tcPr>
          <w:p w14:paraId="7B43807A" w14:textId="77777777" w:rsidR="00B51828" w:rsidRPr="002D0B57" w:rsidRDefault="00B51828" w:rsidP="002101D2">
            <w:pPr>
              <w:pStyle w:val="Tabletextboldleft"/>
              <w:spacing w:before="20" w:after="20"/>
              <w:jc w:val="right"/>
              <w:rPr>
                <w:b w:val="0"/>
              </w:rPr>
            </w:pPr>
            <w:r>
              <w:rPr>
                <w:b w:val="0"/>
              </w:rPr>
              <w:t>-</w:t>
            </w:r>
          </w:p>
        </w:tc>
        <w:tc>
          <w:tcPr>
            <w:tcW w:w="1106" w:type="dxa"/>
            <w:shd w:val="clear" w:color="auto" w:fill="D0CECE" w:themeFill="background2" w:themeFillShade="E6"/>
            <w:vAlign w:val="bottom"/>
          </w:tcPr>
          <w:p w14:paraId="67A4BE2E" w14:textId="77777777" w:rsidR="00B51828" w:rsidRPr="002D0B57" w:rsidRDefault="00B51828" w:rsidP="002101D2">
            <w:pPr>
              <w:pStyle w:val="Tabletextboldleft"/>
              <w:spacing w:before="20" w:after="20"/>
              <w:jc w:val="right"/>
              <w:rPr>
                <w:b w:val="0"/>
              </w:rPr>
            </w:pPr>
            <w:r>
              <w:rPr>
                <w:b w:val="0"/>
              </w:rPr>
              <w:t>-</w:t>
            </w:r>
          </w:p>
        </w:tc>
        <w:tc>
          <w:tcPr>
            <w:tcW w:w="1105" w:type="dxa"/>
            <w:shd w:val="clear" w:color="auto" w:fill="D0CECE" w:themeFill="background2" w:themeFillShade="E6"/>
            <w:vAlign w:val="bottom"/>
          </w:tcPr>
          <w:p w14:paraId="3620E046" w14:textId="77777777" w:rsidR="00B51828" w:rsidRPr="002D0B57" w:rsidRDefault="00B51828" w:rsidP="002101D2">
            <w:pPr>
              <w:pStyle w:val="Tabletextboldleft"/>
              <w:spacing w:before="20" w:after="20"/>
              <w:jc w:val="right"/>
              <w:rPr>
                <w:b w:val="0"/>
              </w:rPr>
            </w:pPr>
            <w:r>
              <w:rPr>
                <w:b w:val="0"/>
              </w:rPr>
              <w:t>-</w:t>
            </w:r>
          </w:p>
        </w:tc>
        <w:tc>
          <w:tcPr>
            <w:tcW w:w="1106" w:type="dxa"/>
            <w:shd w:val="clear" w:color="auto" w:fill="D0CECE" w:themeFill="background2" w:themeFillShade="E6"/>
            <w:vAlign w:val="bottom"/>
          </w:tcPr>
          <w:p w14:paraId="2648B70C" w14:textId="77777777" w:rsidR="00B51828" w:rsidRPr="002D0B57" w:rsidRDefault="00B51828" w:rsidP="002101D2">
            <w:pPr>
              <w:pStyle w:val="Tabletextboldleft"/>
              <w:spacing w:before="20" w:after="20"/>
              <w:jc w:val="right"/>
              <w:rPr>
                <w:b w:val="0"/>
              </w:rPr>
            </w:pPr>
            <w:r>
              <w:rPr>
                <w:b w:val="0"/>
              </w:rPr>
              <w:t>-</w:t>
            </w:r>
          </w:p>
        </w:tc>
        <w:tc>
          <w:tcPr>
            <w:tcW w:w="1106" w:type="dxa"/>
            <w:shd w:val="clear" w:color="auto" w:fill="D0CECE" w:themeFill="background2" w:themeFillShade="E6"/>
            <w:vAlign w:val="bottom"/>
          </w:tcPr>
          <w:p w14:paraId="4EA30420" w14:textId="77777777" w:rsidR="00B51828" w:rsidRPr="002D0B57" w:rsidRDefault="00B51828" w:rsidP="002101D2">
            <w:pPr>
              <w:pStyle w:val="Tabletextboldleft"/>
              <w:spacing w:before="20" w:after="20"/>
              <w:jc w:val="right"/>
              <w:rPr>
                <w:b w:val="0"/>
              </w:rPr>
            </w:pPr>
            <w:r>
              <w:rPr>
                <w:b w:val="0"/>
              </w:rPr>
              <w:t>-</w:t>
            </w:r>
          </w:p>
        </w:tc>
      </w:tr>
      <w:tr w:rsidR="00B51828" w:rsidRPr="00F647C7" w14:paraId="2E2137B9" w14:textId="77777777" w:rsidTr="00E61184">
        <w:trPr>
          <w:trHeight w:val="210"/>
        </w:trPr>
        <w:tc>
          <w:tcPr>
            <w:tcW w:w="2835" w:type="dxa"/>
          </w:tcPr>
          <w:p w14:paraId="24C0C757" w14:textId="77777777" w:rsidR="00B51828" w:rsidRPr="002D0B57" w:rsidRDefault="00B51828" w:rsidP="002101D2">
            <w:pPr>
              <w:pStyle w:val="Tabletextboldleft"/>
              <w:spacing w:before="20" w:after="20"/>
              <w:rPr>
                <w:b w:val="0"/>
              </w:rPr>
            </w:pPr>
            <w:r w:rsidRPr="002D0B57">
              <w:rPr>
                <w:b w:val="0"/>
              </w:rPr>
              <w:t>Tissue pathology</w:t>
            </w:r>
            <w:r w:rsidRPr="002D0B57">
              <w:rPr>
                <w:b w:val="0"/>
                <w:vertAlign w:val="superscript"/>
              </w:rPr>
              <w:t>a</w:t>
            </w:r>
          </w:p>
        </w:tc>
        <w:tc>
          <w:tcPr>
            <w:tcW w:w="1105" w:type="dxa"/>
            <w:vAlign w:val="bottom"/>
          </w:tcPr>
          <w:p w14:paraId="12AC2AED" w14:textId="77777777" w:rsidR="00B51828" w:rsidRPr="002D0B57" w:rsidRDefault="00B51828" w:rsidP="002101D2">
            <w:pPr>
              <w:pStyle w:val="Tabletextboldleft"/>
              <w:spacing w:before="20" w:after="20"/>
              <w:jc w:val="right"/>
              <w:rPr>
                <w:b w:val="0"/>
              </w:rPr>
            </w:pPr>
            <w:r w:rsidRPr="002D0B57">
              <w:rPr>
                <w:b w:val="0"/>
              </w:rPr>
              <w:t>17,862</w:t>
            </w:r>
          </w:p>
        </w:tc>
        <w:tc>
          <w:tcPr>
            <w:tcW w:w="1106" w:type="dxa"/>
            <w:vAlign w:val="bottom"/>
          </w:tcPr>
          <w:p w14:paraId="71F78329" w14:textId="77777777" w:rsidR="00B51828" w:rsidRPr="002D0B57" w:rsidRDefault="00B51828" w:rsidP="002101D2">
            <w:pPr>
              <w:pStyle w:val="Tabletextboldleft"/>
              <w:spacing w:before="20" w:after="20"/>
              <w:jc w:val="right"/>
              <w:rPr>
                <w:b w:val="0"/>
              </w:rPr>
            </w:pPr>
            <w:r w:rsidRPr="002D0B57">
              <w:rPr>
                <w:b w:val="0"/>
              </w:rPr>
              <w:t>18,510</w:t>
            </w:r>
          </w:p>
        </w:tc>
        <w:tc>
          <w:tcPr>
            <w:tcW w:w="1105" w:type="dxa"/>
            <w:vAlign w:val="bottom"/>
          </w:tcPr>
          <w:p w14:paraId="3F6FBD85" w14:textId="77777777" w:rsidR="00B51828" w:rsidRPr="002D0B57" w:rsidRDefault="00B51828" w:rsidP="002101D2">
            <w:pPr>
              <w:pStyle w:val="Tabletextboldleft"/>
              <w:spacing w:before="20" w:after="20"/>
              <w:jc w:val="right"/>
              <w:rPr>
                <w:b w:val="0"/>
              </w:rPr>
            </w:pPr>
            <w:r w:rsidRPr="002D0B57">
              <w:rPr>
                <w:b w:val="0"/>
              </w:rPr>
              <w:t>19,157</w:t>
            </w:r>
          </w:p>
        </w:tc>
        <w:tc>
          <w:tcPr>
            <w:tcW w:w="1106" w:type="dxa"/>
            <w:vAlign w:val="bottom"/>
          </w:tcPr>
          <w:p w14:paraId="3CC67A72" w14:textId="77777777" w:rsidR="00B51828" w:rsidRPr="002D0B57" w:rsidRDefault="00B51828" w:rsidP="002101D2">
            <w:pPr>
              <w:pStyle w:val="Tabletextboldleft"/>
              <w:spacing w:before="20" w:after="20"/>
              <w:jc w:val="right"/>
              <w:rPr>
                <w:b w:val="0"/>
              </w:rPr>
            </w:pPr>
            <w:r w:rsidRPr="002D0B57">
              <w:rPr>
                <w:b w:val="0"/>
              </w:rPr>
              <w:t>19,804</w:t>
            </w:r>
          </w:p>
        </w:tc>
        <w:tc>
          <w:tcPr>
            <w:tcW w:w="1106" w:type="dxa"/>
            <w:vAlign w:val="bottom"/>
          </w:tcPr>
          <w:p w14:paraId="25544D2B" w14:textId="77777777" w:rsidR="00B51828" w:rsidRPr="002D0B57" w:rsidRDefault="00B51828" w:rsidP="002101D2">
            <w:pPr>
              <w:pStyle w:val="Tabletextboldleft"/>
              <w:spacing w:before="20" w:after="20"/>
              <w:jc w:val="right"/>
              <w:rPr>
                <w:b w:val="0"/>
              </w:rPr>
            </w:pPr>
            <w:r w:rsidRPr="002D0B57">
              <w:rPr>
                <w:b w:val="0"/>
              </w:rPr>
              <w:t>20,451</w:t>
            </w:r>
          </w:p>
        </w:tc>
      </w:tr>
      <w:tr w:rsidR="00B51828" w:rsidRPr="00F647C7" w14:paraId="1DA8CA0D" w14:textId="77777777" w:rsidTr="00E61184">
        <w:trPr>
          <w:trHeight w:val="210"/>
        </w:trPr>
        <w:tc>
          <w:tcPr>
            <w:tcW w:w="2835" w:type="dxa"/>
          </w:tcPr>
          <w:p w14:paraId="4B638A86" w14:textId="77777777" w:rsidR="00B51828" w:rsidRPr="002D0B57" w:rsidRDefault="00B51828" w:rsidP="002101D2">
            <w:pPr>
              <w:pStyle w:val="Tabletextboldleft"/>
              <w:spacing w:before="20" w:after="20"/>
              <w:rPr>
                <w:b w:val="0"/>
              </w:rPr>
            </w:pPr>
            <w:r w:rsidRPr="002D0B57">
              <w:rPr>
                <w:b w:val="0"/>
              </w:rPr>
              <w:t>Non-gynaecological cytology</w:t>
            </w:r>
          </w:p>
        </w:tc>
        <w:tc>
          <w:tcPr>
            <w:tcW w:w="1105" w:type="dxa"/>
            <w:vAlign w:val="bottom"/>
          </w:tcPr>
          <w:p w14:paraId="44C61A1C" w14:textId="77777777" w:rsidR="00B51828" w:rsidRPr="002D0B57" w:rsidRDefault="00B51828" w:rsidP="002101D2">
            <w:pPr>
              <w:pStyle w:val="Tabletextboldleft"/>
              <w:spacing w:before="20" w:after="20"/>
              <w:jc w:val="right"/>
              <w:rPr>
                <w:b w:val="0"/>
              </w:rPr>
            </w:pPr>
            <w:r w:rsidRPr="002D0B57">
              <w:rPr>
                <w:b w:val="0"/>
              </w:rPr>
              <w:t>858</w:t>
            </w:r>
          </w:p>
        </w:tc>
        <w:tc>
          <w:tcPr>
            <w:tcW w:w="1106" w:type="dxa"/>
            <w:vAlign w:val="bottom"/>
          </w:tcPr>
          <w:p w14:paraId="7EE47F6E" w14:textId="77777777" w:rsidR="00B51828" w:rsidRPr="002D0B57" w:rsidRDefault="00B51828" w:rsidP="002101D2">
            <w:pPr>
              <w:pStyle w:val="Tabletextboldleft"/>
              <w:spacing w:before="20" w:after="20"/>
              <w:jc w:val="right"/>
              <w:rPr>
                <w:b w:val="0"/>
              </w:rPr>
            </w:pPr>
            <w:r w:rsidRPr="002D0B57">
              <w:rPr>
                <w:b w:val="0"/>
              </w:rPr>
              <w:t>883</w:t>
            </w:r>
          </w:p>
        </w:tc>
        <w:tc>
          <w:tcPr>
            <w:tcW w:w="1105" w:type="dxa"/>
            <w:vAlign w:val="bottom"/>
          </w:tcPr>
          <w:p w14:paraId="1EF9A84F" w14:textId="77777777" w:rsidR="00B51828" w:rsidRPr="002D0B57" w:rsidRDefault="00B51828" w:rsidP="002101D2">
            <w:pPr>
              <w:pStyle w:val="Tabletextboldleft"/>
              <w:spacing w:before="20" w:after="20"/>
              <w:jc w:val="right"/>
              <w:rPr>
                <w:b w:val="0"/>
              </w:rPr>
            </w:pPr>
            <w:r w:rsidRPr="002D0B57">
              <w:rPr>
                <w:b w:val="0"/>
              </w:rPr>
              <w:t>908</w:t>
            </w:r>
          </w:p>
        </w:tc>
        <w:tc>
          <w:tcPr>
            <w:tcW w:w="1106" w:type="dxa"/>
            <w:vAlign w:val="bottom"/>
          </w:tcPr>
          <w:p w14:paraId="6ABA9039" w14:textId="77777777" w:rsidR="00B51828" w:rsidRPr="002D0B57" w:rsidRDefault="00B51828" w:rsidP="002101D2">
            <w:pPr>
              <w:pStyle w:val="Tabletextboldleft"/>
              <w:spacing w:before="20" w:after="20"/>
              <w:jc w:val="right"/>
              <w:rPr>
                <w:b w:val="0"/>
              </w:rPr>
            </w:pPr>
            <w:r w:rsidRPr="002D0B57">
              <w:rPr>
                <w:b w:val="0"/>
              </w:rPr>
              <w:t>932</w:t>
            </w:r>
          </w:p>
        </w:tc>
        <w:tc>
          <w:tcPr>
            <w:tcW w:w="1106" w:type="dxa"/>
            <w:vAlign w:val="bottom"/>
          </w:tcPr>
          <w:p w14:paraId="123BDD63" w14:textId="77777777" w:rsidR="00B51828" w:rsidRPr="002D0B57" w:rsidRDefault="00B51828" w:rsidP="002101D2">
            <w:pPr>
              <w:pStyle w:val="Tabletextboldleft"/>
              <w:spacing w:before="20" w:after="20"/>
              <w:jc w:val="right"/>
              <w:rPr>
                <w:b w:val="0"/>
              </w:rPr>
            </w:pPr>
            <w:r w:rsidRPr="002D0B57">
              <w:rPr>
                <w:b w:val="0"/>
              </w:rPr>
              <w:t>957</w:t>
            </w:r>
          </w:p>
        </w:tc>
      </w:tr>
      <w:tr w:rsidR="00B51828" w:rsidRPr="00F647C7" w14:paraId="63025F87" w14:textId="77777777" w:rsidTr="00E61184">
        <w:trPr>
          <w:trHeight w:val="210"/>
        </w:trPr>
        <w:tc>
          <w:tcPr>
            <w:tcW w:w="2835" w:type="dxa"/>
          </w:tcPr>
          <w:p w14:paraId="6F5C1934" w14:textId="77777777" w:rsidR="00B51828" w:rsidRPr="002D0B57" w:rsidRDefault="00B51828" w:rsidP="002101D2">
            <w:pPr>
              <w:pStyle w:val="Tabletextboldleft"/>
              <w:spacing w:before="20" w:after="20"/>
              <w:rPr>
                <w:b w:val="0"/>
              </w:rPr>
            </w:pPr>
            <w:r w:rsidRPr="002D0B57">
              <w:rPr>
                <w:b w:val="0"/>
              </w:rPr>
              <w:t>All cytology</w:t>
            </w:r>
          </w:p>
        </w:tc>
        <w:tc>
          <w:tcPr>
            <w:tcW w:w="1105" w:type="dxa"/>
            <w:vAlign w:val="bottom"/>
          </w:tcPr>
          <w:p w14:paraId="3B3FE0D8" w14:textId="77777777" w:rsidR="00B51828" w:rsidRPr="002D0B57" w:rsidRDefault="00B51828" w:rsidP="002101D2">
            <w:pPr>
              <w:pStyle w:val="Tabletextboldleft"/>
              <w:spacing w:before="20" w:after="20"/>
              <w:jc w:val="right"/>
              <w:rPr>
                <w:b w:val="0"/>
              </w:rPr>
            </w:pPr>
            <w:r w:rsidRPr="002D0B57">
              <w:rPr>
                <w:b w:val="0"/>
              </w:rPr>
              <w:t>6,824</w:t>
            </w:r>
          </w:p>
        </w:tc>
        <w:tc>
          <w:tcPr>
            <w:tcW w:w="1106" w:type="dxa"/>
            <w:vAlign w:val="bottom"/>
          </w:tcPr>
          <w:p w14:paraId="1CA1892D" w14:textId="77777777" w:rsidR="00B51828" w:rsidRPr="002D0B57" w:rsidRDefault="00B51828" w:rsidP="002101D2">
            <w:pPr>
              <w:pStyle w:val="Tabletextboldleft"/>
              <w:spacing w:before="20" w:after="20"/>
              <w:jc w:val="right"/>
              <w:rPr>
                <w:b w:val="0"/>
              </w:rPr>
            </w:pPr>
            <w:r w:rsidRPr="002D0B57">
              <w:rPr>
                <w:b w:val="0"/>
              </w:rPr>
              <w:t>6,898</w:t>
            </w:r>
          </w:p>
        </w:tc>
        <w:tc>
          <w:tcPr>
            <w:tcW w:w="1105" w:type="dxa"/>
            <w:vAlign w:val="bottom"/>
          </w:tcPr>
          <w:p w14:paraId="7C183A7E" w14:textId="77777777" w:rsidR="00B51828" w:rsidRPr="002D0B57" w:rsidRDefault="00B51828" w:rsidP="002101D2">
            <w:pPr>
              <w:pStyle w:val="Tabletextboldleft"/>
              <w:spacing w:before="20" w:after="20"/>
              <w:jc w:val="right"/>
              <w:rPr>
                <w:b w:val="0"/>
              </w:rPr>
            </w:pPr>
            <w:r w:rsidRPr="002D0B57">
              <w:rPr>
                <w:b w:val="0"/>
              </w:rPr>
              <w:t>6,973</w:t>
            </w:r>
          </w:p>
        </w:tc>
        <w:tc>
          <w:tcPr>
            <w:tcW w:w="1106" w:type="dxa"/>
            <w:vAlign w:val="bottom"/>
          </w:tcPr>
          <w:p w14:paraId="4888E7FD" w14:textId="77777777" w:rsidR="00B51828" w:rsidRPr="002D0B57" w:rsidRDefault="00B51828" w:rsidP="002101D2">
            <w:pPr>
              <w:pStyle w:val="Tabletextboldleft"/>
              <w:spacing w:before="20" w:after="20"/>
              <w:jc w:val="right"/>
              <w:rPr>
                <w:b w:val="0"/>
              </w:rPr>
            </w:pPr>
            <w:r w:rsidRPr="002D0B57">
              <w:rPr>
                <w:b w:val="0"/>
              </w:rPr>
              <w:t>7,047</w:t>
            </w:r>
          </w:p>
        </w:tc>
        <w:tc>
          <w:tcPr>
            <w:tcW w:w="1106" w:type="dxa"/>
            <w:vAlign w:val="bottom"/>
          </w:tcPr>
          <w:p w14:paraId="4738A442" w14:textId="77777777" w:rsidR="00B51828" w:rsidRPr="002D0B57" w:rsidRDefault="00B51828" w:rsidP="002101D2">
            <w:pPr>
              <w:pStyle w:val="Tabletextboldleft"/>
              <w:spacing w:before="20" w:after="20"/>
              <w:jc w:val="right"/>
              <w:rPr>
                <w:b w:val="0"/>
              </w:rPr>
            </w:pPr>
            <w:r w:rsidRPr="002D0B57">
              <w:rPr>
                <w:b w:val="0"/>
              </w:rPr>
              <w:t>7,122</w:t>
            </w:r>
          </w:p>
        </w:tc>
      </w:tr>
    </w:tbl>
    <w:p w14:paraId="6D1798EE"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&lt;MBS services (SO items)&gt;</w:t>
      </w:r>
    </w:p>
    <w:p w14:paraId="3D52C8F7" w14:textId="77777777" w:rsidR="00B51828" w:rsidRPr="003C204D" w:rsidRDefault="00B51828" w:rsidP="002101D2">
      <w:pPr>
        <w:ind w:left="0" w:firstLine="720"/>
        <w:rPr>
          <w:rFonts w:ascii="Arial Narrow" w:hAnsi="Arial Narrow"/>
          <w:sz w:val="18"/>
          <w:szCs w:val="18"/>
        </w:rPr>
      </w:pPr>
      <w:r w:rsidRPr="00DB0F9B">
        <w:rPr>
          <w:rFonts w:ascii="Arial Narrow" w:hAnsi="Arial Narrow"/>
          <w:sz w:val="18"/>
          <w:szCs w:val="18"/>
          <w:vertAlign w:val="superscript"/>
        </w:rPr>
        <w:t>a</w:t>
      </w:r>
      <w:r w:rsidRPr="00DB0F9B">
        <w:rPr>
          <w:rFonts w:ascii="Arial Narrow" w:hAnsi="Arial Narrow"/>
          <w:sz w:val="18"/>
          <w:szCs w:val="18"/>
        </w:rPr>
        <w:t xml:space="preserve"> Includes bone marrow items</w:t>
      </w:r>
    </w:p>
    <w:p w14:paraId="2BF471CA" w14:textId="77777777" w:rsidR="00B51828" w:rsidRDefault="00B51828" w:rsidP="002101D2">
      <w:r>
        <w:t xml:space="preserve">The estimated utilisation shown in </w:t>
      </w:r>
      <w:r>
        <w:fldChar w:fldCharType="begin"/>
      </w:r>
      <w:r>
        <w:instrText xml:space="preserve"> REF _Ref394572120 \h </w:instrText>
      </w:r>
      <w:r>
        <w:fldChar w:fldCharType="separate"/>
      </w:r>
      <w:r w:rsidR="0044620B">
        <w:t xml:space="preserve">Table </w:t>
      </w:r>
      <w:r w:rsidR="0044620B">
        <w:rPr>
          <w:noProof/>
        </w:rPr>
        <w:t>E.2</w:t>
      </w:r>
      <w:r w:rsidR="0044620B">
        <w:noBreakHyphen/>
      </w:r>
      <w:r w:rsidR="0044620B">
        <w:rPr>
          <w:noProof/>
        </w:rPr>
        <w:t>1</w:t>
      </w:r>
      <w:r>
        <w:fldChar w:fldCharType="end"/>
      </w:r>
      <w:r>
        <w:t xml:space="preserve"> is broken down further in </w:t>
      </w:r>
      <w:r>
        <w:fldChar w:fldCharType="begin"/>
      </w:r>
      <w:r>
        <w:instrText xml:space="preserve"> REF _Ref395110847 \h </w:instrText>
      </w:r>
      <w:r>
        <w:fldChar w:fldCharType="separate"/>
      </w:r>
      <w:r w:rsidR="0044620B">
        <w:t xml:space="preserve">Table </w:t>
      </w:r>
      <w:r w:rsidR="0044620B">
        <w:rPr>
          <w:noProof/>
        </w:rPr>
        <w:t>E.2</w:t>
      </w:r>
      <w:r w:rsidR="0044620B">
        <w:noBreakHyphen/>
      </w:r>
      <w:r w:rsidR="0044620B">
        <w:rPr>
          <w:noProof/>
        </w:rPr>
        <w:t>2</w:t>
      </w:r>
      <w:r>
        <w:fldChar w:fldCharType="end"/>
      </w:r>
      <w:r>
        <w:t xml:space="preserve"> to indicate the proportion of cases that would be likely to be pathologist-initiated (</w:t>
      </w:r>
      <w:r>
        <w:rPr>
          <w:i/>
        </w:rPr>
        <w:t>Scenario 1</w:t>
      </w:r>
      <w:r>
        <w:t>) and clinician-initiated (</w:t>
      </w:r>
      <w:r>
        <w:rPr>
          <w:i/>
        </w:rPr>
        <w:t>Scenario 2</w:t>
      </w:r>
      <w:r>
        <w:t xml:space="preserve">), as well as those that would be ‘complex’ and ‘non-complex’ under the proposed funding arrangements. </w:t>
      </w:r>
      <w:r>
        <w:fldChar w:fldCharType="begin"/>
      </w:r>
      <w:r>
        <w:instrText xml:space="preserve"> REF _Ref394917045 \h </w:instrText>
      </w:r>
      <w:r>
        <w:fldChar w:fldCharType="separate"/>
      </w:r>
      <w:r w:rsidR="0044620B">
        <w:t xml:space="preserve">Table </w:t>
      </w:r>
      <w:r w:rsidR="0044620B">
        <w:rPr>
          <w:noProof/>
        </w:rPr>
        <w:t>E.2</w:t>
      </w:r>
      <w:r w:rsidR="0044620B">
        <w:noBreakHyphen/>
      </w:r>
      <w:r w:rsidR="0044620B">
        <w:rPr>
          <w:noProof/>
        </w:rPr>
        <w:t>3</w:t>
      </w:r>
      <w:r>
        <w:fldChar w:fldCharType="end"/>
      </w:r>
      <w:r>
        <w:t xml:space="preserve"> presents the equivalent breakdown using the survey estimates for the current funding arrangements and </w:t>
      </w:r>
      <w:r>
        <w:fldChar w:fldCharType="begin"/>
      </w:r>
      <w:r>
        <w:instrText xml:space="preserve"> REF _Ref394922379 \h </w:instrText>
      </w:r>
      <w:r>
        <w:fldChar w:fldCharType="separate"/>
      </w:r>
      <w:r w:rsidR="0044620B">
        <w:t xml:space="preserve">Table </w:t>
      </w:r>
      <w:r w:rsidR="0044620B">
        <w:rPr>
          <w:noProof/>
        </w:rPr>
        <w:t>E.2</w:t>
      </w:r>
      <w:r w:rsidR="0044620B">
        <w:noBreakHyphen/>
      </w:r>
      <w:r w:rsidR="0044620B">
        <w:rPr>
          <w:noProof/>
        </w:rPr>
        <w:t>4</w:t>
      </w:r>
      <w:r>
        <w:fldChar w:fldCharType="end"/>
      </w:r>
      <w:r>
        <w:t xml:space="preserve"> provides the incremental difference in service utilisation – showing the expected increase in utilisation under the proposed MBS listing. </w:t>
      </w:r>
      <w:bookmarkStart w:id="267" w:name="_Ref394915725"/>
    </w:p>
    <w:p w14:paraId="5BBE25DA" w14:textId="77777777" w:rsidR="00B51828" w:rsidRDefault="00B51828" w:rsidP="002101D2">
      <w:pPr>
        <w:pStyle w:val="Caption"/>
      </w:pPr>
      <w:bookmarkStart w:id="268" w:name="_Ref395110847"/>
      <w:bookmarkStart w:id="269" w:name="_Toc396211776"/>
      <w:r>
        <w:lastRenderedPageBreak/>
        <w:t xml:space="preserve">Table </w:t>
      </w:r>
      <w:fldSimple w:instr=" STYLEREF 2 \s ">
        <w:r w:rsidR="0044620B">
          <w:rPr>
            <w:noProof/>
          </w:rPr>
          <w:t>E.2</w:t>
        </w:r>
      </w:fldSimple>
      <w:r>
        <w:noBreakHyphen/>
      </w:r>
      <w:fldSimple w:instr=" SEQ Table \* ARABIC \s 2 ">
        <w:r w:rsidR="0044620B">
          <w:rPr>
            <w:noProof/>
          </w:rPr>
          <w:t>2</w:t>
        </w:r>
      </w:fldSimple>
      <w:bookmarkEnd w:id="267"/>
      <w:bookmarkEnd w:id="268"/>
      <w:r>
        <w:tab/>
        <w:t>Estimated number of MBS services for second, expert opinions, over the first five years of the proposed MBS listing – Proposed funding arrangements</w:t>
      </w:r>
      <w:bookmarkEnd w:id="269"/>
    </w:p>
    <w:tbl>
      <w:tblPr>
        <w:tblStyle w:val="TableGrid"/>
        <w:tblW w:w="8363" w:type="dxa"/>
        <w:tblInd w:w="704" w:type="dxa"/>
        <w:tblLayout w:type="fixed"/>
        <w:tblLook w:val="04A0" w:firstRow="1" w:lastRow="0" w:firstColumn="1" w:lastColumn="0" w:noHBand="0" w:noVBand="1"/>
        <w:tblCaption w:val="Estimated number of MBS services for second, expert opinions, over the first five years of the proposed MBS listing – Proposed funding arrangements"/>
        <w:tblDescription w:val="The number of services under proposed funding arrangements. Results are presented according to Scenario 1 and Scenario 2 cases and level of complexity"/>
      </w:tblPr>
      <w:tblGrid>
        <w:gridCol w:w="2410"/>
        <w:gridCol w:w="1190"/>
        <w:gridCol w:w="1191"/>
        <w:gridCol w:w="1190"/>
        <w:gridCol w:w="1191"/>
        <w:gridCol w:w="1191"/>
      </w:tblGrid>
      <w:tr w:rsidR="00B51828" w14:paraId="5A478833" w14:textId="77777777" w:rsidTr="00E61184">
        <w:trPr>
          <w:trHeight w:val="212"/>
          <w:tblHeader/>
        </w:trPr>
        <w:tc>
          <w:tcPr>
            <w:tcW w:w="2410" w:type="dxa"/>
          </w:tcPr>
          <w:p w14:paraId="28BF0360" w14:textId="77777777" w:rsidR="00B51828" w:rsidRDefault="00B51828" w:rsidP="002101D2">
            <w:pPr>
              <w:pStyle w:val="Tabletextboldleft"/>
              <w:spacing w:before="20" w:after="20"/>
            </w:pPr>
          </w:p>
        </w:tc>
        <w:tc>
          <w:tcPr>
            <w:tcW w:w="1190" w:type="dxa"/>
          </w:tcPr>
          <w:p w14:paraId="42F131EC" w14:textId="77777777" w:rsidR="00B51828" w:rsidRDefault="00B51828" w:rsidP="002101D2">
            <w:pPr>
              <w:pStyle w:val="Tabletextboldleft"/>
              <w:spacing w:before="20" w:after="20"/>
              <w:jc w:val="right"/>
            </w:pPr>
            <w:r>
              <w:t>Year 1</w:t>
            </w:r>
          </w:p>
          <w:p w14:paraId="3A14FF7B" w14:textId="77777777" w:rsidR="00B51828" w:rsidRDefault="00B51828" w:rsidP="002101D2">
            <w:pPr>
              <w:pStyle w:val="Tabletextboldleft"/>
              <w:spacing w:before="20" w:after="20"/>
              <w:jc w:val="right"/>
            </w:pPr>
            <w:r>
              <w:t>(2015-16)</w:t>
            </w:r>
          </w:p>
        </w:tc>
        <w:tc>
          <w:tcPr>
            <w:tcW w:w="1191" w:type="dxa"/>
          </w:tcPr>
          <w:p w14:paraId="5299D5DE" w14:textId="77777777" w:rsidR="00B51828" w:rsidRDefault="00B51828" w:rsidP="002101D2">
            <w:pPr>
              <w:pStyle w:val="Tabletextboldleft"/>
              <w:spacing w:before="20" w:after="20"/>
              <w:jc w:val="right"/>
            </w:pPr>
            <w:r>
              <w:t>Year 2</w:t>
            </w:r>
          </w:p>
          <w:p w14:paraId="72AE8AB9" w14:textId="77777777" w:rsidR="00B51828" w:rsidRDefault="00B51828" w:rsidP="002101D2">
            <w:pPr>
              <w:pStyle w:val="Tabletextboldleft"/>
              <w:spacing w:before="20" w:after="20"/>
              <w:jc w:val="right"/>
            </w:pPr>
            <w:r>
              <w:t>(2016-17)</w:t>
            </w:r>
          </w:p>
        </w:tc>
        <w:tc>
          <w:tcPr>
            <w:tcW w:w="1190" w:type="dxa"/>
          </w:tcPr>
          <w:p w14:paraId="2D0CDCAF" w14:textId="77777777" w:rsidR="00B51828" w:rsidRDefault="00B51828" w:rsidP="002101D2">
            <w:pPr>
              <w:pStyle w:val="Tabletextboldleft"/>
              <w:spacing w:before="20" w:after="20"/>
              <w:jc w:val="right"/>
            </w:pPr>
            <w:r>
              <w:t>Year 3</w:t>
            </w:r>
          </w:p>
          <w:p w14:paraId="617AFA9E" w14:textId="77777777" w:rsidR="00B51828" w:rsidRDefault="00B51828" w:rsidP="002101D2">
            <w:pPr>
              <w:pStyle w:val="Tabletextboldleft"/>
              <w:spacing w:before="20" w:after="20"/>
              <w:jc w:val="right"/>
            </w:pPr>
            <w:r>
              <w:t>(2017-18)</w:t>
            </w:r>
          </w:p>
        </w:tc>
        <w:tc>
          <w:tcPr>
            <w:tcW w:w="1191" w:type="dxa"/>
          </w:tcPr>
          <w:p w14:paraId="45ED5F75" w14:textId="77777777" w:rsidR="00B51828" w:rsidRDefault="00B51828" w:rsidP="002101D2">
            <w:pPr>
              <w:pStyle w:val="Tabletextboldleft"/>
              <w:spacing w:before="20" w:after="20"/>
              <w:jc w:val="right"/>
            </w:pPr>
            <w:r>
              <w:t>Year 4</w:t>
            </w:r>
          </w:p>
          <w:p w14:paraId="3E73E019" w14:textId="77777777" w:rsidR="00B51828" w:rsidRDefault="00B51828" w:rsidP="002101D2">
            <w:pPr>
              <w:pStyle w:val="Tabletextboldleft"/>
              <w:spacing w:before="20" w:after="20"/>
              <w:jc w:val="right"/>
            </w:pPr>
            <w:r>
              <w:t>(2018-19)</w:t>
            </w:r>
          </w:p>
        </w:tc>
        <w:tc>
          <w:tcPr>
            <w:tcW w:w="1191" w:type="dxa"/>
          </w:tcPr>
          <w:p w14:paraId="7E68FBB1" w14:textId="77777777" w:rsidR="00B51828" w:rsidRDefault="00B51828" w:rsidP="002101D2">
            <w:pPr>
              <w:pStyle w:val="Tabletextboldleft"/>
              <w:spacing w:before="20" w:after="20"/>
              <w:jc w:val="right"/>
            </w:pPr>
            <w:r>
              <w:t>Year 5</w:t>
            </w:r>
          </w:p>
          <w:p w14:paraId="1C8CA2A0" w14:textId="77777777" w:rsidR="00B51828" w:rsidRDefault="00B51828" w:rsidP="002101D2">
            <w:pPr>
              <w:pStyle w:val="Tabletextboldleft"/>
              <w:spacing w:before="20" w:after="20"/>
              <w:jc w:val="right"/>
            </w:pPr>
            <w:r>
              <w:t>(2019-20)</w:t>
            </w:r>
          </w:p>
        </w:tc>
      </w:tr>
      <w:tr w:rsidR="00B51828" w:rsidRPr="00F647C7" w14:paraId="242445ED" w14:textId="77777777" w:rsidTr="00E61184">
        <w:trPr>
          <w:trHeight w:val="212"/>
        </w:trPr>
        <w:tc>
          <w:tcPr>
            <w:tcW w:w="2410" w:type="dxa"/>
            <w:tcBorders>
              <w:bottom w:val="single" w:sz="4" w:space="0" w:color="auto"/>
            </w:tcBorders>
            <w:shd w:val="clear" w:color="auto" w:fill="D0CECE" w:themeFill="background2" w:themeFillShade="E6"/>
          </w:tcPr>
          <w:p w14:paraId="0540EF96" w14:textId="77777777" w:rsidR="00B51828" w:rsidRPr="0076472C" w:rsidRDefault="00B51828" w:rsidP="002101D2">
            <w:pPr>
              <w:pStyle w:val="Tabletextboldleft"/>
              <w:spacing w:before="20" w:after="20"/>
              <w:rPr>
                <w:i/>
              </w:rPr>
            </w:pPr>
            <w:r>
              <w:rPr>
                <w:i/>
              </w:rPr>
              <w:t>Scenario 1</w:t>
            </w:r>
          </w:p>
        </w:tc>
        <w:tc>
          <w:tcPr>
            <w:tcW w:w="1190" w:type="dxa"/>
            <w:tcBorders>
              <w:bottom w:val="single" w:sz="4" w:space="0" w:color="auto"/>
            </w:tcBorders>
            <w:shd w:val="clear" w:color="auto" w:fill="D0CECE" w:themeFill="background2" w:themeFillShade="E6"/>
          </w:tcPr>
          <w:p w14:paraId="273405EA"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11D3B33C" w14:textId="77777777" w:rsidR="00B51828" w:rsidRPr="002D0B57" w:rsidRDefault="00B51828" w:rsidP="002101D2">
            <w:pPr>
              <w:pStyle w:val="Tabletextboldleft"/>
              <w:spacing w:before="20" w:after="20"/>
              <w:jc w:val="right"/>
              <w:rPr>
                <w:b w:val="0"/>
              </w:rPr>
            </w:pPr>
            <w:r>
              <w:rPr>
                <w:b w:val="0"/>
              </w:rPr>
              <w:t>-</w:t>
            </w:r>
          </w:p>
        </w:tc>
        <w:tc>
          <w:tcPr>
            <w:tcW w:w="1190" w:type="dxa"/>
            <w:tcBorders>
              <w:bottom w:val="single" w:sz="4" w:space="0" w:color="auto"/>
            </w:tcBorders>
            <w:shd w:val="clear" w:color="auto" w:fill="D0CECE" w:themeFill="background2" w:themeFillShade="E6"/>
          </w:tcPr>
          <w:p w14:paraId="018FB461"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0107ADD5"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1EA46786" w14:textId="77777777" w:rsidR="00B51828" w:rsidRPr="002D0B57" w:rsidRDefault="00B51828" w:rsidP="002101D2">
            <w:pPr>
              <w:pStyle w:val="Tabletextboldleft"/>
              <w:spacing w:before="20" w:after="20"/>
              <w:jc w:val="right"/>
              <w:rPr>
                <w:b w:val="0"/>
              </w:rPr>
            </w:pPr>
            <w:r>
              <w:rPr>
                <w:b w:val="0"/>
              </w:rPr>
              <w:t>-</w:t>
            </w:r>
          </w:p>
        </w:tc>
      </w:tr>
      <w:tr w:rsidR="00B51828" w:rsidRPr="00F647C7" w14:paraId="5002B546" w14:textId="77777777" w:rsidTr="00E61184">
        <w:trPr>
          <w:trHeight w:val="212"/>
        </w:trPr>
        <w:tc>
          <w:tcPr>
            <w:tcW w:w="2410" w:type="dxa"/>
            <w:tcBorders>
              <w:bottom w:val="nil"/>
            </w:tcBorders>
            <w:shd w:val="clear" w:color="auto" w:fill="FFFFFF" w:themeFill="background1"/>
          </w:tcPr>
          <w:p w14:paraId="1E9B4FCE" w14:textId="77777777" w:rsidR="00B51828" w:rsidRPr="00386763"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1190" w:type="dxa"/>
            <w:tcBorders>
              <w:bottom w:val="nil"/>
            </w:tcBorders>
            <w:shd w:val="clear" w:color="auto" w:fill="FFFFFF" w:themeFill="background1"/>
          </w:tcPr>
          <w:p w14:paraId="47516498" w14:textId="77777777" w:rsidR="00B51828" w:rsidRPr="00386763" w:rsidRDefault="00B51828" w:rsidP="002101D2">
            <w:pPr>
              <w:pStyle w:val="Tabletextboldleft"/>
              <w:spacing w:before="20" w:after="20"/>
              <w:jc w:val="right"/>
              <w:rPr>
                <w:b w:val="0"/>
              </w:rPr>
            </w:pPr>
            <w:r w:rsidRPr="00386763">
              <w:rPr>
                <w:b w:val="0"/>
                <w:color w:val="000000"/>
              </w:rPr>
              <w:t>32,994</w:t>
            </w:r>
          </w:p>
        </w:tc>
        <w:tc>
          <w:tcPr>
            <w:tcW w:w="1191" w:type="dxa"/>
            <w:tcBorders>
              <w:bottom w:val="nil"/>
            </w:tcBorders>
            <w:shd w:val="clear" w:color="auto" w:fill="FFFFFF" w:themeFill="background1"/>
          </w:tcPr>
          <w:p w14:paraId="188CF9BE" w14:textId="77777777" w:rsidR="00B51828" w:rsidRPr="00386763" w:rsidRDefault="00B51828" w:rsidP="002101D2">
            <w:pPr>
              <w:pStyle w:val="Tabletextboldleft"/>
              <w:spacing w:before="20" w:after="20"/>
              <w:jc w:val="right"/>
              <w:rPr>
                <w:b w:val="0"/>
              </w:rPr>
            </w:pPr>
            <w:r w:rsidRPr="00386763">
              <w:rPr>
                <w:b w:val="0"/>
                <w:color w:val="000000"/>
              </w:rPr>
              <w:t>34,190</w:t>
            </w:r>
          </w:p>
        </w:tc>
        <w:tc>
          <w:tcPr>
            <w:tcW w:w="1190" w:type="dxa"/>
            <w:tcBorders>
              <w:bottom w:val="nil"/>
            </w:tcBorders>
            <w:shd w:val="clear" w:color="auto" w:fill="FFFFFF" w:themeFill="background1"/>
          </w:tcPr>
          <w:p w14:paraId="7355B9FF" w14:textId="77777777" w:rsidR="00B51828" w:rsidRPr="00386763" w:rsidRDefault="00B51828" w:rsidP="002101D2">
            <w:pPr>
              <w:pStyle w:val="Tabletextboldleft"/>
              <w:spacing w:before="20" w:after="20"/>
              <w:jc w:val="right"/>
              <w:rPr>
                <w:b w:val="0"/>
              </w:rPr>
            </w:pPr>
            <w:r w:rsidRPr="00386763">
              <w:rPr>
                <w:b w:val="0"/>
                <w:color w:val="000000"/>
              </w:rPr>
              <w:t>35,385</w:t>
            </w:r>
          </w:p>
        </w:tc>
        <w:tc>
          <w:tcPr>
            <w:tcW w:w="1191" w:type="dxa"/>
            <w:tcBorders>
              <w:bottom w:val="nil"/>
            </w:tcBorders>
            <w:shd w:val="clear" w:color="auto" w:fill="FFFFFF" w:themeFill="background1"/>
          </w:tcPr>
          <w:p w14:paraId="3ACD72E2" w14:textId="77777777" w:rsidR="00B51828" w:rsidRPr="00386763" w:rsidRDefault="00B51828" w:rsidP="002101D2">
            <w:pPr>
              <w:pStyle w:val="Tabletextboldleft"/>
              <w:spacing w:before="20" w:after="20"/>
              <w:jc w:val="right"/>
              <w:rPr>
                <w:b w:val="0"/>
              </w:rPr>
            </w:pPr>
            <w:r w:rsidRPr="00386763">
              <w:rPr>
                <w:b w:val="0"/>
                <w:color w:val="000000"/>
              </w:rPr>
              <w:t>36,580</w:t>
            </w:r>
          </w:p>
        </w:tc>
        <w:tc>
          <w:tcPr>
            <w:tcW w:w="1191" w:type="dxa"/>
            <w:tcBorders>
              <w:bottom w:val="nil"/>
            </w:tcBorders>
            <w:shd w:val="clear" w:color="auto" w:fill="FFFFFF" w:themeFill="background1"/>
          </w:tcPr>
          <w:p w14:paraId="76BD1CB1" w14:textId="77777777" w:rsidR="00B51828" w:rsidRPr="00386763" w:rsidRDefault="00B51828" w:rsidP="002101D2">
            <w:pPr>
              <w:pStyle w:val="Tabletextboldleft"/>
              <w:spacing w:before="20" w:after="20"/>
              <w:jc w:val="right"/>
              <w:rPr>
                <w:b w:val="0"/>
              </w:rPr>
            </w:pPr>
            <w:r w:rsidRPr="00386763">
              <w:rPr>
                <w:b w:val="0"/>
                <w:color w:val="000000"/>
              </w:rPr>
              <w:t>37,776</w:t>
            </w:r>
          </w:p>
        </w:tc>
      </w:tr>
      <w:tr w:rsidR="00B51828" w:rsidRPr="00F647C7" w14:paraId="02029F4C" w14:textId="77777777" w:rsidTr="00E61184">
        <w:trPr>
          <w:trHeight w:val="212"/>
        </w:trPr>
        <w:tc>
          <w:tcPr>
            <w:tcW w:w="2410" w:type="dxa"/>
            <w:tcBorders>
              <w:top w:val="nil"/>
              <w:bottom w:val="nil"/>
            </w:tcBorders>
            <w:shd w:val="clear" w:color="auto" w:fill="FFFFFF" w:themeFill="background1"/>
          </w:tcPr>
          <w:p w14:paraId="12F12BC1" w14:textId="77777777" w:rsidR="00B51828" w:rsidRPr="00386763" w:rsidRDefault="00B51828" w:rsidP="002101D2">
            <w:pPr>
              <w:pStyle w:val="Tabletextboldleft"/>
              <w:spacing w:before="20" w:after="20"/>
              <w:ind w:firstLine="317"/>
              <w:rPr>
                <w:b w:val="0"/>
              </w:rPr>
            </w:pPr>
            <w:r w:rsidRPr="00386763">
              <w:rPr>
                <w:b w:val="0"/>
              </w:rPr>
              <w:t>Complex</w:t>
            </w:r>
          </w:p>
        </w:tc>
        <w:tc>
          <w:tcPr>
            <w:tcW w:w="1190" w:type="dxa"/>
            <w:tcBorders>
              <w:top w:val="nil"/>
              <w:bottom w:val="nil"/>
            </w:tcBorders>
            <w:shd w:val="clear" w:color="auto" w:fill="FFFFFF" w:themeFill="background1"/>
          </w:tcPr>
          <w:p w14:paraId="49283F1D" w14:textId="77777777" w:rsidR="00B51828" w:rsidRPr="00386763" w:rsidRDefault="00B51828" w:rsidP="002101D2">
            <w:pPr>
              <w:pStyle w:val="Tabletextboldleft"/>
              <w:spacing w:before="20" w:after="20"/>
              <w:jc w:val="right"/>
              <w:rPr>
                <w:b w:val="0"/>
              </w:rPr>
            </w:pPr>
            <w:r w:rsidRPr="00386763">
              <w:rPr>
                <w:b w:val="0"/>
                <w:color w:val="000000"/>
              </w:rPr>
              <w:t>17,734</w:t>
            </w:r>
          </w:p>
        </w:tc>
        <w:tc>
          <w:tcPr>
            <w:tcW w:w="1191" w:type="dxa"/>
            <w:tcBorders>
              <w:top w:val="nil"/>
              <w:bottom w:val="nil"/>
            </w:tcBorders>
            <w:shd w:val="clear" w:color="auto" w:fill="FFFFFF" w:themeFill="background1"/>
          </w:tcPr>
          <w:p w14:paraId="280A17A0" w14:textId="77777777" w:rsidR="00B51828" w:rsidRPr="00386763" w:rsidRDefault="00B51828" w:rsidP="002101D2">
            <w:pPr>
              <w:pStyle w:val="Tabletextboldleft"/>
              <w:spacing w:before="20" w:after="20"/>
              <w:jc w:val="right"/>
              <w:rPr>
                <w:b w:val="0"/>
              </w:rPr>
            </w:pPr>
            <w:r w:rsidRPr="00386763">
              <w:rPr>
                <w:b w:val="0"/>
                <w:color w:val="000000"/>
              </w:rPr>
              <w:t>18,377</w:t>
            </w:r>
          </w:p>
        </w:tc>
        <w:tc>
          <w:tcPr>
            <w:tcW w:w="1190" w:type="dxa"/>
            <w:tcBorders>
              <w:top w:val="nil"/>
              <w:bottom w:val="nil"/>
            </w:tcBorders>
            <w:shd w:val="clear" w:color="auto" w:fill="FFFFFF" w:themeFill="background1"/>
          </w:tcPr>
          <w:p w14:paraId="263911AB" w14:textId="77777777" w:rsidR="00B51828" w:rsidRPr="00386763" w:rsidRDefault="00B51828" w:rsidP="002101D2">
            <w:pPr>
              <w:pStyle w:val="Tabletextboldleft"/>
              <w:spacing w:before="20" w:after="20"/>
              <w:jc w:val="right"/>
              <w:rPr>
                <w:b w:val="0"/>
              </w:rPr>
            </w:pPr>
            <w:r w:rsidRPr="00386763">
              <w:rPr>
                <w:b w:val="0"/>
                <w:color w:val="000000"/>
              </w:rPr>
              <w:t>19,019</w:t>
            </w:r>
          </w:p>
        </w:tc>
        <w:tc>
          <w:tcPr>
            <w:tcW w:w="1191" w:type="dxa"/>
            <w:tcBorders>
              <w:top w:val="nil"/>
              <w:bottom w:val="nil"/>
            </w:tcBorders>
            <w:shd w:val="clear" w:color="auto" w:fill="FFFFFF" w:themeFill="background1"/>
          </w:tcPr>
          <w:p w14:paraId="76679DF7" w14:textId="77777777" w:rsidR="00B51828" w:rsidRPr="00386763" w:rsidRDefault="00B51828" w:rsidP="002101D2">
            <w:pPr>
              <w:pStyle w:val="Tabletextboldleft"/>
              <w:spacing w:before="20" w:after="20"/>
              <w:jc w:val="right"/>
              <w:rPr>
                <w:b w:val="0"/>
              </w:rPr>
            </w:pPr>
            <w:r w:rsidRPr="00386763">
              <w:rPr>
                <w:b w:val="0"/>
                <w:color w:val="000000"/>
              </w:rPr>
              <w:t>19,662</w:t>
            </w:r>
          </w:p>
        </w:tc>
        <w:tc>
          <w:tcPr>
            <w:tcW w:w="1191" w:type="dxa"/>
            <w:tcBorders>
              <w:top w:val="nil"/>
              <w:bottom w:val="nil"/>
            </w:tcBorders>
            <w:shd w:val="clear" w:color="auto" w:fill="FFFFFF" w:themeFill="background1"/>
          </w:tcPr>
          <w:p w14:paraId="00240C90" w14:textId="77777777" w:rsidR="00B51828" w:rsidRPr="00386763" w:rsidRDefault="00B51828" w:rsidP="002101D2">
            <w:pPr>
              <w:pStyle w:val="Tabletextboldleft"/>
              <w:spacing w:before="20" w:after="20"/>
              <w:jc w:val="right"/>
              <w:rPr>
                <w:b w:val="0"/>
              </w:rPr>
            </w:pPr>
            <w:r w:rsidRPr="00386763">
              <w:rPr>
                <w:b w:val="0"/>
                <w:color w:val="000000"/>
              </w:rPr>
              <w:t>20,305</w:t>
            </w:r>
          </w:p>
        </w:tc>
      </w:tr>
      <w:tr w:rsidR="00B51828" w:rsidRPr="00F647C7" w14:paraId="0A4D3A39" w14:textId="77777777" w:rsidTr="00E61184">
        <w:trPr>
          <w:trHeight w:val="212"/>
        </w:trPr>
        <w:tc>
          <w:tcPr>
            <w:tcW w:w="2410" w:type="dxa"/>
            <w:tcBorders>
              <w:top w:val="nil"/>
              <w:bottom w:val="single" w:sz="4" w:space="0" w:color="auto"/>
            </w:tcBorders>
            <w:shd w:val="clear" w:color="auto" w:fill="FFFFFF" w:themeFill="background1"/>
          </w:tcPr>
          <w:p w14:paraId="39A5D5D1" w14:textId="77777777" w:rsidR="00B51828" w:rsidRPr="00386763" w:rsidRDefault="00B51828" w:rsidP="002101D2">
            <w:pPr>
              <w:pStyle w:val="Tabletextboldleft"/>
              <w:spacing w:before="20" w:after="20"/>
              <w:ind w:firstLine="317"/>
              <w:rPr>
                <w:b w:val="0"/>
              </w:rPr>
            </w:pPr>
            <w:r w:rsidRPr="00386763">
              <w:rPr>
                <w:b w:val="0"/>
              </w:rPr>
              <w:t>Non-complex</w:t>
            </w:r>
          </w:p>
        </w:tc>
        <w:tc>
          <w:tcPr>
            <w:tcW w:w="1190" w:type="dxa"/>
            <w:tcBorders>
              <w:top w:val="nil"/>
              <w:bottom w:val="single" w:sz="4" w:space="0" w:color="auto"/>
            </w:tcBorders>
            <w:shd w:val="clear" w:color="auto" w:fill="FFFFFF" w:themeFill="background1"/>
          </w:tcPr>
          <w:p w14:paraId="2A088569" w14:textId="77777777" w:rsidR="00B51828" w:rsidRPr="00386763" w:rsidRDefault="00B51828" w:rsidP="002101D2">
            <w:pPr>
              <w:pStyle w:val="Tabletextboldleft"/>
              <w:spacing w:before="20" w:after="20"/>
              <w:jc w:val="right"/>
              <w:rPr>
                <w:b w:val="0"/>
              </w:rPr>
            </w:pPr>
            <w:r w:rsidRPr="00386763">
              <w:rPr>
                <w:b w:val="0"/>
                <w:color w:val="000000"/>
              </w:rPr>
              <w:t>15,260</w:t>
            </w:r>
          </w:p>
        </w:tc>
        <w:tc>
          <w:tcPr>
            <w:tcW w:w="1191" w:type="dxa"/>
            <w:tcBorders>
              <w:top w:val="nil"/>
              <w:bottom w:val="single" w:sz="4" w:space="0" w:color="auto"/>
            </w:tcBorders>
            <w:shd w:val="clear" w:color="auto" w:fill="FFFFFF" w:themeFill="background1"/>
          </w:tcPr>
          <w:p w14:paraId="23F2E689" w14:textId="77777777" w:rsidR="00B51828" w:rsidRPr="00386763" w:rsidRDefault="00B51828" w:rsidP="002101D2">
            <w:pPr>
              <w:pStyle w:val="Tabletextboldleft"/>
              <w:spacing w:before="20" w:after="20"/>
              <w:jc w:val="right"/>
              <w:rPr>
                <w:b w:val="0"/>
              </w:rPr>
            </w:pPr>
            <w:r w:rsidRPr="00386763">
              <w:rPr>
                <w:b w:val="0"/>
                <w:color w:val="000000"/>
              </w:rPr>
              <w:t>15,813</w:t>
            </w:r>
          </w:p>
        </w:tc>
        <w:tc>
          <w:tcPr>
            <w:tcW w:w="1190" w:type="dxa"/>
            <w:tcBorders>
              <w:top w:val="nil"/>
              <w:bottom w:val="single" w:sz="4" w:space="0" w:color="auto"/>
            </w:tcBorders>
            <w:shd w:val="clear" w:color="auto" w:fill="FFFFFF" w:themeFill="background1"/>
          </w:tcPr>
          <w:p w14:paraId="3882E3FF" w14:textId="77777777" w:rsidR="00B51828" w:rsidRPr="00386763" w:rsidRDefault="00B51828" w:rsidP="002101D2">
            <w:pPr>
              <w:pStyle w:val="Tabletextboldleft"/>
              <w:spacing w:before="20" w:after="20"/>
              <w:jc w:val="right"/>
              <w:rPr>
                <w:b w:val="0"/>
              </w:rPr>
            </w:pPr>
            <w:r w:rsidRPr="00386763">
              <w:rPr>
                <w:b w:val="0"/>
                <w:color w:val="000000"/>
              </w:rPr>
              <w:t>16,366</w:t>
            </w:r>
          </w:p>
        </w:tc>
        <w:tc>
          <w:tcPr>
            <w:tcW w:w="1191" w:type="dxa"/>
            <w:tcBorders>
              <w:top w:val="nil"/>
              <w:bottom w:val="single" w:sz="4" w:space="0" w:color="auto"/>
            </w:tcBorders>
            <w:shd w:val="clear" w:color="auto" w:fill="FFFFFF" w:themeFill="background1"/>
          </w:tcPr>
          <w:p w14:paraId="10717964" w14:textId="77777777" w:rsidR="00B51828" w:rsidRPr="00386763" w:rsidRDefault="00B51828" w:rsidP="002101D2">
            <w:pPr>
              <w:pStyle w:val="Tabletextboldleft"/>
              <w:spacing w:before="20" w:after="20"/>
              <w:jc w:val="right"/>
              <w:rPr>
                <w:b w:val="0"/>
              </w:rPr>
            </w:pPr>
            <w:r w:rsidRPr="00386763">
              <w:rPr>
                <w:b w:val="0"/>
                <w:color w:val="000000"/>
              </w:rPr>
              <w:t>16,918</w:t>
            </w:r>
          </w:p>
        </w:tc>
        <w:tc>
          <w:tcPr>
            <w:tcW w:w="1191" w:type="dxa"/>
            <w:tcBorders>
              <w:top w:val="nil"/>
              <w:bottom w:val="single" w:sz="4" w:space="0" w:color="auto"/>
            </w:tcBorders>
            <w:shd w:val="clear" w:color="auto" w:fill="FFFFFF" w:themeFill="background1"/>
          </w:tcPr>
          <w:p w14:paraId="6C4ABD4E" w14:textId="77777777" w:rsidR="00B51828" w:rsidRPr="00386763" w:rsidRDefault="00B51828" w:rsidP="002101D2">
            <w:pPr>
              <w:pStyle w:val="Tabletextboldleft"/>
              <w:spacing w:before="20" w:after="20"/>
              <w:jc w:val="right"/>
              <w:rPr>
                <w:b w:val="0"/>
              </w:rPr>
            </w:pPr>
            <w:r w:rsidRPr="00386763">
              <w:rPr>
                <w:b w:val="0"/>
                <w:color w:val="000000"/>
              </w:rPr>
              <w:t>17,471</w:t>
            </w:r>
          </w:p>
        </w:tc>
      </w:tr>
      <w:tr w:rsidR="00B51828" w:rsidRPr="00F647C7" w14:paraId="5EB2D23A" w14:textId="77777777" w:rsidTr="00E61184">
        <w:trPr>
          <w:trHeight w:val="212"/>
        </w:trPr>
        <w:tc>
          <w:tcPr>
            <w:tcW w:w="2410" w:type="dxa"/>
            <w:tcBorders>
              <w:bottom w:val="nil"/>
            </w:tcBorders>
            <w:shd w:val="clear" w:color="auto" w:fill="FFFFFF" w:themeFill="background1"/>
          </w:tcPr>
          <w:p w14:paraId="4FBF4AF0" w14:textId="77777777" w:rsidR="00B51828" w:rsidRPr="00F411CD" w:rsidRDefault="00B51828" w:rsidP="002101D2">
            <w:pPr>
              <w:pStyle w:val="Tabletextboldleft"/>
              <w:spacing w:before="20" w:after="20"/>
              <w:rPr>
                <w:b w:val="0"/>
              </w:rPr>
            </w:pPr>
            <w:r w:rsidRPr="00F411CD">
              <w:rPr>
                <w:b w:val="0"/>
              </w:rPr>
              <w:t>Non-gynaecological cytology</w:t>
            </w:r>
          </w:p>
        </w:tc>
        <w:tc>
          <w:tcPr>
            <w:tcW w:w="1190" w:type="dxa"/>
            <w:tcBorders>
              <w:bottom w:val="nil"/>
            </w:tcBorders>
            <w:shd w:val="clear" w:color="auto" w:fill="FFFFFF" w:themeFill="background1"/>
          </w:tcPr>
          <w:p w14:paraId="78AAB5CC" w14:textId="12B33703" w:rsidR="00B51828" w:rsidRPr="00F411CD" w:rsidRDefault="00B51828" w:rsidP="00AC5C83">
            <w:pPr>
              <w:pStyle w:val="Tabletextboldleft"/>
              <w:spacing w:before="20" w:after="20"/>
              <w:jc w:val="right"/>
              <w:rPr>
                <w:b w:val="0"/>
              </w:rPr>
            </w:pPr>
            <w:r w:rsidRPr="00F411CD">
              <w:rPr>
                <w:b w:val="0"/>
                <w:color w:val="000000"/>
              </w:rPr>
              <w:t>18</w:t>
            </w:r>
            <w:r w:rsidR="00AC5C83">
              <w:rPr>
                <w:b w:val="0"/>
                <w:color w:val="000000"/>
              </w:rPr>
              <w:t>20</w:t>
            </w:r>
          </w:p>
        </w:tc>
        <w:tc>
          <w:tcPr>
            <w:tcW w:w="1191" w:type="dxa"/>
            <w:tcBorders>
              <w:bottom w:val="nil"/>
            </w:tcBorders>
            <w:shd w:val="clear" w:color="auto" w:fill="FFFFFF" w:themeFill="background1"/>
          </w:tcPr>
          <w:p w14:paraId="480D406E" w14:textId="6B14FB61" w:rsidR="00B51828" w:rsidRPr="00F411CD" w:rsidRDefault="00B51828" w:rsidP="00AC5C83">
            <w:pPr>
              <w:pStyle w:val="Tabletextboldleft"/>
              <w:spacing w:before="20" w:after="20"/>
              <w:jc w:val="right"/>
              <w:rPr>
                <w:b w:val="0"/>
              </w:rPr>
            </w:pPr>
            <w:r w:rsidRPr="00F411CD">
              <w:rPr>
                <w:b w:val="0"/>
                <w:color w:val="000000"/>
              </w:rPr>
              <w:t>18</w:t>
            </w:r>
            <w:r w:rsidR="00AC5C83">
              <w:rPr>
                <w:b w:val="0"/>
                <w:color w:val="000000"/>
              </w:rPr>
              <w:t>7</w:t>
            </w:r>
            <w:r w:rsidRPr="00F411CD">
              <w:rPr>
                <w:b w:val="0"/>
                <w:color w:val="000000"/>
              </w:rPr>
              <w:t>2</w:t>
            </w:r>
          </w:p>
        </w:tc>
        <w:tc>
          <w:tcPr>
            <w:tcW w:w="1190" w:type="dxa"/>
            <w:tcBorders>
              <w:bottom w:val="nil"/>
            </w:tcBorders>
            <w:shd w:val="clear" w:color="auto" w:fill="FFFFFF" w:themeFill="background1"/>
          </w:tcPr>
          <w:p w14:paraId="3F6D9666" w14:textId="4F88AFF8" w:rsidR="00B51828" w:rsidRPr="00F411CD" w:rsidRDefault="00B51828" w:rsidP="00AC5C83">
            <w:pPr>
              <w:pStyle w:val="Tabletextboldleft"/>
              <w:spacing w:before="20" w:after="20"/>
              <w:jc w:val="right"/>
              <w:rPr>
                <w:b w:val="0"/>
              </w:rPr>
            </w:pPr>
            <w:r w:rsidRPr="00F411CD">
              <w:rPr>
                <w:b w:val="0"/>
                <w:color w:val="000000"/>
              </w:rPr>
              <w:t>19</w:t>
            </w:r>
            <w:r w:rsidR="00AC5C83">
              <w:rPr>
                <w:b w:val="0"/>
                <w:color w:val="000000"/>
              </w:rPr>
              <w:t>25</w:t>
            </w:r>
          </w:p>
        </w:tc>
        <w:tc>
          <w:tcPr>
            <w:tcW w:w="1191" w:type="dxa"/>
            <w:tcBorders>
              <w:bottom w:val="nil"/>
            </w:tcBorders>
            <w:shd w:val="clear" w:color="auto" w:fill="FFFFFF" w:themeFill="background1"/>
          </w:tcPr>
          <w:p w14:paraId="6A2FAA1C" w14:textId="6467FF36" w:rsidR="00B51828" w:rsidRPr="00F411CD" w:rsidRDefault="00B51828" w:rsidP="00AC5C83">
            <w:pPr>
              <w:pStyle w:val="Tabletextboldleft"/>
              <w:spacing w:before="20" w:after="20"/>
              <w:jc w:val="right"/>
              <w:rPr>
                <w:b w:val="0"/>
              </w:rPr>
            </w:pPr>
            <w:r w:rsidRPr="00F411CD">
              <w:rPr>
                <w:b w:val="0"/>
                <w:color w:val="000000"/>
              </w:rPr>
              <w:t>19</w:t>
            </w:r>
            <w:r w:rsidR="00AC5C83">
              <w:rPr>
                <w:b w:val="0"/>
                <w:color w:val="000000"/>
              </w:rPr>
              <w:t>78</w:t>
            </w:r>
          </w:p>
        </w:tc>
        <w:tc>
          <w:tcPr>
            <w:tcW w:w="1191" w:type="dxa"/>
            <w:tcBorders>
              <w:bottom w:val="nil"/>
            </w:tcBorders>
            <w:shd w:val="clear" w:color="auto" w:fill="FFFFFF" w:themeFill="background1"/>
          </w:tcPr>
          <w:p w14:paraId="419DD2F5" w14:textId="29C29D22" w:rsidR="00B51828" w:rsidRPr="00F411CD" w:rsidRDefault="00B51828" w:rsidP="00AC5C83">
            <w:pPr>
              <w:pStyle w:val="Tabletextboldleft"/>
              <w:spacing w:before="20" w:after="20"/>
              <w:jc w:val="right"/>
              <w:rPr>
                <w:b w:val="0"/>
              </w:rPr>
            </w:pPr>
            <w:r w:rsidRPr="00F411CD">
              <w:rPr>
                <w:b w:val="0"/>
                <w:color w:val="000000"/>
              </w:rPr>
              <w:t>20</w:t>
            </w:r>
            <w:r w:rsidR="00AC5C83">
              <w:rPr>
                <w:b w:val="0"/>
                <w:color w:val="000000"/>
              </w:rPr>
              <w:t>31</w:t>
            </w:r>
          </w:p>
        </w:tc>
      </w:tr>
      <w:tr w:rsidR="00B51828" w:rsidRPr="00F647C7" w14:paraId="1C1CFAEA" w14:textId="77777777" w:rsidTr="00E61184">
        <w:trPr>
          <w:trHeight w:val="212"/>
        </w:trPr>
        <w:tc>
          <w:tcPr>
            <w:tcW w:w="2410" w:type="dxa"/>
            <w:tcBorders>
              <w:top w:val="nil"/>
              <w:bottom w:val="nil"/>
            </w:tcBorders>
            <w:shd w:val="clear" w:color="auto" w:fill="FFFFFF" w:themeFill="background1"/>
          </w:tcPr>
          <w:p w14:paraId="0D37D104" w14:textId="77777777" w:rsidR="00B51828" w:rsidRPr="00F411CD"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tcPr>
          <w:p w14:paraId="315A470B" w14:textId="3335EFC1" w:rsidR="00B51828" w:rsidRPr="00F411CD" w:rsidRDefault="00B51828" w:rsidP="00AC5C83">
            <w:pPr>
              <w:pStyle w:val="Tabletextboldleft"/>
              <w:spacing w:before="20" w:after="20"/>
              <w:jc w:val="right"/>
              <w:rPr>
                <w:b w:val="0"/>
              </w:rPr>
            </w:pPr>
            <w:r w:rsidRPr="00F411CD">
              <w:rPr>
                <w:b w:val="0"/>
                <w:color w:val="000000"/>
              </w:rPr>
              <w:t>33</w:t>
            </w:r>
            <w:r w:rsidR="00AC5C83">
              <w:rPr>
                <w:b w:val="0"/>
                <w:color w:val="000000"/>
              </w:rPr>
              <w:t>8</w:t>
            </w:r>
          </w:p>
        </w:tc>
        <w:tc>
          <w:tcPr>
            <w:tcW w:w="1191" w:type="dxa"/>
            <w:tcBorders>
              <w:top w:val="nil"/>
              <w:bottom w:val="nil"/>
            </w:tcBorders>
            <w:shd w:val="clear" w:color="auto" w:fill="FFFFFF" w:themeFill="background1"/>
          </w:tcPr>
          <w:p w14:paraId="6F643A80" w14:textId="00850710" w:rsidR="00B51828" w:rsidRPr="00F411CD" w:rsidRDefault="00B51828" w:rsidP="00AC5C83">
            <w:pPr>
              <w:pStyle w:val="Tabletextboldleft"/>
              <w:spacing w:before="20" w:after="20"/>
              <w:jc w:val="right"/>
              <w:rPr>
                <w:b w:val="0"/>
              </w:rPr>
            </w:pPr>
            <w:r w:rsidRPr="00F411CD">
              <w:rPr>
                <w:b w:val="0"/>
                <w:color w:val="000000"/>
              </w:rPr>
              <w:t>34</w:t>
            </w:r>
            <w:r w:rsidR="00AC5C83">
              <w:rPr>
                <w:b w:val="0"/>
                <w:color w:val="000000"/>
              </w:rPr>
              <w:t>8</w:t>
            </w:r>
          </w:p>
        </w:tc>
        <w:tc>
          <w:tcPr>
            <w:tcW w:w="1190" w:type="dxa"/>
            <w:tcBorders>
              <w:top w:val="nil"/>
              <w:bottom w:val="nil"/>
            </w:tcBorders>
            <w:shd w:val="clear" w:color="auto" w:fill="FFFFFF" w:themeFill="background1"/>
          </w:tcPr>
          <w:p w14:paraId="7325219B" w14:textId="35A34FBB" w:rsidR="00B51828" w:rsidRPr="00F411CD" w:rsidRDefault="00B51828" w:rsidP="00AC5C83">
            <w:pPr>
              <w:pStyle w:val="Tabletextboldleft"/>
              <w:spacing w:before="20" w:after="20"/>
              <w:jc w:val="right"/>
              <w:rPr>
                <w:b w:val="0"/>
              </w:rPr>
            </w:pPr>
            <w:r w:rsidRPr="00F411CD">
              <w:rPr>
                <w:b w:val="0"/>
                <w:color w:val="000000"/>
              </w:rPr>
              <w:t>3</w:t>
            </w:r>
            <w:r w:rsidR="00AC5C83">
              <w:rPr>
                <w:b w:val="0"/>
                <w:color w:val="000000"/>
              </w:rPr>
              <w:t>58</w:t>
            </w:r>
          </w:p>
        </w:tc>
        <w:tc>
          <w:tcPr>
            <w:tcW w:w="1191" w:type="dxa"/>
            <w:tcBorders>
              <w:top w:val="nil"/>
              <w:bottom w:val="nil"/>
            </w:tcBorders>
            <w:shd w:val="clear" w:color="auto" w:fill="FFFFFF" w:themeFill="background1"/>
          </w:tcPr>
          <w:p w14:paraId="728720BB" w14:textId="1B17F538" w:rsidR="00B51828" w:rsidRPr="00F411CD" w:rsidRDefault="00B51828" w:rsidP="00AC5C83">
            <w:pPr>
              <w:pStyle w:val="Tabletextboldleft"/>
              <w:spacing w:before="20" w:after="20"/>
              <w:jc w:val="right"/>
              <w:rPr>
                <w:b w:val="0"/>
              </w:rPr>
            </w:pPr>
            <w:r w:rsidRPr="00F411CD">
              <w:rPr>
                <w:b w:val="0"/>
                <w:color w:val="000000"/>
              </w:rPr>
              <w:t>3</w:t>
            </w:r>
            <w:r w:rsidR="00AC5C83">
              <w:rPr>
                <w:b w:val="0"/>
                <w:color w:val="000000"/>
              </w:rPr>
              <w:t>67</w:t>
            </w:r>
          </w:p>
        </w:tc>
        <w:tc>
          <w:tcPr>
            <w:tcW w:w="1191" w:type="dxa"/>
            <w:tcBorders>
              <w:top w:val="nil"/>
              <w:bottom w:val="nil"/>
            </w:tcBorders>
            <w:shd w:val="clear" w:color="auto" w:fill="FFFFFF" w:themeFill="background1"/>
          </w:tcPr>
          <w:p w14:paraId="44FF95A7" w14:textId="571D7D5C" w:rsidR="00B51828" w:rsidRPr="00F411CD" w:rsidRDefault="00B51828" w:rsidP="00AC5C83">
            <w:pPr>
              <w:pStyle w:val="Tabletextboldleft"/>
              <w:spacing w:before="20" w:after="20"/>
              <w:jc w:val="right"/>
              <w:rPr>
                <w:b w:val="0"/>
              </w:rPr>
            </w:pPr>
            <w:r w:rsidRPr="00F411CD">
              <w:rPr>
                <w:b w:val="0"/>
                <w:color w:val="000000"/>
              </w:rPr>
              <w:t>37</w:t>
            </w:r>
            <w:r w:rsidR="00AC5C83">
              <w:rPr>
                <w:b w:val="0"/>
                <w:color w:val="000000"/>
              </w:rPr>
              <w:t>7</w:t>
            </w:r>
          </w:p>
        </w:tc>
      </w:tr>
      <w:tr w:rsidR="00B51828" w:rsidRPr="00F647C7" w14:paraId="6164F9D6" w14:textId="77777777" w:rsidTr="00E61184">
        <w:trPr>
          <w:trHeight w:val="212"/>
        </w:trPr>
        <w:tc>
          <w:tcPr>
            <w:tcW w:w="2410" w:type="dxa"/>
            <w:tcBorders>
              <w:top w:val="nil"/>
              <w:bottom w:val="single" w:sz="4" w:space="0" w:color="auto"/>
            </w:tcBorders>
            <w:shd w:val="clear" w:color="auto" w:fill="FFFFFF" w:themeFill="background1"/>
          </w:tcPr>
          <w:p w14:paraId="1ED2B548" w14:textId="77777777" w:rsidR="00B51828" w:rsidRPr="00F411CD" w:rsidRDefault="00B51828" w:rsidP="002101D2">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shd w:val="clear" w:color="auto" w:fill="FFFFFF" w:themeFill="background1"/>
          </w:tcPr>
          <w:p w14:paraId="14814F92" w14:textId="2330C7AD" w:rsidR="00B51828" w:rsidRPr="00F411CD" w:rsidRDefault="00B51828" w:rsidP="00790101">
            <w:pPr>
              <w:pStyle w:val="Tabletextboldleft"/>
              <w:spacing w:before="20" w:after="20"/>
              <w:jc w:val="right"/>
              <w:rPr>
                <w:b w:val="0"/>
              </w:rPr>
            </w:pPr>
            <w:r w:rsidRPr="00F411CD">
              <w:rPr>
                <w:b w:val="0"/>
                <w:color w:val="000000"/>
              </w:rPr>
              <w:t>14</w:t>
            </w:r>
            <w:r w:rsidR="00790101">
              <w:rPr>
                <w:b w:val="0"/>
                <w:color w:val="000000"/>
              </w:rPr>
              <w:t>82</w:t>
            </w:r>
          </w:p>
        </w:tc>
        <w:tc>
          <w:tcPr>
            <w:tcW w:w="1191" w:type="dxa"/>
            <w:tcBorders>
              <w:top w:val="nil"/>
              <w:bottom w:val="single" w:sz="4" w:space="0" w:color="auto"/>
            </w:tcBorders>
            <w:shd w:val="clear" w:color="auto" w:fill="FFFFFF" w:themeFill="background1"/>
          </w:tcPr>
          <w:p w14:paraId="3FD6414C" w14:textId="6DCD2027" w:rsidR="00B51828" w:rsidRPr="00F411CD" w:rsidRDefault="00B51828" w:rsidP="00790101">
            <w:pPr>
              <w:pStyle w:val="Tabletextboldleft"/>
              <w:spacing w:before="20" w:after="20"/>
              <w:jc w:val="right"/>
              <w:rPr>
                <w:b w:val="0"/>
              </w:rPr>
            </w:pPr>
            <w:r w:rsidRPr="00F411CD">
              <w:rPr>
                <w:b w:val="0"/>
                <w:color w:val="000000"/>
              </w:rPr>
              <w:t>15</w:t>
            </w:r>
            <w:r w:rsidR="00790101">
              <w:rPr>
                <w:b w:val="0"/>
                <w:color w:val="000000"/>
              </w:rPr>
              <w:t>25</w:t>
            </w:r>
          </w:p>
        </w:tc>
        <w:tc>
          <w:tcPr>
            <w:tcW w:w="1190" w:type="dxa"/>
            <w:tcBorders>
              <w:top w:val="nil"/>
              <w:bottom w:val="single" w:sz="4" w:space="0" w:color="auto"/>
            </w:tcBorders>
            <w:shd w:val="clear" w:color="auto" w:fill="FFFFFF" w:themeFill="background1"/>
          </w:tcPr>
          <w:p w14:paraId="1993CF5D" w14:textId="4876D5E8" w:rsidR="00B51828" w:rsidRPr="00F411CD" w:rsidRDefault="00B51828" w:rsidP="00790101">
            <w:pPr>
              <w:pStyle w:val="Tabletextboldleft"/>
              <w:spacing w:before="20" w:after="20"/>
              <w:jc w:val="right"/>
              <w:rPr>
                <w:b w:val="0"/>
              </w:rPr>
            </w:pPr>
            <w:r w:rsidRPr="00F411CD">
              <w:rPr>
                <w:b w:val="0"/>
                <w:color w:val="000000"/>
              </w:rPr>
              <w:t>15</w:t>
            </w:r>
            <w:r w:rsidR="00790101">
              <w:rPr>
                <w:b w:val="0"/>
                <w:color w:val="000000"/>
              </w:rPr>
              <w:t>68</w:t>
            </w:r>
          </w:p>
        </w:tc>
        <w:tc>
          <w:tcPr>
            <w:tcW w:w="1191" w:type="dxa"/>
            <w:tcBorders>
              <w:top w:val="nil"/>
              <w:bottom w:val="single" w:sz="4" w:space="0" w:color="auto"/>
            </w:tcBorders>
            <w:shd w:val="clear" w:color="auto" w:fill="FFFFFF" w:themeFill="background1"/>
          </w:tcPr>
          <w:p w14:paraId="5686D297" w14:textId="7472F384" w:rsidR="00B51828" w:rsidRPr="00F411CD" w:rsidRDefault="00790101" w:rsidP="002101D2">
            <w:pPr>
              <w:pStyle w:val="Tabletextboldleft"/>
              <w:spacing w:before="20" w:after="20"/>
              <w:jc w:val="right"/>
              <w:rPr>
                <w:b w:val="0"/>
              </w:rPr>
            </w:pPr>
            <w:r>
              <w:rPr>
                <w:b w:val="0"/>
                <w:color w:val="000000"/>
              </w:rPr>
              <w:t>1611</w:t>
            </w:r>
          </w:p>
        </w:tc>
        <w:tc>
          <w:tcPr>
            <w:tcW w:w="1191" w:type="dxa"/>
            <w:tcBorders>
              <w:top w:val="nil"/>
              <w:bottom w:val="single" w:sz="4" w:space="0" w:color="auto"/>
            </w:tcBorders>
            <w:shd w:val="clear" w:color="auto" w:fill="FFFFFF" w:themeFill="background1"/>
          </w:tcPr>
          <w:p w14:paraId="0D49C05A" w14:textId="182F33AA" w:rsidR="00B51828" w:rsidRPr="00F411CD" w:rsidRDefault="00B51828" w:rsidP="00790101">
            <w:pPr>
              <w:pStyle w:val="Tabletextboldleft"/>
              <w:spacing w:before="20" w:after="20"/>
              <w:jc w:val="right"/>
              <w:rPr>
                <w:b w:val="0"/>
              </w:rPr>
            </w:pPr>
            <w:r w:rsidRPr="00F411CD">
              <w:rPr>
                <w:b w:val="0"/>
                <w:color w:val="000000"/>
              </w:rPr>
              <w:t>16</w:t>
            </w:r>
            <w:r w:rsidR="00790101">
              <w:rPr>
                <w:b w:val="0"/>
                <w:color w:val="000000"/>
              </w:rPr>
              <w:t>54</w:t>
            </w:r>
          </w:p>
        </w:tc>
      </w:tr>
      <w:tr w:rsidR="00B51828" w:rsidRPr="00F647C7" w14:paraId="02C9970A" w14:textId="77777777" w:rsidTr="00E61184">
        <w:trPr>
          <w:trHeight w:val="212"/>
        </w:trPr>
        <w:tc>
          <w:tcPr>
            <w:tcW w:w="2410" w:type="dxa"/>
            <w:tcBorders>
              <w:bottom w:val="nil"/>
            </w:tcBorders>
            <w:shd w:val="clear" w:color="auto" w:fill="FFFFFF" w:themeFill="background1"/>
          </w:tcPr>
          <w:p w14:paraId="79D168F8" w14:textId="77777777" w:rsidR="00B51828" w:rsidRPr="00F411CD" w:rsidRDefault="00B51828" w:rsidP="002101D2">
            <w:pPr>
              <w:pStyle w:val="Tabletextboldleft"/>
              <w:spacing w:before="20" w:after="20"/>
              <w:rPr>
                <w:b w:val="0"/>
              </w:rPr>
            </w:pPr>
            <w:r w:rsidRPr="00F411CD">
              <w:rPr>
                <w:b w:val="0"/>
              </w:rPr>
              <w:t>All cytology</w:t>
            </w:r>
          </w:p>
        </w:tc>
        <w:tc>
          <w:tcPr>
            <w:tcW w:w="1190" w:type="dxa"/>
            <w:tcBorders>
              <w:bottom w:val="nil"/>
            </w:tcBorders>
            <w:shd w:val="clear" w:color="auto" w:fill="FFFFFF" w:themeFill="background1"/>
          </w:tcPr>
          <w:p w14:paraId="71B4F750" w14:textId="1B26E2E0" w:rsidR="00B51828" w:rsidRPr="00F411CD" w:rsidRDefault="00B51828" w:rsidP="00790101">
            <w:pPr>
              <w:pStyle w:val="Tabletextboldleft"/>
              <w:spacing w:before="20" w:after="20"/>
              <w:jc w:val="right"/>
              <w:rPr>
                <w:b w:val="0"/>
              </w:rPr>
            </w:pPr>
            <w:r w:rsidRPr="00F411CD">
              <w:rPr>
                <w:b w:val="0"/>
                <w:color w:val="000000"/>
              </w:rPr>
              <w:t>14,</w:t>
            </w:r>
            <w:r w:rsidR="00790101">
              <w:rPr>
                <w:b w:val="0"/>
                <w:color w:val="000000"/>
              </w:rPr>
              <w:t>475</w:t>
            </w:r>
          </w:p>
        </w:tc>
        <w:tc>
          <w:tcPr>
            <w:tcW w:w="1191" w:type="dxa"/>
            <w:tcBorders>
              <w:bottom w:val="nil"/>
            </w:tcBorders>
            <w:shd w:val="clear" w:color="auto" w:fill="FFFFFF" w:themeFill="background1"/>
          </w:tcPr>
          <w:p w14:paraId="4680B6C4" w14:textId="0EF22560" w:rsidR="00B51828" w:rsidRPr="00F411CD" w:rsidRDefault="00B51828" w:rsidP="00790101">
            <w:pPr>
              <w:pStyle w:val="Tabletextboldleft"/>
              <w:spacing w:before="20" w:after="20"/>
              <w:jc w:val="right"/>
              <w:rPr>
                <w:b w:val="0"/>
              </w:rPr>
            </w:pPr>
            <w:r w:rsidRPr="00F411CD">
              <w:rPr>
                <w:b w:val="0"/>
                <w:color w:val="000000"/>
              </w:rPr>
              <w:t>14,</w:t>
            </w:r>
            <w:r w:rsidR="00790101">
              <w:rPr>
                <w:b w:val="0"/>
                <w:color w:val="000000"/>
              </w:rPr>
              <w:t>633</w:t>
            </w:r>
          </w:p>
        </w:tc>
        <w:tc>
          <w:tcPr>
            <w:tcW w:w="1190" w:type="dxa"/>
            <w:tcBorders>
              <w:bottom w:val="nil"/>
            </w:tcBorders>
            <w:shd w:val="clear" w:color="auto" w:fill="FFFFFF" w:themeFill="background1"/>
          </w:tcPr>
          <w:p w14:paraId="52F05D09" w14:textId="20661613" w:rsidR="00B51828" w:rsidRPr="00F411CD" w:rsidRDefault="00B51828" w:rsidP="00790101">
            <w:pPr>
              <w:pStyle w:val="Tabletextboldleft"/>
              <w:spacing w:before="20" w:after="20"/>
              <w:jc w:val="right"/>
              <w:rPr>
                <w:b w:val="0"/>
              </w:rPr>
            </w:pPr>
            <w:r w:rsidRPr="00F411CD">
              <w:rPr>
                <w:b w:val="0"/>
                <w:color w:val="000000"/>
              </w:rPr>
              <w:t>14</w:t>
            </w:r>
            <w:r w:rsidR="00790101">
              <w:rPr>
                <w:b w:val="0"/>
                <w:color w:val="000000"/>
              </w:rPr>
              <w:t>,791</w:t>
            </w:r>
          </w:p>
        </w:tc>
        <w:tc>
          <w:tcPr>
            <w:tcW w:w="1191" w:type="dxa"/>
            <w:tcBorders>
              <w:bottom w:val="nil"/>
            </w:tcBorders>
            <w:shd w:val="clear" w:color="auto" w:fill="FFFFFF" w:themeFill="background1"/>
          </w:tcPr>
          <w:p w14:paraId="6A2E0852" w14:textId="082D298A" w:rsidR="00B51828" w:rsidRPr="00F411CD" w:rsidRDefault="00B51828" w:rsidP="00790101">
            <w:pPr>
              <w:pStyle w:val="Tabletextboldleft"/>
              <w:spacing w:before="20" w:after="20"/>
              <w:jc w:val="right"/>
              <w:rPr>
                <w:b w:val="0"/>
              </w:rPr>
            </w:pPr>
            <w:r w:rsidRPr="00F411CD">
              <w:rPr>
                <w:b w:val="0"/>
                <w:color w:val="000000"/>
              </w:rPr>
              <w:t>14,</w:t>
            </w:r>
            <w:r w:rsidR="00790101">
              <w:rPr>
                <w:b w:val="0"/>
                <w:color w:val="000000"/>
              </w:rPr>
              <w:t>949</w:t>
            </w:r>
          </w:p>
        </w:tc>
        <w:tc>
          <w:tcPr>
            <w:tcW w:w="1191" w:type="dxa"/>
            <w:tcBorders>
              <w:bottom w:val="nil"/>
            </w:tcBorders>
            <w:shd w:val="clear" w:color="auto" w:fill="FFFFFF" w:themeFill="background1"/>
          </w:tcPr>
          <w:p w14:paraId="03021AC5" w14:textId="0532ABBB" w:rsidR="00B51828" w:rsidRPr="00F411CD" w:rsidRDefault="00790101" w:rsidP="002101D2">
            <w:pPr>
              <w:pStyle w:val="Tabletextboldleft"/>
              <w:spacing w:before="20" w:after="20"/>
              <w:jc w:val="right"/>
              <w:rPr>
                <w:b w:val="0"/>
              </w:rPr>
            </w:pPr>
            <w:r>
              <w:rPr>
                <w:b w:val="0"/>
                <w:color w:val="000000"/>
              </w:rPr>
              <w:t>15,107</w:t>
            </w:r>
          </w:p>
        </w:tc>
      </w:tr>
      <w:tr w:rsidR="00B51828" w:rsidRPr="00F647C7" w14:paraId="608F89A4" w14:textId="77777777" w:rsidTr="00E61184">
        <w:trPr>
          <w:trHeight w:val="212"/>
        </w:trPr>
        <w:tc>
          <w:tcPr>
            <w:tcW w:w="2410" w:type="dxa"/>
            <w:tcBorders>
              <w:top w:val="nil"/>
              <w:bottom w:val="nil"/>
            </w:tcBorders>
            <w:shd w:val="clear" w:color="auto" w:fill="FFFFFF" w:themeFill="background1"/>
          </w:tcPr>
          <w:p w14:paraId="0AB41934" w14:textId="77777777" w:rsidR="00B51828" w:rsidRPr="00F411CD"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tcPr>
          <w:p w14:paraId="3A379DB4" w14:textId="3A96FB25" w:rsidR="00B51828" w:rsidRPr="00F411CD" w:rsidRDefault="00B51828" w:rsidP="00790101">
            <w:pPr>
              <w:pStyle w:val="Tabletextboldleft"/>
              <w:spacing w:before="20" w:after="20"/>
              <w:jc w:val="right"/>
              <w:rPr>
                <w:b w:val="0"/>
              </w:rPr>
            </w:pPr>
            <w:r w:rsidRPr="00F411CD">
              <w:rPr>
                <w:b w:val="0"/>
                <w:color w:val="000000"/>
              </w:rPr>
              <w:t>2,6</w:t>
            </w:r>
            <w:r w:rsidR="00790101">
              <w:rPr>
                <w:b w:val="0"/>
                <w:color w:val="000000"/>
              </w:rPr>
              <w:t>88</w:t>
            </w:r>
          </w:p>
        </w:tc>
        <w:tc>
          <w:tcPr>
            <w:tcW w:w="1191" w:type="dxa"/>
            <w:tcBorders>
              <w:top w:val="nil"/>
              <w:bottom w:val="nil"/>
            </w:tcBorders>
            <w:shd w:val="clear" w:color="auto" w:fill="FFFFFF" w:themeFill="background1"/>
          </w:tcPr>
          <w:p w14:paraId="02A9CEFD" w14:textId="500EFE7F"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,718</w:t>
            </w:r>
          </w:p>
        </w:tc>
        <w:tc>
          <w:tcPr>
            <w:tcW w:w="1190" w:type="dxa"/>
            <w:tcBorders>
              <w:top w:val="nil"/>
              <w:bottom w:val="nil"/>
            </w:tcBorders>
            <w:shd w:val="clear" w:color="auto" w:fill="FFFFFF" w:themeFill="background1"/>
          </w:tcPr>
          <w:p w14:paraId="477683F2" w14:textId="06647E9A"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747</w:t>
            </w:r>
          </w:p>
        </w:tc>
        <w:tc>
          <w:tcPr>
            <w:tcW w:w="1191" w:type="dxa"/>
            <w:tcBorders>
              <w:top w:val="nil"/>
              <w:bottom w:val="nil"/>
            </w:tcBorders>
            <w:shd w:val="clear" w:color="auto" w:fill="FFFFFF" w:themeFill="background1"/>
          </w:tcPr>
          <w:p w14:paraId="28B0B20F" w14:textId="3E38CBBA"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776</w:t>
            </w:r>
          </w:p>
        </w:tc>
        <w:tc>
          <w:tcPr>
            <w:tcW w:w="1191" w:type="dxa"/>
            <w:tcBorders>
              <w:top w:val="nil"/>
              <w:bottom w:val="nil"/>
            </w:tcBorders>
            <w:shd w:val="clear" w:color="auto" w:fill="FFFFFF" w:themeFill="background1"/>
          </w:tcPr>
          <w:p w14:paraId="1DABBD72" w14:textId="477CD67A"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806</w:t>
            </w:r>
          </w:p>
        </w:tc>
      </w:tr>
      <w:tr w:rsidR="00B51828" w:rsidRPr="00F647C7" w14:paraId="5C14641F" w14:textId="77777777" w:rsidTr="00E61184">
        <w:trPr>
          <w:trHeight w:val="212"/>
        </w:trPr>
        <w:tc>
          <w:tcPr>
            <w:tcW w:w="2410" w:type="dxa"/>
            <w:tcBorders>
              <w:top w:val="nil"/>
            </w:tcBorders>
            <w:shd w:val="clear" w:color="auto" w:fill="FFFFFF" w:themeFill="background1"/>
          </w:tcPr>
          <w:p w14:paraId="7DA04080" w14:textId="77777777" w:rsidR="00B51828" w:rsidRPr="00F411CD" w:rsidRDefault="00B51828" w:rsidP="002101D2">
            <w:pPr>
              <w:pStyle w:val="Tabletextboldleft"/>
              <w:spacing w:before="20" w:after="20"/>
              <w:ind w:firstLine="317"/>
              <w:rPr>
                <w:b w:val="0"/>
              </w:rPr>
            </w:pPr>
            <w:r w:rsidRPr="00F411CD">
              <w:rPr>
                <w:b w:val="0"/>
              </w:rPr>
              <w:t>Non-complex</w:t>
            </w:r>
          </w:p>
        </w:tc>
        <w:tc>
          <w:tcPr>
            <w:tcW w:w="1190" w:type="dxa"/>
            <w:tcBorders>
              <w:top w:val="nil"/>
            </w:tcBorders>
            <w:shd w:val="clear" w:color="auto" w:fill="FFFFFF" w:themeFill="background1"/>
          </w:tcPr>
          <w:p w14:paraId="07D76C3C" w14:textId="3C060FCB" w:rsidR="00B51828" w:rsidRPr="00F411CD" w:rsidRDefault="00B51828" w:rsidP="00790101">
            <w:pPr>
              <w:pStyle w:val="Tabletextboldleft"/>
              <w:spacing w:before="20" w:after="20"/>
              <w:jc w:val="right"/>
              <w:rPr>
                <w:b w:val="0"/>
              </w:rPr>
            </w:pPr>
            <w:r w:rsidRPr="00F411CD">
              <w:rPr>
                <w:b w:val="0"/>
                <w:color w:val="000000"/>
              </w:rPr>
              <w:t>11,</w:t>
            </w:r>
            <w:r w:rsidR="00790101">
              <w:rPr>
                <w:b w:val="0"/>
                <w:color w:val="000000"/>
              </w:rPr>
              <w:t>787</w:t>
            </w:r>
          </w:p>
        </w:tc>
        <w:tc>
          <w:tcPr>
            <w:tcW w:w="1191" w:type="dxa"/>
            <w:tcBorders>
              <w:top w:val="nil"/>
            </w:tcBorders>
            <w:shd w:val="clear" w:color="auto" w:fill="FFFFFF" w:themeFill="background1"/>
          </w:tcPr>
          <w:p w14:paraId="6E5FE57A" w14:textId="2F84E044" w:rsidR="00B51828" w:rsidRPr="00F411CD" w:rsidRDefault="00B51828" w:rsidP="00790101">
            <w:pPr>
              <w:pStyle w:val="Tabletextboldleft"/>
              <w:spacing w:before="20" w:after="20"/>
              <w:jc w:val="right"/>
              <w:rPr>
                <w:b w:val="0"/>
              </w:rPr>
            </w:pPr>
            <w:r w:rsidRPr="00F411CD">
              <w:rPr>
                <w:b w:val="0"/>
                <w:color w:val="000000"/>
              </w:rPr>
              <w:t>11,</w:t>
            </w:r>
            <w:r w:rsidR="00790101">
              <w:rPr>
                <w:b w:val="0"/>
                <w:color w:val="000000"/>
              </w:rPr>
              <w:t>915</w:t>
            </w:r>
          </w:p>
        </w:tc>
        <w:tc>
          <w:tcPr>
            <w:tcW w:w="1190" w:type="dxa"/>
            <w:tcBorders>
              <w:top w:val="nil"/>
            </w:tcBorders>
            <w:shd w:val="clear" w:color="auto" w:fill="FFFFFF" w:themeFill="background1"/>
          </w:tcPr>
          <w:p w14:paraId="6FF3758D" w14:textId="2AF88C15" w:rsidR="00B51828" w:rsidRPr="00F411CD" w:rsidRDefault="00790101" w:rsidP="00790101">
            <w:pPr>
              <w:pStyle w:val="Tabletextboldleft"/>
              <w:spacing w:before="20" w:after="20"/>
              <w:jc w:val="right"/>
              <w:rPr>
                <w:b w:val="0"/>
              </w:rPr>
            </w:pPr>
            <w:r>
              <w:rPr>
                <w:b w:val="0"/>
                <w:color w:val="000000"/>
              </w:rPr>
              <w:t>12,044</w:t>
            </w:r>
          </w:p>
        </w:tc>
        <w:tc>
          <w:tcPr>
            <w:tcW w:w="1191" w:type="dxa"/>
            <w:tcBorders>
              <w:top w:val="nil"/>
            </w:tcBorders>
            <w:shd w:val="clear" w:color="auto" w:fill="FFFFFF" w:themeFill="background1"/>
          </w:tcPr>
          <w:p w14:paraId="69F1825A" w14:textId="2099866E" w:rsidR="00B51828" w:rsidRPr="00F411CD" w:rsidRDefault="00B51828" w:rsidP="00790101">
            <w:pPr>
              <w:pStyle w:val="Tabletextboldleft"/>
              <w:spacing w:before="20" w:after="20"/>
              <w:jc w:val="right"/>
              <w:rPr>
                <w:b w:val="0"/>
              </w:rPr>
            </w:pPr>
            <w:r w:rsidRPr="00F411CD">
              <w:rPr>
                <w:b w:val="0"/>
                <w:color w:val="000000"/>
              </w:rPr>
              <w:t>12,</w:t>
            </w:r>
            <w:r w:rsidR="00790101">
              <w:rPr>
                <w:b w:val="0"/>
                <w:color w:val="000000"/>
              </w:rPr>
              <w:t>173</w:t>
            </w:r>
          </w:p>
        </w:tc>
        <w:tc>
          <w:tcPr>
            <w:tcW w:w="1191" w:type="dxa"/>
            <w:tcBorders>
              <w:top w:val="nil"/>
            </w:tcBorders>
            <w:shd w:val="clear" w:color="auto" w:fill="FFFFFF" w:themeFill="background1"/>
          </w:tcPr>
          <w:p w14:paraId="7122B8B1" w14:textId="7A571063" w:rsidR="00B51828" w:rsidRPr="00F411CD" w:rsidRDefault="00B51828" w:rsidP="00790101">
            <w:pPr>
              <w:pStyle w:val="Tabletextboldleft"/>
              <w:spacing w:before="20" w:after="20"/>
              <w:jc w:val="right"/>
              <w:rPr>
                <w:b w:val="0"/>
              </w:rPr>
            </w:pPr>
            <w:r w:rsidRPr="00F411CD">
              <w:rPr>
                <w:b w:val="0"/>
                <w:color w:val="000000"/>
              </w:rPr>
              <w:t>12,</w:t>
            </w:r>
            <w:r w:rsidR="00790101">
              <w:rPr>
                <w:b w:val="0"/>
                <w:color w:val="000000"/>
              </w:rPr>
              <w:t>302</w:t>
            </w:r>
          </w:p>
        </w:tc>
      </w:tr>
      <w:tr w:rsidR="00B51828" w:rsidRPr="00F647C7" w14:paraId="761C2FCC" w14:textId="77777777" w:rsidTr="00E61184">
        <w:trPr>
          <w:trHeight w:val="212"/>
        </w:trPr>
        <w:tc>
          <w:tcPr>
            <w:tcW w:w="2410" w:type="dxa"/>
            <w:shd w:val="clear" w:color="auto" w:fill="FFFFFF" w:themeFill="background1"/>
          </w:tcPr>
          <w:p w14:paraId="1551E2FD" w14:textId="77777777" w:rsidR="00B51828" w:rsidRPr="00C26CDD" w:rsidRDefault="00B51828" w:rsidP="002101D2">
            <w:pPr>
              <w:pStyle w:val="Tabletextboldleft"/>
              <w:spacing w:before="20" w:after="20"/>
              <w:rPr>
                <w:b w:val="0"/>
                <w:i/>
              </w:rPr>
            </w:pPr>
            <w:r>
              <w:rPr>
                <w:b w:val="0"/>
                <w:i/>
              </w:rPr>
              <w:t>Sub-t</w:t>
            </w:r>
            <w:r w:rsidRPr="00C26CDD">
              <w:rPr>
                <w:b w:val="0"/>
                <w:i/>
              </w:rPr>
              <w:t>otal (excluding gynaecological cytology)</w:t>
            </w:r>
          </w:p>
        </w:tc>
        <w:tc>
          <w:tcPr>
            <w:tcW w:w="1190" w:type="dxa"/>
            <w:shd w:val="clear" w:color="auto" w:fill="FFFFFF" w:themeFill="background1"/>
          </w:tcPr>
          <w:p w14:paraId="017DC2B4" w14:textId="72C3577A" w:rsidR="00B51828" w:rsidRPr="00C26CDD" w:rsidRDefault="00B51828" w:rsidP="00790101">
            <w:pPr>
              <w:pStyle w:val="Tabletextboldleft"/>
              <w:spacing w:before="20" w:after="20"/>
              <w:jc w:val="right"/>
              <w:rPr>
                <w:b w:val="0"/>
                <w:i/>
              </w:rPr>
            </w:pPr>
            <w:r w:rsidRPr="00C26CDD">
              <w:rPr>
                <w:b w:val="0"/>
                <w:i/>
                <w:color w:val="000000"/>
              </w:rPr>
              <w:t>34,</w:t>
            </w:r>
            <w:r w:rsidR="00790101">
              <w:rPr>
                <w:b w:val="0"/>
                <w:i/>
                <w:color w:val="000000"/>
              </w:rPr>
              <w:t>814</w:t>
            </w:r>
          </w:p>
        </w:tc>
        <w:tc>
          <w:tcPr>
            <w:tcW w:w="1191" w:type="dxa"/>
            <w:shd w:val="clear" w:color="auto" w:fill="FFFFFF" w:themeFill="background1"/>
          </w:tcPr>
          <w:p w14:paraId="50A32F1C" w14:textId="5289A2E0" w:rsidR="00B51828" w:rsidRPr="00C26CDD" w:rsidRDefault="00B51828" w:rsidP="00790101">
            <w:pPr>
              <w:pStyle w:val="Tabletextboldleft"/>
              <w:spacing w:before="20" w:after="20"/>
              <w:jc w:val="right"/>
              <w:rPr>
                <w:b w:val="0"/>
                <w:i/>
              </w:rPr>
            </w:pPr>
            <w:r w:rsidRPr="00C26CDD">
              <w:rPr>
                <w:b w:val="0"/>
                <w:i/>
                <w:color w:val="000000"/>
              </w:rPr>
              <w:t>36,0</w:t>
            </w:r>
            <w:r w:rsidR="00790101">
              <w:rPr>
                <w:b w:val="0"/>
                <w:i/>
                <w:color w:val="000000"/>
              </w:rPr>
              <w:t>6</w:t>
            </w:r>
            <w:r w:rsidRPr="00C26CDD">
              <w:rPr>
                <w:b w:val="0"/>
                <w:i/>
                <w:color w:val="000000"/>
              </w:rPr>
              <w:t>2</w:t>
            </w:r>
          </w:p>
        </w:tc>
        <w:tc>
          <w:tcPr>
            <w:tcW w:w="1190" w:type="dxa"/>
            <w:shd w:val="clear" w:color="auto" w:fill="FFFFFF" w:themeFill="background1"/>
          </w:tcPr>
          <w:p w14:paraId="1F531619" w14:textId="1E8D77DD" w:rsidR="00B51828" w:rsidRPr="00C26CDD" w:rsidRDefault="00B51828" w:rsidP="00790101">
            <w:pPr>
              <w:pStyle w:val="Tabletextboldleft"/>
              <w:spacing w:before="20" w:after="20"/>
              <w:jc w:val="right"/>
              <w:rPr>
                <w:b w:val="0"/>
                <w:i/>
              </w:rPr>
            </w:pPr>
            <w:r w:rsidRPr="00C26CDD">
              <w:rPr>
                <w:b w:val="0"/>
                <w:i/>
                <w:color w:val="000000"/>
              </w:rPr>
              <w:t>37,</w:t>
            </w:r>
            <w:r w:rsidR="00790101">
              <w:rPr>
                <w:b w:val="0"/>
                <w:i/>
                <w:color w:val="000000"/>
              </w:rPr>
              <w:t>310</w:t>
            </w:r>
          </w:p>
        </w:tc>
        <w:tc>
          <w:tcPr>
            <w:tcW w:w="1191" w:type="dxa"/>
            <w:shd w:val="clear" w:color="auto" w:fill="FFFFFF" w:themeFill="background1"/>
          </w:tcPr>
          <w:p w14:paraId="5183829D" w14:textId="6A9B7AEE" w:rsidR="00B51828" w:rsidRPr="00C26CDD" w:rsidRDefault="00B51828" w:rsidP="00790101">
            <w:pPr>
              <w:pStyle w:val="Tabletextboldleft"/>
              <w:spacing w:before="20" w:after="20"/>
              <w:jc w:val="right"/>
              <w:rPr>
                <w:b w:val="0"/>
                <w:i/>
              </w:rPr>
            </w:pPr>
            <w:r w:rsidRPr="00C26CDD">
              <w:rPr>
                <w:b w:val="0"/>
                <w:i/>
                <w:color w:val="000000"/>
              </w:rPr>
              <w:t>38,5</w:t>
            </w:r>
            <w:r w:rsidR="00790101">
              <w:rPr>
                <w:b w:val="0"/>
                <w:i/>
                <w:color w:val="000000"/>
              </w:rPr>
              <w:t>58</w:t>
            </w:r>
          </w:p>
        </w:tc>
        <w:tc>
          <w:tcPr>
            <w:tcW w:w="1191" w:type="dxa"/>
            <w:shd w:val="clear" w:color="auto" w:fill="FFFFFF" w:themeFill="background1"/>
          </w:tcPr>
          <w:p w14:paraId="3D36B074" w14:textId="70526545" w:rsidR="00B51828" w:rsidRPr="00C26CDD" w:rsidRDefault="00B51828" w:rsidP="00790101">
            <w:pPr>
              <w:pStyle w:val="Tabletextboldleft"/>
              <w:spacing w:before="20" w:after="20"/>
              <w:jc w:val="right"/>
              <w:rPr>
                <w:b w:val="0"/>
                <w:i/>
              </w:rPr>
            </w:pPr>
            <w:r w:rsidRPr="00C26CDD">
              <w:rPr>
                <w:b w:val="0"/>
                <w:i/>
                <w:color w:val="000000"/>
              </w:rPr>
              <w:t>39,</w:t>
            </w:r>
            <w:r w:rsidR="00790101">
              <w:rPr>
                <w:b w:val="0"/>
                <w:i/>
                <w:color w:val="000000"/>
              </w:rPr>
              <w:t>807</w:t>
            </w:r>
          </w:p>
        </w:tc>
      </w:tr>
      <w:tr w:rsidR="00B51828" w:rsidRPr="00F647C7" w14:paraId="28D7F40F" w14:textId="77777777" w:rsidTr="00E61184">
        <w:trPr>
          <w:trHeight w:val="212"/>
        </w:trPr>
        <w:tc>
          <w:tcPr>
            <w:tcW w:w="2410" w:type="dxa"/>
            <w:shd w:val="clear" w:color="auto" w:fill="FFFFFF" w:themeFill="background1"/>
          </w:tcPr>
          <w:p w14:paraId="3262A743" w14:textId="77777777" w:rsidR="00B51828" w:rsidRPr="00C26CDD" w:rsidRDefault="00B51828" w:rsidP="002101D2">
            <w:pPr>
              <w:pStyle w:val="Tabletextboldleft"/>
              <w:spacing w:before="20" w:after="20"/>
              <w:rPr>
                <w:b w:val="0"/>
                <w:i/>
              </w:rPr>
            </w:pPr>
            <w:r>
              <w:rPr>
                <w:b w:val="0"/>
                <w:i/>
              </w:rPr>
              <w:t>Sub-t</w:t>
            </w:r>
            <w:r w:rsidRPr="00C26CDD">
              <w:rPr>
                <w:b w:val="0"/>
                <w:i/>
              </w:rPr>
              <w:t>otal (including all cytology)</w:t>
            </w:r>
          </w:p>
        </w:tc>
        <w:tc>
          <w:tcPr>
            <w:tcW w:w="1190" w:type="dxa"/>
            <w:shd w:val="clear" w:color="auto" w:fill="FFFFFF" w:themeFill="background1"/>
          </w:tcPr>
          <w:p w14:paraId="0DB77C73" w14:textId="1088FAFE" w:rsidR="00B51828" w:rsidRPr="00C26CDD" w:rsidRDefault="00B51828" w:rsidP="00790101">
            <w:pPr>
              <w:pStyle w:val="Tabletextboldleft"/>
              <w:spacing w:before="20" w:after="20"/>
              <w:jc w:val="right"/>
              <w:rPr>
                <w:b w:val="0"/>
                <w:i/>
              </w:rPr>
            </w:pPr>
            <w:r w:rsidRPr="00C26CDD">
              <w:rPr>
                <w:b w:val="0"/>
                <w:i/>
                <w:color w:val="000000"/>
              </w:rPr>
              <w:t>47,</w:t>
            </w:r>
            <w:r w:rsidR="00790101">
              <w:rPr>
                <w:b w:val="0"/>
                <w:i/>
                <w:color w:val="000000"/>
              </w:rPr>
              <w:t>469</w:t>
            </w:r>
          </w:p>
        </w:tc>
        <w:tc>
          <w:tcPr>
            <w:tcW w:w="1191" w:type="dxa"/>
            <w:shd w:val="clear" w:color="auto" w:fill="FFFFFF" w:themeFill="background1"/>
          </w:tcPr>
          <w:p w14:paraId="532E09B7" w14:textId="12E2DE57" w:rsidR="00B51828" w:rsidRPr="00C26CDD" w:rsidRDefault="00B51828" w:rsidP="00790101">
            <w:pPr>
              <w:pStyle w:val="Tabletextboldleft"/>
              <w:spacing w:before="20" w:after="20"/>
              <w:jc w:val="right"/>
              <w:rPr>
                <w:b w:val="0"/>
                <w:i/>
              </w:rPr>
            </w:pPr>
            <w:r w:rsidRPr="00C26CDD">
              <w:rPr>
                <w:b w:val="0"/>
                <w:i/>
                <w:color w:val="000000"/>
              </w:rPr>
              <w:t>48,</w:t>
            </w:r>
            <w:r w:rsidR="00790101">
              <w:rPr>
                <w:b w:val="0"/>
                <w:i/>
                <w:color w:val="000000"/>
              </w:rPr>
              <w:t>822</w:t>
            </w:r>
          </w:p>
        </w:tc>
        <w:tc>
          <w:tcPr>
            <w:tcW w:w="1190" w:type="dxa"/>
            <w:shd w:val="clear" w:color="auto" w:fill="FFFFFF" w:themeFill="background1"/>
          </w:tcPr>
          <w:p w14:paraId="28378554" w14:textId="196640EA" w:rsidR="00B51828" w:rsidRPr="00C26CDD" w:rsidRDefault="00B51828" w:rsidP="00790101">
            <w:pPr>
              <w:pStyle w:val="Tabletextboldleft"/>
              <w:spacing w:before="20" w:after="20"/>
              <w:jc w:val="right"/>
              <w:rPr>
                <w:b w:val="0"/>
                <w:i/>
              </w:rPr>
            </w:pPr>
            <w:r w:rsidRPr="00C26CDD">
              <w:rPr>
                <w:b w:val="0"/>
                <w:i/>
                <w:color w:val="000000"/>
              </w:rPr>
              <w:t>50,</w:t>
            </w:r>
            <w:r w:rsidR="00790101">
              <w:rPr>
                <w:b w:val="0"/>
                <w:i/>
                <w:color w:val="000000"/>
              </w:rPr>
              <w:t>176</w:t>
            </w:r>
          </w:p>
        </w:tc>
        <w:tc>
          <w:tcPr>
            <w:tcW w:w="1191" w:type="dxa"/>
            <w:shd w:val="clear" w:color="auto" w:fill="FFFFFF" w:themeFill="background1"/>
          </w:tcPr>
          <w:p w14:paraId="7502A4CE" w14:textId="666A86ED" w:rsidR="00B51828" w:rsidRPr="00C26CDD" w:rsidRDefault="00B51828" w:rsidP="00790101">
            <w:pPr>
              <w:pStyle w:val="Tabletextboldleft"/>
              <w:spacing w:before="20" w:after="20"/>
              <w:jc w:val="right"/>
              <w:rPr>
                <w:b w:val="0"/>
                <w:i/>
              </w:rPr>
            </w:pPr>
            <w:r w:rsidRPr="00C26CDD">
              <w:rPr>
                <w:b w:val="0"/>
                <w:i/>
                <w:color w:val="000000"/>
              </w:rPr>
              <w:t>51,</w:t>
            </w:r>
            <w:r w:rsidR="00790101">
              <w:rPr>
                <w:b w:val="0"/>
                <w:i/>
                <w:color w:val="000000"/>
              </w:rPr>
              <w:t>530</w:t>
            </w:r>
          </w:p>
        </w:tc>
        <w:tc>
          <w:tcPr>
            <w:tcW w:w="1191" w:type="dxa"/>
            <w:shd w:val="clear" w:color="auto" w:fill="FFFFFF" w:themeFill="background1"/>
          </w:tcPr>
          <w:p w14:paraId="01796302" w14:textId="4A81BF23" w:rsidR="00B51828" w:rsidRPr="00C26CDD" w:rsidRDefault="00B51828" w:rsidP="00790101">
            <w:pPr>
              <w:pStyle w:val="Tabletextboldleft"/>
              <w:spacing w:before="20" w:after="20"/>
              <w:jc w:val="right"/>
              <w:rPr>
                <w:b w:val="0"/>
                <w:i/>
              </w:rPr>
            </w:pPr>
            <w:r w:rsidRPr="00C26CDD">
              <w:rPr>
                <w:b w:val="0"/>
                <w:i/>
                <w:color w:val="000000"/>
              </w:rPr>
              <w:t>52,</w:t>
            </w:r>
            <w:r w:rsidR="00790101">
              <w:rPr>
                <w:b w:val="0"/>
                <w:i/>
                <w:color w:val="000000"/>
              </w:rPr>
              <w:t>883</w:t>
            </w:r>
          </w:p>
        </w:tc>
      </w:tr>
      <w:tr w:rsidR="00B51828" w:rsidRPr="00F647C7" w14:paraId="6D12FB76" w14:textId="77777777" w:rsidTr="00E61184">
        <w:trPr>
          <w:trHeight w:val="212"/>
        </w:trPr>
        <w:tc>
          <w:tcPr>
            <w:tcW w:w="2410" w:type="dxa"/>
            <w:tcBorders>
              <w:bottom w:val="single" w:sz="4" w:space="0" w:color="auto"/>
            </w:tcBorders>
            <w:shd w:val="clear" w:color="auto" w:fill="D0CECE" w:themeFill="background2" w:themeFillShade="E6"/>
          </w:tcPr>
          <w:p w14:paraId="7FBA9CFE" w14:textId="77777777" w:rsidR="00B51828" w:rsidRPr="009D63D8" w:rsidRDefault="00B51828" w:rsidP="002101D2">
            <w:pPr>
              <w:pStyle w:val="Tabletextboldleft"/>
              <w:spacing w:before="20" w:after="20"/>
            </w:pPr>
            <w:r w:rsidRPr="009D63D8">
              <w:rPr>
                <w:i/>
              </w:rPr>
              <w:t>Scenario 2</w:t>
            </w:r>
          </w:p>
        </w:tc>
        <w:tc>
          <w:tcPr>
            <w:tcW w:w="1190" w:type="dxa"/>
            <w:tcBorders>
              <w:bottom w:val="single" w:sz="4" w:space="0" w:color="auto"/>
            </w:tcBorders>
            <w:shd w:val="clear" w:color="auto" w:fill="D0CECE" w:themeFill="background2" w:themeFillShade="E6"/>
          </w:tcPr>
          <w:p w14:paraId="3525B4CC" w14:textId="77777777" w:rsidR="00B51828" w:rsidRPr="00F411CD" w:rsidRDefault="00B51828" w:rsidP="002101D2">
            <w:pPr>
              <w:pStyle w:val="Tabletextboldleft"/>
              <w:spacing w:before="20" w:after="20"/>
              <w:jc w:val="right"/>
              <w:rPr>
                <w:b w:val="0"/>
              </w:rPr>
            </w:pPr>
            <w:r w:rsidRPr="00F411CD">
              <w:rPr>
                <w:b w:val="0"/>
              </w:rPr>
              <w:t>-</w:t>
            </w:r>
          </w:p>
        </w:tc>
        <w:tc>
          <w:tcPr>
            <w:tcW w:w="1191" w:type="dxa"/>
            <w:tcBorders>
              <w:bottom w:val="single" w:sz="4" w:space="0" w:color="auto"/>
            </w:tcBorders>
            <w:shd w:val="clear" w:color="auto" w:fill="D0CECE" w:themeFill="background2" w:themeFillShade="E6"/>
          </w:tcPr>
          <w:p w14:paraId="0295C35D" w14:textId="77777777" w:rsidR="00B51828" w:rsidRPr="00F411CD" w:rsidRDefault="00B51828" w:rsidP="002101D2">
            <w:pPr>
              <w:pStyle w:val="Tabletextboldleft"/>
              <w:spacing w:before="20" w:after="20"/>
              <w:jc w:val="right"/>
              <w:rPr>
                <w:b w:val="0"/>
              </w:rPr>
            </w:pPr>
            <w:r w:rsidRPr="00F411CD">
              <w:rPr>
                <w:b w:val="0"/>
              </w:rPr>
              <w:t>-</w:t>
            </w:r>
          </w:p>
        </w:tc>
        <w:tc>
          <w:tcPr>
            <w:tcW w:w="1190" w:type="dxa"/>
            <w:tcBorders>
              <w:bottom w:val="single" w:sz="4" w:space="0" w:color="auto"/>
            </w:tcBorders>
            <w:shd w:val="clear" w:color="auto" w:fill="D0CECE" w:themeFill="background2" w:themeFillShade="E6"/>
          </w:tcPr>
          <w:p w14:paraId="467484AD" w14:textId="77777777" w:rsidR="00B51828" w:rsidRPr="00F411CD" w:rsidRDefault="00B51828" w:rsidP="002101D2">
            <w:pPr>
              <w:pStyle w:val="Tabletextboldleft"/>
              <w:spacing w:before="20" w:after="20"/>
              <w:jc w:val="right"/>
              <w:rPr>
                <w:b w:val="0"/>
              </w:rPr>
            </w:pPr>
            <w:r w:rsidRPr="00F411CD">
              <w:rPr>
                <w:b w:val="0"/>
              </w:rPr>
              <w:t>-</w:t>
            </w:r>
          </w:p>
        </w:tc>
        <w:tc>
          <w:tcPr>
            <w:tcW w:w="1191" w:type="dxa"/>
            <w:tcBorders>
              <w:bottom w:val="single" w:sz="4" w:space="0" w:color="auto"/>
            </w:tcBorders>
            <w:shd w:val="clear" w:color="auto" w:fill="D0CECE" w:themeFill="background2" w:themeFillShade="E6"/>
          </w:tcPr>
          <w:p w14:paraId="7F12BC09" w14:textId="77777777" w:rsidR="00B51828" w:rsidRPr="00F411CD" w:rsidRDefault="00B51828" w:rsidP="002101D2">
            <w:pPr>
              <w:pStyle w:val="Tabletextboldleft"/>
              <w:spacing w:before="20" w:after="20"/>
              <w:jc w:val="right"/>
              <w:rPr>
                <w:b w:val="0"/>
              </w:rPr>
            </w:pPr>
            <w:r w:rsidRPr="00F411CD">
              <w:rPr>
                <w:b w:val="0"/>
              </w:rPr>
              <w:t>-</w:t>
            </w:r>
          </w:p>
        </w:tc>
        <w:tc>
          <w:tcPr>
            <w:tcW w:w="1191" w:type="dxa"/>
            <w:tcBorders>
              <w:bottom w:val="single" w:sz="4" w:space="0" w:color="auto"/>
            </w:tcBorders>
            <w:shd w:val="clear" w:color="auto" w:fill="D0CECE" w:themeFill="background2" w:themeFillShade="E6"/>
          </w:tcPr>
          <w:p w14:paraId="0CC4984A" w14:textId="77777777" w:rsidR="00B51828" w:rsidRPr="00F411CD" w:rsidRDefault="00B51828" w:rsidP="002101D2">
            <w:pPr>
              <w:pStyle w:val="Tabletextboldleft"/>
              <w:spacing w:before="20" w:after="20"/>
              <w:jc w:val="right"/>
              <w:rPr>
                <w:b w:val="0"/>
              </w:rPr>
            </w:pPr>
            <w:r w:rsidRPr="00F411CD">
              <w:rPr>
                <w:b w:val="0"/>
              </w:rPr>
              <w:t>-</w:t>
            </w:r>
          </w:p>
        </w:tc>
      </w:tr>
      <w:tr w:rsidR="00B51828" w:rsidRPr="00F647C7" w14:paraId="31FCC43F" w14:textId="77777777" w:rsidTr="00E61184">
        <w:trPr>
          <w:trHeight w:val="212"/>
        </w:trPr>
        <w:tc>
          <w:tcPr>
            <w:tcW w:w="2410" w:type="dxa"/>
            <w:tcBorders>
              <w:bottom w:val="nil"/>
            </w:tcBorders>
            <w:shd w:val="clear" w:color="auto" w:fill="FFFFFF" w:themeFill="background1"/>
          </w:tcPr>
          <w:p w14:paraId="0C45E0FF" w14:textId="77777777" w:rsidR="00B51828" w:rsidRPr="00F411CD" w:rsidRDefault="00B51828" w:rsidP="002101D2">
            <w:pPr>
              <w:pStyle w:val="Tabletextboldleft"/>
              <w:spacing w:before="20" w:after="20"/>
              <w:rPr>
                <w:b w:val="0"/>
              </w:rPr>
            </w:pPr>
            <w:r w:rsidRPr="00F411CD">
              <w:rPr>
                <w:b w:val="0"/>
              </w:rPr>
              <w:t>Tissue pathology</w:t>
            </w:r>
            <w:r w:rsidRPr="00F411CD">
              <w:rPr>
                <w:b w:val="0"/>
                <w:vertAlign w:val="superscript"/>
              </w:rPr>
              <w:t>a</w:t>
            </w:r>
          </w:p>
        </w:tc>
        <w:tc>
          <w:tcPr>
            <w:tcW w:w="1190" w:type="dxa"/>
            <w:tcBorders>
              <w:bottom w:val="nil"/>
            </w:tcBorders>
            <w:shd w:val="clear" w:color="auto" w:fill="FFFFFF" w:themeFill="background1"/>
          </w:tcPr>
          <w:p w14:paraId="6FD54551" w14:textId="77777777" w:rsidR="00B51828" w:rsidRPr="00F411CD" w:rsidRDefault="00B51828" w:rsidP="002101D2">
            <w:pPr>
              <w:pStyle w:val="Tabletextboldleft"/>
              <w:spacing w:before="20" w:after="20"/>
              <w:jc w:val="right"/>
              <w:rPr>
                <w:b w:val="0"/>
              </w:rPr>
            </w:pPr>
            <w:r w:rsidRPr="00F411CD">
              <w:rPr>
                <w:b w:val="0"/>
                <w:color w:val="000000"/>
              </w:rPr>
              <w:t>11,368</w:t>
            </w:r>
          </w:p>
        </w:tc>
        <w:tc>
          <w:tcPr>
            <w:tcW w:w="1191" w:type="dxa"/>
            <w:tcBorders>
              <w:bottom w:val="nil"/>
            </w:tcBorders>
            <w:shd w:val="clear" w:color="auto" w:fill="FFFFFF" w:themeFill="background1"/>
          </w:tcPr>
          <w:p w14:paraId="63D1147B" w14:textId="77777777" w:rsidR="00B51828" w:rsidRPr="00F411CD" w:rsidRDefault="00B51828" w:rsidP="002101D2">
            <w:pPr>
              <w:pStyle w:val="Tabletextboldleft"/>
              <w:spacing w:before="20" w:after="20"/>
              <w:jc w:val="right"/>
              <w:rPr>
                <w:b w:val="0"/>
              </w:rPr>
            </w:pPr>
            <w:r w:rsidRPr="00F411CD">
              <w:rPr>
                <w:b w:val="0"/>
                <w:color w:val="000000"/>
              </w:rPr>
              <w:t>11,780</w:t>
            </w:r>
          </w:p>
        </w:tc>
        <w:tc>
          <w:tcPr>
            <w:tcW w:w="1190" w:type="dxa"/>
            <w:tcBorders>
              <w:bottom w:val="nil"/>
            </w:tcBorders>
            <w:shd w:val="clear" w:color="auto" w:fill="FFFFFF" w:themeFill="background1"/>
          </w:tcPr>
          <w:p w14:paraId="670BADCA" w14:textId="77777777" w:rsidR="00B51828" w:rsidRPr="00F411CD" w:rsidRDefault="00B51828" w:rsidP="002101D2">
            <w:pPr>
              <w:pStyle w:val="Tabletextboldleft"/>
              <w:spacing w:before="20" w:after="20"/>
              <w:jc w:val="right"/>
              <w:rPr>
                <w:b w:val="0"/>
              </w:rPr>
            </w:pPr>
            <w:r w:rsidRPr="00F411CD">
              <w:rPr>
                <w:b w:val="0"/>
                <w:color w:val="000000"/>
              </w:rPr>
              <w:t>12,191</w:t>
            </w:r>
          </w:p>
        </w:tc>
        <w:tc>
          <w:tcPr>
            <w:tcW w:w="1191" w:type="dxa"/>
            <w:tcBorders>
              <w:bottom w:val="nil"/>
            </w:tcBorders>
            <w:shd w:val="clear" w:color="auto" w:fill="FFFFFF" w:themeFill="background1"/>
          </w:tcPr>
          <w:p w14:paraId="461708EE" w14:textId="77777777" w:rsidR="00B51828" w:rsidRPr="00F411CD" w:rsidRDefault="00B51828" w:rsidP="002101D2">
            <w:pPr>
              <w:pStyle w:val="Tabletextboldleft"/>
              <w:spacing w:before="20" w:after="20"/>
              <w:jc w:val="right"/>
              <w:rPr>
                <w:b w:val="0"/>
              </w:rPr>
            </w:pPr>
            <w:r w:rsidRPr="00F411CD">
              <w:rPr>
                <w:b w:val="0"/>
                <w:color w:val="000000"/>
              </w:rPr>
              <w:t>12,603</w:t>
            </w:r>
          </w:p>
        </w:tc>
        <w:tc>
          <w:tcPr>
            <w:tcW w:w="1191" w:type="dxa"/>
            <w:tcBorders>
              <w:bottom w:val="nil"/>
            </w:tcBorders>
            <w:shd w:val="clear" w:color="auto" w:fill="FFFFFF" w:themeFill="background1"/>
          </w:tcPr>
          <w:p w14:paraId="7CBE7789" w14:textId="77777777" w:rsidR="00B51828" w:rsidRPr="00F411CD" w:rsidRDefault="00B51828" w:rsidP="002101D2">
            <w:pPr>
              <w:pStyle w:val="Tabletextboldleft"/>
              <w:spacing w:before="20" w:after="20"/>
              <w:jc w:val="right"/>
              <w:rPr>
                <w:b w:val="0"/>
              </w:rPr>
            </w:pPr>
            <w:r w:rsidRPr="00F411CD">
              <w:rPr>
                <w:b w:val="0"/>
                <w:color w:val="000000"/>
              </w:rPr>
              <w:t>13,015</w:t>
            </w:r>
          </w:p>
        </w:tc>
      </w:tr>
      <w:tr w:rsidR="00B51828" w:rsidRPr="00F647C7" w14:paraId="4D617E86" w14:textId="77777777" w:rsidTr="00E61184">
        <w:trPr>
          <w:trHeight w:val="212"/>
        </w:trPr>
        <w:tc>
          <w:tcPr>
            <w:tcW w:w="2410" w:type="dxa"/>
            <w:tcBorders>
              <w:top w:val="nil"/>
              <w:bottom w:val="nil"/>
            </w:tcBorders>
            <w:shd w:val="clear" w:color="auto" w:fill="FFFFFF" w:themeFill="background1"/>
          </w:tcPr>
          <w:p w14:paraId="490179EE" w14:textId="77777777" w:rsidR="00B51828" w:rsidRPr="00F411CD"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tcPr>
          <w:p w14:paraId="58AF7F85" w14:textId="77777777" w:rsidR="00B51828" w:rsidRPr="00F411CD" w:rsidRDefault="00B51828" w:rsidP="002101D2">
            <w:pPr>
              <w:pStyle w:val="Tabletextboldleft"/>
              <w:spacing w:before="20" w:after="20"/>
              <w:jc w:val="right"/>
              <w:rPr>
                <w:b w:val="0"/>
              </w:rPr>
            </w:pPr>
            <w:r w:rsidRPr="00F411CD">
              <w:rPr>
                <w:b w:val="0"/>
                <w:color w:val="000000"/>
              </w:rPr>
              <w:t>3,410</w:t>
            </w:r>
          </w:p>
        </w:tc>
        <w:tc>
          <w:tcPr>
            <w:tcW w:w="1191" w:type="dxa"/>
            <w:tcBorders>
              <w:top w:val="nil"/>
              <w:bottom w:val="nil"/>
            </w:tcBorders>
            <w:shd w:val="clear" w:color="auto" w:fill="FFFFFF" w:themeFill="background1"/>
          </w:tcPr>
          <w:p w14:paraId="5FBBE5E9" w14:textId="77777777" w:rsidR="00B51828" w:rsidRPr="00F411CD" w:rsidRDefault="00B51828" w:rsidP="002101D2">
            <w:pPr>
              <w:pStyle w:val="Tabletextboldleft"/>
              <w:spacing w:before="20" w:after="20"/>
              <w:jc w:val="right"/>
              <w:rPr>
                <w:b w:val="0"/>
              </w:rPr>
            </w:pPr>
            <w:r w:rsidRPr="00F411CD">
              <w:rPr>
                <w:b w:val="0"/>
                <w:color w:val="000000"/>
              </w:rPr>
              <w:t>3,534</w:t>
            </w:r>
          </w:p>
        </w:tc>
        <w:tc>
          <w:tcPr>
            <w:tcW w:w="1190" w:type="dxa"/>
            <w:tcBorders>
              <w:top w:val="nil"/>
              <w:bottom w:val="nil"/>
            </w:tcBorders>
            <w:shd w:val="clear" w:color="auto" w:fill="FFFFFF" w:themeFill="background1"/>
          </w:tcPr>
          <w:p w14:paraId="466FF841" w14:textId="77777777" w:rsidR="00B51828" w:rsidRPr="00F411CD" w:rsidRDefault="00B51828" w:rsidP="002101D2">
            <w:pPr>
              <w:pStyle w:val="Tabletextboldleft"/>
              <w:spacing w:before="20" w:after="20"/>
              <w:jc w:val="right"/>
              <w:rPr>
                <w:b w:val="0"/>
              </w:rPr>
            </w:pPr>
            <w:r w:rsidRPr="00F411CD">
              <w:rPr>
                <w:b w:val="0"/>
                <w:color w:val="000000"/>
              </w:rPr>
              <w:t>3,657</w:t>
            </w:r>
          </w:p>
        </w:tc>
        <w:tc>
          <w:tcPr>
            <w:tcW w:w="1191" w:type="dxa"/>
            <w:tcBorders>
              <w:top w:val="nil"/>
              <w:bottom w:val="nil"/>
            </w:tcBorders>
            <w:shd w:val="clear" w:color="auto" w:fill="FFFFFF" w:themeFill="background1"/>
          </w:tcPr>
          <w:p w14:paraId="5093C2EF" w14:textId="77777777" w:rsidR="00B51828" w:rsidRPr="00F411CD" w:rsidRDefault="00B51828" w:rsidP="002101D2">
            <w:pPr>
              <w:pStyle w:val="Tabletextboldleft"/>
              <w:spacing w:before="20" w:after="20"/>
              <w:jc w:val="right"/>
              <w:rPr>
                <w:b w:val="0"/>
              </w:rPr>
            </w:pPr>
            <w:r w:rsidRPr="00F411CD">
              <w:rPr>
                <w:b w:val="0"/>
                <w:color w:val="000000"/>
              </w:rPr>
              <w:t>3,781</w:t>
            </w:r>
          </w:p>
        </w:tc>
        <w:tc>
          <w:tcPr>
            <w:tcW w:w="1191" w:type="dxa"/>
            <w:tcBorders>
              <w:top w:val="nil"/>
              <w:bottom w:val="nil"/>
            </w:tcBorders>
            <w:shd w:val="clear" w:color="auto" w:fill="FFFFFF" w:themeFill="background1"/>
          </w:tcPr>
          <w:p w14:paraId="4FAA2530" w14:textId="77777777" w:rsidR="00B51828" w:rsidRPr="00F411CD" w:rsidRDefault="00B51828" w:rsidP="002101D2">
            <w:pPr>
              <w:pStyle w:val="Tabletextboldleft"/>
              <w:spacing w:before="20" w:after="20"/>
              <w:jc w:val="right"/>
              <w:rPr>
                <w:b w:val="0"/>
              </w:rPr>
            </w:pPr>
            <w:r w:rsidRPr="00F411CD">
              <w:rPr>
                <w:b w:val="0"/>
                <w:color w:val="000000"/>
              </w:rPr>
              <w:t>3,905</w:t>
            </w:r>
          </w:p>
        </w:tc>
      </w:tr>
      <w:tr w:rsidR="00B51828" w:rsidRPr="00F647C7" w14:paraId="169F8BED" w14:textId="77777777" w:rsidTr="00E61184">
        <w:trPr>
          <w:trHeight w:val="212"/>
        </w:trPr>
        <w:tc>
          <w:tcPr>
            <w:tcW w:w="2410" w:type="dxa"/>
            <w:tcBorders>
              <w:top w:val="nil"/>
              <w:bottom w:val="single" w:sz="4" w:space="0" w:color="auto"/>
            </w:tcBorders>
            <w:shd w:val="clear" w:color="auto" w:fill="FFFFFF" w:themeFill="background1"/>
          </w:tcPr>
          <w:p w14:paraId="303FBD96" w14:textId="77777777" w:rsidR="00B51828" w:rsidRPr="00F411CD" w:rsidRDefault="00B51828" w:rsidP="002101D2">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shd w:val="clear" w:color="auto" w:fill="FFFFFF" w:themeFill="background1"/>
          </w:tcPr>
          <w:p w14:paraId="1858F458" w14:textId="77777777" w:rsidR="00B51828" w:rsidRPr="00F411CD" w:rsidRDefault="00B51828" w:rsidP="002101D2">
            <w:pPr>
              <w:pStyle w:val="Tabletextboldleft"/>
              <w:spacing w:before="20" w:after="20"/>
              <w:jc w:val="right"/>
              <w:rPr>
                <w:b w:val="0"/>
              </w:rPr>
            </w:pPr>
            <w:r w:rsidRPr="00F411CD">
              <w:rPr>
                <w:b w:val="0"/>
                <w:color w:val="000000"/>
              </w:rPr>
              <w:t>7,957</w:t>
            </w:r>
          </w:p>
        </w:tc>
        <w:tc>
          <w:tcPr>
            <w:tcW w:w="1191" w:type="dxa"/>
            <w:tcBorders>
              <w:top w:val="nil"/>
              <w:bottom w:val="single" w:sz="4" w:space="0" w:color="auto"/>
            </w:tcBorders>
            <w:shd w:val="clear" w:color="auto" w:fill="FFFFFF" w:themeFill="background1"/>
          </w:tcPr>
          <w:p w14:paraId="27A28712" w14:textId="77777777" w:rsidR="00B51828" w:rsidRPr="00F411CD" w:rsidRDefault="00B51828" w:rsidP="002101D2">
            <w:pPr>
              <w:pStyle w:val="Tabletextboldleft"/>
              <w:spacing w:before="20" w:after="20"/>
              <w:jc w:val="right"/>
              <w:rPr>
                <w:b w:val="0"/>
              </w:rPr>
            </w:pPr>
            <w:r w:rsidRPr="00F411CD">
              <w:rPr>
                <w:b w:val="0"/>
                <w:color w:val="000000"/>
              </w:rPr>
              <w:t>8,246</w:t>
            </w:r>
          </w:p>
        </w:tc>
        <w:tc>
          <w:tcPr>
            <w:tcW w:w="1190" w:type="dxa"/>
            <w:tcBorders>
              <w:top w:val="nil"/>
              <w:bottom w:val="single" w:sz="4" w:space="0" w:color="auto"/>
            </w:tcBorders>
            <w:shd w:val="clear" w:color="auto" w:fill="FFFFFF" w:themeFill="background1"/>
          </w:tcPr>
          <w:p w14:paraId="212492BC" w14:textId="77777777" w:rsidR="00B51828" w:rsidRPr="00F411CD" w:rsidRDefault="00B51828" w:rsidP="002101D2">
            <w:pPr>
              <w:pStyle w:val="Tabletextboldleft"/>
              <w:spacing w:before="20" w:after="20"/>
              <w:jc w:val="right"/>
              <w:rPr>
                <w:b w:val="0"/>
              </w:rPr>
            </w:pPr>
            <w:r w:rsidRPr="00F411CD">
              <w:rPr>
                <w:b w:val="0"/>
                <w:color w:val="000000"/>
              </w:rPr>
              <w:t>8,534</w:t>
            </w:r>
          </w:p>
        </w:tc>
        <w:tc>
          <w:tcPr>
            <w:tcW w:w="1191" w:type="dxa"/>
            <w:tcBorders>
              <w:top w:val="nil"/>
              <w:bottom w:val="single" w:sz="4" w:space="0" w:color="auto"/>
            </w:tcBorders>
            <w:shd w:val="clear" w:color="auto" w:fill="FFFFFF" w:themeFill="background1"/>
          </w:tcPr>
          <w:p w14:paraId="131DFDEE" w14:textId="77777777" w:rsidR="00B51828" w:rsidRPr="00F411CD" w:rsidRDefault="00B51828" w:rsidP="002101D2">
            <w:pPr>
              <w:pStyle w:val="Tabletextboldleft"/>
              <w:spacing w:before="20" w:after="20"/>
              <w:jc w:val="right"/>
              <w:rPr>
                <w:b w:val="0"/>
              </w:rPr>
            </w:pPr>
            <w:r w:rsidRPr="00F411CD">
              <w:rPr>
                <w:b w:val="0"/>
                <w:color w:val="000000"/>
              </w:rPr>
              <w:t>8,822</w:t>
            </w:r>
          </w:p>
        </w:tc>
        <w:tc>
          <w:tcPr>
            <w:tcW w:w="1191" w:type="dxa"/>
            <w:tcBorders>
              <w:top w:val="nil"/>
              <w:bottom w:val="single" w:sz="4" w:space="0" w:color="auto"/>
            </w:tcBorders>
            <w:shd w:val="clear" w:color="auto" w:fill="FFFFFF" w:themeFill="background1"/>
          </w:tcPr>
          <w:p w14:paraId="00A35FD1" w14:textId="77777777" w:rsidR="00B51828" w:rsidRPr="00F411CD" w:rsidRDefault="00B51828" w:rsidP="002101D2">
            <w:pPr>
              <w:pStyle w:val="Tabletextboldleft"/>
              <w:spacing w:before="20" w:after="20"/>
              <w:jc w:val="right"/>
              <w:rPr>
                <w:b w:val="0"/>
              </w:rPr>
            </w:pPr>
            <w:r w:rsidRPr="00F411CD">
              <w:rPr>
                <w:b w:val="0"/>
                <w:color w:val="000000"/>
              </w:rPr>
              <w:t>9,111</w:t>
            </w:r>
          </w:p>
        </w:tc>
      </w:tr>
      <w:tr w:rsidR="00B51828" w:rsidRPr="00F647C7" w14:paraId="06AE0A88" w14:textId="77777777" w:rsidTr="00E61184">
        <w:trPr>
          <w:trHeight w:val="212"/>
        </w:trPr>
        <w:tc>
          <w:tcPr>
            <w:tcW w:w="2410" w:type="dxa"/>
            <w:tcBorders>
              <w:bottom w:val="nil"/>
            </w:tcBorders>
            <w:shd w:val="clear" w:color="auto" w:fill="FFFFFF" w:themeFill="background1"/>
          </w:tcPr>
          <w:p w14:paraId="01C7C304" w14:textId="77777777" w:rsidR="00B51828" w:rsidRPr="00F411CD" w:rsidRDefault="00B51828" w:rsidP="002101D2">
            <w:pPr>
              <w:pStyle w:val="Tabletextboldleft"/>
              <w:spacing w:before="20" w:after="20"/>
              <w:rPr>
                <w:b w:val="0"/>
              </w:rPr>
            </w:pPr>
            <w:r w:rsidRPr="00F411CD">
              <w:rPr>
                <w:b w:val="0"/>
              </w:rPr>
              <w:t>Non-gynaecological cytology</w:t>
            </w:r>
          </w:p>
        </w:tc>
        <w:tc>
          <w:tcPr>
            <w:tcW w:w="1190" w:type="dxa"/>
            <w:tcBorders>
              <w:bottom w:val="nil"/>
            </w:tcBorders>
            <w:shd w:val="clear" w:color="auto" w:fill="FFFFFF" w:themeFill="background1"/>
          </w:tcPr>
          <w:p w14:paraId="67912D1B" w14:textId="5FAFB3DD" w:rsidR="00B51828" w:rsidRPr="00F411CD" w:rsidRDefault="00B51828" w:rsidP="00790101">
            <w:pPr>
              <w:pStyle w:val="Tabletextboldleft"/>
              <w:spacing w:before="20" w:after="20"/>
              <w:jc w:val="right"/>
              <w:rPr>
                <w:b w:val="0"/>
              </w:rPr>
            </w:pPr>
            <w:r w:rsidRPr="00F411CD">
              <w:rPr>
                <w:b w:val="0"/>
                <w:color w:val="000000"/>
              </w:rPr>
              <w:t>1,2</w:t>
            </w:r>
            <w:r w:rsidR="00790101">
              <w:rPr>
                <w:b w:val="0"/>
                <w:color w:val="000000"/>
              </w:rPr>
              <w:t>39</w:t>
            </w:r>
          </w:p>
        </w:tc>
        <w:tc>
          <w:tcPr>
            <w:tcW w:w="1191" w:type="dxa"/>
            <w:tcBorders>
              <w:bottom w:val="nil"/>
            </w:tcBorders>
            <w:shd w:val="clear" w:color="auto" w:fill="FFFFFF" w:themeFill="background1"/>
          </w:tcPr>
          <w:p w14:paraId="477C534B" w14:textId="799C0073" w:rsidR="00B51828" w:rsidRPr="00F411CD" w:rsidRDefault="00B51828" w:rsidP="00790101">
            <w:pPr>
              <w:pStyle w:val="Tabletextboldleft"/>
              <w:spacing w:before="20" w:after="20"/>
              <w:jc w:val="right"/>
              <w:rPr>
                <w:b w:val="0"/>
              </w:rPr>
            </w:pPr>
            <w:r w:rsidRPr="00F411CD">
              <w:rPr>
                <w:b w:val="0"/>
                <w:color w:val="000000"/>
              </w:rPr>
              <w:t>1,2</w:t>
            </w:r>
            <w:r w:rsidR="00790101">
              <w:rPr>
                <w:b w:val="0"/>
                <w:color w:val="000000"/>
              </w:rPr>
              <w:t>75</w:t>
            </w:r>
          </w:p>
        </w:tc>
        <w:tc>
          <w:tcPr>
            <w:tcW w:w="1190" w:type="dxa"/>
            <w:tcBorders>
              <w:bottom w:val="nil"/>
            </w:tcBorders>
            <w:shd w:val="clear" w:color="auto" w:fill="FFFFFF" w:themeFill="background1"/>
          </w:tcPr>
          <w:p w14:paraId="07943B51" w14:textId="1BB9F798" w:rsidR="00B51828" w:rsidRPr="00F411CD" w:rsidRDefault="00B51828" w:rsidP="00790101">
            <w:pPr>
              <w:pStyle w:val="Tabletextboldleft"/>
              <w:spacing w:before="20" w:after="20"/>
              <w:jc w:val="right"/>
              <w:rPr>
                <w:b w:val="0"/>
              </w:rPr>
            </w:pPr>
            <w:r w:rsidRPr="00F411CD">
              <w:rPr>
                <w:b w:val="0"/>
                <w:color w:val="000000"/>
              </w:rPr>
              <w:t>1,3</w:t>
            </w:r>
            <w:r w:rsidR="00790101">
              <w:rPr>
                <w:b w:val="0"/>
                <w:color w:val="000000"/>
              </w:rPr>
              <w:t>10</w:t>
            </w:r>
          </w:p>
        </w:tc>
        <w:tc>
          <w:tcPr>
            <w:tcW w:w="1191" w:type="dxa"/>
            <w:tcBorders>
              <w:bottom w:val="nil"/>
            </w:tcBorders>
            <w:shd w:val="clear" w:color="auto" w:fill="FFFFFF" w:themeFill="background1"/>
          </w:tcPr>
          <w:p w14:paraId="5CB44873" w14:textId="7CE5E44C" w:rsidR="00B51828" w:rsidRPr="00F411CD" w:rsidRDefault="00B51828" w:rsidP="00790101">
            <w:pPr>
              <w:pStyle w:val="Tabletextboldleft"/>
              <w:spacing w:before="20" w:after="20"/>
              <w:jc w:val="right"/>
              <w:rPr>
                <w:b w:val="0"/>
              </w:rPr>
            </w:pPr>
            <w:r w:rsidRPr="00F411CD">
              <w:rPr>
                <w:b w:val="0"/>
                <w:color w:val="000000"/>
              </w:rPr>
              <w:t>1,3</w:t>
            </w:r>
            <w:r w:rsidR="00790101">
              <w:rPr>
                <w:b w:val="0"/>
                <w:color w:val="000000"/>
              </w:rPr>
              <w:t>46</w:t>
            </w:r>
          </w:p>
        </w:tc>
        <w:tc>
          <w:tcPr>
            <w:tcW w:w="1191" w:type="dxa"/>
            <w:tcBorders>
              <w:bottom w:val="nil"/>
            </w:tcBorders>
            <w:shd w:val="clear" w:color="auto" w:fill="FFFFFF" w:themeFill="background1"/>
          </w:tcPr>
          <w:p w14:paraId="0B4C3C32" w14:textId="02C95160" w:rsidR="00B51828" w:rsidRPr="00F411CD" w:rsidRDefault="00790101" w:rsidP="002101D2">
            <w:pPr>
              <w:pStyle w:val="Tabletextboldleft"/>
              <w:spacing w:before="20" w:after="20"/>
              <w:jc w:val="right"/>
              <w:rPr>
                <w:b w:val="0"/>
              </w:rPr>
            </w:pPr>
            <w:r>
              <w:rPr>
                <w:b w:val="0"/>
                <w:color w:val="000000"/>
              </w:rPr>
              <w:t>1,382</w:t>
            </w:r>
          </w:p>
        </w:tc>
      </w:tr>
      <w:tr w:rsidR="00B51828" w:rsidRPr="00F647C7" w14:paraId="1C098661" w14:textId="77777777" w:rsidTr="00E61184">
        <w:trPr>
          <w:trHeight w:val="212"/>
        </w:trPr>
        <w:tc>
          <w:tcPr>
            <w:tcW w:w="2410" w:type="dxa"/>
            <w:tcBorders>
              <w:top w:val="nil"/>
              <w:bottom w:val="nil"/>
            </w:tcBorders>
            <w:shd w:val="clear" w:color="auto" w:fill="FFFFFF" w:themeFill="background1"/>
          </w:tcPr>
          <w:p w14:paraId="5DD6B801" w14:textId="77777777" w:rsidR="00B51828" w:rsidRPr="00F411CD"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tcPr>
          <w:p w14:paraId="115DEBD6" w14:textId="0B43B9DA"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27</w:t>
            </w:r>
          </w:p>
        </w:tc>
        <w:tc>
          <w:tcPr>
            <w:tcW w:w="1191" w:type="dxa"/>
            <w:tcBorders>
              <w:top w:val="nil"/>
              <w:bottom w:val="nil"/>
            </w:tcBorders>
            <w:shd w:val="clear" w:color="auto" w:fill="FFFFFF" w:themeFill="background1"/>
          </w:tcPr>
          <w:p w14:paraId="5B2D32AE" w14:textId="7444E26A"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34</w:t>
            </w:r>
          </w:p>
        </w:tc>
        <w:tc>
          <w:tcPr>
            <w:tcW w:w="1190" w:type="dxa"/>
            <w:tcBorders>
              <w:top w:val="nil"/>
              <w:bottom w:val="nil"/>
            </w:tcBorders>
            <w:shd w:val="clear" w:color="auto" w:fill="FFFFFF" w:themeFill="background1"/>
          </w:tcPr>
          <w:p w14:paraId="6FFE110E" w14:textId="012DC603"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40</w:t>
            </w:r>
          </w:p>
        </w:tc>
        <w:tc>
          <w:tcPr>
            <w:tcW w:w="1191" w:type="dxa"/>
            <w:tcBorders>
              <w:top w:val="nil"/>
              <w:bottom w:val="nil"/>
            </w:tcBorders>
            <w:shd w:val="clear" w:color="auto" w:fill="FFFFFF" w:themeFill="background1"/>
          </w:tcPr>
          <w:p w14:paraId="00E129BF" w14:textId="6495EBCE"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47</w:t>
            </w:r>
          </w:p>
        </w:tc>
        <w:tc>
          <w:tcPr>
            <w:tcW w:w="1191" w:type="dxa"/>
            <w:tcBorders>
              <w:top w:val="nil"/>
              <w:bottom w:val="nil"/>
            </w:tcBorders>
            <w:shd w:val="clear" w:color="auto" w:fill="FFFFFF" w:themeFill="background1"/>
          </w:tcPr>
          <w:p w14:paraId="590B27FA" w14:textId="40A5B07D" w:rsidR="00B51828" w:rsidRPr="00F411CD" w:rsidRDefault="00B51828" w:rsidP="00790101">
            <w:pPr>
              <w:pStyle w:val="Tabletextboldleft"/>
              <w:spacing w:before="20" w:after="20"/>
              <w:jc w:val="right"/>
              <w:rPr>
                <w:b w:val="0"/>
              </w:rPr>
            </w:pPr>
            <w:r w:rsidRPr="00F411CD">
              <w:rPr>
                <w:b w:val="0"/>
                <w:color w:val="000000"/>
              </w:rPr>
              <w:t>2</w:t>
            </w:r>
            <w:r w:rsidR="00790101">
              <w:rPr>
                <w:b w:val="0"/>
                <w:color w:val="000000"/>
              </w:rPr>
              <w:t>53</w:t>
            </w:r>
          </w:p>
        </w:tc>
      </w:tr>
      <w:tr w:rsidR="00B51828" w:rsidRPr="00F647C7" w14:paraId="7688E8E7" w14:textId="77777777" w:rsidTr="00E61184">
        <w:trPr>
          <w:trHeight w:val="212"/>
        </w:trPr>
        <w:tc>
          <w:tcPr>
            <w:tcW w:w="2410" w:type="dxa"/>
            <w:tcBorders>
              <w:top w:val="nil"/>
              <w:bottom w:val="single" w:sz="4" w:space="0" w:color="auto"/>
            </w:tcBorders>
            <w:shd w:val="clear" w:color="auto" w:fill="FFFFFF" w:themeFill="background1"/>
          </w:tcPr>
          <w:p w14:paraId="3474ED0A" w14:textId="77777777" w:rsidR="00B51828" w:rsidRPr="00F411CD" w:rsidRDefault="00B51828" w:rsidP="002101D2">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shd w:val="clear" w:color="auto" w:fill="FFFFFF" w:themeFill="background1"/>
          </w:tcPr>
          <w:p w14:paraId="04B65C26" w14:textId="4AB1DBDE" w:rsidR="00B51828" w:rsidRPr="00F411CD" w:rsidRDefault="00B51828" w:rsidP="00790101">
            <w:pPr>
              <w:pStyle w:val="Tabletextboldleft"/>
              <w:spacing w:before="20" w:after="20"/>
              <w:jc w:val="right"/>
              <w:rPr>
                <w:b w:val="0"/>
              </w:rPr>
            </w:pPr>
            <w:r w:rsidRPr="00F411CD">
              <w:rPr>
                <w:b w:val="0"/>
                <w:color w:val="000000"/>
              </w:rPr>
              <w:t>1,0</w:t>
            </w:r>
            <w:r w:rsidR="00790101">
              <w:rPr>
                <w:b w:val="0"/>
                <w:color w:val="000000"/>
              </w:rPr>
              <w:t>12</w:t>
            </w:r>
          </w:p>
        </w:tc>
        <w:tc>
          <w:tcPr>
            <w:tcW w:w="1191" w:type="dxa"/>
            <w:tcBorders>
              <w:top w:val="nil"/>
              <w:bottom w:val="single" w:sz="4" w:space="0" w:color="auto"/>
            </w:tcBorders>
            <w:shd w:val="clear" w:color="auto" w:fill="FFFFFF" w:themeFill="background1"/>
          </w:tcPr>
          <w:p w14:paraId="62F9C42B" w14:textId="025CAEBB" w:rsidR="00B51828" w:rsidRPr="00F411CD" w:rsidRDefault="00B51828" w:rsidP="00790101">
            <w:pPr>
              <w:pStyle w:val="Tabletextboldleft"/>
              <w:spacing w:before="20" w:after="20"/>
              <w:jc w:val="right"/>
              <w:rPr>
                <w:b w:val="0"/>
              </w:rPr>
            </w:pPr>
            <w:r w:rsidRPr="00F411CD">
              <w:rPr>
                <w:b w:val="0"/>
                <w:color w:val="000000"/>
              </w:rPr>
              <w:t>1,0</w:t>
            </w:r>
            <w:r w:rsidR="00790101">
              <w:rPr>
                <w:b w:val="0"/>
                <w:color w:val="000000"/>
              </w:rPr>
              <w:t>41</w:t>
            </w:r>
          </w:p>
        </w:tc>
        <w:tc>
          <w:tcPr>
            <w:tcW w:w="1190" w:type="dxa"/>
            <w:tcBorders>
              <w:top w:val="nil"/>
              <w:bottom w:val="single" w:sz="4" w:space="0" w:color="auto"/>
            </w:tcBorders>
            <w:shd w:val="clear" w:color="auto" w:fill="FFFFFF" w:themeFill="background1"/>
          </w:tcPr>
          <w:p w14:paraId="22E77F76" w14:textId="133B65CB" w:rsidR="00B51828" w:rsidRPr="00F411CD" w:rsidRDefault="00B51828" w:rsidP="00790101">
            <w:pPr>
              <w:pStyle w:val="Tabletextboldleft"/>
              <w:spacing w:before="20" w:after="20"/>
              <w:jc w:val="right"/>
              <w:rPr>
                <w:b w:val="0"/>
              </w:rPr>
            </w:pPr>
            <w:r w:rsidRPr="00F411CD">
              <w:rPr>
                <w:b w:val="0"/>
                <w:color w:val="000000"/>
              </w:rPr>
              <w:t>1,0</w:t>
            </w:r>
            <w:r w:rsidR="00790101">
              <w:rPr>
                <w:b w:val="0"/>
                <w:color w:val="000000"/>
              </w:rPr>
              <w:t>70</w:t>
            </w:r>
          </w:p>
        </w:tc>
        <w:tc>
          <w:tcPr>
            <w:tcW w:w="1191" w:type="dxa"/>
            <w:tcBorders>
              <w:top w:val="nil"/>
              <w:bottom w:val="single" w:sz="4" w:space="0" w:color="auto"/>
            </w:tcBorders>
            <w:shd w:val="clear" w:color="auto" w:fill="FFFFFF" w:themeFill="background1"/>
          </w:tcPr>
          <w:p w14:paraId="2611A38A" w14:textId="0AB0462B" w:rsidR="00B51828" w:rsidRPr="00F411CD" w:rsidRDefault="00B51828" w:rsidP="00790101">
            <w:pPr>
              <w:pStyle w:val="Tabletextboldleft"/>
              <w:spacing w:before="20" w:after="20"/>
              <w:jc w:val="right"/>
              <w:rPr>
                <w:b w:val="0"/>
              </w:rPr>
            </w:pPr>
            <w:r w:rsidRPr="00F411CD">
              <w:rPr>
                <w:b w:val="0"/>
                <w:color w:val="000000"/>
              </w:rPr>
              <w:t>1,</w:t>
            </w:r>
            <w:r w:rsidR="00790101">
              <w:rPr>
                <w:b w:val="0"/>
                <w:color w:val="000000"/>
              </w:rPr>
              <w:t>100</w:t>
            </w:r>
          </w:p>
        </w:tc>
        <w:tc>
          <w:tcPr>
            <w:tcW w:w="1191" w:type="dxa"/>
            <w:tcBorders>
              <w:top w:val="nil"/>
              <w:bottom w:val="single" w:sz="4" w:space="0" w:color="auto"/>
            </w:tcBorders>
            <w:shd w:val="clear" w:color="auto" w:fill="FFFFFF" w:themeFill="background1"/>
          </w:tcPr>
          <w:p w14:paraId="0DBBBE87" w14:textId="3A5A611C" w:rsidR="00B51828" w:rsidRPr="00F411CD" w:rsidRDefault="00B51828" w:rsidP="00790101">
            <w:pPr>
              <w:pStyle w:val="Tabletextboldleft"/>
              <w:spacing w:before="20" w:after="20"/>
              <w:jc w:val="right"/>
              <w:rPr>
                <w:b w:val="0"/>
              </w:rPr>
            </w:pPr>
            <w:r w:rsidRPr="00F411CD">
              <w:rPr>
                <w:b w:val="0"/>
                <w:color w:val="000000"/>
              </w:rPr>
              <w:t>1,</w:t>
            </w:r>
            <w:r w:rsidR="00790101">
              <w:rPr>
                <w:b w:val="0"/>
                <w:color w:val="000000"/>
              </w:rPr>
              <w:t>129</w:t>
            </w:r>
          </w:p>
        </w:tc>
      </w:tr>
      <w:tr w:rsidR="00790101" w:rsidRPr="00F647C7" w14:paraId="1F37824B" w14:textId="77777777" w:rsidTr="00E61184">
        <w:trPr>
          <w:trHeight w:val="212"/>
        </w:trPr>
        <w:tc>
          <w:tcPr>
            <w:tcW w:w="2410" w:type="dxa"/>
            <w:tcBorders>
              <w:bottom w:val="nil"/>
            </w:tcBorders>
            <w:shd w:val="clear" w:color="auto" w:fill="FFFFFF" w:themeFill="background1"/>
          </w:tcPr>
          <w:p w14:paraId="7D5BD808" w14:textId="77777777" w:rsidR="00790101" w:rsidRPr="00F411CD" w:rsidRDefault="00790101" w:rsidP="00790101">
            <w:pPr>
              <w:pStyle w:val="Tabletextboldleft"/>
              <w:spacing w:before="20" w:after="20"/>
              <w:rPr>
                <w:b w:val="0"/>
              </w:rPr>
            </w:pPr>
            <w:r w:rsidRPr="00F411CD">
              <w:rPr>
                <w:b w:val="0"/>
              </w:rPr>
              <w:t>All cytology</w:t>
            </w:r>
          </w:p>
        </w:tc>
        <w:tc>
          <w:tcPr>
            <w:tcW w:w="1190" w:type="dxa"/>
            <w:tcBorders>
              <w:bottom w:val="nil"/>
            </w:tcBorders>
            <w:shd w:val="clear" w:color="auto" w:fill="FFFFFF" w:themeFill="background1"/>
            <w:vAlign w:val="bottom"/>
          </w:tcPr>
          <w:p w14:paraId="477B9D52" w14:textId="1F6BADD5" w:rsidR="00790101" w:rsidRPr="00790101" w:rsidRDefault="00790101" w:rsidP="00790101">
            <w:pPr>
              <w:pStyle w:val="Tabletextboldleft"/>
              <w:spacing w:before="20" w:after="20"/>
              <w:jc w:val="right"/>
              <w:rPr>
                <w:b w:val="0"/>
                <w:color w:val="000000"/>
              </w:rPr>
            </w:pPr>
            <w:r w:rsidRPr="00790101">
              <w:rPr>
                <w:b w:val="0"/>
                <w:color w:val="000000"/>
              </w:rPr>
              <w:t>9,853</w:t>
            </w:r>
          </w:p>
        </w:tc>
        <w:tc>
          <w:tcPr>
            <w:tcW w:w="1191" w:type="dxa"/>
            <w:tcBorders>
              <w:bottom w:val="nil"/>
            </w:tcBorders>
            <w:shd w:val="clear" w:color="auto" w:fill="FFFFFF" w:themeFill="background1"/>
            <w:vAlign w:val="bottom"/>
          </w:tcPr>
          <w:p w14:paraId="6C4F3AB6" w14:textId="5817D2D9" w:rsidR="00790101" w:rsidRPr="00790101" w:rsidRDefault="00790101" w:rsidP="00790101">
            <w:pPr>
              <w:pStyle w:val="Tabletextboldleft"/>
              <w:spacing w:before="20" w:after="20"/>
              <w:jc w:val="right"/>
              <w:rPr>
                <w:b w:val="0"/>
                <w:color w:val="000000"/>
              </w:rPr>
            </w:pPr>
            <w:r w:rsidRPr="00790101">
              <w:rPr>
                <w:b w:val="0"/>
                <w:color w:val="000000"/>
              </w:rPr>
              <w:t>9,960</w:t>
            </w:r>
          </w:p>
        </w:tc>
        <w:tc>
          <w:tcPr>
            <w:tcW w:w="1190" w:type="dxa"/>
            <w:tcBorders>
              <w:bottom w:val="nil"/>
            </w:tcBorders>
            <w:shd w:val="clear" w:color="auto" w:fill="FFFFFF" w:themeFill="background1"/>
            <w:vAlign w:val="bottom"/>
          </w:tcPr>
          <w:p w14:paraId="368C55D9" w14:textId="28674830" w:rsidR="00790101" w:rsidRPr="00790101" w:rsidRDefault="00790101" w:rsidP="00790101">
            <w:pPr>
              <w:pStyle w:val="Tabletextboldleft"/>
              <w:spacing w:before="20" w:after="20"/>
              <w:jc w:val="right"/>
              <w:rPr>
                <w:b w:val="0"/>
                <w:color w:val="000000"/>
              </w:rPr>
            </w:pPr>
            <w:r w:rsidRPr="00790101">
              <w:rPr>
                <w:b w:val="0"/>
                <w:color w:val="000000"/>
              </w:rPr>
              <w:t>10,068</w:t>
            </w:r>
          </w:p>
        </w:tc>
        <w:tc>
          <w:tcPr>
            <w:tcW w:w="1191" w:type="dxa"/>
            <w:tcBorders>
              <w:bottom w:val="nil"/>
            </w:tcBorders>
            <w:shd w:val="clear" w:color="auto" w:fill="FFFFFF" w:themeFill="background1"/>
            <w:vAlign w:val="bottom"/>
          </w:tcPr>
          <w:p w14:paraId="40C637E1" w14:textId="187E07CB" w:rsidR="00790101" w:rsidRPr="00790101" w:rsidRDefault="00790101" w:rsidP="00790101">
            <w:pPr>
              <w:pStyle w:val="Tabletextboldleft"/>
              <w:spacing w:before="20" w:after="20"/>
              <w:jc w:val="right"/>
              <w:rPr>
                <w:b w:val="0"/>
                <w:color w:val="000000"/>
              </w:rPr>
            </w:pPr>
            <w:r w:rsidRPr="00790101">
              <w:rPr>
                <w:b w:val="0"/>
                <w:color w:val="000000"/>
              </w:rPr>
              <w:t>10,176</w:t>
            </w:r>
          </w:p>
        </w:tc>
        <w:tc>
          <w:tcPr>
            <w:tcW w:w="1191" w:type="dxa"/>
            <w:tcBorders>
              <w:bottom w:val="nil"/>
            </w:tcBorders>
            <w:shd w:val="clear" w:color="auto" w:fill="FFFFFF" w:themeFill="background1"/>
            <w:vAlign w:val="bottom"/>
          </w:tcPr>
          <w:p w14:paraId="0F5A889C" w14:textId="5F52C00F" w:rsidR="00790101" w:rsidRPr="00790101" w:rsidRDefault="00790101" w:rsidP="00790101">
            <w:pPr>
              <w:pStyle w:val="Tabletextboldleft"/>
              <w:spacing w:before="20" w:after="20"/>
              <w:jc w:val="right"/>
              <w:rPr>
                <w:b w:val="0"/>
                <w:color w:val="000000"/>
              </w:rPr>
            </w:pPr>
            <w:r w:rsidRPr="00790101">
              <w:rPr>
                <w:b w:val="0"/>
                <w:color w:val="000000"/>
              </w:rPr>
              <w:t>10,283</w:t>
            </w:r>
          </w:p>
        </w:tc>
      </w:tr>
      <w:tr w:rsidR="00790101" w:rsidRPr="00F647C7" w14:paraId="31B18484" w14:textId="77777777" w:rsidTr="00E61184">
        <w:trPr>
          <w:trHeight w:val="212"/>
        </w:trPr>
        <w:tc>
          <w:tcPr>
            <w:tcW w:w="2410" w:type="dxa"/>
            <w:tcBorders>
              <w:top w:val="nil"/>
              <w:bottom w:val="nil"/>
            </w:tcBorders>
            <w:shd w:val="clear" w:color="auto" w:fill="FFFFFF" w:themeFill="background1"/>
          </w:tcPr>
          <w:p w14:paraId="2F8E44E0" w14:textId="77777777" w:rsidR="00790101" w:rsidRPr="00F411CD" w:rsidRDefault="00790101" w:rsidP="00790101">
            <w:pPr>
              <w:pStyle w:val="Tabletextboldleft"/>
              <w:spacing w:before="20" w:after="20"/>
              <w:ind w:firstLine="317"/>
              <w:rPr>
                <w:b w:val="0"/>
              </w:rPr>
            </w:pPr>
            <w:r w:rsidRPr="00F411CD">
              <w:rPr>
                <w:b w:val="0"/>
              </w:rPr>
              <w:t>Complex</w:t>
            </w:r>
          </w:p>
        </w:tc>
        <w:tc>
          <w:tcPr>
            <w:tcW w:w="1190" w:type="dxa"/>
            <w:tcBorders>
              <w:top w:val="nil"/>
              <w:bottom w:val="nil"/>
            </w:tcBorders>
            <w:shd w:val="clear" w:color="auto" w:fill="FFFFFF" w:themeFill="background1"/>
            <w:vAlign w:val="bottom"/>
          </w:tcPr>
          <w:p w14:paraId="7FF4FFBE" w14:textId="5F390413" w:rsidR="00790101" w:rsidRPr="00790101" w:rsidRDefault="00790101" w:rsidP="00790101">
            <w:pPr>
              <w:pStyle w:val="Tabletextboldleft"/>
              <w:spacing w:before="20" w:after="20"/>
              <w:jc w:val="right"/>
              <w:rPr>
                <w:b w:val="0"/>
                <w:color w:val="000000"/>
              </w:rPr>
            </w:pPr>
            <w:r w:rsidRPr="00790101">
              <w:rPr>
                <w:b w:val="0"/>
                <w:color w:val="000000"/>
              </w:rPr>
              <w:t>1,806</w:t>
            </w:r>
          </w:p>
        </w:tc>
        <w:tc>
          <w:tcPr>
            <w:tcW w:w="1191" w:type="dxa"/>
            <w:tcBorders>
              <w:top w:val="nil"/>
              <w:bottom w:val="nil"/>
            </w:tcBorders>
            <w:shd w:val="clear" w:color="auto" w:fill="FFFFFF" w:themeFill="background1"/>
            <w:vAlign w:val="bottom"/>
          </w:tcPr>
          <w:p w14:paraId="750408F7" w14:textId="20C101FE" w:rsidR="00790101" w:rsidRPr="00790101" w:rsidRDefault="00790101" w:rsidP="00790101">
            <w:pPr>
              <w:pStyle w:val="Tabletextboldleft"/>
              <w:spacing w:before="20" w:after="20"/>
              <w:jc w:val="right"/>
              <w:rPr>
                <w:b w:val="0"/>
                <w:color w:val="000000"/>
              </w:rPr>
            </w:pPr>
            <w:r w:rsidRPr="00790101">
              <w:rPr>
                <w:b w:val="0"/>
                <w:color w:val="000000"/>
              </w:rPr>
              <w:t>1,826</w:t>
            </w:r>
          </w:p>
        </w:tc>
        <w:tc>
          <w:tcPr>
            <w:tcW w:w="1190" w:type="dxa"/>
            <w:tcBorders>
              <w:top w:val="nil"/>
              <w:bottom w:val="nil"/>
            </w:tcBorders>
            <w:shd w:val="clear" w:color="auto" w:fill="FFFFFF" w:themeFill="background1"/>
            <w:vAlign w:val="bottom"/>
          </w:tcPr>
          <w:p w14:paraId="36D8F021" w14:textId="7CFAF314" w:rsidR="00790101" w:rsidRPr="00790101" w:rsidRDefault="00790101" w:rsidP="00790101">
            <w:pPr>
              <w:pStyle w:val="Tabletextboldleft"/>
              <w:spacing w:before="20" w:after="20"/>
              <w:jc w:val="right"/>
              <w:rPr>
                <w:b w:val="0"/>
                <w:color w:val="000000"/>
              </w:rPr>
            </w:pPr>
            <w:r w:rsidRPr="00790101">
              <w:rPr>
                <w:b w:val="0"/>
                <w:color w:val="000000"/>
              </w:rPr>
              <w:t>1,846</w:t>
            </w:r>
          </w:p>
        </w:tc>
        <w:tc>
          <w:tcPr>
            <w:tcW w:w="1191" w:type="dxa"/>
            <w:tcBorders>
              <w:top w:val="nil"/>
              <w:bottom w:val="nil"/>
            </w:tcBorders>
            <w:shd w:val="clear" w:color="auto" w:fill="FFFFFF" w:themeFill="background1"/>
            <w:vAlign w:val="bottom"/>
          </w:tcPr>
          <w:p w14:paraId="3B80FA54" w14:textId="0215E87B" w:rsidR="00790101" w:rsidRPr="00790101" w:rsidRDefault="00790101" w:rsidP="00790101">
            <w:pPr>
              <w:pStyle w:val="Tabletextboldleft"/>
              <w:spacing w:before="20" w:after="20"/>
              <w:jc w:val="right"/>
              <w:rPr>
                <w:b w:val="0"/>
                <w:color w:val="000000"/>
              </w:rPr>
            </w:pPr>
            <w:r w:rsidRPr="00790101">
              <w:rPr>
                <w:b w:val="0"/>
                <w:color w:val="000000"/>
              </w:rPr>
              <w:t>1,866</w:t>
            </w:r>
          </w:p>
        </w:tc>
        <w:tc>
          <w:tcPr>
            <w:tcW w:w="1191" w:type="dxa"/>
            <w:tcBorders>
              <w:top w:val="nil"/>
              <w:bottom w:val="nil"/>
            </w:tcBorders>
            <w:shd w:val="clear" w:color="auto" w:fill="FFFFFF" w:themeFill="background1"/>
            <w:vAlign w:val="bottom"/>
          </w:tcPr>
          <w:p w14:paraId="5E104846" w14:textId="7D118B3F" w:rsidR="00790101" w:rsidRPr="00790101" w:rsidRDefault="00790101" w:rsidP="00790101">
            <w:pPr>
              <w:pStyle w:val="Tabletextboldleft"/>
              <w:spacing w:before="20" w:after="20"/>
              <w:jc w:val="right"/>
              <w:rPr>
                <w:b w:val="0"/>
                <w:color w:val="000000"/>
              </w:rPr>
            </w:pPr>
            <w:r w:rsidRPr="00790101">
              <w:rPr>
                <w:b w:val="0"/>
                <w:color w:val="000000"/>
              </w:rPr>
              <w:t>1,885</w:t>
            </w:r>
          </w:p>
        </w:tc>
      </w:tr>
      <w:tr w:rsidR="00790101" w:rsidRPr="00F647C7" w14:paraId="6185D83A" w14:textId="77777777" w:rsidTr="00E61184">
        <w:trPr>
          <w:trHeight w:val="212"/>
        </w:trPr>
        <w:tc>
          <w:tcPr>
            <w:tcW w:w="2410" w:type="dxa"/>
            <w:tcBorders>
              <w:top w:val="nil"/>
            </w:tcBorders>
            <w:shd w:val="clear" w:color="auto" w:fill="FFFFFF" w:themeFill="background1"/>
          </w:tcPr>
          <w:p w14:paraId="023582B1" w14:textId="77777777" w:rsidR="00790101" w:rsidRPr="00F411CD" w:rsidRDefault="00790101" w:rsidP="00790101">
            <w:pPr>
              <w:pStyle w:val="Tabletextboldleft"/>
              <w:spacing w:before="20" w:after="20"/>
              <w:ind w:firstLine="317"/>
              <w:rPr>
                <w:b w:val="0"/>
              </w:rPr>
            </w:pPr>
            <w:r w:rsidRPr="00F411CD">
              <w:rPr>
                <w:b w:val="0"/>
              </w:rPr>
              <w:t>Non-complex</w:t>
            </w:r>
          </w:p>
        </w:tc>
        <w:tc>
          <w:tcPr>
            <w:tcW w:w="1190" w:type="dxa"/>
            <w:tcBorders>
              <w:top w:val="nil"/>
            </w:tcBorders>
            <w:shd w:val="clear" w:color="auto" w:fill="FFFFFF" w:themeFill="background1"/>
            <w:vAlign w:val="bottom"/>
          </w:tcPr>
          <w:p w14:paraId="59E35F65" w14:textId="1FA513A9" w:rsidR="00790101" w:rsidRPr="00790101" w:rsidRDefault="00790101" w:rsidP="00790101">
            <w:pPr>
              <w:pStyle w:val="Tabletextboldleft"/>
              <w:spacing w:before="20" w:after="20"/>
              <w:jc w:val="right"/>
              <w:rPr>
                <w:b w:val="0"/>
                <w:color w:val="000000"/>
              </w:rPr>
            </w:pPr>
            <w:r w:rsidRPr="00790101">
              <w:rPr>
                <w:b w:val="0"/>
                <w:color w:val="000000"/>
              </w:rPr>
              <w:t>8,046</w:t>
            </w:r>
          </w:p>
        </w:tc>
        <w:tc>
          <w:tcPr>
            <w:tcW w:w="1191" w:type="dxa"/>
            <w:tcBorders>
              <w:top w:val="nil"/>
            </w:tcBorders>
            <w:shd w:val="clear" w:color="auto" w:fill="FFFFFF" w:themeFill="background1"/>
            <w:vAlign w:val="bottom"/>
          </w:tcPr>
          <w:p w14:paraId="02CF8E26" w14:textId="03B5DC78" w:rsidR="00790101" w:rsidRPr="00790101" w:rsidRDefault="00790101" w:rsidP="00790101">
            <w:pPr>
              <w:pStyle w:val="Tabletextboldleft"/>
              <w:spacing w:before="20" w:after="20"/>
              <w:jc w:val="right"/>
              <w:rPr>
                <w:b w:val="0"/>
                <w:color w:val="000000"/>
              </w:rPr>
            </w:pPr>
            <w:r w:rsidRPr="00790101">
              <w:rPr>
                <w:b w:val="0"/>
                <w:color w:val="000000"/>
              </w:rPr>
              <w:t>8,134</w:t>
            </w:r>
          </w:p>
        </w:tc>
        <w:tc>
          <w:tcPr>
            <w:tcW w:w="1190" w:type="dxa"/>
            <w:tcBorders>
              <w:top w:val="nil"/>
            </w:tcBorders>
            <w:shd w:val="clear" w:color="auto" w:fill="FFFFFF" w:themeFill="background1"/>
            <w:vAlign w:val="bottom"/>
          </w:tcPr>
          <w:p w14:paraId="6F8CF3DC" w14:textId="54A1307E" w:rsidR="00790101" w:rsidRPr="00790101" w:rsidRDefault="00790101" w:rsidP="00790101">
            <w:pPr>
              <w:pStyle w:val="Tabletextboldleft"/>
              <w:spacing w:before="20" w:after="20"/>
              <w:jc w:val="right"/>
              <w:rPr>
                <w:b w:val="0"/>
                <w:color w:val="000000"/>
              </w:rPr>
            </w:pPr>
            <w:r w:rsidRPr="00790101">
              <w:rPr>
                <w:b w:val="0"/>
                <w:color w:val="000000"/>
              </w:rPr>
              <w:t>8,222</w:t>
            </w:r>
          </w:p>
        </w:tc>
        <w:tc>
          <w:tcPr>
            <w:tcW w:w="1191" w:type="dxa"/>
            <w:tcBorders>
              <w:top w:val="nil"/>
            </w:tcBorders>
            <w:shd w:val="clear" w:color="auto" w:fill="FFFFFF" w:themeFill="background1"/>
            <w:vAlign w:val="bottom"/>
          </w:tcPr>
          <w:p w14:paraId="0D7437A3" w14:textId="72A4C714" w:rsidR="00790101" w:rsidRPr="00790101" w:rsidRDefault="00790101" w:rsidP="00790101">
            <w:pPr>
              <w:pStyle w:val="Tabletextboldleft"/>
              <w:spacing w:before="20" w:after="20"/>
              <w:jc w:val="right"/>
              <w:rPr>
                <w:b w:val="0"/>
                <w:color w:val="000000"/>
              </w:rPr>
            </w:pPr>
            <w:r w:rsidRPr="00790101">
              <w:rPr>
                <w:b w:val="0"/>
                <w:color w:val="000000"/>
              </w:rPr>
              <w:t>8,310</w:t>
            </w:r>
          </w:p>
        </w:tc>
        <w:tc>
          <w:tcPr>
            <w:tcW w:w="1191" w:type="dxa"/>
            <w:tcBorders>
              <w:top w:val="nil"/>
            </w:tcBorders>
            <w:shd w:val="clear" w:color="auto" w:fill="FFFFFF" w:themeFill="background1"/>
            <w:vAlign w:val="bottom"/>
          </w:tcPr>
          <w:p w14:paraId="3E87243C" w14:textId="70C389FB" w:rsidR="00790101" w:rsidRPr="00790101" w:rsidRDefault="00790101" w:rsidP="00790101">
            <w:pPr>
              <w:pStyle w:val="Tabletextboldleft"/>
              <w:spacing w:before="20" w:after="20"/>
              <w:jc w:val="right"/>
              <w:rPr>
                <w:b w:val="0"/>
                <w:color w:val="000000"/>
              </w:rPr>
            </w:pPr>
            <w:r w:rsidRPr="00790101">
              <w:rPr>
                <w:b w:val="0"/>
                <w:color w:val="000000"/>
              </w:rPr>
              <w:t>8,398</w:t>
            </w:r>
          </w:p>
        </w:tc>
      </w:tr>
      <w:tr w:rsidR="00790101" w:rsidRPr="00F647C7" w14:paraId="294ABB91" w14:textId="77777777" w:rsidTr="00E61184">
        <w:trPr>
          <w:trHeight w:val="212"/>
        </w:trPr>
        <w:tc>
          <w:tcPr>
            <w:tcW w:w="2410" w:type="dxa"/>
            <w:shd w:val="clear" w:color="auto" w:fill="FFFFFF" w:themeFill="background1"/>
          </w:tcPr>
          <w:p w14:paraId="66C51F61" w14:textId="77777777" w:rsidR="00790101" w:rsidRPr="00C26CDD" w:rsidRDefault="00790101" w:rsidP="00790101">
            <w:pPr>
              <w:pStyle w:val="Tabletextboldleft"/>
              <w:spacing w:before="20" w:after="20"/>
              <w:rPr>
                <w:b w:val="0"/>
                <w:i/>
              </w:rPr>
            </w:pPr>
            <w:r>
              <w:rPr>
                <w:b w:val="0"/>
                <w:i/>
              </w:rPr>
              <w:t>Sub-t</w:t>
            </w:r>
            <w:r w:rsidRPr="00C26CDD">
              <w:rPr>
                <w:b w:val="0"/>
                <w:i/>
              </w:rPr>
              <w:t>otal (excluding gynaecological cytology)</w:t>
            </w:r>
          </w:p>
        </w:tc>
        <w:tc>
          <w:tcPr>
            <w:tcW w:w="1190" w:type="dxa"/>
            <w:shd w:val="clear" w:color="auto" w:fill="FFFFFF" w:themeFill="background1"/>
          </w:tcPr>
          <w:p w14:paraId="3351C52C" w14:textId="02891CBA" w:rsidR="00790101" w:rsidRPr="00790101" w:rsidRDefault="00790101" w:rsidP="00790101">
            <w:pPr>
              <w:pStyle w:val="Tabletextboldleft"/>
              <w:spacing w:before="20" w:after="20"/>
              <w:jc w:val="right"/>
              <w:rPr>
                <w:b w:val="0"/>
                <w:i/>
                <w:color w:val="000000"/>
              </w:rPr>
            </w:pPr>
            <w:r w:rsidRPr="00790101">
              <w:rPr>
                <w:b w:val="0"/>
                <w:i/>
                <w:color w:val="000000"/>
              </w:rPr>
              <w:t>12,606</w:t>
            </w:r>
          </w:p>
        </w:tc>
        <w:tc>
          <w:tcPr>
            <w:tcW w:w="1191" w:type="dxa"/>
            <w:shd w:val="clear" w:color="auto" w:fill="FFFFFF" w:themeFill="background1"/>
          </w:tcPr>
          <w:p w14:paraId="63060944" w14:textId="1BC2AC16" w:rsidR="00790101" w:rsidRPr="00790101" w:rsidRDefault="00790101" w:rsidP="00790101">
            <w:pPr>
              <w:pStyle w:val="Tabletextboldleft"/>
              <w:spacing w:before="20" w:after="20"/>
              <w:jc w:val="right"/>
              <w:rPr>
                <w:b w:val="0"/>
                <w:i/>
                <w:color w:val="000000"/>
              </w:rPr>
            </w:pPr>
            <w:r w:rsidRPr="00790101">
              <w:rPr>
                <w:b w:val="0"/>
                <w:i/>
                <w:color w:val="000000"/>
              </w:rPr>
              <w:t>13,054</w:t>
            </w:r>
          </w:p>
        </w:tc>
        <w:tc>
          <w:tcPr>
            <w:tcW w:w="1190" w:type="dxa"/>
            <w:shd w:val="clear" w:color="auto" w:fill="FFFFFF" w:themeFill="background1"/>
          </w:tcPr>
          <w:p w14:paraId="799E5F33" w14:textId="29AE8FFB" w:rsidR="00790101" w:rsidRPr="00790101" w:rsidRDefault="00790101" w:rsidP="00790101">
            <w:pPr>
              <w:pStyle w:val="Tabletextboldleft"/>
              <w:spacing w:before="20" w:after="20"/>
              <w:jc w:val="right"/>
              <w:rPr>
                <w:b w:val="0"/>
                <w:i/>
                <w:color w:val="000000"/>
              </w:rPr>
            </w:pPr>
            <w:r w:rsidRPr="00790101">
              <w:rPr>
                <w:b w:val="0"/>
                <w:i/>
                <w:color w:val="000000"/>
              </w:rPr>
              <w:t>13,502</w:t>
            </w:r>
          </w:p>
        </w:tc>
        <w:tc>
          <w:tcPr>
            <w:tcW w:w="1191" w:type="dxa"/>
            <w:shd w:val="clear" w:color="auto" w:fill="FFFFFF" w:themeFill="background1"/>
          </w:tcPr>
          <w:p w14:paraId="4BB71E23" w14:textId="436F2835" w:rsidR="00790101" w:rsidRPr="00790101" w:rsidRDefault="00790101" w:rsidP="00790101">
            <w:pPr>
              <w:pStyle w:val="Tabletextboldleft"/>
              <w:spacing w:before="20" w:after="20"/>
              <w:jc w:val="right"/>
              <w:rPr>
                <w:b w:val="0"/>
                <w:i/>
                <w:color w:val="000000"/>
              </w:rPr>
            </w:pPr>
            <w:r w:rsidRPr="00790101">
              <w:rPr>
                <w:b w:val="0"/>
                <w:i/>
                <w:color w:val="000000"/>
              </w:rPr>
              <w:t>13,950</w:t>
            </w:r>
          </w:p>
        </w:tc>
        <w:tc>
          <w:tcPr>
            <w:tcW w:w="1191" w:type="dxa"/>
            <w:shd w:val="clear" w:color="auto" w:fill="FFFFFF" w:themeFill="background1"/>
          </w:tcPr>
          <w:p w14:paraId="4B0C133C" w14:textId="620D3735" w:rsidR="00790101" w:rsidRPr="00790101" w:rsidRDefault="00790101" w:rsidP="00790101">
            <w:pPr>
              <w:pStyle w:val="Tabletextboldleft"/>
              <w:spacing w:before="20" w:after="20"/>
              <w:jc w:val="right"/>
              <w:rPr>
                <w:b w:val="0"/>
                <w:i/>
                <w:color w:val="000000"/>
              </w:rPr>
            </w:pPr>
            <w:r w:rsidRPr="00790101">
              <w:rPr>
                <w:b w:val="0"/>
                <w:i/>
                <w:color w:val="000000"/>
              </w:rPr>
              <w:t>14,398</w:t>
            </w:r>
          </w:p>
        </w:tc>
      </w:tr>
      <w:tr w:rsidR="00790101" w:rsidRPr="00F647C7" w14:paraId="34E36BEE" w14:textId="77777777" w:rsidTr="00E61184">
        <w:trPr>
          <w:trHeight w:val="212"/>
        </w:trPr>
        <w:tc>
          <w:tcPr>
            <w:tcW w:w="2410" w:type="dxa"/>
            <w:shd w:val="clear" w:color="auto" w:fill="FFFFFF" w:themeFill="background1"/>
          </w:tcPr>
          <w:p w14:paraId="330A6A31" w14:textId="77777777" w:rsidR="00790101" w:rsidRPr="00C26CDD" w:rsidRDefault="00790101" w:rsidP="00790101">
            <w:pPr>
              <w:pStyle w:val="Tabletextboldleft"/>
              <w:spacing w:before="20" w:after="20"/>
              <w:rPr>
                <w:b w:val="0"/>
                <w:i/>
              </w:rPr>
            </w:pPr>
            <w:r>
              <w:rPr>
                <w:b w:val="0"/>
                <w:i/>
              </w:rPr>
              <w:t>Sub-t</w:t>
            </w:r>
            <w:r w:rsidRPr="00C26CDD">
              <w:rPr>
                <w:b w:val="0"/>
                <w:i/>
              </w:rPr>
              <w:t>otal (including all cytology)</w:t>
            </w:r>
          </w:p>
        </w:tc>
        <w:tc>
          <w:tcPr>
            <w:tcW w:w="1190" w:type="dxa"/>
            <w:shd w:val="clear" w:color="auto" w:fill="FFFFFF" w:themeFill="background1"/>
          </w:tcPr>
          <w:p w14:paraId="31989C57" w14:textId="537581F2" w:rsidR="00790101" w:rsidRPr="00790101" w:rsidRDefault="00790101" w:rsidP="00790101">
            <w:pPr>
              <w:pStyle w:val="Tabletextboldleft"/>
              <w:spacing w:before="20" w:after="20"/>
              <w:jc w:val="right"/>
              <w:rPr>
                <w:b w:val="0"/>
                <w:i/>
                <w:color w:val="000000"/>
              </w:rPr>
            </w:pPr>
            <w:r w:rsidRPr="00790101">
              <w:rPr>
                <w:b w:val="0"/>
                <w:i/>
                <w:color w:val="000000"/>
              </w:rPr>
              <w:t>21,220</w:t>
            </w:r>
          </w:p>
        </w:tc>
        <w:tc>
          <w:tcPr>
            <w:tcW w:w="1191" w:type="dxa"/>
            <w:shd w:val="clear" w:color="auto" w:fill="FFFFFF" w:themeFill="background1"/>
          </w:tcPr>
          <w:p w14:paraId="46B27478" w14:textId="4B72BF6F" w:rsidR="00790101" w:rsidRPr="00790101" w:rsidRDefault="00790101" w:rsidP="00790101">
            <w:pPr>
              <w:pStyle w:val="Tabletextboldleft"/>
              <w:spacing w:before="20" w:after="20"/>
              <w:jc w:val="right"/>
              <w:rPr>
                <w:b w:val="0"/>
                <w:i/>
                <w:color w:val="000000"/>
              </w:rPr>
            </w:pPr>
            <w:r w:rsidRPr="00790101">
              <w:rPr>
                <w:b w:val="0"/>
                <w:i/>
                <w:color w:val="000000"/>
              </w:rPr>
              <w:t>21,740</w:t>
            </w:r>
          </w:p>
        </w:tc>
        <w:tc>
          <w:tcPr>
            <w:tcW w:w="1190" w:type="dxa"/>
            <w:shd w:val="clear" w:color="auto" w:fill="FFFFFF" w:themeFill="background1"/>
          </w:tcPr>
          <w:p w14:paraId="472B08A5" w14:textId="4A3800D6" w:rsidR="00790101" w:rsidRPr="00790101" w:rsidRDefault="00790101" w:rsidP="00790101">
            <w:pPr>
              <w:pStyle w:val="Tabletextboldleft"/>
              <w:spacing w:before="20" w:after="20"/>
              <w:jc w:val="right"/>
              <w:rPr>
                <w:b w:val="0"/>
                <w:i/>
                <w:color w:val="000000"/>
              </w:rPr>
            </w:pPr>
            <w:r w:rsidRPr="00790101">
              <w:rPr>
                <w:b w:val="0"/>
                <w:i/>
                <w:color w:val="000000"/>
              </w:rPr>
              <w:t>22,259</w:t>
            </w:r>
          </w:p>
        </w:tc>
        <w:tc>
          <w:tcPr>
            <w:tcW w:w="1191" w:type="dxa"/>
            <w:shd w:val="clear" w:color="auto" w:fill="FFFFFF" w:themeFill="background1"/>
          </w:tcPr>
          <w:p w14:paraId="58F76EBE" w14:textId="41D03600" w:rsidR="00790101" w:rsidRPr="00790101" w:rsidRDefault="00790101" w:rsidP="00790101">
            <w:pPr>
              <w:pStyle w:val="Tabletextboldleft"/>
              <w:spacing w:before="20" w:after="20"/>
              <w:jc w:val="right"/>
              <w:rPr>
                <w:b w:val="0"/>
                <w:i/>
                <w:color w:val="000000"/>
              </w:rPr>
            </w:pPr>
            <w:r w:rsidRPr="00790101">
              <w:rPr>
                <w:b w:val="0"/>
                <w:i/>
                <w:color w:val="000000"/>
              </w:rPr>
              <w:t>22,779</w:t>
            </w:r>
          </w:p>
        </w:tc>
        <w:tc>
          <w:tcPr>
            <w:tcW w:w="1191" w:type="dxa"/>
            <w:shd w:val="clear" w:color="auto" w:fill="FFFFFF" w:themeFill="background1"/>
          </w:tcPr>
          <w:p w14:paraId="27604FD5" w14:textId="06FB928C" w:rsidR="00790101" w:rsidRPr="00790101" w:rsidRDefault="00790101" w:rsidP="00790101">
            <w:pPr>
              <w:pStyle w:val="Tabletextboldleft"/>
              <w:spacing w:before="20" w:after="20"/>
              <w:jc w:val="right"/>
              <w:rPr>
                <w:b w:val="0"/>
                <w:i/>
                <w:color w:val="000000"/>
              </w:rPr>
            </w:pPr>
            <w:r w:rsidRPr="00790101">
              <w:rPr>
                <w:b w:val="0"/>
                <w:i/>
                <w:color w:val="000000"/>
              </w:rPr>
              <w:t>23,298</w:t>
            </w:r>
          </w:p>
        </w:tc>
      </w:tr>
      <w:tr w:rsidR="00B51828" w:rsidRPr="00EB5266" w14:paraId="730D1C73" w14:textId="77777777" w:rsidTr="00E61184">
        <w:trPr>
          <w:trHeight w:val="212"/>
        </w:trPr>
        <w:tc>
          <w:tcPr>
            <w:tcW w:w="2410" w:type="dxa"/>
            <w:shd w:val="clear" w:color="auto" w:fill="D0CECE" w:themeFill="background2" w:themeFillShade="E6"/>
          </w:tcPr>
          <w:p w14:paraId="13B0633A" w14:textId="77777777" w:rsidR="00B51828" w:rsidRPr="007901D3" w:rsidRDefault="00B51828" w:rsidP="002101D2">
            <w:pPr>
              <w:pStyle w:val="Tabletextboldleft"/>
              <w:spacing w:before="20" w:after="20"/>
            </w:pPr>
            <w:r w:rsidRPr="007901D3">
              <w:t xml:space="preserve">TOTAL </w:t>
            </w:r>
          </w:p>
          <w:p w14:paraId="70DB72C5" w14:textId="77777777" w:rsidR="00B51828" w:rsidRPr="007901D3" w:rsidRDefault="00B51828" w:rsidP="002101D2">
            <w:pPr>
              <w:pStyle w:val="Tabletextboldleft"/>
              <w:spacing w:before="20" w:after="20"/>
              <w:rPr>
                <w:b w:val="0"/>
              </w:rPr>
            </w:pPr>
            <w:r w:rsidRPr="007901D3">
              <w:rPr>
                <w:b w:val="0"/>
              </w:rPr>
              <w:t>(</w:t>
            </w:r>
            <w:r w:rsidRPr="007901D3">
              <w:rPr>
                <w:b w:val="0"/>
                <w:i/>
              </w:rPr>
              <w:t>S1</w:t>
            </w:r>
            <w:r w:rsidRPr="007901D3">
              <w:rPr>
                <w:b w:val="0"/>
              </w:rPr>
              <w:t xml:space="preserve"> and S</w:t>
            </w:r>
            <w:r w:rsidRPr="007901D3">
              <w:rPr>
                <w:b w:val="0"/>
                <w:i/>
              </w:rPr>
              <w:t>2</w:t>
            </w:r>
            <w:r w:rsidRPr="007901D3">
              <w:rPr>
                <w:b w:val="0"/>
              </w:rPr>
              <w:t xml:space="preserve"> – excluding gynaecological cytology)</w:t>
            </w:r>
          </w:p>
        </w:tc>
        <w:tc>
          <w:tcPr>
            <w:tcW w:w="1190" w:type="dxa"/>
            <w:shd w:val="clear" w:color="auto" w:fill="D0CECE" w:themeFill="background2" w:themeFillShade="E6"/>
          </w:tcPr>
          <w:p w14:paraId="2DCEF371" w14:textId="77777777" w:rsidR="00B51828" w:rsidRPr="007901D3" w:rsidRDefault="00B51828" w:rsidP="002101D2">
            <w:pPr>
              <w:pStyle w:val="Tabletextboldleft"/>
              <w:spacing w:before="20" w:after="20"/>
              <w:jc w:val="right"/>
            </w:pPr>
            <w:r w:rsidRPr="007901D3">
              <w:rPr>
                <w:color w:val="000000"/>
              </w:rPr>
              <w:t>47,420</w:t>
            </w:r>
          </w:p>
        </w:tc>
        <w:tc>
          <w:tcPr>
            <w:tcW w:w="1191" w:type="dxa"/>
            <w:shd w:val="clear" w:color="auto" w:fill="D0CECE" w:themeFill="background2" w:themeFillShade="E6"/>
          </w:tcPr>
          <w:p w14:paraId="775E03E6" w14:textId="77777777" w:rsidR="00B51828" w:rsidRPr="007901D3" w:rsidRDefault="00B51828" w:rsidP="002101D2">
            <w:pPr>
              <w:pStyle w:val="Tabletextboldleft"/>
              <w:spacing w:before="20" w:after="20"/>
              <w:jc w:val="right"/>
            </w:pPr>
            <w:r w:rsidRPr="007901D3">
              <w:rPr>
                <w:color w:val="000000"/>
              </w:rPr>
              <w:t>49,116</w:t>
            </w:r>
          </w:p>
        </w:tc>
        <w:tc>
          <w:tcPr>
            <w:tcW w:w="1190" w:type="dxa"/>
            <w:shd w:val="clear" w:color="auto" w:fill="D0CECE" w:themeFill="background2" w:themeFillShade="E6"/>
          </w:tcPr>
          <w:p w14:paraId="6CC88431" w14:textId="77777777" w:rsidR="00B51828" w:rsidRPr="007901D3" w:rsidRDefault="00B51828" w:rsidP="002101D2">
            <w:pPr>
              <w:pStyle w:val="Tabletextboldleft"/>
              <w:spacing w:before="20" w:after="20"/>
              <w:jc w:val="right"/>
            </w:pPr>
            <w:r w:rsidRPr="007901D3">
              <w:rPr>
                <w:color w:val="000000"/>
              </w:rPr>
              <w:t>50,812</w:t>
            </w:r>
          </w:p>
        </w:tc>
        <w:tc>
          <w:tcPr>
            <w:tcW w:w="1191" w:type="dxa"/>
            <w:shd w:val="clear" w:color="auto" w:fill="D0CECE" w:themeFill="background2" w:themeFillShade="E6"/>
          </w:tcPr>
          <w:p w14:paraId="63842C88" w14:textId="77777777" w:rsidR="00B51828" w:rsidRPr="007901D3" w:rsidRDefault="00B51828" w:rsidP="002101D2">
            <w:pPr>
              <w:pStyle w:val="Tabletextboldleft"/>
              <w:spacing w:before="20" w:after="20"/>
              <w:jc w:val="right"/>
            </w:pPr>
            <w:r w:rsidRPr="007901D3">
              <w:rPr>
                <w:color w:val="000000"/>
              </w:rPr>
              <w:t>52,508</w:t>
            </w:r>
          </w:p>
        </w:tc>
        <w:tc>
          <w:tcPr>
            <w:tcW w:w="1191" w:type="dxa"/>
            <w:shd w:val="clear" w:color="auto" w:fill="D0CECE" w:themeFill="background2" w:themeFillShade="E6"/>
          </w:tcPr>
          <w:p w14:paraId="60AD4A6D" w14:textId="77777777" w:rsidR="00B51828" w:rsidRPr="007901D3" w:rsidRDefault="00B51828" w:rsidP="002101D2">
            <w:pPr>
              <w:pStyle w:val="Tabletextboldleft"/>
              <w:spacing w:before="20" w:after="20"/>
              <w:jc w:val="right"/>
            </w:pPr>
            <w:r w:rsidRPr="007901D3">
              <w:rPr>
                <w:color w:val="000000"/>
              </w:rPr>
              <w:t>54,204</w:t>
            </w:r>
          </w:p>
        </w:tc>
      </w:tr>
      <w:tr w:rsidR="00B51828" w:rsidRPr="00EB5266" w14:paraId="44E2C414" w14:textId="77777777" w:rsidTr="00E61184">
        <w:trPr>
          <w:trHeight w:val="212"/>
        </w:trPr>
        <w:tc>
          <w:tcPr>
            <w:tcW w:w="2410" w:type="dxa"/>
            <w:shd w:val="clear" w:color="auto" w:fill="D0CECE" w:themeFill="background2" w:themeFillShade="E6"/>
          </w:tcPr>
          <w:p w14:paraId="59095459" w14:textId="77777777" w:rsidR="00B51828" w:rsidRPr="007901D3" w:rsidRDefault="00B51828" w:rsidP="002101D2">
            <w:pPr>
              <w:pStyle w:val="Tabletextboldleft"/>
              <w:spacing w:before="20" w:after="20"/>
            </w:pPr>
            <w:r w:rsidRPr="007901D3">
              <w:t xml:space="preserve">TOTAL </w:t>
            </w:r>
          </w:p>
          <w:p w14:paraId="55F5BBD0" w14:textId="77777777" w:rsidR="00B51828" w:rsidRPr="007901D3" w:rsidRDefault="00B51828" w:rsidP="002101D2">
            <w:pPr>
              <w:pStyle w:val="Tabletextboldleft"/>
              <w:spacing w:before="20" w:after="20"/>
              <w:rPr>
                <w:b w:val="0"/>
              </w:rPr>
            </w:pPr>
            <w:r w:rsidRPr="007901D3">
              <w:rPr>
                <w:b w:val="0"/>
              </w:rPr>
              <w:t>(</w:t>
            </w:r>
            <w:r w:rsidRPr="007901D3">
              <w:rPr>
                <w:b w:val="0"/>
                <w:i/>
              </w:rPr>
              <w:t>S1</w:t>
            </w:r>
            <w:r w:rsidRPr="007901D3">
              <w:rPr>
                <w:b w:val="0"/>
              </w:rPr>
              <w:t xml:space="preserve"> and </w:t>
            </w:r>
            <w:r w:rsidRPr="007901D3">
              <w:rPr>
                <w:b w:val="0"/>
                <w:i/>
              </w:rPr>
              <w:t xml:space="preserve">S2 </w:t>
            </w:r>
            <w:r w:rsidRPr="007901D3">
              <w:rPr>
                <w:b w:val="0"/>
              </w:rPr>
              <w:t xml:space="preserve">– all cytology) </w:t>
            </w:r>
          </w:p>
        </w:tc>
        <w:tc>
          <w:tcPr>
            <w:tcW w:w="1190" w:type="dxa"/>
            <w:shd w:val="clear" w:color="auto" w:fill="D0CECE" w:themeFill="background2" w:themeFillShade="E6"/>
          </w:tcPr>
          <w:p w14:paraId="4F330077" w14:textId="77777777" w:rsidR="00B51828" w:rsidRPr="007901D3" w:rsidRDefault="00B51828" w:rsidP="002101D2">
            <w:pPr>
              <w:pStyle w:val="Tabletextboldleft"/>
              <w:spacing w:before="20" w:after="20"/>
              <w:jc w:val="right"/>
            </w:pPr>
            <w:r w:rsidRPr="007901D3">
              <w:rPr>
                <w:color w:val="000000"/>
              </w:rPr>
              <w:t>68,689</w:t>
            </w:r>
          </w:p>
        </w:tc>
        <w:tc>
          <w:tcPr>
            <w:tcW w:w="1191" w:type="dxa"/>
            <w:shd w:val="clear" w:color="auto" w:fill="D0CECE" w:themeFill="background2" w:themeFillShade="E6"/>
          </w:tcPr>
          <w:p w14:paraId="72A5B044" w14:textId="77777777" w:rsidR="00B51828" w:rsidRPr="007901D3" w:rsidRDefault="00B51828" w:rsidP="002101D2">
            <w:pPr>
              <w:pStyle w:val="Tabletextboldleft"/>
              <w:spacing w:before="20" w:after="20"/>
              <w:jc w:val="right"/>
            </w:pPr>
            <w:r w:rsidRPr="007901D3">
              <w:rPr>
                <w:color w:val="000000"/>
              </w:rPr>
              <w:t>70,562</w:t>
            </w:r>
          </w:p>
        </w:tc>
        <w:tc>
          <w:tcPr>
            <w:tcW w:w="1190" w:type="dxa"/>
            <w:shd w:val="clear" w:color="auto" w:fill="D0CECE" w:themeFill="background2" w:themeFillShade="E6"/>
          </w:tcPr>
          <w:p w14:paraId="59681524" w14:textId="77777777" w:rsidR="00B51828" w:rsidRPr="007901D3" w:rsidRDefault="00B51828" w:rsidP="002101D2">
            <w:pPr>
              <w:pStyle w:val="Tabletextboldleft"/>
              <w:spacing w:before="20" w:after="20"/>
              <w:jc w:val="right"/>
            </w:pPr>
            <w:r w:rsidRPr="007901D3">
              <w:rPr>
                <w:color w:val="000000"/>
              </w:rPr>
              <w:t>72,436</w:t>
            </w:r>
          </w:p>
        </w:tc>
        <w:tc>
          <w:tcPr>
            <w:tcW w:w="1191" w:type="dxa"/>
            <w:shd w:val="clear" w:color="auto" w:fill="D0CECE" w:themeFill="background2" w:themeFillShade="E6"/>
          </w:tcPr>
          <w:p w14:paraId="08FFEA69" w14:textId="77777777" w:rsidR="00B51828" w:rsidRPr="007901D3" w:rsidRDefault="00B51828" w:rsidP="002101D2">
            <w:pPr>
              <w:pStyle w:val="Tabletextboldleft"/>
              <w:spacing w:before="20" w:after="20"/>
              <w:jc w:val="right"/>
            </w:pPr>
            <w:r w:rsidRPr="007901D3">
              <w:rPr>
                <w:color w:val="000000"/>
              </w:rPr>
              <w:t>74,309</w:t>
            </w:r>
          </w:p>
        </w:tc>
        <w:tc>
          <w:tcPr>
            <w:tcW w:w="1191" w:type="dxa"/>
            <w:shd w:val="clear" w:color="auto" w:fill="D0CECE" w:themeFill="background2" w:themeFillShade="E6"/>
          </w:tcPr>
          <w:p w14:paraId="5CD079F0" w14:textId="77777777" w:rsidR="00B51828" w:rsidRPr="007901D3" w:rsidRDefault="00B51828" w:rsidP="002101D2">
            <w:pPr>
              <w:pStyle w:val="Tabletextboldleft"/>
              <w:spacing w:before="20" w:after="20"/>
              <w:jc w:val="right"/>
            </w:pPr>
            <w:r w:rsidRPr="007901D3">
              <w:rPr>
                <w:color w:val="000000"/>
              </w:rPr>
              <w:t>76,182</w:t>
            </w:r>
          </w:p>
        </w:tc>
      </w:tr>
    </w:tbl>
    <w:p w14:paraId="4A890F94"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&lt;MBS services (SO items)&gt;</w:t>
      </w:r>
    </w:p>
    <w:p w14:paraId="07277237" w14:textId="77777777" w:rsidR="00B51828" w:rsidRPr="001D2CEB" w:rsidRDefault="00B51828" w:rsidP="002101D2">
      <w:pPr>
        <w:spacing w:before="20"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0F556C78" w14:textId="77777777" w:rsidR="00B51828" w:rsidRPr="00DB0F9B" w:rsidRDefault="00B51828" w:rsidP="002101D2">
      <w:pPr>
        <w:ind w:left="0" w:firstLine="720"/>
        <w:rPr>
          <w:rFonts w:ascii="Arial Narrow" w:hAnsi="Arial Narrow"/>
          <w:sz w:val="18"/>
          <w:szCs w:val="18"/>
        </w:rPr>
      </w:pPr>
      <w:r w:rsidRPr="00DB0F9B">
        <w:rPr>
          <w:rFonts w:ascii="Arial Narrow" w:hAnsi="Arial Narrow"/>
          <w:sz w:val="18"/>
          <w:szCs w:val="18"/>
          <w:vertAlign w:val="superscript"/>
        </w:rPr>
        <w:t>a</w:t>
      </w:r>
      <w:r w:rsidRPr="00DB0F9B">
        <w:rPr>
          <w:rFonts w:ascii="Arial Narrow" w:hAnsi="Arial Narrow"/>
          <w:sz w:val="18"/>
          <w:szCs w:val="18"/>
        </w:rPr>
        <w:t xml:space="preserve"> Includes bone marrow items</w:t>
      </w:r>
    </w:p>
    <w:p w14:paraId="5B2EEBD1" w14:textId="77777777" w:rsidR="00B51828" w:rsidRDefault="00B51828" w:rsidP="002101D2"/>
    <w:p w14:paraId="3219A1EB" w14:textId="77777777" w:rsidR="00B51828" w:rsidRPr="00B77182" w:rsidRDefault="00B51828" w:rsidP="002101D2">
      <w:pPr>
        <w:pStyle w:val="Caption"/>
      </w:pPr>
      <w:bookmarkStart w:id="270" w:name="_Ref394917045"/>
      <w:bookmarkStart w:id="271" w:name="_Toc396211777"/>
      <w:r>
        <w:lastRenderedPageBreak/>
        <w:t xml:space="preserve">Table </w:t>
      </w:r>
      <w:fldSimple w:instr=" STYLEREF 2 \s ">
        <w:r w:rsidR="0044620B">
          <w:rPr>
            <w:noProof/>
          </w:rPr>
          <w:t>E.2</w:t>
        </w:r>
      </w:fldSimple>
      <w:r>
        <w:noBreakHyphen/>
      </w:r>
      <w:fldSimple w:instr=" SEQ Table \* ARABIC \s 2 ">
        <w:r w:rsidR="0044620B">
          <w:rPr>
            <w:noProof/>
          </w:rPr>
          <w:t>3</w:t>
        </w:r>
      </w:fldSimple>
      <w:bookmarkEnd w:id="270"/>
      <w:r>
        <w:tab/>
        <w:t>Estimated number of MBS services for second, expert opinions, over the first five years of the proposed MBS listing – Current funding arrangements</w:t>
      </w:r>
      <w:bookmarkEnd w:id="271"/>
    </w:p>
    <w:tbl>
      <w:tblPr>
        <w:tblStyle w:val="TableGrid"/>
        <w:tblW w:w="8363" w:type="dxa"/>
        <w:tblInd w:w="704" w:type="dxa"/>
        <w:tblLayout w:type="fixed"/>
        <w:tblLook w:val="04A0" w:firstRow="1" w:lastRow="0" w:firstColumn="1" w:lastColumn="0" w:noHBand="0" w:noVBand="1"/>
        <w:tblCaption w:val="Estimated number of MBS services for second, expert opinions, over the first five years of the proposed MBS listing – Current funding arrangements"/>
        <w:tblDescription w:val="The number of services under current funding arrangements. Results are presented according to Scenario 1 and Scenario 2 cases and level of complexity"/>
      </w:tblPr>
      <w:tblGrid>
        <w:gridCol w:w="2410"/>
        <w:gridCol w:w="1190"/>
        <w:gridCol w:w="1191"/>
        <w:gridCol w:w="1190"/>
        <w:gridCol w:w="1191"/>
        <w:gridCol w:w="1191"/>
      </w:tblGrid>
      <w:tr w:rsidR="00B51828" w:rsidRPr="00F647C7" w14:paraId="1B0D31FA" w14:textId="77777777" w:rsidTr="00E61184">
        <w:trPr>
          <w:trHeight w:val="212"/>
          <w:tblHeader/>
        </w:trPr>
        <w:tc>
          <w:tcPr>
            <w:tcW w:w="2410" w:type="dxa"/>
            <w:tcBorders>
              <w:bottom w:val="single" w:sz="4" w:space="0" w:color="auto"/>
            </w:tcBorders>
          </w:tcPr>
          <w:p w14:paraId="1C658AEA" w14:textId="77777777" w:rsidR="00B51828" w:rsidRPr="00B5544C" w:rsidRDefault="00B51828" w:rsidP="002101D2">
            <w:pPr>
              <w:pStyle w:val="Tabletextboldleft"/>
              <w:spacing w:before="20" w:after="20"/>
            </w:pPr>
          </w:p>
        </w:tc>
        <w:tc>
          <w:tcPr>
            <w:tcW w:w="1190" w:type="dxa"/>
            <w:tcBorders>
              <w:bottom w:val="single" w:sz="4" w:space="0" w:color="auto"/>
            </w:tcBorders>
          </w:tcPr>
          <w:p w14:paraId="7E8F04FA" w14:textId="77777777" w:rsidR="00B51828" w:rsidRDefault="00B51828" w:rsidP="002101D2">
            <w:pPr>
              <w:pStyle w:val="Tabletextboldleft"/>
              <w:spacing w:before="20" w:after="20"/>
              <w:jc w:val="right"/>
            </w:pPr>
            <w:r>
              <w:t>Year 1</w:t>
            </w:r>
          </w:p>
          <w:p w14:paraId="4FBEE015" w14:textId="77777777" w:rsidR="00B51828" w:rsidRDefault="00B51828" w:rsidP="002101D2">
            <w:pPr>
              <w:pStyle w:val="Tabletextboldleft"/>
              <w:spacing w:before="20" w:after="20"/>
              <w:jc w:val="right"/>
              <w:rPr>
                <w:b w:val="0"/>
              </w:rPr>
            </w:pPr>
            <w:r>
              <w:t>(2015-16)</w:t>
            </w:r>
          </w:p>
        </w:tc>
        <w:tc>
          <w:tcPr>
            <w:tcW w:w="1191" w:type="dxa"/>
            <w:tcBorders>
              <w:bottom w:val="single" w:sz="4" w:space="0" w:color="auto"/>
            </w:tcBorders>
          </w:tcPr>
          <w:p w14:paraId="68A769CE" w14:textId="77777777" w:rsidR="00B51828" w:rsidRDefault="00B51828" w:rsidP="002101D2">
            <w:pPr>
              <w:pStyle w:val="Tabletextboldleft"/>
              <w:spacing w:before="20" w:after="20"/>
              <w:jc w:val="right"/>
            </w:pPr>
            <w:r>
              <w:t>Year 2</w:t>
            </w:r>
          </w:p>
          <w:p w14:paraId="7992FE6A" w14:textId="77777777" w:rsidR="00B51828" w:rsidRDefault="00B51828" w:rsidP="002101D2">
            <w:pPr>
              <w:pStyle w:val="Tabletextboldleft"/>
              <w:spacing w:before="20" w:after="20"/>
              <w:jc w:val="right"/>
              <w:rPr>
                <w:b w:val="0"/>
              </w:rPr>
            </w:pPr>
            <w:r>
              <w:t>(2016-17)</w:t>
            </w:r>
          </w:p>
        </w:tc>
        <w:tc>
          <w:tcPr>
            <w:tcW w:w="1190" w:type="dxa"/>
            <w:tcBorders>
              <w:bottom w:val="single" w:sz="4" w:space="0" w:color="auto"/>
            </w:tcBorders>
          </w:tcPr>
          <w:p w14:paraId="17372F02" w14:textId="77777777" w:rsidR="00B51828" w:rsidRDefault="00B51828" w:rsidP="002101D2">
            <w:pPr>
              <w:pStyle w:val="Tabletextboldleft"/>
              <w:spacing w:before="20" w:after="20"/>
              <w:jc w:val="right"/>
            </w:pPr>
            <w:r>
              <w:t>Year 3</w:t>
            </w:r>
          </w:p>
          <w:p w14:paraId="3B131500" w14:textId="77777777" w:rsidR="00B51828" w:rsidRDefault="00B51828" w:rsidP="002101D2">
            <w:pPr>
              <w:pStyle w:val="Tabletextboldleft"/>
              <w:spacing w:before="20" w:after="20"/>
              <w:jc w:val="right"/>
              <w:rPr>
                <w:b w:val="0"/>
              </w:rPr>
            </w:pPr>
            <w:r>
              <w:t>(2017-18)</w:t>
            </w:r>
          </w:p>
        </w:tc>
        <w:tc>
          <w:tcPr>
            <w:tcW w:w="1191" w:type="dxa"/>
            <w:tcBorders>
              <w:bottom w:val="single" w:sz="4" w:space="0" w:color="auto"/>
            </w:tcBorders>
          </w:tcPr>
          <w:p w14:paraId="66198075" w14:textId="77777777" w:rsidR="00B51828" w:rsidRDefault="00B51828" w:rsidP="002101D2">
            <w:pPr>
              <w:pStyle w:val="Tabletextboldleft"/>
              <w:spacing w:before="20" w:after="20"/>
              <w:jc w:val="right"/>
            </w:pPr>
            <w:r>
              <w:t>Year 4</w:t>
            </w:r>
          </w:p>
          <w:p w14:paraId="7B61F213" w14:textId="77777777" w:rsidR="00B51828" w:rsidRDefault="00B51828" w:rsidP="002101D2">
            <w:pPr>
              <w:pStyle w:val="Tabletextboldleft"/>
              <w:spacing w:before="20" w:after="20"/>
              <w:jc w:val="right"/>
              <w:rPr>
                <w:b w:val="0"/>
              </w:rPr>
            </w:pPr>
            <w:r>
              <w:t>(2018-19)</w:t>
            </w:r>
          </w:p>
        </w:tc>
        <w:tc>
          <w:tcPr>
            <w:tcW w:w="1191" w:type="dxa"/>
            <w:tcBorders>
              <w:bottom w:val="single" w:sz="4" w:space="0" w:color="auto"/>
            </w:tcBorders>
          </w:tcPr>
          <w:p w14:paraId="7790C07B" w14:textId="77777777" w:rsidR="00B51828" w:rsidRDefault="00B51828" w:rsidP="002101D2">
            <w:pPr>
              <w:pStyle w:val="Tabletextboldleft"/>
              <w:spacing w:before="20" w:after="20"/>
              <w:jc w:val="right"/>
            </w:pPr>
            <w:r>
              <w:t>Year 5</w:t>
            </w:r>
          </w:p>
          <w:p w14:paraId="07351903" w14:textId="77777777" w:rsidR="00B51828" w:rsidRDefault="00B51828" w:rsidP="002101D2">
            <w:pPr>
              <w:pStyle w:val="Tabletextboldleft"/>
              <w:spacing w:before="20" w:after="20"/>
              <w:jc w:val="right"/>
              <w:rPr>
                <w:b w:val="0"/>
              </w:rPr>
            </w:pPr>
            <w:r>
              <w:t>(2019-20)</w:t>
            </w:r>
          </w:p>
        </w:tc>
      </w:tr>
      <w:tr w:rsidR="00B51828" w:rsidRPr="00F647C7" w14:paraId="0F57C309" w14:textId="77777777" w:rsidTr="00E61184">
        <w:trPr>
          <w:trHeight w:val="212"/>
        </w:trPr>
        <w:tc>
          <w:tcPr>
            <w:tcW w:w="2410" w:type="dxa"/>
            <w:tcBorders>
              <w:bottom w:val="single" w:sz="4" w:space="0" w:color="auto"/>
            </w:tcBorders>
            <w:shd w:val="clear" w:color="auto" w:fill="D0CECE" w:themeFill="background2" w:themeFillShade="E6"/>
          </w:tcPr>
          <w:p w14:paraId="64430BE6" w14:textId="77777777" w:rsidR="00B51828" w:rsidRPr="00386763" w:rsidRDefault="00B51828" w:rsidP="002101D2">
            <w:pPr>
              <w:pStyle w:val="Tabletextboldleft"/>
              <w:spacing w:before="20" w:after="20"/>
            </w:pPr>
            <w:r>
              <w:rPr>
                <w:i/>
              </w:rPr>
              <w:t>Scenario 1</w:t>
            </w:r>
          </w:p>
        </w:tc>
        <w:tc>
          <w:tcPr>
            <w:tcW w:w="1190" w:type="dxa"/>
            <w:tcBorders>
              <w:bottom w:val="single" w:sz="4" w:space="0" w:color="auto"/>
            </w:tcBorders>
            <w:shd w:val="clear" w:color="auto" w:fill="D0CECE" w:themeFill="background2" w:themeFillShade="E6"/>
          </w:tcPr>
          <w:p w14:paraId="7B2C6CB7"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7253937A" w14:textId="77777777" w:rsidR="00B51828" w:rsidRPr="002D0B57" w:rsidRDefault="00B51828" w:rsidP="002101D2">
            <w:pPr>
              <w:pStyle w:val="Tabletextboldleft"/>
              <w:spacing w:before="20" w:after="20"/>
              <w:jc w:val="right"/>
              <w:rPr>
                <w:b w:val="0"/>
              </w:rPr>
            </w:pPr>
            <w:r>
              <w:rPr>
                <w:b w:val="0"/>
              </w:rPr>
              <w:t>-</w:t>
            </w:r>
          </w:p>
        </w:tc>
        <w:tc>
          <w:tcPr>
            <w:tcW w:w="1190" w:type="dxa"/>
            <w:tcBorders>
              <w:bottom w:val="single" w:sz="4" w:space="0" w:color="auto"/>
            </w:tcBorders>
            <w:shd w:val="clear" w:color="auto" w:fill="D0CECE" w:themeFill="background2" w:themeFillShade="E6"/>
          </w:tcPr>
          <w:p w14:paraId="0B4D97D9"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3AC7224B"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047B7583" w14:textId="77777777" w:rsidR="00B51828" w:rsidRPr="002D0B57" w:rsidRDefault="00B51828" w:rsidP="002101D2">
            <w:pPr>
              <w:pStyle w:val="Tabletextboldleft"/>
              <w:spacing w:before="20" w:after="20"/>
              <w:jc w:val="right"/>
              <w:rPr>
                <w:b w:val="0"/>
              </w:rPr>
            </w:pPr>
            <w:r>
              <w:rPr>
                <w:b w:val="0"/>
              </w:rPr>
              <w:t>-</w:t>
            </w:r>
          </w:p>
        </w:tc>
      </w:tr>
      <w:tr w:rsidR="00B51828" w:rsidRPr="00F647C7" w14:paraId="7F266954" w14:textId="77777777" w:rsidTr="00E61184">
        <w:trPr>
          <w:trHeight w:val="212"/>
        </w:trPr>
        <w:tc>
          <w:tcPr>
            <w:tcW w:w="2410" w:type="dxa"/>
            <w:tcBorders>
              <w:bottom w:val="nil"/>
            </w:tcBorders>
          </w:tcPr>
          <w:p w14:paraId="34E1FCB3" w14:textId="77777777" w:rsidR="00B51828" w:rsidRPr="00386763" w:rsidRDefault="00B51828" w:rsidP="002101D2">
            <w:pPr>
              <w:pStyle w:val="Tabletextboldleft"/>
              <w:spacing w:before="20" w:after="20"/>
            </w:pPr>
            <w:r w:rsidRPr="00386763">
              <w:rPr>
                <w:b w:val="0"/>
              </w:rPr>
              <w:t>Tissue pathology</w:t>
            </w:r>
            <w:r w:rsidRPr="00386763">
              <w:rPr>
                <w:b w:val="0"/>
                <w:vertAlign w:val="superscript"/>
              </w:rPr>
              <w:t>a</w:t>
            </w:r>
          </w:p>
        </w:tc>
        <w:tc>
          <w:tcPr>
            <w:tcW w:w="1190" w:type="dxa"/>
            <w:tcBorders>
              <w:bottom w:val="nil"/>
            </w:tcBorders>
          </w:tcPr>
          <w:p w14:paraId="5CA81CFE" w14:textId="77777777" w:rsidR="00B51828" w:rsidRPr="009D63D8" w:rsidRDefault="00B51828" w:rsidP="002101D2">
            <w:pPr>
              <w:pStyle w:val="Tabletextboldleft"/>
              <w:spacing w:before="20" w:after="20"/>
              <w:jc w:val="right"/>
              <w:rPr>
                <w:b w:val="0"/>
              </w:rPr>
            </w:pPr>
            <w:r w:rsidRPr="009D63D8">
              <w:rPr>
                <w:b w:val="0"/>
                <w:color w:val="000000"/>
              </w:rPr>
              <w:t>11,499</w:t>
            </w:r>
          </w:p>
        </w:tc>
        <w:tc>
          <w:tcPr>
            <w:tcW w:w="1191" w:type="dxa"/>
            <w:tcBorders>
              <w:bottom w:val="nil"/>
            </w:tcBorders>
          </w:tcPr>
          <w:p w14:paraId="386D1E6E" w14:textId="77777777" w:rsidR="00B51828" w:rsidRPr="009D63D8" w:rsidRDefault="00B51828" w:rsidP="002101D2">
            <w:pPr>
              <w:pStyle w:val="Tabletextboldleft"/>
              <w:spacing w:before="20" w:after="20"/>
              <w:jc w:val="right"/>
              <w:rPr>
                <w:b w:val="0"/>
              </w:rPr>
            </w:pPr>
            <w:r w:rsidRPr="009D63D8">
              <w:rPr>
                <w:b w:val="0"/>
                <w:color w:val="000000"/>
              </w:rPr>
              <w:t>11,916</w:t>
            </w:r>
          </w:p>
        </w:tc>
        <w:tc>
          <w:tcPr>
            <w:tcW w:w="1190" w:type="dxa"/>
            <w:tcBorders>
              <w:bottom w:val="nil"/>
            </w:tcBorders>
          </w:tcPr>
          <w:p w14:paraId="4D3539DA" w14:textId="77777777" w:rsidR="00B51828" w:rsidRPr="009D63D8" w:rsidRDefault="00B51828" w:rsidP="002101D2">
            <w:pPr>
              <w:pStyle w:val="Tabletextboldleft"/>
              <w:spacing w:before="20" w:after="20"/>
              <w:jc w:val="right"/>
              <w:rPr>
                <w:b w:val="0"/>
              </w:rPr>
            </w:pPr>
            <w:r w:rsidRPr="009D63D8">
              <w:rPr>
                <w:b w:val="0"/>
                <w:color w:val="000000"/>
              </w:rPr>
              <w:t>12,332</w:t>
            </w:r>
          </w:p>
        </w:tc>
        <w:tc>
          <w:tcPr>
            <w:tcW w:w="1191" w:type="dxa"/>
            <w:tcBorders>
              <w:bottom w:val="nil"/>
            </w:tcBorders>
          </w:tcPr>
          <w:p w14:paraId="0DF93C83" w14:textId="77777777" w:rsidR="00B51828" w:rsidRPr="009D63D8" w:rsidRDefault="00B51828" w:rsidP="002101D2">
            <w:pPr>
              <w:pStyle w:val="Tabletextboldleft"/>
              <w:spacing w:before="20" w:after="20"/>
              <w:jc w:val="right"/>
              <w:rPr>
                <w:b w:val="0"/>
              </w:rPr>
            </w:pPr>
            <w:r w:rsidRPr="009D63D8">
              <w:rPr>
                <w:b w:val="0"/>
                <w:color w:val="000000"/>
              </w:rPr>
              <w:t>12,749</w:t>
            </w:r>
          </w:p>
        </w:tc>
        <w:tc>
          <w:tcPr>
            <w:tcW w:w="1191" w:type="dxa"/>
            <w:tcBorders>
              <w:bottom w:val="nil"/>
            </w:tcBorders>
          </w:tcPr>
          <w:p w14:paraId="2D9318AD" w14:textId="77777777" w:rsidR="00B51828" w:rsidRPr="009D63D8" w:rsidRDefault="00B51828" w:rsidP="002101D2">
            <w:pPr>
              <w:pStyle w:val="Tabletextboldleft"/>
              <w:spacing w:before="20" w:after="20"/>
              <w:jc w:val="right"/>
              <w:rPr>
                <w:b w:val="0"/>
              </w:rPr>
            </w:pPr>
            <w:r w:rsidRPr="009D63D8">
              <w:rPr>
                <w:b w:val="0"/>
                <w:color w:val="000000"/>
              </w:rPr>
              <w:t>13,166</w:t>
            </w:r>
          </w:p>
        </w:tc>
      </w:tr>
      <w:tr w:rsidR="00B51828" w:rsidRPr="00F647C7" w14:paraId="6FC4792E" w14:textId="77777777" w:rsidTr="00E61184">
        <w:trPr>
          <w:trHeight w:val="212"/>
        </w:trPr>
        <w:tc>
          <w:tcPr>
            <w:tcW w:w="2410" w:type="dxa"/>
            <w:tcBorders>
              <w:top w:val="nil"/>
              <w:bottom w:val="nil"/>
            </w:tcBorders>
          </w:tcPr>
          <w:p w14:paraId="7FA3BC77" w14:textId="77777777" w:rsidR="00B51828" w:rsidRPr="005449CD" w:rsidRDefault="00B51828" w:rsidP="002101D2">
            <w:pPr>
              <w:pStyle w:val="Tabletextboldleft"/>
              <w:spacing w:before="20" w:after="20"/>
              <w:ind w:firstLine="317"/>
              <w:rPr>
                <w:b w:val="0"/>
              </w:rPr>
            </w:pPr>
            <w:r w:rsidRPr="00386763">
              <w:rPr>
                <w:b w:val="0"/>
              </w:rPr>
              <w:t>Complex</w:t>
            </w:r>
          </w:p>
        </w:tc>
        <w:tc>
          <w:tcPr>
            <w:tcW w:w="1190" w:type="dxa"/>
            <w:tcBorders>
              <w:top w:val="nil"/>
              <w:bottom w:val="nil"/>
            </w:tcBorders>
          </w:tcPr>
          <w:p w14:paraId="4782124C" w14:textId="77777777" w:rsidR="00B51828" w:rsidRPr="009D63D8" w:rsidRDefault="00B51828" w:rsidP="002101D2">
            <w:pPr>
              <w:pStyle w:val="Tabletextboldleft"/>
              <w:spacing w:before="20" w:after="20"/>
              <w:jc w:val="right"/>
              <w:rPr>
                <w:b w:val="0"/>
              </w:rPr>
            </w:pPr>
            <w:r w:rsidRPr="009D63D8">
              <w:rPr>
                <w:b w:val="0"/>
                <w:color w:val="000000"/>
              </w:rPr>
              <w:t>6,899</w:t>
            </w:r>
          </w:p>
        </w:tc>
        <w:tc>
          <w:tcPr>
            <w:tcW w:w="1191" w:type="dxa"/>
            <w:tcBorders>
              <w:top w:val="nil"/>
              <w:bottom w:val="nil"/>
            </w:tcBorders>
          </w:tcPr>
          <w:p w14:paraId="6404CB31" w14:textId="77777777" w:rsidR="00B51828" w:rsidRPr="009D63D8" w:rsidRDefault="00B51828" w:rsidP="002101D2">
            <w:pPr>
              <w:pStyle w:val="Tabletextboldleft"/>
              <w:spacing w:before="20" w:after="20"/>
              <w:jc w:val="right"/>
              <w:rPr>
                <w:b w:val="0"/>
              </w:rPr>
            </w:pPr>
            <w:r w:rsidRPr="009D63D8">
              <w:rPr>
                <w:b w:val="0"/>
                <w:color w:val="000000"/>
              </w:rPr>
              <w:t>7,149</w:t>
            </w:r>
          </w:p>
        </w:tc>
        <w:tc>
          <w:tcPr>
            <w:tcW w:w="1190" w:type="dxa"/>
            <w:tcBorders>
              <w:top w:val="nil"/>
              <w:bottom w:val="nil"/>
            </w:tcBorders>
          </w:tcPr>
          <w:p w14:paraId="26F411FC" w14:textId="77777777" w:rsidR="00B51828" w:rsidRPr="009D63D8" w:rsidRDefault="00B51828" w:rsidP="002101D2">
            <w:pPr>
              <w:pStyle w:val="Tabletextboldleft"/>
              <w:spacing w:before="20" w:after="20"/>
              <w:jc w:val="right"/>
              <w:rPr>
                <w:b w:val="0"/>
              </w:rPr>
            </w:pPr>
            <w:r w:rsidRPr="009D63D8">
              <w:rPr>
                <w:b w:val="0"/>
                <w:color w:val="000000"/>
              </w:rPr>
              <w:t>7,399</w:t>
            </w:r>
          </w:p>
        </w:tc>
        <w:tc>
          <w:tcPr>
            <w:tcW w:w="1191" w:type="dxa"/>
            <w:tcBorders>
              <w:top w:val="nil"/>
              <w:bottom w:val="nil"/>
            </w:tcBorders>
          </w:tcPr>
          <w:p w14:paraId="7C62BBB2" w14:textId="77777777" w:rsidR="00B51828" w:rsidRPr="009D63D8" w:rsidRDefault="00B51828" w:rsidP="002101D2">
            <w:pPr>
              <w:pStyle w:val="Tabletextboldleft"/>
              <w:spacing w:before="20" w:after="20"/>
              <w:jc w:val="right"/>
              <w:rPr>
                <w:b w:val="0"/>
              </w:rPr>
            </w:pPr>
            <w:r w:rsidRPr="009D63D8">
              <w:rPr>
                <w:b w:val="0"/>
                <w:color w:val="000000"/>
              </w:rPr>
              <w:t>7,649</w:t>
            </w:r>
          </w:p>
        </w:tc>
        <w:tc>
          <w:tcPr>
            <w:tcW w:w="1191" w:type="dxa"/>
            <w:tcBorders>
              <w:top w:val="nil"/>
              <w:bottom w:val="nil"/>
            </w:tcBorders>
          </w:tcPr>
          <w:p w14:paraId="72C7A2FB" w14:textId="77777777" w:rsidR="00B51828" w:rsidRPr="009D63D8" w:rsidRDefault="00B51828" w:rsidP="002101D2">
            <w:pPr>
              <w:pStyle w:val="Tabletextboldleft"/>
              <w:spacing w:before="20" w:after="20"/>
              <w:jc w:val="right"/>
              <w:rPr>
                <w:b w:val="0"/>
              </w:rPr>
            </w:pPr>
            <w:r w:rsidRPr="009D63D8">
              <w:rPr>
                <w:b w:val="0"/>
                <w:color w:val="000000"/>
              </w:rPr>
              <w:t>7,899</w:t>
            </w:r>
          </w:p>
        </w:tc>
      </w:tr>
      <w:tr w:rsidR="00B51828" w:rsidRPr="00F647C7" w14:paraId="05F15F27" w14:textId="77777777" w:rsidTr="00E61184">
        <w:trPr>
          <w:trHeight w:val="212"/>
        </w:trPr>
        <w:tc>
          <w:tcPr>
            <w:tcW w:w="2410" w:type="dxa"/>
            <w:tcBorders>
              <w:top w:val="nil"/>
              <w:bottom w:val="single" w:sz="4" w:space="0" w:color="auto"/>
            </w:tcBorders>
          </w:tcPr>
          <w:p w14:paraId="5F69DF9B" w14:textId="77777777" w:rsidR="00B51828" w:rsidRPr="005449CD" w:rsidRDefault="00B51828" w:rsidP="002101D2">
            <w:pPr>
              <w:pStyle w:val="Tabletextboldleft"/>
              <w:spacing w:before="20" w:after="20"/>
              <w:ind w:firstLine="317"/>
              <w:rPr>
                <w:b w:val="0"/>
              </w:rPr>
            </w:pPr>
            <w:r w:rsidRPr="00386763">
              <w:rPr>
                <w:b w:val="0"/>
              </w:rPr>
              <w:t>Non-complex</w:t>
            </w:r>
          </w:p>
        </w:tc>
        <w:tc>
          <w:tcPr>
            <w:tcW w:w="1190" w:type="dxa"/>
            <w:tcBorders>
              <w:top w:val="nil"/>
              <w:bottom w:val="single" w:sz="4" w:space="0" w:color="auto"/>
            </w:tcBorders>
          </w:tcPr>
          <w:p w14:paraId="7BB42DEC" w14:textId="77777777" w:rsidR="00B51828" w:rsidRPr="009D63D8" w:rsidRDefault="00B51828" w:rsidP="002101D2">
            <w:pPr>
              <w:pStyle w:val="Tabletextboldleft"/>
              <w:spacing w:before="20" w:after="20"/>
              <w:jc w:val="right"/>
              <w:rPr>
                <w:b w:val="0"/>
              </w:rPr>
            </w:pPr>
            <w:r w:rsidRPr="009D63D8">
              <w:rPr>
                <w:b w:val="0"/>
                <w:color w:val="000000"/>
              </w:rPr>
              <w:t>4,600</w:t>
            </w:r>
          </w:p>
        </w:tc>
        <w:tc>
          <w:tcPr>
            <w:tcW w:w="1191" w:type="dxa"/>
            <w:tcBorders>
              <w:top w:val="nil"/>
              <w:bottom w:val="single" w:sz="4" w:space="0" w:color="auto"/>
            </w:tcBorders>
          </w:tcPr>
          <w:p w14:paraId="4A52B729" w14:textId="77777777" w:rsidR="00B51828" w:rsidRPr="009D63D8" w:rsidRDefault="00B51828" w:rsidP="002101D2">
            <w:pPr>
              <w:pStyle w:val="Tabletextboldleft"/>
              <w:spacing w:before="20" w:after="20"/>
              <w:jc w:val="right"/>
              <w:rPr>
                <w:b w:val="0"/>
              </w:rPr>
            </w:pPr>
            <w:r w:rsidRPr="009D63D8">
              <w:rPr>
                <w:b w:val="0"/>
                <w:color w:val="000000"/>
              </w:rPr>
              <w:t>4,766</w:t>
            </w:r>
          </w:p>
        </w:tc>
        <w:tc>
          <w:tcPr>
            <w:tcW w:w="1190" w:type="dxa"/>
            <w:tcBorders>
              <w:top w:val="nil"/>
              <w:bottom w:val="single" w:sz="4" w:space="0" w:color="auto"/>
            </w:tcBorders>
          </w:tcPr>
          <w:p w14:paraId="6249869F" w14:textId="77777777" w:rsidR="00B51828" w:rsidRPr="009D63D8" w:rsidRDefault="00B51828" w:rsidP="002101D2">
            <w:pPr>
              <w:pStyle w:val="Tabletextboldleft"/>
              <w:spacing w:before="20" w:after="20"/>
              <w:jc w:val="right"/>
              <w:rPr>
                <w:b w:val="0"/>
              </w:rPr>
            </w:pPr>
            <w:r w:rsidRPr="009D63D8">
              <w:rPr>
                <w:b w:val="0"/>
                <w:color w:val="000000"/>
              </w:rPr>
              <w:t>4,933</w:t>
            </w:r>
          </w:p>
        </w:tc>
        <w:tc>
          <w:tcPr>
            <w:tcW w:w="1191" w:type="dxa"/>
            <w:tcBorders>
              <w:top w:val="nil"/>
              <w:bottom w:val="single" w:sz="4" w:space="0" w:color="auto"/>
            </w:tcBorders>
          </w:tcPr>
          <w:p w14:paraId="39BE5CBA" w14:textId="77777777" w:rsidR="00B51828" w:rsidRPr="009D63D8" w:rsidRDefault="00B51828" w:rsidP="002101D2">
            <w:pPr>
              <w:pStyle w:val="Tabletextboldleft"/>
              <w:spacing w:before="20" w:after="20"/>
              <w:jc w:val="right"/>
              <w:rPr>
                <w:b w:val="0"/>
              </w:rPr>
            </w:pPr>
            <w:r w:rsidRPr="009D63D8">
              <w:rPr>
                <w:b w:val="0"/>
                <w:color w:val="000000"/>
              </w:rPr>
              <w:t>5,100</w:t>
            </w:r>
          </w:p>
        </w:tc>
        <w:tc>
          <w:tcPr>
            <w:tcW w:w="1191" w:type="dxa"/>
            <w:tcBorders>
              <w:top w:val="nil"/>
              <w:bottom w:val="single" w:sz="4" w:space="0" w:color="auto"/>
            </w:tcBorders>
          </w:tcPr>
          <w:p w14:paraId="56F812AD" w14:textId="77777777" w:rsidR="00B51828" w:rsidRPr="009D63D8" w:rsidRDefault="00B51828" w:rsidP="002101D2">
            <w:pPr>
              <w:pStyle w:val="Tabletextboldleft"/>
              <w:spacing w:before="20" w:after="20"/>
              <w:jc w:val="right"/>
              <w:rPr>
                <w:b w:val="0"/>
              </w:rPr>
            </w:pPr>
            <w:r w:rsidRPr="009D63D8">
              <w:rPr>
                <w:b w:val="0"/>
                <w:color w:val="000000"/>
              </w:rPr>
              <w:t>5,266</w:t>
            </w:r>
          </w:p>
        </w:tc>
      </w:tr>
      <w:tr w:rsidR="00B51828" w:rsidRPr="00F647C7" w14:paraId="70BFCA34" w14:textId="77777777" w:rsidTr="00E61184">
        <w:trPr>
          <w:trHeight w:val="212"/>
        </w:trPr>
        <w:tc>
          <w:tcPr>
            <w:tcW w:w="2410" w:type="dxa"/>
            <w:tcBorders>
              <w:bottom w:val="nil"/>
            </w:tcBorders>
          </w:tcPr>
          <w:p w14:paraId="17DC08A7" w14:textId="77777777" w:rsidR="00B51828" w:rsidRPr="00386763" w:rsidRDefault="00B51828" w:rsidP="002101D2">
            <w:pPr>
              <w:pStyle w:val="Tabletextboldleft"/>
              <w:spacing w:before="20" w:after="20"/>
            </w:pPr>
            <w:r w:rsidRPr="00F411CD">
              <w:rPr>
                <w:b w:val="0"/>
              </w:rPr>
              <w:t>Non-gynaecological cytology</w:t>
            </w:r>
          </w:p>
        </w:tc>
        <w:tc>
          <w:tcPr>
            <w:tcW w:w="1190" w:type="dxa"/>
            <w:tcBorders>
              <w:bottom w:val="nil"/>
            </w:tcBorders>
          </w:tcPr>
          <w:p w14:paraId="6F44ABF5" w14:textId="77777777" w:rsidR="00B51828" w:rsidRPr="009D63D8" w:rsidRDefault="00B51828" w:rsidP="002101D2">
            <w:pPr>
              <w:pStyle w:val="Tabletextboldleft"/>
              <w:spacing w:before="20" w:after="20"/>
              <w:jc w:val="right"/>
              <w:rPr>
                <w:b w:val="0"/>
              </w:rPr>
            </w:pPr>
            <w:r w:rsidRPr="009D63D8">
              <w:rPr>
                <w:b w:val="0"/>
                <w:color w:val="000000"/>
              </w:rPr>
              <w:t>656</w:t>
            </w:r>
          </w:p>
        </w:tc>
        <w:tc>
          <w:tcPr>
            <w:tcW w:w="1191" w:type="dxa"/>
            <w:tcBorders>
              <w:bottom w:val="nil"/>
            </w:tcBorders>
          </w:tcPr>
          <w:p w14:paraId="3885C62C" w14:textId="77777777" w:rsidR="00B51828" w:rsidRPr="009D63D8" w:rsidRDefault="00B51828" w:rsidP="002101D2">
            <w:pPr>
              <w:pStyle w:val="Tabletextboldleft"/>
              <w:spacing w:before="20" w:after="20"/>
              <w:jc w:val="right"/>
              <w:rPr>
                <w:b w:val="0"/>
              </w:rPr>
            </w:pPr>
            <w:r w:rsidRPr="009D63D8">
              <w:rPr>
                <w:b w:val="0"/>
                <w:color w:val="000000"/>
              </w:rPr>
              <w:t>675</w:t>
            </w:r>
          </w:p>
        </w:tc>
        <w:tc>
          <w:tcPr>
            <w:tcW w:w="1190" w:type="dxa"/>
            <w:tcBorders>
              <w:bottom w:val="nil"/>
            </w:tcBorders>
          </w:tcPr>
          <w:p w14:paraId="7F105CAC" w14:textId="77777777" w:rsidR="00B51828" w:rsidRPr="009D63D8" w:rsidRDefault="00B51828" w:rsidP="002101D2">
            <w:pPr>
              <w:pStyle w:val="Tabletextboldleft"/>
              <w:spacing w:before="20" w:after="20"/>
              <w:jc w:val="right"/>
              <w:rPr>
                <w:b w:val="0"/>
              </w:rPr>
            </w:pPr>
            <w:r w:rsidRPr="009D63D8">
              <w:rPr>
                <w:b w:val="0"/>
                <w:color w:val="000000"/>
              </w:rPr>
              <w:t>694</w:t>
            </w:r>
          </w:p>
        </w:tc>
        <w:tc>
          <w:tcPr>
            <w:tcW w:w="1191" w:type="dxa"/>
            <w:tcBorders>
              <w:bottom w:val="nil"/>
            </w:tcBorders>
          </w:tcPr>
          <w:p w14:paraId="31C038C2" w14:textId="77777777" w:rsidR="00B51828" w:rsidRPr="009D63D8" w:rsidRDefault="00B51828" w:rsidP="002101D2">
            <w:pPr>
              <w:pStyle w:val="Tabletextboldleft"/>
              <w:spacing w:before="20" w:after="20"/>
              <w:jc w:val="right"/>
              <w:rPr>
                <w:b w:val="0"/>
              </w:rPr>
            </w:pPr>
            <w:r w:rsidRPr="009D63D8">
              <w:rPr>
                <w:b w:val="0"/>
                <w:color w:val="000000"/>
              </w:rPr>
              <w:t>713</w:t>
            </w:r>
          </w:p>
        </w:tc>
        <w:tc>
          <w:tcPr>
            <w:tcW w:w="1191" w:type="dxa"/>
            <w:tcBorders>
              <w:bottom w:val="nil"/>
            </w:tcBorders>
          </w:tcPr>
          <w:p w14:paraId="364E3123" w14:textId="77777777" w:rsidR="00B51828" w:rsidRPr="009D63D8" w:rsidRDefault="00B51828" w:rsidP="002101D2">
            <w:pPr>
              <w:pStyle w:val="Tabletextboldleft"/>
              <w:spacing w:before="20" w:after="20"/>
              <w:jc w:val="right"/>
              <w:rPr>
                <w:b w:val="0"/>
              </w:rPr>
            </w:pPr>
            <w:r w:rsidRPr="009D63D8">
              <w:rPr>
                <w:b w:val="0"/>
                <w:color w:val="000000"/>
              </w:rPr>
              <w:t>732</w:t>
            </w:r>
          </w:p>
        </w:tc>
      </w:tr>
      <w:tr w:rsidR="00B51828" w:rsidRPr="00F647C7" w14:paraId="19918A08" w14:textId="77777777" w:rsidTr="00E61184">
        <w:trPr>
          <w:trHeight w:val="212"/>
        </w:trPr>
        <w:tc>
          <w:tcPr>
            <w:tcW w:w="2410" w:type="dxa"/>
            <w:tcBorders>
              <w:top w:val="nil"/>
              <w:bottom w:val="nil"/>
            </w:tcBorders>
          </w:tcPr>
          <w:p w14:paraId="08BD1977" w14:textId="77777777" w:rsidR="00B51828" w:rsidRPr="00386763" w:rsidRDefault="00B51828" w:rsidP="002101D2">
            <w:pPr>
              <w:pStyle w:val="Tabletextboldleft"/>
              <w:spacing w:before="20" w:after="20"/>
              <w:ind w:firstLine="317"/>
            </w:pPr>
            <w:r w:rsidRPr="00F411CD">
              <w:rPr>
                <w:b w:val="0"/>
              </w:rPr>
              <w:t>Complex</w:t>
            </w:r>
          </w:p>
        </w:tc>
        <w:tc>
          <w:tcPr>
            <w:tcW w:w="1190" w:type="dxa"/>
            <w:tcBorders>
              <w:top w:val="nil"/>
              <w:bottom w:val="nil"/>
            </w:tcBorders>
          </w:tcPr>
          <w:p w14:paraId="5986A559" w14:textId="77777777" w:rsidR="00B51828" w:rsidRPr="009D63D8" w:rsidRDefault="00B51828" w:rsidP="002101D2">
            <w:pPr>
              <w:pStyle w:val="Tabletextboldleft"/>
              <w:spacing w:before="20" w:after="20"/>
              <w:jc w:val="right"/>
              <w:rPr>
                <w:b w:val="0"/>
              </w:rPr>
            </w:pPr>
            <w:r w:rsidRPr="009D63D8">
              <w:rPr>
                <w:b w:val="0"/>
                <w:color w:val="000000"/>
              </w:rPr>
              <w:t>126</w:t>
            </w:r>
          </w:p>
        </w:tc>
        <w:tc>
          <w:tcPr>
            <w:tcW w:w="1191" w:type="dxa"/>
            <w:tcBorders>
              <w:top w:val="nil"/>
              <w:bottom w:val="nil"/>
            </w:tcBorders>
          </w:tcPr>
          <w:p w14:paraId="1D822D3D" w14:textId="77777777" w:rsidR="00B51828" w:rsidRPr="009D63D8" w:rsidRDefault="00B51828" w:rsidP="002101D2">
            <w:pPr>
              <w:pStyle w:val="Tabletextboldleft"/>
              <w:spacing w:before="20" w:after="20"/>
              <w:jc w:val="right"/>
              <w:rPr>
                <w:b w:val="0"/>
              </w:rPr>
            </w:pPr>
            <w:r w:rsidRPr="009D63D8">
              <w:rPr>
                <w:b w:val="0"/>
                <w:color w:val="000000"/>
              </w:rPr>
              <w:t>130</w:t>
            </w:r>
          </w:p>
        </w:tc>
        <w:tc>
          <w:tcPr>
            <w:tcW w:w="1190" w:type="dxa"/>
            <w:tcBorders>
              <w:top w:val="nil"/>
              <w:bottom w:val="nil"/>
            </w:tcBorders>
          </w:tcPr>
          <w:p w14:paraId="260E31D6" w14:textId="77777777" w:rsidR="00B51828" w:rsidRPr="009D63D8" w:rsidRDefault="00B51828" w:rsidP="002101D2">
            <w:pPr>
              <w:pStyle w:val="Tabletextboldleft"/>
              <w:spacing w:before="20" w:after="20"/>
              <w:jc w:val="right"/>
              <w:rPr>
                <w:b w:val="0"/>
              </w:rPr>
            </w:pPr>
            <w:r w:rsidRPr="009D63D8">
              <w:rPr>
                <w:b w:val="0"/>
                <w:color w:val="000000"/>
              </w:rPr>
              <w:t>134</w:t>
            </w:r>
          </w:p>
        </w:tc>
        <w:tc>
          <w:tcPr>
            <w:tcW w:w="1191" w:type="dxa"/>
            <w:tcBorders>
              <w:top w:val="nil"/>
              <w:bottom w:val="nil"/>
            </w:tcBorders>
          </w:tcPr>
          <w:p w14:paraId="099AACD2" w14:textId="77777777" w:rsidR="00B51828" w:rsidRPr="009D63D8" w:rsidRDefault="00B51828" w:rsidP="002101D2">
            <w:pPr>
              <w:pStyle w:val="Tabletextboldleft"/>
              <w:spacing w:before="20" w:after="20"/>
              <w:jc w:val="right"/>
              <w:rPr>
                <w:b w:val="0"/>
              </w:rPr>
            </w:pPr>
            <w:r w:rsidRPr="009D63D8">
              <w:rPr>
                <w:b w:val="0"/>
                <w:color w:val="000000"/>
              </w:rPr>
              <w:t>137</w:t>
            </w:r>
          </w:p>
        </w:tc>
        <w:tc>
          <w:tcPr>
            <w:tcW w:w="1191" w:type="dxa"/>
            <w:tcBorders>
              <w:top w:val="nil"/>
              <w:bottom w:val="nil"/>
            </w:tcBorders>
          </w:tcPr>
          <w:p w14:paraId="0DE4B21C" w14:textId="77777777" w:rsidR="00B51828" w:rsidRPr="009D63D8" w:rsidRDefault="00B51828" w:rsidP="002101D2">
            <w:pPr>
              <w:pStyle w:val="Tabletextboldleft"/>
              <w:spacing w:before="20" w:after="20"/>
              <w:jc w:val="right"/>
              <w:rPr>
                <w:b w:val="0"/>
              </w:rPr>
            </w:pPr>
            <w:r w:rsidRPr="009D63D8">
              <w:rPr>
                <w:b w:val="0"/>
                <w:color w:val="000000"/>
              </w:rPr>
              <w:t>141</w:t>
            </w:r>
          </w:p>
        </w:tc>
      </w:tr>
      <w:tr w:rsidR="00B51828" w:rsidRPr="00F647C7" w14:paraId="5A314579" w14:textId="77777777" w:rsidTr="00E61184">
        <w:trPr>
          <w:trHeight w:val="212"/>
        </w:trPr>
        <w:tc>
          <w:tcPr>
            <w:tcW w:w="2410" w:type="dxa"/>
            <w:tcBorders>
              <w:top w:val="nil"/>
              <w:bottom w:val="single" w:sz="4" w:space="0" w:color="auto"/>
            </w:tcBorders>
          </w:tcPr>
          <w:p w14:paraId="7F690EAC" w14:textId="77777777" w:rsidR="00B51828" w:rsidRPr="00386763" w:rsidRDefault="00B51828" w:rsidP="002101D2">
            <w:pPr>
              <w:pStyle w:val="Tabletextboldleft"/>
              <w:spacing w:before="20" w:after="20"/>
              <w:ind w:firstLine="317"/>
            </w:pPr>
            <w:r w:rsidRPr="00F411CD">
              <w:rPr>
                <w:b w:val="0"/>
              </w:rPr>
              <w:t>Non-complex</w:t>
            </w:r>
          </w:p>
        </w:tc>
        <w:tc>
          <w:tcPr>
            <w:tcW w:w="1190" w:type="dxa"/>
            <w:tcBorders>
              <w:top w:val="nil"/>
              <w:bottom w:val="single" w:sz="4" w:space="0" w:color="auto"/>
            </w:tcBorders>
          </w:tcPr>
          <w:p w14:paraId="7C64DE68" w14:textId="77777777" w:rsidR="00B51828" w:rsidRPr="009D63D8" w:rsidRDefault="00B51828" w:rsidP="002101D2">
            <w:pPr>
              <w:pStyle w:val="Tabletextboldleft"/>
              <w:spacing w:before="20" w:after="20"/>
              <w:jc w:val="right"/>
              <w:rPr>
                <w:b w:val="0"/>
              </w:rPr>
            </w:pPr>
            <w:r w:rsidRPr="009D63D8">
              <w:rPr>
                <w:b w:val="0"/>
                <w:color w:val="000000"/>
              </w:rPr>
              <w:t>529</w:t>
            </w:r>
          </w:p>
        </w:tc>
        <w:tc>
          <w:tcPr>
            <w:tcW w:w="1191" w:type="dxa"/>
            <w:tcBorders>
              <w:top w:val="nil"/>
              <w:bottom w:val="single" w:sz="4" w:space="0" w:color="auto"/>
            </w:tcBorders>
          </w:tcPr>
          <w:p w14:paraId="44B53AC9" w14:textId="77777777" w:rsidR="00B51828" w:rsidRPr="009D63D8" w:rsidRDefault="00B51828" w:rsidP="002101D2">
            <w:pPr>
              <w:pStyle w:val="Tabletextboldleft"/>
              <w:spacing w:before="20" w:after="20"/>
              <w:jc w:val="right"/>
              <w:rPr>
                <w:b w:val="0"/>
              </w:rPr>
            </w:pPr>
            <w:r w:rsidRPr="009D63D8">
              <w:rPr>
                <w:b w:val="0"/>
                <w:color w:val="000000"/>
              </w:rPr>
              <w:t>545</w:t>
            </w:r>
          </w:p>
        </w:tc>
        <w:tc>
          <w:tcPr>
            <w:tcW w:w="1190" w:type="dxa"/>
            <w:tcBorders>
              <w:top w:val="nil"/>
              <w:bottom w:val="single" w:sz="4" w:space="0" w:color="auto"/>
            </w:tcBorders>
          </w:tcPr>
          <w:p w14:paraId="779D065C" w14:textId="77777777" w:rsidR="00B51828" w:rsidRPr="009D63D8" w:rsidRDefault="00B51828" w:rsidP="002101D2">
            <w:pPr>
              <w:pStyle w:val="Tabletextboldleft"/>
              <w:spacing w:before="20" w:after="20"/>
              <w:jc w:val="right"/>
              <w:rPr>
                <w:b w:val="0"/>
              </w:rPr>
            </w:pPr>
            <w:r w:rsidRPr="009D63D8">
              <w:rPr>
                <w:b w:val="0"/>
                <w:color w:val="000000"/>
              </w:rPr>
              <w:t>560</w:t>
            </w:r>
          </w:p>
        </w:tc>
        <w:tc>
          <w:tcPr>
            <w:tcW w:w="1191" w:type="dxa"/>
            <w:tcBorders>
              <w:top w:val="nil"/>
              <w:bottom w:val="single" w:sz="4" w:space="0" w:color="auto"/>
            </w:tcBorders>
          </w:tcPr>
          <w:p w14:paraId="5E09F35A" w14:textId="77777777" w:rsidR="00B51828" w:rsidRPr="009D63D8" w:rsidRDefault="00B51828" w:rsidP="002101D2">
            <w:pPr>
              <w:pStyle w:val="Tabletextboldleft"/>
              <w:spacing w:before="20" w:after="20"/>
              <w:jc w:val="right"/>
              <w:rPr>
                <w:b w:val="0"/>
              </w:rPr>
            </w:pPr>
            <w:r w:rsidRPr="009D63D8">
              <w:rPr>
                <w:b w:val="0"/>
                <w:color w:val="000000"/>
              </w:rPr>
              <w:t>575</w:t>
            </w:r>
          </w:p>
        </w:tc>
        <w:tc>
          <w:tcPr>
            <w:tcW w:w="1191" w:type="dxa"/>
            <w:tcBorders>
              <w:top w:val="nil"/>
              <w:bottom w:val="single" w:sz="4" w:space="0" w:color="auto"/>
            </w:tcBorders>
          </w:tcPr>
          <w:p w14:paraId="3EC9AE52" w14:textId="77777777" w:rsidR="00B51828" w:rsidRPr="009D63D8" w:rsidRDefault="00B51828" w:rsidP="002101D2">
            <w:pPr>
              <w:pStyle w:val="Tabletextboldleft"/>
              <w:spacing w:before="20" w:after="20"/>
              <w:jc w:val="right"/>
              <w:rPr>
                <w:b w:val="0"/>
              </w:rPr>
            </w:pPr>
            <w:r w:rsidRPr="009D63D8">
              <w:rPr>
                <w:b w:val="0"/>
                <w:color w:val="000000"/>
              </w:rPr>
              <w:t>591</w:t>
            </w:r>
          </w:p>
        </w:tc>
      </w:tr>
      <w:tr w:rsidR="00B51828" w:rsidRPr="00F647C7" w14:paraId="34AC824D" w14:textId="77777777" w:rsidTr="00E61184">
        <w:trPr>
          <w:trHeight w:val="212"/>
        </w:trPr>
        <w:tc>
          <w:tcPr>
            <w:tcW w:w="2410" w:type="dxa"/>
            <w:tcBorders>
              <w:bottom w:val="nil"/>
            </w:tcBorders>
          </w:tcPr>
          <w:p w14:paraId="2F4309F3" w14:textId="77777777" w:rsidR="00B51828" w:rsidRPr="00386763" w:rsidRDefault="00B51828" w:rsidP="002101D2">
            <w:pPr>
              <w:pStyle w:val="Tabletextboldleft"/>
              <w:spacing w:before="20" w:after="20"/>
            </w:pPr>
            <w:r w:rsidRPr="00F411CD">
              <w:rPr>
                <w:b w:val="0"/>
              </w:rPr>
              <w:t>All cytology</w:t>
            </w:r>
          </w:p>
        </w:tc>
        <w:tc>
          <w:tcPr>
            <w:tcW w:w="1190" w:type="dxa"/>
            <w:tcBorders>
              <w:bottom w:val="nil"/>
            </w:tcBorders>
          </w:tcPr>
          <w:p w14:paraId="39E184B2" w14:textId="77777777" w:rsidR="00B51828" w:rsidRPr="009D63D8" w:rsidRDefault="00B51828" w:rsidP="002101D2">
            <w:pPr>
              <w:pStyle w:val="Tabletextboldleft"/>
              <w:spacing w:before="20" w:after="20"/>
              <w:jc w:val="right"/>
              <w:rPr>
                <w:b w:val="0"/>
              </w:rPr>
            </w:pPr>
            <w:r w:rsidRPr="009D63D8">
              <w:rPr>
                <w:b w:val="0"/>
                <w:color w:val="000000"/>
              </w:rPr>
              <w:t>5,215</w:t>
            </w:r>
          </w:p>
        </w:tc>
        <w:tc>
          <w:tcPr>
            <w:tcW w:w="1191" w:type="dxa"/>
            <w:tcBorders>
              <w:bottom w:val="nil"/>
            </w:tcBorders>
          </w:tcPr>
          <w:p w14:paraId="1BAC7D34" w14:textId="77777777" w:rsidR="00B51828" w:rsidRPr="009D63D8" w:rsidRDefault="00B51828" w:rsidP="002101D2">
            <w:pPr>
              <w:pStyle w:val="Tabletextboldleft"/>
              <w:spacing w:before="20" w:after="20"/>
              <w:jc w:val="right"/>
              <w:rPr>
                <w:b w:val="0"/>
              </w:rPr>
            </w:pPr>
            <w:r w:rsidRPr="009D63D8">
              <w:rPr>
                <w:b w:val="0"/>
                <w:color w:val="000000"/>
              </w:rPr>
              <w:t>5,272</w:t>
            </w:r>
          </w:p>
        </w:tc>
        <w:tc>
          <w:tcPr>
            <w:tcW w:w="1190" w:type="dxa"/>
            <w:tcBorders>
              <w:bottom w:val="nil"/>
            </w:tcBorders>
          </w:tcPr>
          <w:p w14:paraId="434BF3E1" w14:textId="77777777" w:rsidR="00B51828" w:rsidRPr="009D63D8" w:rsidRDefault="00B51828" w:rsidP="002101D2">
            <w:pPr>
              <w:pStyle w:val="Tabletextboldleft"/>
              <w:spacing w:before="20" w:after="20"/>
              <w:jc w:val="right"/>
              <w:rPr>
                <w:b w:val="0"/>
              </w:rPr>
            </w:pPr>
            <w:r w:rsidRPr="009D63D8">
              <w:rPr>
                <w:b w:val="0"/>
                <w:color w:val="000000"/>
              </w:rPr>
              <w:t>5,329</w:t>
            </w:r>
          </w:p>
        </w:tc>
        <w:tc>
          <w:tcPr>
            <w:tcW w:w="1191" w:type="dxa"/>
            <w:tcBorders>
              <w:bottom w:val="nil"/>
            </w:tcBorders>
          </w:tcPr>
          <w:p w14:paraId="53D7DD39" w14:textId="77777777" w:rsidR="00B51828" w:rsidRPr="009D63D8" w:rsidRDefault="00B51828" w:rsidP="002101D2">
            <w:pPr>
              <w:pStyle w:val="Tabletextboldleft"/>
              <w:spacing w:before="20" w:after="20"/>
              <w:jc w:val="right"/>
              <w:rPr>
                <w:b w:val="0"/>
              </w:rPr>
            </w:pPr>
            <w:r w:rsidRPr="009D63D8">
              <w:rPr>
                <w:b w:val="0"/>
                <w:color w:val="000000"/>
              </w:rPr>
              <w:t>5,386</w:t>
            </w:r>
          </w:p>
        </w:tc>
        <w:tc>
          <w:tcPr>
            <w:tcW w:w="1191" w:type="dxa"/>
            <w:tcBorders>
              <w:bottom w:val="nil"/>
            </w:tcBorders>
          </w:tcPr>
          <w:p w14:paraId="1B4EAF6C" w14:textId="77777777" w:rsidR="00B51828" w:rsidRPr="009D63D8" w:rsidRDefault="00B51828" w:rsidP="002101D2">
            <w:pPr>
              <w:pStyle w:val="Tabletextboldleft"/>
              <w:spacing w:before="20" w:after="20"/>
              <w:jc w:val="right"/>
              <w:rPr>
                <w:b w:val="0"/>
              </w:rPr>
            </w:pPr>
            <w:r w:rsidRPr="009D63D8">
              <w:rPr>
                <w:b w:val="0"/>
                <w:color w:val="000000"/>
              </w:rPr>
              <w:t>5,443</w:t>
            </w:r>
          </w:p>
        </w:tc>
      </w:tr>
      <w:tr w:rsidR="00B51828" w:rsidRPr="00F647C7" w14:paraId="27B83A2A" w14:textId="77777777" w:rsidTr="00E61184">
        <w:trPr>
          <w:trHeight w:val="212"/>
        </w:trPr>
        <w:tc>
          <w:tcPr>
            <w:tcW w:w="2410" w:type="dxa"/>
            <w:tcBorders>
              <w:top w:val="nil"/>
              <w:bottom w:val="nil"/>
            </w:tcBorders>
          </w:tcPr>
          <w:p w14:paraId="590F8310" w14:textId="77777777" w:rsidR="00B51828" w:rsidRPr="005449CD"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tcPr>
          <w:p w14:paraId="4323D467" w14:textId="77777777" w:rsidR="00B51828" w:rsidRPr="009D63D8" w:rsidRDefault="00B51828" w:rsidP="002101D2">
            <w:pPr>
              <w:pStyle w:val="Tabletextboldleft"/>
              <w:spacing w:before="20" w:after="20"/>
              <w:jc w:val="right"/>
              <w:rPr>
                <w:b w:val="0"/>
              </w:rPr>
            </w:pPr>
            <w:r w:rsidRPr="009D63D8">
              <w:rPr>
                <w:b w:val="0"/>
                <w:color w:val="000000"/>
              </w:rPr>
              <w:t>1,006</w:t>
            </w:r>
          </w:p>
        </w:tc>
        <w:tc>
          <w:tcPr>
            <w:tcW w:w="1191" w:type="dxa"/>
            <w:tcBorders>
              <w:top w:val="nil"/>
              <w:bottom w:val="nil"/>
            </w:tcBorders>
          </w:tcPr>
          <w:p w14:paraId="50985A38" w14:textId="77777777" w:rsidR="00B51828" w:rsidRPr="009D63D8" w:rsidRDefault="00B51828" w:rsidP="002101D2">
            <w:pPr>
              <w:pStyle w:val="Tabletextboldleft"/>
              <w:spacing w:before="20" w:after="20"/>
              <w:jc w:val="right"/>
              <w:rPr>
                <w:b w:val="0"/>
              </w:rPr>
            </w:pPr>
            <w:r w:rsidRPr="009D63D8">
              <w:rPr>
                <w:b w:val="0"/>
                <w:color w:val="000000"/>
              </w:rPr>
              <w:t>1,017</w:t>
            </w:r>
          </w:p>
        </w:tc>
        <w:tc>
          <w:tcPr>
            <w:tcW w:w="1190" w:type="dxa"/>
            <w:tcBorders>
              <w:top w:val="nil"/>
              <w:bottom w:val="nil"/>
            </w:tcBorders>
          </w:tcPr>
          <w:p w14:paraId="7FC9F845" w14:textId="77777777" w:rsidR="00B51828" w:rsidRPr="009D63D8" w:rsidRDefault="00B51828" w:rsidP="002101D2">
            <w:pPr>
              <w:pStyle w:val="Tabletextboldleft"/>
              <w:spacing w:before="20" w:after="20"/>
              <w:jc w:val="right"/>
              <w:rPr>
                <w:b w:val="0"/>
              </w:rPr>
            </w:pPr>
            <w:r w:rsidRPr="009D63D8">
              <w:rPr>
                <w:b w:val="0"/>
                <w:color w:val="000000"/>
              </w:rPr>
              <w:t>1,028</w:t>
            </w:r>
          </w:p>
        </w:tc>
        <w:tc>
          <w:tcPr>
            <w:tcW w:w="1191" w:type="dxa"/>
            <w:tcBorders>
              <w:top w:val="nil"/>
              <w:bottom w:val="nil"/>
            </w:tcBorders>
          </w:tcPr>
          <w:p w14:paraId="02467EC8" w14:textId="77777777" w:rsidR="00B51828" w:rsidRPr="009D63D8" w:rsidRDefault="00B51828" w:rsidP="002101D2">
            <w:pPr>
              <w:pStyle w:val="Tabletextboldleft"/>
              <w:spacing w:before="20" w:after="20"/>
              <w:jc w:val="right"/>
              <w:rPr>
                <w:b w:val="0"/>
              </w:rPr>
            </w:pPr>
            <w:r w:rsidRPr="009D63D8">
              <w:rPr>
                <w:b w:val="0"/>
                <w:color w:val="000000"/>
              </w:rPr>
              <w:t>1,039</w:t>
            </w:r>
          </w:p>
        </w:tc>
        <w:tc>
          <w:tcPr>
            <w:tcW w:w="1191" w:type="dxa"/>
            <w:tcBorders>
              <w:top w:val="nil"/>
              <w:bottom w:val="nil"/>
            </w:tcBorders>
          </w:tcPr>
          <w:p w14:paraId="657A811E" w14:textId="77777777" w:rsidR="00B51828" w:rsidRPr="009D63D8" w:rsidRDefault="00B51828" w:rsidP="002101D2">
            <w:pPr>
              <w:pStyle w:val="Tabletextboldleft"/>
              <w:spacing w:before="20" w:after="20"/>
              <w:jc w:val="right"/>
              <w:rPr>
                <w:b w:val="0"/>
              </w:rPr>
            </w:pPr>
            <w:r w:rsidRPr="009D63D8">
              <w:rPr>
                <w:b w:val="0"/>
                <w:color w:val="000000"/>
              </w:rPr>
              <w:t>1,050</w:t>
            </w:r>
          </w:p>
        </w:tc>
      </w:tr>
      <w:tr w:rsidR="00B51828" w:rsidRPr="00F647C7" w14:paraId="7EA132CA" w14:textId="77777777" w:rsidTr="00E61184">
        <w:trPr>
          <w:trHeight w:val="212"/>
        </w:trPr>
        <w:tc>
          <w:tcPr>
            <w:tcW w:w="2410" w:type="dxa"/>
            <w:tcBorders>
              <w:top w:val="nil"/>
            </w:tcBorders>
          </w:tcPr>
          <w:p w14:paraId="619C14B4" w14:textId="77777777" w:rsidR="00B51828" w:rsidRPr="005449CD" w:rsidRDefault="00B51828" w:rsidP="002101D2">
            <w:pPr>
              <w:pStyle w:val="Tabletextboldleft"/>
              <w:spacing w:before="20" w:after="20"/>
              <w:ind w:firstLine="317"/>
              <w:rPr>
                <w:b w:val="0"/>
              </w:rPr>
            </w:pPr>
            <w:r w:rsidRPr="00F411CD">
              <w:rPr>
                <w:b w:val="0"/>
              </w:rPr>
              <w:t>Non-complex</w:t>
            </w:r>
          </w:p>
        </w:tc>
        <w:tc>
          <w:tcPr>
            <w:tcW w:w="1190" w:type="dxa"/>
            <w:tcBorders>
              <w:top w:val="nil"/>
            </w:tcBorders>
          </w:tcPr>
          <w:p w14:paraId="3BD3271D" w14:textId="77777777" w:rsidR="00B51828" w:rsidRPr="009D63D8" w:rsidRDefault="00B51828" w:rsidP="002101D2">
            <w:pPr>
              <w:pStyle w:val="Tabletextboldleft"/>
              <w:spacing w:before="20" w:after="20"/>
              <w:jc w:val="right"/>
              <w:rPr>
                <w:b w:val="0"/>
              </w:rPr>
            </w:pPr>
            <w:r w:rsidRPr="009D63D8">
              <w:rPr>
                <w:b w:val="0"/>
                <w:color w:val="000000"/>
              </w:rPr>
              <w:t>4,209</w:t>
            </w:r>
          </w:p>
        </w:tc>
        <w:tc>
          <w:tcPr>
            <w:tcW w:w="1191" w:type="dxa"/>
            <w:tcBorders>
              <w:top w:val="nil"/>
            </w:tcBorders>
          </w:tcPr>
          <w:p w14:paraId="2E9068B1" w14:textId="77777777" w:rsidR="00B51828" w:rsidRPr="009D63D8" w:rsidRDefault="00B51828" w:rsidP="002101D2">
            <w:pPr>
              <w:pStyle w:val="Tabletextboldleft"/>
              <w:spacing w:before="20" w:after="20"/>
              <w:jc w:val="right"/>
              <w:rPr>
                <w:b w:val="0"/>
              </w:rPr>
            </w:pPr>
            <w:r w:rsidRPr="009D63D8">
              <w:rPr>
                <w:b w:val="0"/>
                <w:color w:val="000000"/>
              </w:rPr>
              <w:t>4,255</w:t>
            </w:r>
          </w:p>
        </w:tc>
        <w:tc>
          <w:tcPr>
            <w:tcW w:w="1190" w:type="dxa"/>
            <w:tcBorders>
              <w:top w:val="nil"/>
            </w:tcBorders>
          </w:tcPr>
          <w:p w14:paraId="750D0A04" w14:textId="77777777" w:rsidR="00B51828" w:rsidRPr="009D63D8" w:rsidRDefault="00B51828" w:rsidP="002101D2">
            <w:pPr>
              <w:pStyle w:val="Tabletextboldleft"/>
              <w:spacing w:before="20" w:after="20"/>
              <w:jc w:val="right"/>
              <w:rPr>
                <w:b w:val="0"/>
              </w:rPr>
            </w:pPr>
            <w:r w:rsidRPr="009D63D8">
              <w:rPr>
                <w:b w:val="0"/>
                <w:color w:val="000000"/>
              </w:rPr>
              <w:t>4,301</w:t>
            </w:r>
          </w:p>
        </w:tc>
        <w:tc>
          <w:tcPr>
            <w:tcW w:w="1191" w:type="dxa"/>
            <w:tcBorders>
              <w:top w:val="nil"/>
            </w:tcBorders>
          </w:tcPr>
          <w:p w14:paraId="104632BE" w14:textId="77777777" w:rsidR="00B51828" w:rsidRPr="009D63D8" w:rsidRDefault="00B51828" w:rsidP="002101D2">
            <w:pPr>
              <w:pStyle w:val="Tabletextboldleft"/>
              <w:spacing w:before="20" w:after="20"/>
              <w:jc w:val="right"/>
              <w:rPr>
                <w:b w:val="0"/>
              </w:rPr>
            </w:pPr>
            <w:r w:rsidRPr="009D63D8">
              <w:rPr>
                <w:b w:val="0"/>
                <w:color w:val="000000"/>
              </w:rPr>
              <w:t>4,347</w:t>
            </w:r>
          </w:p>
        </w:tc>
        <w:tc>
          <w:tcPr>
            <w:tcW w:w="1191" w:type="dxa"/>
            <w:tcBorders>
              <w:top w:val="nil"/>
            </w:tcBorders>
          </w:tcPr>
          <w:p w14:paraId="70155D17" w14:textId="77777777" w:rsidR="00B51828" w:rsidRPr="009D63D8" w:rsidRDefault="00B51828" w:rsidP="002101D2">
            <w:pPr>
              <w:pStyle w:val="Tabletextboldleft"/>
              <w:spacing w:before="20" w:after="20"/>
              <w:jc w:val="right"/>
              <w:rPr>
                <w:b w:val="0"/>
              </w:rPr>
            </w:pPr>
            <w:r w:rsidRPr="009D63D8">
              <w:rPr>
                <w:b w:val="0"/>
                <w:color w:val="000000"/>
              </w:rPr>
              <w:t>4,393</w:t>
            </w:r>
          </w:p>
        </w:tc>
      </w:tr>
      <w:tr w:rsidR="00B51828" w:rsidRPr="00F647C7" w14:paraId="0BBA361D" w14:textId="77777777" w:rsidTr="00E61184">
        <w:trPr>
          <w:trHeight w:val="212"/>
        </w:trPr>
        <w:tc>
          <w:tcPr>
            <w:tcW w:w="2410" w:type="dxa"/>
          </w:tcPr>
          <w:p w14:paraId="09265DE8" w14:textId="77777777" w:rsidR="00B51828" w:rsidRPr="00C26CDD" w:rsidRDefault="00B51828" w:rsidP="002101D2">
            <w:pPr>
              <w:pStyle w:val="Tabletextboldleft"/>
              <w:spacing w:before="20" w:after="20"/>
              <w:rPr>
                <w:i/>
              </w:rPr>
            </w:pPr>
            <w:r>
              <w:rPr>
                <w:b w:val="0"/>
                <w:i/>
              </w:rPr>
              <w:t>Sub-t</w:t>
            </w:r>
            <w:r w:rsidRPr="00C26CDD">
              <w:rPr>
                <w:b w:val="0"/>
                <w:i/>
              </w:rPr>
              <w:t>otal (excluding gynaecological cytology)</w:t>
            </w:r>
          </w:p>
        </w:tc>
        <w:tc>
          <w:tcPr>
            <w:tcW w:w="1190" w:type="dxa"/>
          </w:tcPr>
          <w:p w14:paraId="1FED3DC3" w14:textId="77777777" w:rsidR="00B51828" w:rsidRPr="00C26CDD" w:rsidRDefault="00B51828" w:rsidP="002101D2">
            <w:pPr>
              <w:pStyle w:val="Tabletextboldleft"/>
              <w:spacing w:before="20" w:after="20"/>
              <w:jc w:val="right"/>
              <w:rPr>
                <w:b w:val="0"/>
                <w:i/>
              </w:rPr>
            </w:pPr>
            <w:r w:rsidRPr="00C26CDD">
              <w:rPr>
                <w:b w:val="0"/>
                <w:i/>
              </w:rPr>
              <w:t>12,155</w:t>
            </w:r>
          </w:p>
        </w:tc>
        <w:tc>
          <w:tcPr>
            <w:tcW w:w="1191" w:type="dxa"/>
          </w:tcPr>
          <w:p w14:paraId="6B672952" w14:textId="77777777" w:rsidR="00B51828" w:rsidRPr="00C26CDD" w:rsidRDefault="00B51828" w:rsidP="002101D2">
            <w:pPr>
              <w:pStyle w:val="Tabletextboldleft"/>
              <w:spacing w:before="20" w:after="20"/>
              <w:jc w:val="right"/>
              <w:rPr>
                <w:b w:val="0"/>
                <w:i/>
              </w:rPr>
            </w:pPr>
            <w:r w:rsidRPr="00C26CDD">
              <w:rPr>
                <w:b w:val="0"/>
                <w:i/>
                <w:color w:val="000000"/>
              </w:rPr>
              <w:t>12,590</w:t>
            </w:r>
          </w:p>
        </w:tc>
        <w:tc>
          <w:tcPr>
            <w:tcW w:w="1190" w:type="dxa"/>
          </w:tcPr>
          <w:p w14:paraId="6FA91391" w14:textId="77777777" w:rsidR="00B51828" w:rsidRPr="00C26CDD" w:rsidRDefault="00B51828" w:rsidP="002101D2">
            <w:pPr>
              <w:pStyle w:val="Tabletextboldleft"/>
              <w:spacing w:before="20" w:after="20"/>
              <w:jc w:val="right"/>
              <w:rPr>
                <w:b w:val="0"/>
                <w:i/>
              </w:rPr>
            </w:pPr>
            <w:r w:rsidRPr="00C26CDD">
              <w:rPr>
                <w:b w:val="0"/>
                <w:i/>
                <w:color w:val="000000"/>
              </w:rPr>
              <w:t>13,026</w:t>
            </w:r>
          </w:p>
        </w:tc>
        <w:tc>
          <w:tcPr>
            <w:tcW w:w="1191" w:type="dxa"/>
          </w:tcPr>
          <w:p w14:paraId="4460875B" w14:textId="77777777" w:rsidR="00B51828" w:rsidRPr="00C26CDD" w:rsidRDefault="00B51828" w:rsidP="002101D2">
            <w:pPr>
              <w:pStyle w:val="Tabletextboldleft"/>
              <w:spacing w:before="20" w:after="20"/>
              <w:jc w:val="right"/>
              <w:rPr>
                <w:b w:val="0"/>
                <w:i/>
              </w:rPr>
            </w:pPr>
            <w:r w:rsidRPr="00C26CDD">
              <w:rPr>
                <w:b w:val="0"/>
                <w:i/>
                <w:color w:val="000000"/>
              </w:rPr>
              <w:t>13,462</w:t>
            </w:r>
          </w:p>
        </w:tc>
        <w:tc>
          <w:tcPr>
            <w:tcW w:w="1191" w:type="dxa"/>
          </w:tcPr>
          <w:p w14:paraId="46357444" w14:textId="77777777" w:rsidR="00B51828" w:rsidRPr="00C26CDD" w:rsidRDefault="00B51828" w:rsidP="002101D2">
            <w:pPr>
              <w:pStyle w:val="Tabletextboldleft"/>
              <w:spacing w:before="20" w:after="20"/>
              <w:jc w:val="right"/>
              <w:rPr>
                <w:b w:val="0"/>
                <w:i/>
              </w:rPr>
            </w:pPr>
            <w:r w:rsidRPr="00C26CDD">
              <w:rPr>
                <w:b w:val="0"/>
                <w:i/>
              </w:rPr>
              <w:t>13,897</w:t>
            </w:r>
          </w:p>
        </w:tc>
      </w:tr>
      <w:tr w:rsidR="00B51828" w:rsidRPr="00F647C7" w14:paraId="5EC64B5D" w14:textId="77777777" w:rsidTr="00E61184">
        <w:trPr>
          <w:trHeight w:val="212"/>
        </w:trPr>
        <w:tc>
          <w:tcPr>
            <w:tcW w:w="2410" w:type="dxa"/>
          </w:tcPr>
          <w:p w14:paraId="01BAAF1C" w14:textId="77777777" w:rsidR="00B51828" w:rsidRPr="00C26CDD" w:rsidRDefault="00B51828" w:rsidP="002101D2">
            <w:pPr>
              <w:pStyle w:val="Tabletextboldleft"/>
              <w:spacing w:before="20" w:after="20"/>
              <w:rPr>
                <w:i/>
              </w:rPr>
            </w:pPr>
            <w:r>
              <w:rPr>
                <w:b w:val="0"/>
                <w:i/>
              </w:rPr>
              <w:t>Sub-t</w:t>
            </w:r>
            <w:r w:rsidRPr="00C26CDD">
              <w:rPr>
                <w:b w:val="0"/>
                <w:i/>
              </w:rPr>
              <w:t>otal (including all cytology)</w:t>
            </w:r>
          </w:p>
        </w:tc>
        <w:tc>
          <w:tcPr>
            <w:tcW w:w="1190" w:type="dxa"/>
          </w:tcPr>
          <w:p w14:paraId="71DC7DF7" w14:textId="77777777" w:rsidR="00B51828" w:rsidRPr="00C26CDD" w:rsidRDefault="00B51828" w:rsidP="002101D2">
            <w:pPr>
              <w:pStyle w:val="Tabletextboldleft"/>
              <w:spacing w:before="20" w:after="20"/>
              <w:jc w:val="right"/>
              <w:rPr>
                <w:b w:val="0"/>
                <w:i/>
              </w:rPr>
            </w:pPr>
            <w:r w:rsidRPr="00C26CDD">
              <w:rPr>
                <w:b w:val="0"/>
                <w:i/>
              </w:rPr>
              <w:t>16,714</w:t>
            </w:r>
          </w:p>
        </w:tc>
        <w:tc>
          <w:tcPr>
            <w:tcW w:w="1191" w:type="dxa"/>
          </w:tcPr>
          <w:p w14:paraId="32D960CC" w14:textId="77777777" w:rsidR="00B51828" w:rsidRPr="00C26CDD" w:rsidRDefault="00B51828" w:rsidP="002101D2">
            <w:pPr>
              <w:pStyle w:val="Tabletextboldleft"/>
              <w:spacing w:before="20" w:after="20"/>
              <w:jc w:val="right"/>
              <w:rPr>
                <w:b w:val="0"/>
                <w:i/>
              </w:rPr>
            </w:pPr>
            <w:r w:rsidRPr="00C26CDD">
              <w:rPr>
                <w:b w:val="0"/>
                <w:i/>
                <w:color w:val="000000"/>
              </w:rPr>
              <w:t>17,188</w:t>
            </w:r>
          </w:p>
        </w:tc>
        <w:tc>
          <w:tcPr>
            <w:tcW w:w="1190" w:type="dxa"/>
          </w:tcPr>
          <w:p w14:paraId="58634A73" w14:textId="77777777" w:rsidR="00B51828" w:rsidRPr="00C26CDD" w:rsidRDefault="00B51828" w:rsidP="002101D2">
            <w:pPr>
              <w:pStyle w:val="Tabletextboldleft"/>
              <w:spacing w:before="20" w:after="20"/>
              <w:jc w:val="right"/>
              <w:rPr>
                <w:b w:val="0"/>
                <w:i/>
              </w:rPr>
            </w:pPr>
            <w:r w:rsidRPr="00C26CDD">
              <w:rPr>
                <w:b w:val="0"/>
                <w:i/>
                <w:color w:val="000000"/>
              </w:rPr>
              <w:t>17,661</w:t>
            </w:r>
          </w:p>
        </w:tc>
        <w:tc>
          <w:tcPr>
            <w:tcW w:w="1191" w:type="dxa"/>
          </w:tcPr>
          <w:p w14:paraId="742BFD88" w14:textId="77777777" w:rsidR="00B51828" w:rsidRPr="00C26CDD" w:rsidRDefault="00B51828" w:rsidP="002101D2">
            <w:pPr>
              <w:pStyle w:val="Tabletextboldleft"/>
              <w:spacing w:before="20" w:after="20"/>
              <w:jc w:val="right"/>
              <w:rPr>
                <w:b w:val="0"/>
                <w:i/>
              </w:rPr>
            </w:pPr>
            <w:r w:rsidRPr="00C26CDD">
              <w:rPr>
                <w:b w:val="0"/>
                <w:i/>
                <w:color w:val="000000"/>
              </w:rPr>
              <w:t>18,135</w:t>
            </w:r>
          </w:p>
        </w:tc>
        <w:tc>
          <w:tcPr>
            <w:tcW w:w="1191" w:type="dxa"/>
          </w:tcPr>
          <w:p w14:paraId="56AA4FDA" w14:textId="77777777" w:rsidR="00B51828" w:rsidRPr="00C26CDD" w:rsidRDefault="00B51828" w:rsidP="002101D2">
            <w:pPr>
              <w:pStyle w:val="Tabletextboldleft"/>
              <w:spacing w:before="20" w:after="20"/>
              <w:jc w:val="right"/>
              <w:rPr>
                <w:b w:val="0"/>
                <w:i/>
              </w:rPr>
            </w:pPr>
            <w:r w:rsidRPr="00C26CDD">
              <w:rPr>
                <w:b w:val="0"/>
                <w:i/>
              </w:rPr>
              <w:t>18,609</w:t>
            </w:r>
          </w:p>
        </w:tc>
      </w:tr>
      <w:tr w:rsidR="00B51828" w:rsidRPr="00F647C7" w14:paraId="49F77E9B" w14:textId="77777777" w:rsidTr="00E61184">
        <w:trPr>
          <w:trHeight w:val="212"/>
        </w:trPr>
        <w:tc>
          <w:tcPr>
            <w:tcW w:w="2410" w:type="dxa"/>
            <w:tcBorders>
              <w:bottom w:val="single" w:sz="4" w:space="0" w:color="auto"/>
            </w:tcBorders>
            <w:shd w:val="clear" w:color="auto" w:fill="D0CECE" w:themeFill="background2" w:themeFillShade="E6"/>
          </w:tcPr>
          <w:p w14:paraId="78462192" w14:textId="77777777" w:rsidR="00B51828" w:rsidRPr="00386763" w:rsidRDefault="00B51828" w:rsidP="002101D2">
            <w:pPr>
              <w:pStyle w:val="Tabletextboldleft"/>
              <w:spacing w:before="20" w:after="20"/>
            </w:pPr>
            <w:r w:rsidRPr="009D63D8">
              <w:rPr>
                <w:i/>
              </w:rPr>
              <w:t>Scenario 2</w:t>
            </w:r>
          </w:p>
        </w:tc>
        <w:tc>
          <w:tcPr>
            <w:tcW w:w="1190" w:type="dxa"/>
            <w:tcBorders>
              <w:bottom w:val="single" w:sz="4" w:space="0" w:color="auto"/>
            </w:tcBorders>
            <w:shd w:val="clear" w:color="auto" w:fill="D0CECE" w:themeFill="background2" w:themeFillShade="E6"/>
          </w:tcPr>
          <w:p w14:paraId="3582E8BB" w14:textId="77777777" w:rsidR="00B51828" w:rsidRPr="000375C2" w:rsidRDefault="00B51828" w:rsidP="002101D2">
            <w:pPr>
              <w:pStyle w:val="Tabletextboldleft"/>
              <w:spacing w:before="20" w:after="20"/>
              <w:jc w:val="right"/>
              <w:rPr>
                <w:b w:val="0"/>
              </w:rPr>
            </w:pPr>
            <w:r w:rsidRPr="000375C2">
              <w:rPr>
                <w:b w:val="0"/>
              </w:rPr>
              <w:t>-</w:t>
            </w:r>
          </w:p>
        </w:tc>
        <w:tc>
          <w:tcPr>
            <w:tcW w:w="1191" w:type="dxa"/>
            <w:tcBorders>
              <w:bottom w:val="single" w:sz="4" w:space="0" w:color="auto"/>
            </w:tcBorders>
            <w:shd w:val="clear" w:color="auto" w:fill="D0CECE" w:themeFill="background2" w:themeFillShade="E6"/>
          </w:tcPr>
          <w:p w14:paraId="7A273029" w14:textId="77777777" w:rsidR="00B51828" w:rsidRPr="000375C2" w:rsidRDefault="00B51828" w:rsidP="002101D2">
            <w:pPr>
              <w:pStyle w:val="Tabletextboldleft"/>
              <w:spacing w:before="20" w:after="20"/>
              <w:jc w:val="right"/>
              <w:rPr>
                <w:b w:val="0"/>
              </w:rPr>
            </w:pPr>
            <w:r w:rsidRPr="000375C2">
              <w:rPr>
                <w:b w:val="0"/>
              </w:rPr>
              <w:t>-</w:t>
            </w:r>
          </w:p>
        </w:tc>
        <w:tc>
          <w:tcPr>
            <w:tcW w:w="1190" w:type="dxa"/>
            <w:tcBorders>
              <w:bottom w:val="single" w:sz="4" w:space="0" w:color="auto"/>
            </w:tcBorders>
            <w:shd w:val="clear" w:color="auto" w:fill="D0CECE" w:themeFill="background2" w:themeFillShade="E6"/>
          </w:tcPr>
          <w:p w14:paraId="4C6F9A1E" w14:textId="77777777" w:rsidR="00B51828" w:rsidRPr="000375C2" w:rsidRDefault="00B51828" w:rsidP="002101D2">
            <w:pPr>
              <w:pStyle w:val="Tabletextboldleft"/>
              <w:spacing w:before="20" w:after="20"/>
              <w:jc w:val="right"/>
              <w:rPr>
                <w:b w:val="0"/>
              </w:rPr>
            </w:pPr>
            <w:r w:rsidRPr="000375C2">
              <w:rPr>
                <w:b w:val="0"/>
              </w:rPr>
              <w:t>-</w:t>
            </w:r>
          </w:p>
        </w:tc>
        <w:tc>
          <w:tcPr>
            <w:tcW w:w="1191" w:type="dxa"/>
            <w:tcBorders>
              <w:bottom w:val="single" w:sz="4" w:space="0" w:color="auto"/>
            </w:tcBorders>
            <w:shd w:val="clear" w:color="auto" w:fill="D0CECE" w:themeFill="background2" w:themeFillShade="E6"/>
          </w:tcPr>
          <w:p w14:paraId="7078493C" w14:textId="77777777" w:rsidR="00B51828" w:rsidRPr="000375C2" w:rsidRDefault="00B51828" w:rsidP="002101D2">
            <w:pPr>
              <w:pStyle w:val="Tabletextboldleft"/>
              <w:spacing w:before="20" w:after="20"/>
              <w:jc w:val="right"/>
              <w:rPr>
                <w:b w:val="0"/>
              </w:rPr>
            </w:pPr>
            <w:r w:rsidRPr="000375C2">
              <w:rPr>
                <w:b w:val="0"/>
              </w:rPr>
              <w:t>-</w:t>
            </w:r>
          </w:p>
        </w:tc>
        <w:tc>
          <w:tcPr>
            <w:tcW w:w="1191" w:type="dxa"/>
            <w:tcBorders>
              <w:bottom w:val="single" w:sz="4" w:space="0" w:color="auto"/>
            </w:tcBorders>
            <w:shd w:val="clear" w:color="auto" w:fill="D0CECE" w:themeFill="background2" w:themeFillShade="E6"/>
          </w:tcPr>
          <w:p w14:paraId="519E88EB" w14:textId="77777777" w:rsidR="00B51828" w:rsidRPr="000375C2" w:rsidRDefault="00B51828" w:rsidP="002101D2">
            <w:pPr>
              <w:pStyle w:val="Tabletextboldleft"/>
              <w:spacing w:before="20" w:after="20"/>
              <w:jc w:val="right"/>
              <w:rPr>
                <w:b w:val="0"/>
              </w:rPr>
            </w:pPr>
            <w:r w:rsidRPr="000375C2">
              <w:rPr>
                <w:b w:val="0"/>
              </w:rPr>
              <w:t>-</w:t>
            </w:r>
          </w:p>
        </w:tc>
      </w:tr>
      <w:tr w:rsidR="00B51828" w:rsidRPr="00F647C7" w14:paraId="1553D531" w14:textId="77777777" w:rsidTr="00E61184">
        <w:trPr>
          <w:trHeight w:val="212"/>
        </w:trPr>
        <w:tc>
          <w:tcPr>
            <w:tcW w:w="2410" w:type="dxa"/>
            <w:tcBorders>
              <w:bottom w:val="nil"/>
            </w:tcBorders>
          </w:tcPr>
          <w:p w14:paraId="36C0D4FA" w14:textId="77777777" w:rsidR="00B51828" w:rsidRPr="00386763" w:rsidRDefault="00B51828" w:rsidP="002101D2">
            <w:pPr>
              <w:pStyle w:val="Tabletextboldleft"/>
              <w:spacing w:before="20" w:after="20"/>
            </w:pPr>
            <w:r w:rsidRPr="00F411CD">
              <w:rPr>
                <w:b w:val="0"/>
              </w:rPr>
              <w:t>Tissue pathology</w:t>
            </w:r>
            <w:r w:rsidRPr="00F411CD">
              <w:rPr>
                <w:b w:val="0"/>
                <w:vertAlign w:val="superscript"/>
              </w:rPr>
              <w:t>a</w:t>
            </w:r>
          </w:p>
        </w:tc>
        <w:tc>
          <w:tcPr>
            <w:tcW w:w="1190" w:type="dxa"/>
            <w:tcBorders>
              <w:bottom w:val="nil"/>
            </w:tcBorders>
          </w:tcPr>
          <w:p w14:paraId="1EB75E67" w14:textId="77777777" w:rsidR="00B51828" w:rsidRPr="000375C2" w:rsidRDefault="00B51828" w:rsidP="002101D2">
            <w:pPr>
              <w:pStyle w:val="Tabletextboldleft"/>
              <w:spacing w:before="20" w:after="20"/>
              <w:jc w:val="right"/>
              <w:rPr>
                <w:b w:val="0"/>
              </w:rPr>
            </w:pPr>
            <w:r w:rsidRPr="000375C2">
              <w:rPr>
                <w:b w:val="0"/>
                <w:color w:val="000000"/>
              </w:rPr>
              <w:t>6,364</w:t>
            </w:r>
          </w:p>
        </w:tc>
        <w:tc>
          <w:tcPr>
            <w:tcW w:w="1191" w:type="dxa"/>
            <w:tcBorders>
              <w:bottom w:val="nil"/>
            </w:tcBorders>
          </w:tcPr>
          <w:p w14:paraId="7BAD5840" w14:textId="77777777" w:rsidR="00B51828" w:rsidRPr="000375C2" w:rsidRDefault="00B51828" w:rsidP="002101D2">
            <w:pPr>
              <w:pStyle w:val="Tabletextboldleft"/>
              <w:spacing w:before="20" w:after="20"/>
              <w:jc w:val="right"/>
              <w:rPr>
                <w:b w:val="0"/>
              </w:rPr>
            </w:pPr>
            <w:r w:rsidRPr="000375C2">
              <w:rPr>
                <w:b w:val="0"/>
                <w:color w:val="000000"/>
              </w:rPr>
              <w:t>6,594</w:t>
            </w:r>
          </w:p>
        </w:tc>
        <w:tc>
          <w:tcPr>
            <w:tcW w:w="1190" w:type="dxa"/>
            <w:tcBorders>
              <w:bottom w:val="nil"/>
            </w:tcBorders>
          </w:tcPr>
          <w:p w14:paraId="441F905A" w14:textId="77777777" w:rsidR="00B51828" w:rsidRPr="000375C2" w:rsidRDefault="00B51828" w:rsidP="002101D2">
            <w:pPr>
              <w:pStyle w:val="Tabletextboldleft"/>
              <w:spacing w:before="20" w:after="20"/>
              <w:jc w:val="right"/>
              <w:rPr>
                <w:b w:val="0"/>
              </w:rPr>
            </w:pPr>
            <w:r w:rsidRPr="000375C2">
              <w:rPr>
                <w:b w:val="0"/>
                <w:color w:val="000000"/>
              </w:rPr>
              <w:t>6,825</w:t>
            </w:r>
          </w:p>
        </w:tc>
        <w:tc>
          <w:tcPr>
            <w:tcW w:w="1191" w:type="dxa"/>
            <w:tcBorders>
              <w:bottom w:val="nil"/>
            </w:tcBorders>
          </w:tcPr>
          <w:p w14:paraId="09F1A557" w14:textId="77777777" w:rsidR="00B51828" w:rsidRPr="000375C2" w:rsidRDefault="00B51828" w:rsidP="002101D2">
            <w:pPr>
              <w:pStyle w:val="Tabletextboldleft"/>
              <w:spacing w:before="20" w:after="20"/>
              <w:jc w:val="right"/>
              <w:rPr>
                <w:b w:val="0"/>
              </w:rPr>
            </w:pPr>
            <w:r w:rsidRPr="000375C2">
              <w:rPr>
                <w:b w:val="0"/>
                <w:color w:val="000000"/>
              </w:rPr>
              <w:t>7,055</w:t>
            </w:r>
          </w:p>
        </w:tc>
        <w:tc>
          <w:tcPr>
            <w:tcW w:w="1191" w:type="dxa"/>
            <w:tcBorders>
              <w:bottom w:val="nil"/>
            </w:tcBorders>
          </w:tcPr>
          <w:p w14:paraId="1660A983" w14:textId="77777777" w:rsidR="00B51828" w:rsidRPr="000375C2" w:rsidRDefault="00B51828" w:rsidP="002101D2">
            <w:pPr>
              <w:pStyle w:val="Tabletextboldleft"/>
              <w:spacing w:before="20" w:after="20"/>
              <w:jc w:val="right"/>
              <w:rPr>
                <w:b w:val="0"/>
              </w:rPr>
            </w:pPr>
            <w:r w:rsidRPr="000375C2">
              <w:rPr>
                <w:b w:val="0"/>
                <w:color w:val="000000"/>
              </w:rPr>
              <w:t>7,286</w:t>
            </w:r>
          </w:p>
        </w:tc>
      </w:tr>
      <w:tr w:rsidR="00B51828" w:rsidRPr="00F647C7" w14:paraId="4AC62021" w14:textId="77777777" w:rsidTr="00E61184">
        <w:trPr>
          <w:trHeight w:val="212"/>
        </w:trPr>
        <w:tc>
          <w:tcPr>
            <w:tcW w:w="2410" w:type="dxa"/>
            <w:tcBorders>
              <w:top w:val="nil"/>
              <w:bottom w:val="nil"/>
            </w:tcBorders>
          </w:tcPr>
          <w:p w14:paraId="4C268108" w14:textId="77777777" w:rsidR="00B51828" w:rsidRPr="005449CD"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tcPr>
          <w:p w14:paraId="7C30EDA3" w14:textId="77777777" w:rsidR="00B51828" w:rsidRPr="000375C2" w:rsidRDefault="00B51828" w:rsidP="002101D2">
            <w:pPr>
              <w:pStyle w:val="Tabletextboldleft"/>
              <w:spacing w:before="20" w:after="20"/>
              <w:jc w:val="right"/>
              <w:rPr>
                <w:b w:val="0"/>
              </w:rPr>
            </w:pPr>
            <w:r w:rsidRPr="000375C2">
              <w:rPr>
                <w:b w:val="0"/>
                <w:color w:val="000000"/>
              </w:rPr>
              <w:t>1,989</w:t>
            </w:r>
          </w:p>
        </w:tc>
        <w:tc>
          <w:tcPr>
            <w:tcW w:w="1191" w:type="dxa"/>
            <w:tcBorders>
              <w:top w:val="nil"/>
              <w:bottom w:val="nil"/>
            </w:tcBorders>
          </w:tcPr>
          <w:p w14:paraId="7C198F55" w14:textId="77777777" w:rsidR="00B51828" w:rsidRPr="000375C2" w:rsidRDefault="00B51828" w:rsidP="002101D2">
            <w:pPr>
              <w:pStyle w:val="Tabletextboldleft"/>
              <w:spacing w:before="20" w:after="20"/>
              <w:jc w:val="right"/>
              <w:rPr>
                <w:b w:val="0"/>
              </w:rPr>
            </w:pPr>
            <w:r w:rsidRPr="000375C2">
              <w:rPr>
                <w:b w:val="0"/>
                <w:color w:val="000000"/>
              </w:rPr>
              <w:t>2,061</w:t>
            </w:r>
          </w:p>
        </w:tc>
        <w:tc>
          <w:tcPr>
            <w:tcW w:w="1190" w:type="dxa"/>
            <w:tcBorders>
              <w:top w:val="nil"/>
              <w:bottom w:val="nil"/>
            </w:tcBorders>
          </w:tcPr>
          <w:p w14:paraId="7B9C994D" w14:textId="77777777" w:rsidR="00B51828" w:rsidRPr="000375C2" w:rsidRDefault="00B51828" w:rsidP="002101D2">
            <w:pPr>
              <w:pStyle w:val="Tabletextboldleft"/>
              <w:spacing w:before="20" w:after="20"/>
              <w:jc w:val="right"/>
              <w:rPr>
                <w:b w:val="0"/>
              </w:rPr>
            </w:pPr>
            <w:r w:rsidRPr="000375C2">
              <w:rPr>
                <w:b w:val="0"/>
                <w:color w:val="000000"/>
              </w:rPr>
              <w:t>2,133</w:t>
            </w:r>
          </w:p>
        </w:tc>
        <w:tc>
          <w:tcPr>
            <w:tcW w:w="1191" w:type="dxa"/>
            <w:tcBorders>
              <w:top w:val="nil"/>
              <w:bottom w:val="nil"/>
            </w:tcBorders>
          </w:tcPr>
          <w:p w14:paraId="41B20EB1" w14:textId="77777777" w:rsidR="00B51828" w:rsidRPr="000375C2" w:rsidRDefault="00B51828" w:rsidP="002101D2">
            <w:pPr>
              <w:pStyle w:val="Tabletextboldleft"/>
              <w:spacing w:before="20" w:after="20"/>
              <w:jc w:val="right"/>
              <w:rPr>
                <w:b w:val="0"/>
              </w:rPr>
            </w:pPr>
            <w:r w:rsidRPr="000375C2">
              <w:rPr>
                <w:b w:val="0"/>
                <w:color w:val="000000"/>
              </w:rPr>
              <w:t>2,205</w:t>
            </w:r>
          </w:p>
        </w:tc>
        <w:tc>
          <w:tcPr>
            <w:tcW w:w="1191" w:type="dxa"/>
            <w:tcBorders>
              <w:top w:val="nil"/>
              <w:bottom w:val="nil"/>
            </w:tcBorders>
          </w:tcPr>
          <w:p w14:paraId="66EA6F8B" w14:textId="77777777" w:rsidR="00B51828" w:rsidRPr="000375C2" w:rsidRDefault="00B51828" w:rsidP="002101D2">
            <w:pPr>
              <w:pStyle w:val="Tabletextboldleft"/>
              <w:spacing w:before="20" w:after="20"/>
              <w:jc w:val="right"/>
              <w:rPr>
                <w:b w:val="0"/>
              </w:rPr>
            </w:pPr>
            <w:r w:rsidRPr="000375C2">
              <w:rPr>
                <w:b w:val="0"/>
                <w:color w:val="000000"/>
              </w:rPr>
              <w:t>2,277</w:t>
            </w:r>
          </w:p>
        </w:tc>
      </w:tr>
      <w:tr w:rsidR="00B51828" w:rsidRPr="00F647C7" w14:paraId="0D0EC323" w14:textId="77777777" w:rsidTr="00E61184">
        <w:trPr>
          <w:trHeight w:val="212"/>
        </w:trPr>
        <w:tc>
          <w:tcPr>
            <w:tcW w:w="2410" w:type="dxa"/>
            <w:tcBorders>
              <w:top w:val="nil"/>
              <w:bottom w:val="single" w:sz="4" w:space="0" w:color="auto"/>
            </w:tcBorders>
          </w:tcPr>
          <w:p w14:paraId="2DCB7CC3" w14:textId="77777777" w:rsidR="00B51828" w:rsidRPr="005449CD" w:rsidRDefault="00B51828" w:rsidP="002101D2">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tcPr>
          <w:p w14:paraId="727E1875" w14:textId="77777777" w:rsidR="00B51828" w:rsidRPr="000375C2" w:rsidRDefault="00B51828" w:rsidP="002101D2">
            <w:pPr>
              <w:pStyle w:val="Tabletextboldleft"/>
              <w:spacing w:before="20" w:after="20"/>
              <w:jc w:val="right"/>
              <w:rPr>
                <w:b w:val="0"/>
              </w:rPr>
            </w:pPr>
            <w:r w:rsidRPr="000375C2">
              <w:rPr>
                <w:b w:val="0"/>
                <w:color w:val="000000"/>
              </w:rPr>
              <w:t>4,375</w:t>
            </w:r>
          </w:p>
        </w:tc>
        <w:tc>
          <w:tcPr>
            <w:tcW w:w="1191" w:type="dxa"/>
            <w:tcBorders>
              <w:top w:val="nil"/>
              <w:bottom w:val="single" w:sz="4" w:space="0" w:color="auto"/>
            </w:tcBorders>
          </w:tcPr>
          <w:p w14:paraId="6A7D359D" w14:textId="77777777" w:rsidR="00B51828" w:rsidRPr="000375C2" w:rsidRDefault="00B51828" w:rsidP="002101D2">
            <w:pPr>
              <w:pStyle w:val="Tabletextboldleft"/>
              <w:spacing w:before="20" w:after="20"/>
              <w:jc w:val="right"/>
              <w:rPr>
                <w:b w:val="0"/>
              </w:rPr>
            </w:pPr>
            <w:r w:rsidRPr="000375C2">
              <w:rPr>
                <w:b w:val="0"/>
                <w:color w:val="000000"/>
              </w:rPr>
              <w:t>4,533</w:t>
            </w:r>
          </w:p>
        </w:tc>
        <w:tc>
          <w:tcPr>
            <w:tcW w:w="1190" w:type="dxa"/>
            <w:tcBorders>
              <w:top w:val="nil"/>
              <w:bottom w:val="single" w:sz="4" w:space="0" w:color="auto"/>
            </w:tcBorders>
          </w:tcPr>
          <w:p w14:paraId="607EC4A4" w14:textId="77777777" w:rsidR="00B51828" w:rsidRPr="000375C2" w:rsidRDefault="00B51828" w:rsidP="002101D2">
            <w:pPr>
              <w:pStyle w:val="Tabletextboldleft"/>
              <w:spacing w:before="20" w:after="20"/>
              <w:jc w:val="right"/>
              <w:rPr>
                <w:b w:val="0"/>
              </w:rPr>
            </w:pPr>
            <w:r w:rsidRPr="000375C2">
              <w:rPr>
                <w:b w:val="0"/>
                <w:color w:val="000000"/>
              </w:rPr>
              <w:t>4,692</w:t>
            </w:r>
          </w:p>
        </w:tc>
        <w:tc>
          <w:tcPr>
            <w:tcW w:w="1191" w:type="dxa"/>
            <w:tcBorders>
              <w:top w:val="nil"/>
              <w:bottom w:val="single" w:sz="4" w:space="0" w:color="auto"/>
            </w:tcBorders>
          </w:tcPr>
          <w:p w14:paraId="7A4AA409" w14:textId="77777777" w:rsidR="00B51828" w:rsidRPr="000375C2" w:rsidRDefault="00B51828" w:rsidP="002101D2">
            <w:pPr>
              <w:pStyle w:val="Tabletextboldleft"/>
              <w:spacing w:before="20" w:after="20"/>
              <w:jc w:val="right"/>
              <w:rPr>
                <w:b w:val="0"/>
              </w:rPr>
            </w:pPr>
            <w:r w:rsidRPr="000375C2">
              <w:rPr>
                <w:b w:val="0"/>
                <w:color w:val="000000"/>
              </w:rPr>
              <w:t>4,850</w:t>
            </w:r>
          </w:p>
        </w:tc>
        <w:tc>
          <w:tcPr>
            <w:tcW w:w="1191" w:type="dxa"/>
            <w:tcBorders>
              <w:top w:val="nil"/>
              <w:bottom w:val="single" w:sz="4" w:space="0" w:color="auto"/>
            </w:tcBorders>
          </w:tcPr>
          <w:p w14:paraId="1C83F305" w14:textId="77777777" w:rsidR="00B51828" w:rsidRPr="000375C2" w:rsidRDefault="00B51828" w:rsidP="002101D2">
            <w:pPr>
              <w:pStyle w:val="Tabletextboldleft"/>
              <w:spacing w:before="20" w:after="20"/>
              <w:jc w:val="right"/>
              <w:rPr>
                <w:b w:val="0"/>
              </w:rPr>
            </w:pPr>
            <w:r w:rsidRPr="000375C2">
              <w:rPr>
                <w:b w:val="0"/>
                <w:color w:val="000000"/>
              </w:rPr>
              <w:t>5,009</w:t>
            </w:r>
          </w:p>
        </w:tc>
      </w:tr>
      <w:tr w:rsidR="00B51828" w:rsidRPr="00F647C7" w14:paraId="395C4F7C" w14:textId="77777777" w:rsidTr="00E61184">
        <w:trPr>
          <w:trHeight w:val="212"/>
        </w:trPr>
        <w:tc>
          <w:tcPr>
            <w:tcW w:w="2410" w:type="dxa"/>
            <w:tcBorders>
              <w:bottom w:val="nil"/>
            </w:tcBorders>
          </w:tcPr>
          <w:p w14:paraId="0A60D1A9" w14:textId="77777777" w:rsidR="00B51828" w:rsidRPr="00386763" w:rsidRDefault="00B51828" w:rsidP="002101D2">
            <w:pPr>
              <w:pStyle w:val="Tabletextboldleft"/>
              <w:spacing w:before="20" w:after="20"/>
            </w:pPr>
            <w:r w:rsidRPr="00F411CD">
              <w:rPr>
                <w:b w:val="0"/>
              </w:rPr>
              <w:t>Non-gynaecological cytology</w:t>
            </w:r>
          </w:p>
        </w:tc>
        <w:tc>
          <w:tcPr>
            <w:tcW w:w="1190" w:type="dxa"/>
            <w:tcBorders>
              <w:bottom w:val="nil"/>
            </w:tcBorders>
          </w:tcPr>
          <w:p w14:paraId="3F57FFDC" w14:textId="77777777" w:rsidR="00B51828" w:rsidRPr="000375C2" w:rsidRDefault="00B51828" w:rsidP="002101D2">
            <w:pPr>
              <w:pStyle w:val="Tabletextboldleft"/>
              <w:spacing w:before="20" w:after="20"/>
              <w:jc w:val="right"/>
              <w:rPr>
                <w:b w:val="0"/>
              </w:rPr>
            </w:pPr>
            <w:r w:rsidRPr="000375C2">
              <w:rPr>
                <w:b w:val="0"/>
                <w:color w:val="000000"/>
              </w:rPr>
              <w:t>202</w:t>
            </w:r>
          </w:p>
        </w:tc>
        <w:tc>
          <w:tcPr>
            <w:tcW w:w="1191" w:type="dxa"/>
            <w:tcBorders>
              <w:bottom w:val="nil"/>
            </w:tcBorders>
          </w:tcPr>
          <w:p w14:paraId="2DFF6EFE" w14:textId="77777777" w:rsidR="00B51828" w:rsidRPr="000375C2" w:rsidRDefault="00B51828" w:rsidP="002101D2">
            <w:pPr>
              <w:pStyle w:val="Tabletextboldleft"/>
              <w:spacing w:before="20" w:after="20"/>
              <w:jc w:val="right"/>
              <w:rPr>
                <w:b w:val="0"/>
              </w:rPr>
            </w:pPr>
            <w:r w:rsidRPr="000375C2">
              <w:rPr>
                <w:b w:val="0"/>
                <w:color w:val="000000"/>
              </w:rPr>
              <w:t>208</w:t>
            </w:r>
          </w:p>
        </w:tc>
        <w:tc>
          <w:tcPr>
            <w:tcW w:w="1190" w:type="dxa"/>
            <w:tcBorders>
              <w:bottom w:val="nil"/>
            </w:tcBorders>
          </w:tcPr>
          <w:p w14:paraId="3B51D878" w14:textId="77777777" w:rsidR="00B51828" w:rsidRPr="000375C2" w:rsidRDefault="00B51828" w:rsidP="002101D2">
            <w:pPr>
              <w:pStyle w:val="Tabletextboldleft"/>
              <w:spacing w:before="20" w:after="20"/>
              <w:jc w:val="right"/>
              <w:rPr>
                <w:b w:val="0"/>
              </w:rPr>
            </w:pPr>
            <w:r w:rsidRPr="000375C2">
              <w:rPr>
                <w:b w:val="0"/>
                <w:color w:val="000000"/>
              </w:rPr>
              <w:t>214</w:t>
            </w:r>
          </w:p>
        </w:tc>
        <w:tc>
          <w:tcPr>
            <w:tcW w:w="1191" w:type="dxa"/>
            <w:tcBorders>
              <w:bottom w:val="nil"/>
            </w:tcBorders>
          </w:tcPr>
          <w:p w14:paraId="4DEA5766" w14:textId="77777777" w:rsidR="00B51828" w:rsidRPr="000375C2" w:rsidRDefault="00B51828" w:rsidP="002101D2">
            <w:pPr>
              <w:pStyle w:val="Tabletextboldleft"/>
              <w:spacing w:before="20" w:after="20"/>
              <w:jc w:val="right"/>
              <w:rPr>
                <w:b w:val="0"/>
              </w:rPr>
            </w:pPr>
            <w:r w:rsidRPr="000375C2">
              <w:rPr>
                <w:b w:val="0"/>
                <w:color w:val="000000"/>
              </w:rPr>
              <w:t>220</w:t>
            </w:r>
          </w:p>
        </w:tc>
        <w:tc>
          <w:tcPr>
            <w:tcW w:w="1191" w:type="dxa"/>
            <w:tcBorders>
              <w:bottom w:val="nil"/>
            </w:tcBorders>
          </w:tcPr>
          <w:p w14:paraId="3227BBCC" w14:textId="77777777" w:rsidR="00B51828" w:rsidRPr="000375C2" w:rsidRDefault="00B51828" w:rsidP="002101D2">
            <w:pPr>
              <w:pStyle w:val="Tabletextboldleft"/>
              <w:spacing w:before="20" w:after="20"/>
              <w:jc w:val="right"/>
              <w:rPr>
                <w:b w:val="0"/>
              </w:rPr>
            </w:pPr>
            <w:r w:rsidRPr="000375C2">
              <w:rPr>
                <w:b w:val="0"/>
                <w:color w:val="000000"/>
              </w:rPr>
              <w:t>226</w:t>
            </w:r>
          </w:p>
        </w:tc>
      </w:tr>
      <w:tr w:rsidR="00B51828" w:rsidRPr="00F647C7" w14:paraId="73431AE2" w14:textId="77777777" w:rsidTr="00E61184">
        <w:trPr>
          <w:trHeight w:val="212"/>
        </w:trPr>
        <w:tc>
          <w:tcPr>
            <w:tcW w:w="2410" w:type="dxa"/>
            <w:tcBorders>
              <w:top w:val="nil"/>
              <w:bottom w:val="nil"/>
            </w:tcBorders>
          </w:tcPr>
          <w:p w14:paraId="256221BD" w14:textId="77777777" w:rsidR="00B51828" w:rsidRPr="005449CD"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tcPr>
          <w:p w14:paraId="40B51365" w14:textId="77777777" w:rsidR="00B51828" w:rsidRPr="000375C2" w:rsidRDefault="00B51828" w:rsidP="002101D2">
            <w:pPr>
              <w:pStyle w:val="Tabletextboldleft"/>
              <w:spacing w:before="20" w:after="20"/>
              <w:jc w:val="right"/>
              <w:rPr>
                <w:b w:val="0"/>
              </w:rPr>
            </w:pPr>
            <w:r w:rsidRPr="000375C2">
              <w:rPr>
                <w:b w:val="0"/>
                <w:color w:val="000000"/>
              </w:rPr>
              <w:t>37</w:t>
            </w:r>
          </w:p>
        </w:tc>
        <w:tc>
          <w:tcPr>
            <w:tcW w:w="1191" w:type="dxa"/>
            <w:tcBorders>
              <w:top w:val="nil"/>
              <w:bottom w:val="nil"/>
            </w:tcBorders>
          </w:tcPr>
          <w:p w14:paraId="7DB5EB52" w14:textId="77777777" w:rsidR="00B51828" w:rsidRPr="000375C2" w:rsidRDefault="00B51828" w:rsidP="002101D2">
            <w:pPr>
              <w:pStyle w:val="Tabletextboldleft"/>
              <w:spacing w:before="20" w:after="20"/>
              <w:jc w:val="right"/>
              <w:rPr>
                <w:b w:val="0"/>
              </w:rPr>
            </w:pPr>
            <w:r w:rsidRPr="000375C2">
              <w:rPr>
                <w:b w:val="0"/>
                <w:color w:val="000000"/>
              </w:rPr>
              <w:t>38</w:t>
            </w:r>
          </w:p>
        </w:tc>
        <w:tc>
          <w:tcPr>
            <w:tcW w:w="1190" w:type="dxa"/>
            <w:tcBorders>
              <w:top w:val="nil"/>
              <w:bottom w:val="nil"/>
            </w:tcBorders>
          </w:tcPr>
          <w:p w14:paraId="47119CA1" w14:textId="77777777" w:rsidR="00B51828" w:rsidRPr="000375C2" w:rsidRDefault="00B51828" w:rsidP="002101D2">
            <w:pPr>
              <w:pStyle w:val="Tabletextboldleft"/>
              <w:spacing w:before="20" w:after="20"/>
              <w:jc w:val="right"/>
              <w:rPr>
                <w:b w:val="0"/>
              </w:rPr>
            </w:pPr>
            <w:r w:rsidRPr="000375C2">
              <w:rPr>
                <w:b w:val="0"/>
                <w:color w:val="000000"/>
              </w:rPr>
              <w:t>39</w:t>
            </w:r>
          </w:p>
        </w:tc>
        <w:tc>
          <w:tcPr>
            <w:tcW w:w="1191" w:type="dxa"/>
            <w:tcBorders>
              <w:top w:val="nil"/>
              <w:bottom w:val="nil"/>
            </w:tcBorders>
          </w:tcPr>
          <w:p w14:paraId="09B29F70" w14:textId="77777777" w:rsidR="00B51828" w:rsidRPr="000375C2" w:rsidRDefault="00B51828" w:rsidP="002101D2">
            <w:pPr>
              <w:pStyle w:val="Tabletextboldleft"/>
              <w:spacing w:before="20" w:after="20"/>
              <w:jc w:val="right"/>
              <w:rPr>
                <w:b w:val="0"/>
              </w:rPr>
            </w:pPr>
            <w:r w:rsidRPr="000375C2">
              <w:rPr>
                <w:b w:val="0"/>
                <w:color w:val="000000"/>
              </w:rPr>
              <w:t>40</w:t>
            </w:r>
          </w:p>
        </w:tc>
        <w:tc>
          <w:tcPr>
            <w:tcW w:w="1191" w:type="dxa"/>
            <w:tcBorders>
              <w:top w:val="nil"/>
              <w:bottom w:val="nil"/>
            </w:tcBorders>
          </w:tcPr>
          <w:p w14:paraId="249B4216" w14:textId="77777777" w:rsidR="00B51828" w:rsidRPr="000375C2" w:rsidRDefault="00B51828" w:rsidP="002101D2">
            <w:pPr>
              <w:pStyle w:val="Tabletextboldleft"/>
              <w:spacing w:before="20" w:after="20"/>
              <w:jc w:val="right"/>
              <w:rPr>
                <w:b w:val="0"/>
              </w:rPr>
            </w:pPr>
            <w:r w:rsidRPr="000375C2">
              <w:rPr>
                <w:b w:val="0"/>
                <w:color w:val="000000"/>
              </w:rPr>
              <w:t>41</w:t>
            </w:r>
          </w:p>
        </w:tc>
      </w:tr>
      <w:tr w:rsidR="00B51828" w:rsidRPr="00F647C7" w14:paraId="395AC753" w14:textId="77777777" w:rsidTr="00E61184">
        <w:trPr>
          <w:trHeight w:val="212"/>
        </w:trPr>
        <w:tc>
          <w:tcPr>
            <w:tcW w:w="2410" w:type="dxa"/>
            <w:tcBorders>
              <w:top w:val="nil"/>
              <w:bottom w:val="single" w:sz="4" w:space="0" w:color="auto"/>
            </w:tcBorders>
          </w:tcPr>
          <w:p w14:paraId="706B4895" w14:textId="77777777" w:rsidR="00B51828" w:rsidRPr="005449CD" w:rsidRDefault="00B51828" w:rsidP="002101D2">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tcPr>
          <w:p w14:paraId="5ECC7F54" w14:textId="77777777" w:rsidR="00B51828" w:rsidRPr="000375C2" w:rsidRDefault="00B51828" w:rsidP="002101D2">
            <w:pPr>
              <w:pStyle w:val="Tabletextboldleft"/>
              <w:spacing w:before="20" w:after="20"/>
              <w:jc w:val="right"/>
              <w:rPr>
                <w:b w:val="0"/>
              </w:rPr>
            </w:pPr>
            <w:r w:rsidRPr="000375C2">
              <w:rPr>
                <w:b w:val="0"/>
                <w:color w:val="000000"/>
              </w:rPr>
              <w:t>165</w:t>
            </w:r>
          </w:p>
        </w:tc>
        <w:tc>
          <w:tcPr>
            <w:tcW w:w="1191" w:type="dxa"/>
            <w:tcBorders>
              <w:top w:val="nil"/>
              <w:bottom w:val="single" w:sz="4" w:space="0" w:color="auto"/>
            </w:tcBorders>
          </w:tcPr>
          <w:p w14:paraId="663D9573" w14:textId="77777777" w:rsidR="00B51828" w:rsidRPr="000375C2" w:rsidRDefault="00B51828" w:rsidP="002101D2">
            <w:pPr>
              <w:pStyle w:val="Tabletextboldleft"/>
              <w:spacing w:before="20" w:after="20"/>
              <w:jc w:val="right"/>
              <w:rPr>
                <w:b w:val="0"/>
              </w:rPr>
            </w:pPr>
            <w:r w:rsidRPr="000375C2">
              <w:rPr>
                <w:b w:val="0"/>
                <w:color w:val="000000"/>
              </w:rPr>
              <w:t>170</w:t>
            </w:r>
          </w:p>
        </w:tc>
        <w:tc>
          <w:tcPr>
            <w:tcW w:w="1190" w:type="dxa"/>
            <w:tcBorders>
              <w:top w:val="nil"/>
              <w:bottom w:val="single" w:sz="4" w:space="0" w:color="auto"/>
            </w:tcBorders>
          </w:tcPr>
          <w:p w14:paraId="639B581C" w14:textId="77777777" w:rsidR="00B51828" w:rsidRPr="000375C2" w:rsidRDefault="00B51828" w:rsidP="002101D2">
            <w:pPr>
              <w:pStyle w:val="Tabletextboldleft"/>
              <w:spacing w:before="20" w:after="20"/>
              <w:jc w:val="right"/>
              <w:rPr>
                <w:b w:val="0"/>
              </w:rPr>
            </w:pPr>
            <w:r w:rsidRPr="000375C2">
              <w:rPr>
                <w:b w:val="0"/>
                <w:color w:val="000000"/>
              </w:rPr>
              <w:t>175</w:t>
            </w:r>
          </w:p>
        </w:tc>
        <w:tc>
          <w:tcPr>
            <w:tcW w:w="1191" w:type="dxa"/>
            <w:tcBorders>
              <w:top w:val="nil"/>
              <w:bottom w:val="single" w:sz="4" w:space="0" w:color="auto"/>
            </w:tcBorders>
          </w:tcPr>
          <w:p w14:paraId="59900343" w14:textId="77777777" w:rsidR="00B51828" w:rsidRPr="000375C2" w:rsidRDefault="00B51828" w:rsidP="002101D2">
            <w:pPr>
              <w:pStyle w:val="Tabletextboldleft"/>
              <w:spacing w:before="20" w:after="20"/>
              <w:jc w:val="right"/>
              <w:rPr>
                <w:b w:val="0"/>
              </w:rPr>
            </w:pPr>
            <w:r w:rsidRPr="000375C2">
              <w:rPr>
                <w:b w:val="0"/>
                <w:color w:val="000000"/>
              </w:rPr>
              <w:t>179</w:t>
            </w:r>
          </w:p>
        </w:tc>
        <w:tc>
          <w:tcPr>
            <w:tcW w:w="1191" w:type="dxa"/>
            <w:tcBorders>
              <w:top w:val="nil"/>
              <w:bottom w:val="single" w:sz="4" w:space="0" w:color="auto"/>
            </w:tcBorders>
          </w:tcPr>
          <w:p w14:paraId="04D9FA0F" w14:textId="77777777" w:rsidR="00B51828" w:rsidRPr="000375C2" w:rsidRDefault="00B51828" w:rsidP="002101D2">
            <w:pPr>
              <w:pStyle w:val="Tabletextboldleft"/>
              <w:spacing w:before="20" w:after="20"/>
              <w:jc w:val="right"/>
              <w:rPr>
                <w:b w:val="0"/>
              </w:rPr>
            </w:pPr>
            <w:r w:rsidRPr="000375C2">
              <w:rPr>
                <w:b w:val="0"/>
                <w:color w:val="000000"/>
              </w:rPr>
              <w:t>184</w:t>
            </w:r>
          </w:p>
        </w:tc>
      </w:tr>
      <w:tr w:rsidR="00B51828" w:rsidRPr="00F647C7" w14:paraId="5E9D1563" w14:textId="77777777" w:rsidTr="00E61184">
        <w:trPr>
          <w:trHeight w:val="212"/>
        </w:trPr>
        <w:tc>
          <w:tcPr>
            <w:tcW w:w="2410" w:type="dxa"/>
            <w:tcBorders>
              <w:bottom w:val="nil"/>
            </w:tcBorders>
          </w:tcPr>
          <w:p w14:paraId="6A9D85A1" w14:textId="77777777" w:rsidR="00B51828" w:rsidRPr="00386763" w:rsidRDefault="00B51828" w:rsidP="002101D2">
            <w:pPr>
              <w:pStyle w:val="Tabletextboldleft"/>
              <w:spacing w:before="20" w:after="20"/>
            </w:pPr>
            <w:r w:rsidRPr="00F411CD">
              <w:rPr>
                <w:b w:val="0"/>
              </w:rPr>
              <w:t>All cytology</w:t>
            </w:r>
          </w:p>
        </w:tc>
        <w:tc>
          <w:tcPr>
            <w:tcW w:w="1190" w:type="dxa"/>
            <w:tcBorders>
              <w:bottom w:val="nil"/>
            </w:tcBorders>
          </w:tcPr>
          <w:p w14:paraId="381C6075" w14:textId="77777777" w:rsidR="00B51828" w:rsidRPr="000375C2" w:rsidRDefault="00B51828" w:rsidP="002101D2">
            <w:pPr>
              <w:pStyle w:val="Tabletextboldleft"/>
              <w:spacing w:before="20" w:after="20"/>
              <w:jc w:val="right"/>
              <w:rPr>
                <w:b w:val="0"/>
              </w:rPr>
            </w:pPr>
            <w:r w:rsidRPr="000375C2">
              <w:rPr>
                <w:b w:val="0"/>
                <w:color w:val="000000"/>
              </w:rPr>
              <w:t>1,608</w:t>
            </w:r>
          </w:p>
        </w:tc>
        <w:tc>
          <w:tcPr>
            <w:tcW w:w="1191" w:type="dxa"/>
            <w:tcBorders>
              <w:bottom w:val="nil"/>
            </w:tcBorders>
          </w:tcPr>
          <w:p w14:paraId="33AD42B8" w14:textId="77777777" w:rsidR="00B51828" w:rsidRPr="000375C2" w:rsidRDefault="00B51828" w:rsidP="002101D2">
            <w:pPr>
              <w:pStyle w:val="Tabletextboldleft"/>
              <w:spacing w:before="20" w:after="20"/>
              <w:jc w:val="right"/>
              <w:rPr>
                <w:b w:val="0"/>
              </w:rPr>
            </w:pPr>
            <w:r w:rsidRPr="000375C2">
              <w:rPr>
                <w:b w:val="0"/>
                <w:color w:val="000000"/>
              </w:rPr>
              <w:t>1,626</w:t>
            </w:r>
          </w:p>
        </w:tc>
        <w:tc>
          <w:tcPr>
            <w:tcW w:w="1190" w:type="dxa"/>
            <w:tcBorders>
              <w:bottom w:val="nil"/>
            </w:tcBorders>
          </w:tcPr>
          <w:p w14:paraId="18E55AFF" w14:textId="77777777" w:rsidR="00B51828" w:rsidRPr="000375C2" w:rsidRDefault="00B51828" w:rsidP="002101D2">
            <w:pPr>
              <w:pStyle w:val="Tabletextboldleft"/>
              <w:spacing w:before="20" w:after="20"/>
              <w:jc w:val="right"/>
              <w:rPr>
                <w:b w:val="0"/>
              </w:rPr>
            </w:pPr>
            <w:r w:rsidRPr="000375C2">
              <w:rPr>
                <w:b w:val="0"/>
                <w:color w:val="000000"/>
              </w:rPr>
              <w:t>1,644</w:t>
            </w:r>
          </w:p>
        </w:tc>
        <w:tc>
          <w:tcPr>
            <w:tcW w:w="1191" w:type="dxa"/>
            <w:tcBorders>
              <w:bottom w:val="nil"/>
            </w:tcBorders>
          </w:tcPr>
          <w:p w14:paraId="31E0AD6C" w14:textId="77777777" w:rsidR="00B51828" w:rsidRPr="000375C2" w:rsidRDefault="00B51828" w:rsidP="002101D2">
            <w:pPr>
              <w:pStyle w:val="Tabletextboldleft"/>
              <w:spacing w:before="20" w:after="20"/>
              <w:jc w:val="right"/>
              <w:rPr>
                <w:b w:val="0"/>
              </w:rPr>
            </w:pPr>
            <w:r w:rsidRPr="000375C2">
              <w:rPr>
                <w:b w:val="0"/>
                <w:color w:val="000000"/>
              </w:rPr>
              <w:t>1,661</w:t>
            </w:r>
          </w:p>
        </w:tc>
        <w:tc>
          <w:tcPr>
            <w:tcW w:w="1191" w:type="dxa"/>
            <w:tcBorders>
              <w:bottom w:val="nil"/>
            </w:tcBorders>
          </w:tcPr>
          <w:p w14:paraId="1369D856" w14:textId="77777777" w:rsidR="00B51828" w:rsidRPr="000375C2" w:rsidRDefault="00B51828" w:rsidP="002101D2">
            <w:pPr>
              <w:pStyle w:val="Tabletextboldleft"/>
              <w:spacing w:before="20" w:after="20"/>
              <w:jc w:val="right"/>
              <w:rPr>
                <w:b w:val="0"/>
              </w:rPr>
            </w:pPr>
            <w:r w:rsidRPr="000375C2">
              <w:rPr>
                <w:b w:val="0"/>
                <w:color w:val="000000"/>
              </w:rPr>
              <w:t>1,679</w:t>
            </w:r>
          </w:p>
        </w:tc>
      </w:tr>
      <w:tr w:rsidR="00B51828" w:rsidRPr="00F647C7" w14:paraId="041C98DD" w14:textId="77777777" w:rsidTr="00E61184">
        <w:trPr>
          <w:trHeight w:val="212"/>
        </w:trPr>
        <w:tc>
          <w:tcPr>
            <w:tcW w:w="2410" w:type="dxa"/>
            <w:tcBorders>
              <w:top w:val="nil"/>
              <w:bottom w:val="nil"/>
            </w:tcBorders>
          </w:tcPr>
          <w:p w14:paraId="4B4A4F01" w14:textId="77777777" w:rsidR="00B51828" w:rsidRPr="005449CD"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tcPr>
          <w:p w14:paraId="7CC5C39C" w14:textId="77777777" w:rsidR="00B51828" w:rsidRPr="000375C2" w:rsidRDefault="00B51828" w:rsidP="002101D2">
            <w:pPr>
              <w:pStyle w:val="Tabletextboldleft"/>
              <w:spacing w:before="20" w:after="20"/>
              <w:jc w:val="right"/>
              <w:rPr>
                <w:b w:val="0"/>
              </w:rPr>
            </w:pPr>
            <w:r w:rsidRPr="000375C2">
              <w:rPr>
                <w:b w:val="0"/>
                <w:color w:val="000000"/>
              </w:rPr>
              <w:t>295</w:t>
            </w:r>
          </w:p>
        </w:tc>
        <w:tc>
          <w:tcPr>
            <w:tcW w:w="1191" w:type="dxa"/>
            <w:tcBorders>
              <w:top w:val="nil"/>
              <w:bottom w:val="nil"/>
            </w:tcBorders>
          </w:tcPr>
          <w:p w14:paraId="49EE273D" w14:textId="77777777" w:rsidR="00B51828" w:rsidRPr="000375C2" w:rsidRDefault="00B51828" w:rsidP="002101D2">
            <w:pPr>
              <w:pStyle w:val="Tabletextboldleft"/>
              <w:spacing w:before="20" w:after="20"/>
              <w:jc w:val="right"/>
              <w:rPr>
                <w:b w:val="0"/>
              </w:rPr>
            </w:pPr>
            <w:r w:rsidRPr="000375C2">
              <w:rPr>
                <w:b w:val="0"/>
                <w:color w:val="000000"/>
              </w:rPr>
              <w:t>298</w:t>
            </w:r>
          </w:p>
        </w:tc>
        <w:tc>
          <w:tcPr>
            <w:tcW w:w="1190" w:type="dxa"/>
            <w:tcBorders>
              <w:top w:val="nil"/>
              <w:bottom w:val="nil"/>
            </w:tcBorders>
          </w:tcPr>
          <w:p w14:paraId="50643AD5" w14:textId="77777777" w:rsidR="00B51828" w:rsidRPr="000375C2" w:rsidRDefault="00B51828" w:rsidP="002101D2">
            <w:pPr>
              <w:pStyle w:val="Tabletextboldleft"/>
              <w:spacing w:before="20" w:after="20"/>
              <w:jc w:val="right"/>
              <w:rPr>
                <w:b w:val="0"/>
              </w:rPr>
            </w:pPr>
            <w:r w:rsidRPr="000375C2">
              <w:rPr>
                <w:b w:val="0"/>
                <w:color w:val="000000"/>
              </w:rPr>
              <w:t>301</w:t>
            </w:r>
          </w:p>
        </w:tc>
        <w:tc>
          <w:tcPr>
            <w:tcW w:w="1191" w:type="dxa"/>
            <w:tcBorders>
              <w:top w:val="nil"/>
              <w:bottom w:val="nil"/>
            </w:tcBorders>
          </w:tcPr>
          <w:p w14:paraId="3031D7E5" w14:textId="77777777" w:rsidR="00B51828" w:rsidRPr="000375C2" w:rsidRDefault="00B51828" w:rsidP="002101D2">
            <w:pPr>
              <w:pStyle w:val="Tabletextboldleft"/>
              <w:spacing w:before="20" w:after="20"/>
              <w:jc w:val="right"/>
              <w:rPr>
                <w:b w:val="0"/>
              </w:rPr>
            </w:pPr>
            <w:r w:rsidRPr="000375C2">
              <w:rPr>
                <w:b w:val="0"/>
                <w:color w:val="000000"/>
              </w:rPr>
              <w:t>305</w:t>
            </w:r>
          </w:p>
        </w:tc>
        <w:tc>
          <w:tcPr>
            <w:tcW w:w="1191" w:type="dxa"/>
            <w:tcBorders>
              <w:top w:val="nil"/>
              <w:bottom w:val="nil"/>
            </w:tcBorders>
          </w:tcPr>
          <w:p w14:paraId="03342FDB" w14:textId="77777777" w:rsidR="00B51828" w:rsidRPr="000375C2" w:rsidRDefault="00B51828" w:rsidP="002101D2">
            <w:pPr>
              <w:pStyle w:val="Tabletextboldleft"/>
              <w:spacing w:before="20" w:after="20"/>
              <w:jc w:val="right"/>
              <w:rPr>
                <w:b w:val="0"/>
              </w:rPr>
            </w:pPr>
            <w:r w:rsidRPr="000375C2">
              <w:rPr>
                <w:b w:val="0"/>
                <w:color w:val="000000"/>
              </w:rPr>
              <w:t>308</w:t>
            </w:r>
          </w:p>
        </w:tc>
      </w:tr>
      <w:tr w:rsidR="00B51828" w:rsidRPr="00F647C7" w14:paraId="3978FE73" w14:textId="77777777" w:rsidTr="00E61184">
        <w:trPr>
          <w:trHeight w:val="212"/>
        </w:trPr>
        <w:tc>
          <w:tcPr>
            <w:tcW w:w="2410" w:type="dxa"/>
            <w:tcBorders>
              <w:top w:val="nil"/>
            </w:tcBorders>
          </w:tcPr>
          <w:p w14:paraId="58210185" w14:textId="77777777" w:rsidR="00B51828" w:rsidRPr="005449CD" w:rsidRDefault="00B51828" w:rsidP="002101D2">
            <w:pPr>
              <w:pStyle w:val="Tabletextboldleft"/>
              <w:spacing w:before="20" w:after="20"/>
              <w:ind w:firstLine="317"/>
              <w:rPr>
                <w:b w:val="0"/>
              </w:rPr>
            </w:pPr>
            <w:r w:rsidRPr="00F411CD">
              <w:rPr>
                <w:b w:val="0"/>
              </w:rPr>
              <w:t>Non-complex</w:t>
            </w:r>
          </w:p>
        </w:tc>
        <w:tc>
          <w:tcPr>
            <w:tcW w:w="1190" w:type="dxa"/>
            <w:tcBorders>
              <w:top w:val="nil"/>
            </w:tcBorders>
          </w:tcPr>
          <w:p w14:paraId="054434BC" w14:textId="77777777" w:rsidR="00B51828" w:rsidRPr="000375C2" w:rsidRDefault="00B51828" w:rsidP="002101D2">
            <w:pPr>
              <w:pStyle w:val="Tabletextboldleft"/>
              <w:spacing w:before="20" w:after="20"/>
              <w:jc w:val="right"/>
              <w:rPr>
                <w:b w:val="0"/>
              </w:rPr>
            </w:pPr>
            <w:r w:rsidRPr="000375C2">
              <w:rPr>
                <w:b w:val="0"/>
                <w:color w:val="000000"/>
              </w:rPr>
              <w:t>1,314</w:t>
            </w:r>
          </w:p>
        </w:tc>
        <w:tc>
          <w:tcPr>
            <w:tcW w:w="1191" w:type="dxa"/>
            <w:tcBorders>
              <w:top w:val="nil"/>
            </w:tcBorders>
          </w:tcPr>
          <w:p w14:paraId="24A7CA4B" w14:textId="77777777" w:rsidR="00B51828" w:rsidRPr="000375C2" w:rsidRDefault="00B51828" w:rsidP="002101D2">
            <w:pPr>
              <w:pStyle w:val="Tabletextboldleft"/>
              <w:spacing w:before="20" w:after="20"/>
              <w:jc w:val="right"/>
              <w:rPr>
                <w:b w:val="0"/>
              </w:rPr>
            </w:pPr>
            <w:r w:rsidRPr="000375C2">
              <w:rPr>
                <w:b w:val="0"/>
                <w:color w:val="000000"/>
              </w:rPr>
              <w:t>1,328</w:t>
            </w:r>
          </w:p>
        </w:tc>
        <w:tc>
          <w:tcPr>
            <w:tcW w:w="1190" w:type="dxa"/>
            <w:tcBorders>
              <w:top w:val="nil"/>
            </w:tcBorders>
          </w:tcPr>
          <w:p w14:paraId="54086959" w14:textId="77777777" w:rsidR="00B51828" w:rsidRPr="000375C2" w:rsidRDefault="00B51828" w:rsidP="002101D2">
            <w:pPr>
              <w:pStyle w:val="Tabletextboldleft"/>
              <w:spacing w:before="20" w:after="20"/>
              <w:jc w:val="right"/>
              <w:rPr>
                <w:b w:val="0"/>
              </w:rPr>
            </w:pPr>
            <w:r w:rsidRPr="000375C2">
              <w:rPr>
                <w:b w:val="0"/>
                <w:color w:val="000000"/>
              </w:rPr>
              <w:t>1,342</w:t>
            </w:r>
          </w:p>
        </w:tc>
        <w:tc>
          <w:tcPr>
            <w:tcW w:w="1191" w:type="dxa"/>
            <w:tcBorders>
              <w:top w:val="nil"/>
            </w:tcBorders>
          </w:tcPr>
          <w:p w14:paraId="61BE6DD2" w14:textId="77777777" w:rsidR="00B51828" w:rsidRPr="000375C2" w:rsidRDefault="00B51828" w:rsidP="002101D2">
            <w:pPr>
              <w:pStyle w:val="Tabletextboldleft"/>
              <w:spacing w:before="20" w:after="20"/>
              <w:jc w:val="right"/>
              <w:rPr>
                <w:b w:val="0"/>
              </w:rPr>
            </w:pPr>
            <w:r w:rsidRPr="000375C2">
              <w:rPr>
                <w:b w:val="0"/>
                <w:color w:val="000000"/>
              </w:rPr>
              <w:t>1,357</w:t>
            </w:r>
          </w:p>
        </w:tc>
        <w:tc>
          <w:tcPr>
            <w:tcW w:w="1191" w:type="dxa"/>
            <w:tcBorders>
              <w:top w:val="nil"/>
            </w:tcBorders>
          </w:tcPr>
          <w:p w14:paraId="6188001B" w14:textId="77777777" w:rsidR="00B51828" w:rsidRPr="000375C2" w:rsidRDefault="00B51828" w:rsidP="002101D2">
            <w:pPr>
              <w:pStyle w:val="Tabletextboldleft"/>
              <w:spacing w:before="20" w:after="20"/>
              <w:jc w:val="right"/>
              <w:rPr>
                <w:b w:val="0"/>
              </w:rPr>
            </w:pPr>
            <w:r w:rsidRPr="000375C2">
              <w:rPr>
                <w:b w:val="0"/>
                <w:color w:val="000000"/>
              </w:rPr>
              <w:t>1,371</w:t>
            </w:r>
          </w:p>
        </w:tc>
      </w:tr>
      <w:tr w:rsidR="00B51828" w:rsidRPr="00F647C7" w14:paraId="55FDD392" w14:textId="77777777" w:rsidTr="00E61184">
        <w:trPr>
          <w:trHeight w:val="212"/>
        </w:trPr>
        <w:tc>
          <w:tcPr>
            <w:tcW w:w="2410" w:type="dxa"/>
          </w:tcPr>
          <w:p w14:paraId="71C6582B" w14:textId="77777777" w:rsidR="00B51828" w:rsidRPr="00C26CDD" w:rsidRDefault="00B51828" w:rsidP="002101D2">
            <w:pPr>
              <w:pStyle w:val="Tabletextboldleft"/>
              <w:spacing w:before="20" w:after="20"/>
              <w:rPr>
                <w:i/>
              </w:rPr>
            </w:pPr>
            <w:r>
              <w:rPr>
                <w:b w:val="0"/>
                <w:i/>
              </w:rPr>
              <w:t>Sub-t</w:t>
            </w:r>
            <w:r w:rsidRPr="00C26CDD">
              <w:rPr>
                <w:b w:val="0"/>
                <w:i/>
              </w:rPr>
              <w:t>otal (excluding gynaecological cytology)</w:t>
            </w:r>
          </w:p>
        </w:tc>
        <w:tc>
          <w:tcPr>
            <w:tcW w:w="1190" w:type="dxa"/>
          </w:tcPr>
          <w:p w14:paraId="61315404" w14:textId="77777777" w:rsidR="00B51828" w:rsidRPr="00C26CDD" w:rsidRDefault="00B51828" w:rsidP="002101D2">
            <w:pPr>
              <w:pStyle w:val="Tabletextboldleft"/>
              <w:spacing w:before="20" w:after="20"/>
              <w:jc w:val="right"/>
              <w:rPr>
                <w:b w:val="0"/>
                <w:i/>
              </w:rPr>
            </w:pPr>
            <w:r w:rsidRPr="00C26CDD">
              <w:rPr>
                <w:b w:val="0"/>
                <w:i/>
              </w:rPr>
              <w:t>6,566</w:t>
            </w:r>
          </w:p>
        </w:tc>
        <w:tc>
          <w:tcPr>
            <w:tcW w:w="1191" w:type="dxa"/>
          </w:tcPr>
          <w:p w14:paraId="3C711AF5" w14:textId="77777777" w:rsidR="00B51828" w:rsidRPr="00C26CDD" w:rsidRDefault="00B51828" w:rsidP="002101D2">
            <w:pPr>
              <w:pStyle w:val="Tabletextboldleft"/>
              <w:spacing w:before="20" w:after="20"/>
              <w:jc w:val="right"/>
              <w:rPr>
                <w:b w:val="0"/>
                <w:i/>
              </w:rPr>
            </w:pPr>
            <w:r w:rsidRPr="00C26CDD">
              <w:rPr>
                <w:b w:val="0"/>
                <w:i/>
                <w:color w:val="000000"/>
              </w:rPr>
              <w:t>6,802</w:t>
            </w:r>
          </w:p>
        </w:tc>
        <w:tc>
          <w:tcPr>
            <w:tcW w:w="1190" w:type="dxa"/>
          </w:tcPr>
          <w:p w14:paraId="5A240C5C" w14:textId="77777777" w:rsidR="00B51828" w:rsidRPr="00C26CDD" w:rsidRDefault="00B51828" w:rsidP="002101D2">
            <w:pPr>
              <w:pStyle w:val="Tabletextboldleft"/>
              <w:spacing w:before="20" w:after="20"/>
              <w:jc w:val="right"/>
              <w:rPr>
                <w:b w:val="0"/>
                <w:i/>
              </w:rPr>
            </w:pPr>
            <w:r w:rsidRPr="00C26CDD">
              <w:rPr>
                <w:b w:val="0"/>
                <w:i/>
                <w:color w:val="000000"/>
              </w:rPr>
              <w:t>7,039</w:t>
            </w:r>
          </w:p>
        </w:tc>
        <w:tc>
          <w:tcPr>
            <w:tcW w:w="1191" w:type="dxa"/>
          </w:tcPr>
          <w:p w14:paraId="33FAF9B8" w14:textId="77777777" w:rsidR="00B51828" w:rsidRPr="00C26CDD" w:rsidRDefault="00B51828" w:rsidP="002101D2">
            <w:pPr>
              <w:pStyle w:val="Tabletextboldleft"/>
              <w:spacing w:before="20" w:after="20"/>
              <w:jc w:val="right"/>
              <w:rPr>
                <w:b w:val="0"/>
                <w:i/>
              </w:rPr>
            </w:pPr>
            <w:r w:rsidRPr="00C26CDD">
              <w:rPr>
                <w:b w:val="0"/>
                <w:i/>
                <w:color w:val="000000"/>
              </w:rPr>
              <w:t>7,275</w:t>
            </w:r>
          </w:p>
        </w:tc>
        <w:tc>
          <w:tcPr>
            <w:tcW w:w="1191" w:type="dxa"/>
          </w:tcPr>
          <w:p w14:paraId="3E4AC895" w14:textId="77777777" w:rsidR="00B51828" w:rsidRPr="00C26CDD" w:rsidRDefault="00B51828" w:rsidP="002101D2">
            <w:pPr>
              <w:pStyle w:val="Tabletextboldleft"/>
              <w:spacing w:before="20" w:after="20"/>
              <w:jc w:val="right"/>
              <w:rPr>
                <w:b w:val="0"/>
                <w:i/>
              </w:rPr>
            </w:pPr>
            <w:r w:rsidRPr="00C26CDD">
              <w:rPr>
                <w:b w:val="0"/>
                <w:i/>
              </w:rPr>
              <w:t>7,511</w:t>
            </w:r>
          </w:p>
        </w:tc>
      </w:tr>
      <w:tr w:rsidR="00B51828" w:rsidRPr="00F647C7" w14:paraId="0ED4A537" w14:textId="77777777" w:rsidTr="00E61184">
        <w:trPr>
          <w:trHeight w:val="212"/>
        </w:trPr>
        <w:tc>
          <w:tcPr>
            <w:tcW w:w="2410" w:type="dxa"/>
          </w:tcPr>
          <w:p w14:paraId="05AA60E8" w14:textId="77777777" w:rsidR="00B51828" w:rsidRPr="00C26CDD" w:rsidRDefault="00B51828" w:rsidP="002101D2">
            <w:pPr>
              <w:pStyle w:val="Tabletextboldleft"/>
              <w:spacing w:before="20" w:after="20"/>
              <w:rPr>
                <w:i/>
              </w:rPr>
            </w:pPr>
            <w:r>
              <w:rPr>
                <w:b w:val="0"/>
                <w:i/>
              </w:rPr>
              <w:t>Sub-t</w:t>
            </w:r>
            <w:r w:rsidRPr="00C26CDD">
              <w:rPr>
                <w:b w:val="0"/>
                <w:i/>
              </w:rPr>
              <w:t>otal (including all cytology)</w:t>
            </w:r>
          </w:p>
        </w:tc>
        <w:tc>
          <w:tcPr>
            <w:tcW w:w="1190" w:type="dxa"/>
          </w:tcPr>
          <w:p w14:paraId="74546817" w14:textId="77777777" w:rsidR="00B51828" w:rsidRPr="00C26CDD" w:rsidRDefault="00B51828" w:rsidP="002101D2">
            <w:pPr>
              <w:pStyle w:val="Tabletextboldleft"/>
              <w:spacing w:before="20" w:after="20"/>
              <w:jc w:val="right"/>
              <w:rPr>
                <w:b w:val="0"/>
                <w:i/>
              </w:rPr>
            </w:pPr>
            <w:r w:rsidRPr="00C26CDD">
              <w:rPr>
                <w:b w:val="0"/>
                <w:i/>
              </w:rPr>
              <w:t>7,972</w:t>
            </w:r>
          </w:p>
        </w:tc>
        <w:tc>
          <w:tcPr>
            <w:tcW w:w="1191" w:type="dxa"/>
          </w:tcPr>
          <w:p w14:paraId="652A22F4" w14:textId="77777777" w:rsidR="00B51828" w:rsidRPr="00C26CDD" w:rsidRDefault="00B51828" w:rsidP="002101D2">
            <w:pPr>
              <w:pStyle w:val="Tabletextboldleft"/>
              <w:spacing w:before="20" w:after="20"/>
              <w:jc w:val="right"/>
              <w:rPr>
                <w:b w:val="0"/>
                <w:i/>
              </w:rPr>
            </w:pPr>
            <w:r w:rsidRPr="00C26CDD">
              <w:rPr>
                <w:b w:val="0"/>
                <w:i/>
                <w:color w:val="000000"/>
              </w:rPr>
              <w:t>8,220</w:t>
            </w:r>
          </w:p>
        </w:tc>
        <w:tc>
          <w:tcPr>
            <w:tcW w:w="1190" w:type="dxa"/>
          </w:tcPr>
          <w:p w14:paraId="1C8BDA5C" w14:textId="77777777" w:rsidR="00B51828" w:rsidRPr="00C26CDD" w:rsidRDefault="00B51828" w:rsidP="002101D2">
            <w:pPr>
              <w:pStyle w:val="Tabletextboldleft"/>
              <w:spacing w:before="20" w:after="20"/>
              <w:jc w:val="right"/>
              <w:rPr>
                <w:b w:val="0"/>
                <w:i/>
              </w:rPr>
            </w:pPr>
            <w:r w:rsidRPr="00C26CDD">
              <w:rPr>
                <w:b w:val="0"/>
                <w:i/>
                <w:color w:val="000000"/>
              </w:rPr>
              <w:t>8,468</w:t>
            </w:r>
          </w:p>
        </w:tc>
        <w:tc>
          <w:tcPr>
            <w:tcW w:w="1191" w:type="dxa"/>
          </w:tcPr>
          <w:p w14:paraId="3C44CE98" w14:textId="77777777" w:rsidR="00B51828" w:rsidRPr="00C26CDD" w:rsidRDefault="00B51828" w:rsidP="002101D2">
            <w:pPr>
              <w:pStyle w:val="Tabletextboldleft"/>
              <w:spacing w:before="20" w:after="20"/>
              <w:jc w:val="right"/>
              <w:rPr>
                <w:b w:val="0"/>
                <w:i/>
              </w:rPr>
            </w:pPr>
            <w:r w:rsidRPr="00C26CDD">
              <w:rPr>
                <w:b w:val="0"/>
                <w:i/>
                <w:color w:val="000000"/>
              </w:rPr>
              <w:t>8,716</w:t>
            </w:r>
          </w:p>
        </w:tc>
        <w:tc>
          <w:tcPr>
            <w:tcW w:w="1191" w:type="dxa"/>
          </w:tcPr>
          <w:p w14:paraId="36B66886" w14:textId="77777777" w:rsidR="00B51828" w:rsidRPr="00C26CDD" w:rsidRDefault="00B51828" w:rsidP="002101D2">
            <w:pPr>
              <w:pStyle w:val="Tabletextboldleft"/>
              <w:spacing w:before="20" w:after="20"/>
              <w:jc w:val="right"/>
              <w:rPr>
                <w:b w:val="0"/>
                <w:i/>
              </w:rPr>
            </w:pPr>
            <w:r w:rsidRPr="00C26CDD">
              <w:rPr>
                <w:b w:val="0"/>
                <w:i/>
              </w:rPr>
              <w:t>8,964</w:t>
            </w:r>
          </w:p>
        </w:tc>
      </w:tr>
      <w:tr w:rsidR="00B51828" w:rsidRPr="00F647C7" w14:paraId="3750B40B" w14:textId="77777777" w:rsidTr="00E61184">
        <w:trPr>
          <w:trHeight w:val="212"/>
        </w:trPr>
        <w:tc>
          <w:tcPr>
            <w:tcW w:w="2410" w:type="dxa"/>
            <w:shd w:val="clear" w:color="auto" w:fill="D0CECE" w:themeFill="background2" w:themeFillShade="E6"/>
          </w:tcPr>
          <w:p w14:paraId="0ED2DBDE" w14:textId="77777777" w:rsidR="00B51828" w:rsidRDefault="00B51828" w:rsidP="002101D2">
            <w:pPr>
              <w:pStyle w:val="Tabletextboldleft"/>
              <w:spacing w:before="20" w:after="20"/>
            </w:pPr>
            <w:r w:rsidRPr="00F411CD">
              <w:t xml:space="preserve">TOTAL </w:t>
            </w:r>
          </w:p>
          <w:p w14:paraId="4A497F8E" w14:textId="77777777" w:rsidR="00B51828" w:rsidRPr="00386763" w:rsidRDefault="00B51828" w:rsidP="002101D2">
            <w:pPr>
              <w:pStyle w:val="Tabletextboldleft"/>
              <w:spacing w:before="20" w:after="20"/>
            </w:pPr>
            <w:r w:rsidRPr="009D63D8">
              <w:rPr>
                <w:b w:val="0"/>
              </w:rPr>
              <w:t>(</w:t>
            </w:r>
            <w:r w:rsidRPr="009D63D8">
              <w:rPr>
                <w:b w:val="0"/>
                <w:i/>
              </w:rPr>
              <w:t>S1</w:t>
            </w:r>
            <w:r w:rsidRPr="009D63D8">
              <w:rPr>
                <w:b w:val="0"/>
              </w:rPr>
              <w:t xml:space="preserve"> and S</w:t>
            </w:r>
            <w:r w:rsidRPr="009D63D8">
              <w:rPr>
                <w:b w:val="0"/>
                <w:i/>
              </w:rPr>
              <w:t>2</w:t>
            </w:r>
            <w:r w:rsidRPr="009D63D8">
              <w:rPr>
                <w:b w:val="0"/>
              </w:rPr>
              <w:t xml:space="preserve"> – excluding gynaecological cytology)</w:t>
            </w:r>
          </w:p>
        </w:tc>
        <w:tc>
          <w:tcPr>
            <w:tcW w:w="1190" w:type="dxa"/>
            <w:shd w:val="clear" w:color="auto" w:fill="D0CECE" w:themeFill="background2" w:themeFillShade="E6"/>
          </w:tcPr>
          <w:p w14:paraId="00AF555D" w14:textId="77777777" w:rsidR="00B51828" w:rsidRPr="000375C2" w:rsidRDefault="00B51828" w:rsidP="002101D2">
            <w:pPr>
              <w:pStyle w:val="Tabletextboldleft"/>
              <w:spacing w:before="20" w:after="20"/>
              <w:jc w:val="right"/>
            </w:pPr>
            <w:r w:rsidRPr="000375C2">
              <w:rPr>
                <w:color w:val="000000"/>
              </w:rPr>
              <w:t>18,720</w:t>
            </w:r>
          </w:p>
        </w:tc>
        <w:tc>
          <w:tcPr>
            <w:tcW w:w="1191" w:type="dxa"/>
            <w:shd w:val="clear" w:color="auto" w:fill="D0CECE" w:themeFill="background2" w:themeFillShade="E6"/>
          </w:tcPr>
          <w:p w14:paraId="616A7E0A" w14:textId="77777777" w:rsidR="00B51828" w:rsidRPr="000375C2" w:rsidRDefault="00B51828" w:rsidP="002101D2">
            <w:pPr>
              <w:pStyle w:val="Tabletextboldleft"/>
              <w:spacing w:before="20" w:after="20"/>
              <w:jc w:val="right"/>
            </w:pPr>
            <w:r w:rsidRPr="000375C2">
              <w:rPr>
                <w:color w:val="000000"/>
              </w:rPr>
              <w:t>19,392</w:t>
            </w:r>
          </w:p>
        </w:tc>
        <w:tc>
          <w:tcPr>
            <w:tcW w:w="1190" w:type="dxa"/>
            <w:shd w:val="clear" w:color="auto" w:fill="D0CECE" w:themeFill="background2" w:themeFillShade="E6"/>
          </w:tcPr>
          <w:p w14:paraId="4D723ABF" w14:textId="77777777" w:rsidR="00B51828" w:rsidRPr="000375C2" w:rsidRDefault="00B51828" w:rsidP="002101D2">
            <w:pPr>
              <w:pStyle w:val="Tabletextboldleft"/>
              <w:spacing w:before="20" w:after="20"/>
              <w:jc w:val="right"/>
            </w:pPr>
            <w:r w:rsidRPr="000375C2">
              <w:rPr>
                <w:color w:val="000000"/>
              </w:rPr>
              <w:t>20,064</w:t>
            </w:r>
          </w:p>
        </w:tc>
        <w:tc>
          <w:tcPr>
            <w:tcW w:w="1191" w:type="dxa"/>
            <w:shd w:val="clear" w:color="auto" w:fill="D0CECE" w:themeFill="background2" w:themeFillShade="E6"/>
          </w:tcPr>
          <w:p w14:paraId="32449305" w14:textId="77777777" w:rsidR="00B51828" w:rsidRPr="000375C2" w:rsidRDefault="00B51828" w:rsidP="002101D2">
            <w:pPr>
              <w:pStyle w:val="Tabletextboldleft"/>
              <w:spacing w:before="20" w:after="20"/>
              <w:jc w:val="right"/>
            </w:pPr>
            <w:r w:rsidRPr="000375C2">
              <w:rPr>
                <w:color w:val="000000"/>
              </w:rPr>
              <w:t>20,737</w:t>
            </w:r>
          </w:p>
        </w:tc>
        <w:tc>
          <w:tcPr>
            <w:tcW w:w="1191" w:type="dxa"/>
            <w:shd w:val="clear" w:color="auto" w:fill="D0CECE" w:themeFill="background2" w:themeFillShade="E6"/>
          </w:tcPr>
          <w:p w14:paraId="0BC8F44C" w14:textId="77777777" w:rsidR="00B51828" w:rsidRPr="000375C2" w:rsidRDefault="00B51828" w:rsidP="002101D2">
            <w:pPr>
              <w:pStyle w:val="Tabletextboldleft"/>
              <w:spacing w:before="20" w:after="20"/>
              <w:jc w:val="right"/>
            </w:pPr>
            <w:r w:rsidRPr="000375C2">
              <w:rPr>
                <w:color w:val="000000"/>
              </w:rPr>
              <w:t>21,409</w:t>
            </w:r>
          </w:p>
        </w:tc>
      </w:tr>
      <w:tr w:rsidR="00B51828" w:rsidRPr="00F647C7" w14:paraId="56A598B2" w14:textId="77777777" w:rsidTr="00E61184">
        <w:trPr>
          <w:trHeight w:val="212"/>
        </w:trPr>
        <w:tc>
          <w:tcPr>
            <w:tcW w:w="2410" w:type="dxa"/>
            <w:shd w:val="clear" w:color="auto" w:fill="D0CECE" w:themeFill="background2" w:themeFillShade="E6"/>
          </w:tcPr>
          <w:p w14:paraId="2E17D8D2" w14:textId="77777777" w:rsidR="00B51828" w:rsidRDefault="00B51828" w:rsidP="002101D2">
            <w:pPr>
              <w:pStyle w:val="Tabletextboldleft"/>
              <w:spacing w:before="20" w:after="20"/>
            </w:pPr>
            <w:r w:rsidRPr="00F411CD">
              <w:t xml:space="preserve">TOTAL </w:t>
            </w:r>
          </w:p>
          <w:p w14:paraId="63E5CD6C" w14:textId="77777777" w:rsidR="00B51828" w:rsidRPr="00386763" w:rsidRDefault="00B51828" w:rsidP="002101D2">
            <w:pPr>
              <w:pStyle w:val="Tabletextboldleft"/>
              <w:spacing w:before="20" w:after="20"/>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1190" w:type="dxa"/>
            <w:shd w:val="clear" w:color="auto" w:fill="D0CECE" w:themeFill="background2" w:themeFillShade="E6"/>
          </w:tcPr>
          <w:p w14:paraId="02069FF9" w14:textId="77777777" w:rsidR="00B51828" w:rsidRPr="000375C2" w:rsidRDefault="00B51828" w:rsidP="002101D2">
            <w:pPr>
              <w:pStyle w:val="Tabletextboldleft"/>
              <w:spacing w:before="20" w:after="20"/>
              <w:jc w:val="right"/>
            </w:pPr>
            <w:r w:rsidRPr="000375C2">
              <w:rPr>
                <w:color w:val="000000"/>
              </w:rPr>
              <w:t>24,686</w:t>
            </w:r>
          </w:p>
        </w:tc>
        <w:tc>
          <w:tcPr>
            <w:tcW w:w="1191" w:type="dxa"/>
            <w:shd w:val="clear" w:color="auto" w:fill="D0CECE" w:themeFill="background2" w:themeFillShade="E6"/>
          </w:tcPr>
          <w:p w14:paraId="5333D0F9" w14:textId="77777777" w:rsidR="00B51828" w:rsidRPr="000375C2" w:rsidRDefault="00B51828" w:rsidP="002101D2">
            <w:pPr>
              <w:pStyle w:val="Tabletextboldleft"/>
              <w:spacing w:before="20" w:after="20"/>
              <w:jc w:val="right"/>
            </w:pPr>
            <w:r w:rsidRPr="000375C2">
              <w:rPr>
                <w:color w:val="000000"/>
              </w:rPr>
              <w:t>25,408</w:t>
            </w:r>
          </w:p>
        </w:tc>
        <w:tc>
          <w:tcPr>
            <w:tcW w:w="1190" w:type="dxa"/>
            <w:shd w:val="clear" w:color="auto" w:fill="D0CECE" w:themeFill="background2" w:themeFillShade="E6"/>
          </w:tcPr>
          <w:p w14:paraId="05E4BF2C" w14:textId="77777777" w:rsidR="00B51828" w:rsidRPr="000375C2" w:rsidRDefault="00B51828" w:rsidP="002101D2">
            <w:pPr>
              <w:pStyle w:val="Tabletextboldleft"/>
              <w:spacing w:before="20" w:after="20"/>
              <w:jc w:val="right"/>
            </w:pPr>
            <w:r w:rsidRPr="000375C2">
              <w:rPr>
                <w:color w:val="000000"/>
              </w:rPr>
              <w:t>26,130</w:t>
            </w:r>
          </w:p>
        </w:tc>
        <w:tc>
          <w:tcPr>
            <w:tcW w:w="1191" w:type="dxa"/>
            <w:shd w:val="clear" w:color="auto" w:fill="D0CECE" w:themeFill="background2" w:themeFillShade="E6"/>
          </w:tcPr>
          <w:p w14:paraId="3386B5E1" w14:textId="77777777" w:rsidR="00B51828" w:rsidRPr="000375C2" w:rsidRDefault="00B51828" w:rsidP="002101D2">
            <w:pPr>
              <w:pStyle w:val="Tabletextboldleft"/>
              <w:spacing w:before="20" w:after="20"/>
              <w:jc w:val="right"/>
            </w:pPr>
            <w:r w:rsidRPr="000375C2">
              <w:rPr>
                <w:color w:val="000000"/>
              </w:rPr>
              <w:t>26,851</w:t>
            </w:r>
          </w:p>
        </w:tc>
        <w:tc>
          <w:tcPr>
            <w:tcW w:w="1191" w:type="dxa"/>
            <w:shd w:val="clear" w:color="auto" w:fill="D0CECE" w:themeFill="background2" w:themeFillShade="E6"/>
          </w:tcPr>
          <w:p w14:paraId="51FC49BC" w14:textId="77777777" w:rsidR="00B51828" w:rsidRPr="000375C2" w:rsidRDefault="00B51828" w:rsidP="002101D2">
            <w:pPr>
              <w:pStyle w:val="Tabletextboldleft"/>
              <w:spacing w:before="20" w:after="20"/>
              <w:jc w:val="right"/>
            </w:pPr>
            <w:r w:rsidRPr="000375C2">
              <w:rPr>
                <w:color w:val="000000"/>
              </w:rPr>
              <w:t>27,573</w:t>
            </w:r>
          </w:p>
        </w:tc>
      </w:tr>
    </w:tbl>
    <w:p w14:paraId="29DFD7FB"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&lt;MBS services (SO items)&gt;</w:t>
      </w:r>
    </w:p>
    <w:p w14:paraId="0B6D8091" w14:textId="77777777" w:rsidR="00B51828" w:rsidRPr="001D2CEB" w:rsidRDefault="00B51828" w:rsidP="002101D2">
      <w:pPr>
        <w:spacing w:before="20"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02E9FFFD" w14:textId="77777777" w:rsidR="00B51828" w:rsidRPr="00DB0F9B" w:rsidRDefault="00B51828" w:rsidP="002101D2">
      <w:pPr>
        <w:ind w:left="0" w:firstLine="720"/>
        <w:rPr>
          <w:rFonts w:ascii="Arial Narrow" w:hAnsi="Arial Narrow"/>
          <w:sz w:val="18"/>
          <w:szCs w:val="18"/>
        </w:rPr>
      </w:pPr>
      <w:r w:rsidRPr="00DB0F9B">
        <w:rPr>
          <w:rFonts w:ascii="Arial Narrow" w:hAnsi="Arial Narrow"/>
          <w:sz w:val="18"/>
          <w:szCs w:val="18"/>
          <w:vertAlign w:val="superscript"/>
        </w:rPr>
        <w:t>a</w:t>
      </w:r>
      <w:r w:rsidRPr="00DB0F9B">
        <w:rPr>
          <w:rFonts w:ascii="Arial Narrow" w:hAnsi="Arial Narrow"/>
          <w:sz w:val="18"/>
          <w:szCs w:val="18"/>
        </w:rPr>
        <w:t xml:space="preserve"> Includes bone marrow items</w:t>
      </w:r>
    </w:p>
    <w:p w14:paraId="660E410F" w14:textId="77777777" w:rsidR="00B51828" w:rsidRDefault="00B51828" w:rsidP="002101D2"/>
    <w:p w14:paraId="4BE2C67A" w14:textId="77777777" w:rsidR="00B51828" w:rsidRPr="00B77182" w:rsidRDefault="00B51828" w:rsidP="002101D2">
      <w:pPr>
        <w:pStyle w:val="Caption"/>
      </w:pPr>
      <w:bookmarkStart w:id="272" w:name="_Ref394922379"/>
      <w:bookmarkStart w:id="273" w:name="_Toc396211778"/>
      <w:r>
        <w:lastRenderedPageBreak/>
        <w:t xml:space="preserve">Table </w:t>
      </w:r>
      <w:fldSimple w:instr=" STYLEREF 2 \s ">
        <w:r w:rsidR="0044620B">
          <w:rPr>
            <w:noProof/>
          </w:rPr>
          <w:t>E.2</w:t>
        </w:r>
      </w:fldSimple>
      <w:r>
        <w:noBreakHyphen/>
      </w:r>
      <w:fldSimple w:instr=" SEQ Table \* ARABIC \s 2 ">
        <w:r w:rsidR="0044620B">
          <w:rPr>
            <w:noProof/>
          </w:rPr>
          <w:t>4</w:t>
        </w:r>
      </w:fldSimple>
      <w:bookmarkEnd w:id="272"/>
      <w:r>
        <w:tab/>
        <w:t>Incremental number of MBS services for second, expert opinions, over the first five years of the proposed MBS listing</w:t>
      </w:r>
      <w:bookmarkEnd w:id="273"/>
    </w:p>
    <w:tbl>
      <w:tblPr>
        <w:tblStyle w:val="TableGrid"/>
        <w:tblW w:w="8363" w:type="dxa"/>
        <w:tblInd w:w="704" w:type="dxa"/>
        <w:tblLayout w:type="fixed"/>
        <w:tblLook w:val="04A0" w:firstRow="1" w:lastRow="0" w:firstColumn="1" w:lastColumn="0" w:noHBand="0" w:noVBand="1"/>
        <w:tblCaption w:val="Incremental number of services"/>
        <w:tblDescription w:val="Incremental number of MBS services for second, expert opinions, over the first five years of the proposed MBS listing"/>
      </w:tblPr>
      <w:tblGrid>
        <w:gridCol w:w="2410"/>
        <w:gridCol w:w="1190"/>
        <w:gridCol w:w="1191"/>
        <w:gridCol w:w="1190"/>
        <w:gridCol w:w="1191"/>
        <w:gridCol w:w="1191"/>
      </w:tblGrid>
      <w:tr w:rsidR="00B51828" w:rsidRPr="00F647C7" w14:paraId="51F92522" w14:textId="77777777" w:rsidTr="00E61184">
        <w:trPr>
          <w:trHeight w:val="212"/>
          <w:tblHeader/>
        </w:trPr>
        <w:tc>
          <w:tcPr>
            <w:tcW w:w="2410" w:type="dxa"/>
            <w:tcBorders>
              <w:bottom w:val="single" w:sz="4" w:space="0" w:color="auto"/>
            </w:tcBorders>
          </w:tcPr>
          <w:p w14:paraId="55E5019F" w14:textId="77777777" w:rsidR="00B51828" w:rsidRPr="00B5544C" w:rsidRDefault="00B51828" w:rsidP="002101D2">
            <w:pPr>
              <w:pStyle w:val="Tabletextboldleft"/>
              <w:spacing w:before="20" w:after="20"/>
            </w:pPr>
          </w:p>
        </w:tc>
        <w:tc>
          <w:tcPr>
            <w:tcW w:w="1190" w:type="dxa"/>
            <w:tcBorders>
              <w:bottom w:val="single" w:sz="4" w:space="0" w:color="auto"/>
            </w:tcBorders>
          </w:tcPr>
          <w:p w14:paraId="4D7C1FA8" w14:textId="77777777" w:rsidR="00B51828" w:rsidRDefault="00B51828" w:rsidP="002101D2">
            <w:pPr>
              <w:pStyle w:val="Tabletextboldleft"/>
              <w:spacing w:before="20" w:after="20"/>
              <w:jc w:val="right"/>
            </w:pPr>
            <w:r>
              <w:t>Year 1</w:t>
            </w:r>
          </w:p>
          <w:p w14:paraId="2DD74347" w14:textId="77777777" w:rsidR="00B51828" w:rsidRDefault="00B51828" w:rsidP="002101D2">
            <w:pPr>
              <w:pStyle w:val="Tabletextboldleft"/>
              <w:spacing w:before="20" w:after="20"/>
              <w:jc w:val="right"/>
              <w:rPr>
                <w:b w:val="0"/>
              </w:rPr>
            </w:pPr>
            <w:r>
              <w:t>(2015-16)</w:t>
            </w:r>
          </w:p>
        </w:tc>
        <w:tc>
          <w:tcPr>
            <w:tcW w:w="1191" w:type="dxa"/>
            <w:tcBorders>
              <w:bottom w:val="single" w:sz="4" w:space="0" w:color="auto"/>
            </w:tcBorders>
          </w:tcPr>
          <w:p w14:paraId="363CCD11" w14:textId="77777777" w:rsidR="00B51828" w:rsidRDefault="00B51828" w:rsidP="002101D2">
            <w:pPr>
              <w:pStyle w:val="Tabletextboldleft"/>
              <w:spacing w:before="20" w:after="20"/>
              <w:jc w:val="right"/>
            </w:pPr>
            <w:r>
              <w:t>Year 2</w:t>
            </w:r>
          </w:p>
          <w:p w14:paraId="5593C996" w14:textId="77777777" w:rsidR="00B51828" w:rsidRDefault="00B51828" w:rsidP="002101D2">
            <w:pPr>
              <w:pStyle w:val="Tabletextboldleft"/>
              <w:spacing w:before="20" w:after="20"/>
              <w:jc w:val="right"/>
              <w:rPr>
                <w:b w:val="0"/>
              </w:rPr>
            </w:pPr>
            <w:r>
              <w:t>(2016-17)</w:t>
            </w:r>
          </w:p>
        </w:tc>
        <w:tc>
          <w:tcPr>
            <w:tcW w:w="1190" w:type="dxa"/>
            <w:tcBorders>
              <w:bottom w:val="single" w:sz="4" w:space="0" w:color="auto"/>
            </w:tcBorders>
          </w:tcPr>
          <w:p w14:paraId="21A9531D" w14:textId="77777777" w:rsidR="00B51828" w:rsidRDefault="00B51828" w:rsidP="002101D2">
            <w:pPr>
              <w:pStyle w:val="Tabletextboldleft"/>
              <w:spacing w:before="20" w:after="20"/>
              <w:jc w:val="right"/>
            </w:pPr>
            <w:r>
              <w:t>Year 3</w:t>
            </w:r>
          </w:p>
          <w:p w14:paraId="77E64E48" w14:textId="77777777" w:rsidR="00B51828" w:rsidRDefault="00B51828" w:rsidP="002101D2">
            <w:pPr>
              <w:pStyle w:val="Tabletextboldleft"/>
              <w:spacing w:before="20" w:after="20"/>
              <w:jc w:val="right"/>
              <w:rPr>
                <w:b w:val="0"/>
              </w:rPr>
            </w:pPr>
            <w:r>
              <w:t>(2017-18)</w:t>
            </w:r>
          </w:p>
        </w:tc>
        <w:tc>
          <w:tcPr>
            <w:tcW w:w="1191" w:type="dxa"/>
            <w:tcBorders>
              <w:bottom w:val="single" w:sz="4" w:space="0" w:color="auto"/>
            </w:tcBorders>
          </w:tcPr>
          <w:p w14:paraId="59561CB0" w14:textId="77777777" w:rsidR="00B51828" w:rsidRDefault="00B51828" w:rsidP="002101D2">
            <w:pPr>
              <w:pStyle w:val="Tabletextboldleft"/>
              <w:spacing w:before="20" w:after="20"/>
              <w:jc w:val="right"/>
            </w:pPr>
            <w:r>
              <w:t>Year 4</w:t>
            </w:r>
          </w:p>
          <w:p w14:paraId="57976194" w14:textId="77777777" w:rsidR="00B51828" w:rsidRDefault="00B51828" w:rsidP="002101D2">
            <w:pPr>
              <w:pStyle w:val="Tabletextboldleft"/>
              <w:spacing w:before="20" w:after="20"/>
              <w:jc w:val="right"/>
              <w:rPr>
                <w:b w:val="0"/>
              </w:rPr>
            </w:pPr>
            <w:r>
              <w:t>(2018-19)</w:t>
            </w:r>
          </w:p>
        </w:tc>
        <w:tc>
          <w:tcPr>
            <w:tcW w:w="1191" w:type="dxa"/>
            <w:tcBorders>
              <w:bottom w:val="single" w:sz="4" w:space="0" w:color="auto"/>
            </w:tcBorders>
          </w:tcPr>
          <w:p w14:paraId="65875C35" w14:textId="77777777" w:rsidR="00B51828" w:rsidRDefault="00B51828" w:rsidP="002101D2">
            <w:pPr>
              <w:pStyle w:val="Tabletextboldleft"/>
              <w:spacing w:before="20" w:after="20"/>
              <w:jc w:val="right"/>
            </w:pPr>
            <w:r>
              <w:t>Year 5</w:t>
            </w:r>
          </w:p>
          <w:p w14:paraId="14E9373F" w14:textId="77777777" w:rsidR="00B51828" w:rsidRDefault="00B51828" w:rsidP="002101D2">
            <w:pPr>
              <w:pStyle w:val="Tabletextboldleft"/>
              <w:spacing w:before="20" w:after="20"/>
              <w:jc w:val="right"/>
              <w:rPr>
                <w:b w:val="0"/>
              </w:rPr>
            </w:pPr>
            <w:r>
              <w:t>(2019-20)</w:t>
            </w:r>
          </w:p>
        </w:tc>
      </w:tr>
      <w:tr w:rsidR="00B51828" w:rsidRPr="00F647C7" w14:paraId="0359BF64" w14:textId="77777777" w:rsidTr="00E61184">
        <w:trPr>
          <w:trHeight w:val="212"/>
        </w:trPr>
        <w:tc>
          <w:tcPr>
            <w:tcW w:w="2410" w:type="dxa"/>
            <w:tcBorders>
              <w:bottom w:val="single" w:sz="4" w:space="0" w:color="auto"/>
            </w:tcBorders>
            <w:shd w:val="clear" w:color="auto" w:fill="D0CECE" w:themeFill="background2" w:themeFillShade="E6"/>
          </w:tcPr>
          <w:p w14:paraId="5E125A7F" w14:textId="77777777" w:rsidR="00B51828" w:rsidRPr="00386763" w:rsidRDefault="00B51828" w:rsidP="002101D2">
            <w:pPr>
              <w:pStyle w:val="Tabletextboldleft"/>
              <w:spacing w:before="20" w:after="20"/>
            </w:pPr>
            <w:r>
              <w:rPr>
                <w:i/>
              </w:rPr>
              <w:t>Scenario 1</w:t>
            </w:r>
          </w:p>
        </w:tc>
        <w:tc>
          <w:tcPr>
            <w:tcW w:w="1190" w:type="dxa"/>
            <w:tcBorders>
              <w:bottom w:val="single" w:sz="4" w:space="0" w:color="auto"/>
            </w:tcBorders>
            <w:shd w:val="clear" w:color="auto" w:fill="D0CECE" w:themeFill="background2" w:themeFillShade="E6"/>
          </w:tcPr>
          <w:p w14:paraId="0126AF7B"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4426A008" w14:textId="77777777" w:rsidR="00B51828" w:rsidRPr="002D0B57" w:rsidRDefault="00B51828" w:rsidP="002101D2">
            <w:pPr>
              <w:pStyle w:val="Tabletextboldleft"/>
              <w:spacing w:before="20" w:after="20"/>
              <w:jc w:val="right"/>
              <w:rPr>
                <w:b w:val="0"/>
              </w:rPr>
            </w:pPr>
            <w:r>
              <w:rPr>
                <w:b w:val="0"/>
              </w:rPr>
              <w:t>-</w:t>
            </w:r>
          </w:p>
        </w:tc>
        <w:tc>
          <w:tcPr>
            <w:tcW w:w="1190" w:type="dxa"/>
            <w:tcBorders>
              <w:bottom w:val="single" w:sz="4" w:space="0" w:color="auto"/>
            </w:tcBorders>
            <w:shd w:val="clear" w:color="auto" w:fill="D0CECE" w:themeFill="background2" w:themeFillShade="E6"/>
          </w:tcPr>
          <w:p w14:paraId="18D61C0A"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68FE755C" w14:textId="77777777" w:rsidR="00B51828" w:rsidRPr="002D0B57" w:rsidRDefault="00B51828" w:rsidP="002101D2">
            <w:pPr>
              <w:pStyle w:val="Tabletextboldleft"/>
              <w:spacing w:before="20" w:after="20"/>
              <w:jc w:val="right"/>
              <w:rPr>
                <w:b w:val="0"/>
              </w:rPr>
            </w:pPr>
            <w:r>
              <w:rPr>
                <w:b w:val="0"/>
              </w:rPr>
              <w:t>-</w:t>
            </w:r>
          </w:p>
        </w:tc>
        <w:tc>
          <w:tcPr>
            <w:tcW w:w="1191" w:type="dxa"/>
            <w:tcBorders>
              <w:bottom w:val="single" w:sz="4" w:space="0" w:color="auto"/>
            </w:tcBorders>
            <w:shd w:val="clear" w:color="auto" w:fill="D0CECE" w:themeFill="background2" w:themeFillShade="E6"/>
          </w:tcPr>
          <w:p w14:paraId="04E94070" w14:textId="77777777" w:rsidR="00B51828" w:rsidRPr="002D0B57" w:rsidRDefault="00B51828" w:rsidP="002101D2">
            <w:pPr>
              <w:pStyle w:val="Tabletextboldleft"/>
              <w:spacing w:before="20" w:after="20"/>
              <w:jc w:val="right"/>
              <w:rPr>
                <w:b w:val="0"/>
              </w:rPr>
            </w:pPr>
            <w:r>
              <w:rPr>
                <w:b w:val="0"/>
              </w:rPr>
              <w:t>-</w:t>
            </w:r>
          </w:p>
        </w:tc>
      </w:tr>
      <w:tr w:rsidR="00B51828" w:rsidRPr="00F647C7" w14:paraId="3F4BEEBF" w14:textId="77777777" w:rsidTr="00E61184">
        <w:trPr>
          <w:trHeight w:val="212"/>
        </w:trPr>
        <w:tc>
          <w:tcPr>
            <w:tcW w:w="2410" w:type="dxa"/>
            <w:tcBorders>
              <w:bottom w:val="nil"/>
            </w:tcBorders>
          </w:tcPr>
          <w:p w14:paraId="2510035F" w14:textId="77777777" w:rsidR="00B51828" w:rsidRPr="00386763" w:rsidRDefault="00B51828" w:rsidP="002101D2">
            <w:pPr>
              <w:pStyle w:val="Tabletextboldleft"/>
              <w:spacing w:before="20" w:after="20"/>
            </w:pPr>
            <w:r w:rsidRPr="00386763">
              <w:rPr>
                <w:b w:val="0"/>
              </w:rPr>
              <w:t>Tissue pathology</w:t>
            </w:r>
            <w:r w:rsidRPr="00386763">
              <w:rPr>
                <w:b w:val="0"/>
                <w:vertAlign w:val="superscript"/>
              </w:rPr>
              <w:t>a</w:t>
            </w:r>
          </w:p>
        </w:tc>
        <w:tc>
          <w:tcPr>
            <w:tcW w:w="1190" w:type="dxa"/>
            <w:tcBorders>
              <w:bottom w:val="nil"/>
            </w:tcBorders>
          </w:tcPr>
          <w:p w14:paraId="725E1525" w14:textId="77777777" w:rsidR="00B51828" w:rsidRPr="00B77182" w:rsidRDefault="00B51828" w:rsidP="002101D2">
            <w:pPr>
              <w:pStyle w:val="Tabletextboldleft"/>
              <w:spacing w:before="20" w:after="20"/>
              <w:jc w:val="right"/>
              <w:rPr>
                <w:b w:val="0"/>
              </w:rPr>
            </w:pPr>
            <w:r w:rsidRPr="00B77182">
              <w:rPr>
                <w:b w:val="0"/>
                <w:color w:val="000000"/>
              </w:rPr>
              <w:t>21,495</w:t>
            </w:r>
          </w:p>
        </w:tc>
        <w:tc>
          <w:tcPr>
            <w:tcW w:w="1191" w:type="dxa"/>
            <w:tcBorders>
              <w:bottom w:val="nil"/>
            </w:tcBorders>
          </w:tcPr>
          <w:p w14:paraId="1E5E3124" w14:textId="77777777" w:rsidR="00B51828" w:rsidRPr="00B77182" w:rsidRDefault="00B51828" w:rsidP="002101D2">
            <w:pPr>
              <w:pStyle w:val="Tabletextboldleft"/>
              <w:spacing w:before="20" w:after="20"/>
              <w:jc w:val="right"/>
              <w:rPr>
                <w:b w:val="0"/>
              </w:rPr>
            </w:pPr>
            <w:r w:rsidRPr="00B77182">
              <w:rPr>
                <w:b w:val="0"/>
                <w:color w:val="000000"/>
              </w:rPr>
              <w:t>22,274</w:t>
            </w:r>
          </w:p>
        </w:tc>
        <w:tc>
          <w:tcPr>
            <w:tcW w:w="1190" w:type="dxa"/>
            <w:tcBorders>
              <w:bottom w:val="nil"/>
            </w:tcBorders>
          </w:tcPr>
          <w:p w14:paraId="1E8FFFEE" w14:textId="77777777" w:rsidR="00B51828" w:rsidRPr="00B77182" w:rsidRDefault="00B51828" w:rsidP="002101D2">
            <w:pPr>
              <w:pStyle w:val="Tabletextboldleft"/>
              <w:spacing w:before="20" w:after="20"/>
              <w:jc w:val="right"/>
              <w:rPr>
                <w:b w:val="0"/>
              </w:rPr>
            </w:pPr>
            <w:r w:rsidRPr="00B77182">
              <w:rPr>
                <w:b w:val="0"/>
                <w:color w:val="000000"/>
              </w:rPr>
              <w:t>23,053</w:t>
            </w:r>
          </w:p>
        </w:tc>
        <w:tc>
          <w:tcPr>
            <w:tcW w:w="1191" w:type="dxa"/>
            <w:tcBorders>
              <w:bottom w:val="nil"/>
            </w:tcBorders>
          </w:tcPr>
          <w:p w14:paraId="155A1CBD" w14:textId="77777777" w:rsidR="00B51828" w:rsidRPr="00B77182" w:rsidRDefault="00B51828" w:rsidP="002101D2">
            <w:pPr>
              <w:pStyle w:val="Tabletextboldleft"/>
              <w:spacing w:before="20" w:after="20"/>
              <w:jc w:val="right"/>
              <w:rPr>
                <w:b w:val="0"/>
              </w:rPr>
            </w:pPr>
            <w:r w:rsidRPr="00B77182">
              <w:rPr>
                <w:b w:val="0"/>
                <w:color w:val="000000"/>
              </w:rPr>
              <w:t>23,832</w:t>
            </w:r>
          </w:p>
        </w:tc>
        <w:tc>
          <w:tcPr>
            <w:tcW w:w="1191" w:type="dxa"/>
            <w:tcBorders>
              <w:bottom w:val="nil"/>
            </w:tcBorders>
          </w:tcPr>
          <w:p w14:paraId="3D0D38E1" w14:textId="77777777" w:rsidR="00B51828" w:rsidRPr="00B77182" w:rsidRDefault="00B51828" w:rsidP="002101D2">
            <w:pPr>
              <w:pStyle w:val="Tabletextboldleft"/>
              <w:spacing w:before="20" w:after="20"/>
              <w:jc w:val="right"/>
              <w:rPr>
                <w:b w:val="0"/>
              </w:rPr>
            </w:pPr>
            <w:r w:rsidRPr="00B77182">
              <w:rPr>
                <w:b w:val="0"/>
                <w:color w:val="000000"/>
              </w:rPr>
              <w:t>24,610</w:t>
            </w:r>
          </w:p>
        </w:tc>
      </w:tr>
      <w:tr w:rsidR="00B51828" w:rsidRPr="00F647C7" w14:paraId="34C4EE72" w14:textId="77777777" w:rsidTr="00E61184">
        <w:trPr>
          <w:trHeight w:val="212"/>
        </w:trPr>
        <w:tc>
          <w:tcPr>
            <w:tcW w:w="2410" w:type="dxa"/>
            <w:tcBorders>
              <w:top w:val="nil"/>
              <w:bottom w:val="nil"/>
            </w:tcBorders>
          </w:tcPr>
          <w:p w14:paraId="5F12FB83" w14:textId="77777777" w:rsidR="00B51828" w:rsidRPr="003804E4" w:rsidRDefault="00B51828" w:rsidP="002101D2">
            <w:pPr>
              <w:pStyle w:val="Tabletextboldleft"/>
              <w:spacing w:before="20" w:after="20"/>
              <w:ind w:firstLine="317"/>
              <w:rPr>
                <w:b w:val="0"/>
              </w:rPr>
            </w:pPr>
            <w:r w:rsidRPr="00386763">
              <w:rPr>
                <w:b w:val="0"/>
              </w:rPr>
              <w:t>Complex</w:t>
            </w:r>
          </w:p>
        </w:tc>
        <w:tc>
          <w:tcPr>
            <w:tcW w:w="1190" w:type="dxa"/>
            <w:tcBorders>
              <w:top w:val="nil"/>
              <w:bottom w:val="nil"/>
            </w:tcBorders>
          </w:tcPr>
          <w:p w14:paraId="7647C088" w14:textId="77777777" w:rsidR="00B51828" w:rsidRPr="00B77182" w:rsidRDefault="00B51828" w:rsidP="002101D2">
            <w:pPr>
              <w:pStyle w:val="Tabletextboldleft"/>
              <w:spacing w:before="20" w:after="20"/>
              <w:jc w:val="right"/>
              <w:rPr>
                <w:b w:val="0"/>
              </w:rPr>
            </w:pPr>
            <w:r w:rsidRPr="00B77182">
              <w:rPr>
                <w:b w:val="0"/>
                <w:color w:val="000000"/>
              </w:rPr>
              <w:t>10,835</w:t>
            </w:r>
          </w:p>
        </w:tc>
        <w:tc>
          <w:tcPr>
            <w:tcW w:w="1191" w:type="dxa"/>
            <w:tcBorders>
              <w:top w:val="nil"/>
              <w:bottom w:val="nil"/>
            </w:tcBorders>
          </w:tcPr>
          <w:p w14:paraId="39B2097B" w14:textId="77777777" w:rsidR="00B51828" w:rsidRPr="00B77182" w:rsidRDefault="00B51828" w:rsidP="002101D2">
            <w:pPr>
              <w:pStyle w:val="Tabletextboldleft"/>
              <w:spacing w:before="20" w:after="20"/>
              <w:jc w:val="right"/>
              <w:rPr>
                <w:b w:val="0"/>
              </w:rPr>
            </w:pPr>
            <w:r w:rsidRPr="00B77182">
              <w:rPr>
                <w:b w:val="0"/>
                <w:color w:val="000000"/>
              </w:rPr>
              <w:t>11,228</w:t>
            </w:r>
          </w:p>
        </w:tc>
        <w:tc>
          <w:tcPr>
            <w:tcW w:w="1190" w:type="dxa"/>
            <w:tcBorders>
              <w:top w:val="nil"/>
              <w:bottom w:val="nil"/>
            </w:tcBorders>
          </w:tcPr>
          <w:p w14:paraId="7E22990F" w14:textId="77777777" w:rsidR="00B51828" w:rsidRPr="00B77182" w:rsidRDefault="00B51828" w:rsidP="002101D2">
            <w:pPr>
              <w:pStyle w:val="Tabletextboldleft"/>
              <w:spacing w:before="20" w:after="20"/>
              <w:jc w:val="right"/>
              <w:rPr>
                <w:b w:val="0"/>
              </w:rPr>
            </w:pPr>
            <w:r w:rsidRPr="00B77182">
              <w:rPr>
                <w:b w:val="0"/>
                <w:color w:val="000000"/>
              </w:rPr>
              <w:t>11,620</w:t>
            </w:r>
          </w:p>
        </w:tc>
        <w:tc>
          <w:tcPr>
            <w:tcW w:w="1191" w:type="dxa"/>
            <w:tcBorders>
              <w:top w:val="nil"/>
              <w:bottom w:val="nil"/>
            </w:tcBorders>
          </w:tcPr>
          <w:p w14:paraId="1056CB70" w14:textId="77777777" w:rsidR="00B51828" w:rsidRPr="00B77182" w:rsidRDefault="00B51828" w:rsidP="002101D2">
            <w:pPr>
              <w:pStyle w:val="Tabletextboldleft"/>
              <w:spacing w:before="20" w:after="20"/>
              <w:jc w:val="right"/>
              <w:rPr>
                <w:b w:val="0"/>
              </w:rPr>
            </w:pPr>
            <w:r w:rsidRPr="00B77182">
              <w:rPr>
                <w:b w:val="0"/>
                <w:color w:val="000000"/>
              </w:rPr>
              <w:t>12,013</w:t>
            </w:r>
          </w:p>
        </w:tc>
        <w:tc>
          <w:tcPr>
            <w:tcW w:w="1191" w:type="dxa"/>
            <w:tcBorders>
              <w:top w:val="nil"/>
              <w:bottom w:val="nil"/>
            </w:tcBorders>
          </w:tcPr>
          <w:p w14:paraId="6CC74C3F" w14:textId="77777777" w:rsidR="00B51828" w:rsidRPr="00B77182" w:rsidRDefault="00B51828" w:rsidP="002101D2">
            <w:pPr>
              <w:pStyle w:val="Tabletextboldleft"/>
              <w:spacing w:before="20" w:after="20"/>
              <w:jc w:val="right"/>
              <w:rPr>
                <w:b w:val="0"/>
              </w:rPr>
            </w:pPr>
            <w:r w:rsidRPr="00B77182">
              <w:rPr>
                <w:b w:val="0"/>
                <w:color w:val="000000"/>
              </w:rPr>
              <w:t>12,405</w:t>
            </w:r>
          </w:p>
        </w:tc>
      </w:tr>
      <w:tr w:rsidR="00B51828" w:rsidRPr="00F647C7" w14:paraId="3646C24D" w14:textId="77777777" w:rsidTr="00E61184">
        <w:trPr>
          <w:trHeight w:val="212"/>
        </w:trPr>
        <w:tc>
          <w:tcPr>
            <w:tcW w:w="2410" w:type="dxa"/>
            <w:tcBorders>
              <w:top w:val="nil"/>
              <w:bottom w:val="single" w:sz="4" w:space="0" w:color="auto"/>
            </w:tcBorders>
          </w:tcPr>
          <w:p w14:paraId="01FC5213" w14:textId="77777777" w:rsidR="00B51828" w:rsidRPr="003804E4" w:rsidRDefault="00B51828" w:rsidP="002101D2">
            <w:pPr>
              <w:pStyle w:val="Tabletextboldleft"/>
              <w:spacing w:before="20" w:after="20"/>
              <w:ind w:firstLine="317"/>
              <w:rPr>
                <w:b w:val="0"/>
              </w:rPr>
            </w:pPr>
            <w:r w:rsidRPr="00386763">
              <w:rPr>
                <w:b w:val="0"/>
              </w:rPr>
              <w:t>Non-complex</w:t>
            </w:r>
          </w:p>
        </w:tc>
        <w:tc>
          <w:tcPr>
            <w:tcW w:w="1190" w:type="dxa"/>
            <w:tcBorders>
              <w:top w:val="nil"/>
              <w:bottom w:val="single" w:sz="4" w:space="0" w:color="auto"/>
            </w:tcBorders>
          </w:tcPr>
          <w:p w14:paraId="47E56164" w14:textId="77777777" w:rsidR="00B51828" w:rsidRPr="00B77182" w:rsidRDefault="00B51828" w:rsidP="002101D2">
            <w:pPr>
              <w:pStyle w:val="Tabletextboldleft"/>
              <w:spacing w:before="20" w:after="20"/>
              <w:jc w:val="right"/>
              <w:rPr>
                <w:b w:val="0"/>
              </w:rPr>
            </w:pPr>
            <w:r w:rsidRPr="00B77182">
              <w:rPr>
                <w:b w:val="0"/>
                <w:color w:val="000000"/>
              </w:rPr>
              <w:t>10,660</w:t>
            </w:r>
          </w:p>
        </w:tc>
        <w:tc>
          <w:tcPr>
            <w:tcW w:w="1191" w:type="dxa"/>
            <w:tcBorders>
              <w:top w:val="nil"/>
              <w:bottom w:val="single" w:sz="4" w:space="0" w:color="auto"/>
            </w:tcBorders>
          </w:tcPr>
          <w:p w14:paraId="45D625E7" w14:textId="77777777" w:rsidR="00B51828" w:rsidRPr="00B77182" w:rsidRDefault="00B51828" w:rsidP="002101D2">
            <w:pPr>
              <w:pStyle w:val="Tabletextboldleft"/>
              <w:spacing w:before="20" w:after="20"/>
              <w:jc w:val="right"/>
              <w:rPr>
                <w:b w:val="0"/>
              </w:rPr>
            </w:pPr>
            <w:r w:rsidRPr="00B77182">
              <w:rPr>
                <w:b w:val="0"/>
                <w:color w:val="000000"/>
              </w:rPr>
              <w:t>11,046</w:t>
            </w:r>
          </w:p>
        </w:tc>
        <w:tc>
          <w:tcPr>
            <w:tcW w:w="1190" w:type="dxa"/>
            <w:tcBorders>
              <w:top w:val="nil"/>
              <w:bottom w:val="single" w:sz="4" w:space="0" w:color="auto"/>
            </w:tcBorders>
          </w:tcPr>
          <w:p w14:paraId="4378E0F7" w14:textId="77777777" w:rsidR="00B51828" w:rsidRPr="00B77182" w:rsidRDefault="00B51828" w:rsidP="002101D2">
            <w:pPr>
              <w:pStyle w:val="Tabletextboldleft"/>
              <w:spacing w:before="20" w:after="20"/>
              <w:jc w:val="right"/>
              <w:rPr>
                <w:b w:val="0"/>
              </w:rPr>
            </w:pPr>
            <w:r w:rsidRPr="00B77182">
              <w:rPr>
                <w:b w:val="0"/>
                <w:color w:val="000000"/>
              </w:rPr>
              <w:t>11,433</w:t>
            </w:r>
          </w:p>
        </w:tc>
        <w:tc>
          <w:tcPr>
            <w:tcW w:w="1191" w:type="dxa"/>
            <w:tcBorders>
              <w:top w:val="nil"/>
              <w:bottom w:val="single" w:sz="4" w:space="0" w:color="auto"/>
            </w:tcBorders>
          </w:tcPr>
          <w:p w14:paraId="0F5B399A" w14:textId="77777777" w:rsidR="00B51828" w:rsidRPr="00B77182" w:rsidRDefault="00B51828" w:rsidP="002101D2">
            <w:pPr>
              <w:pStyle w:val="Tabletextboldleft"/>
              <w:spacing w:before="20" w:after="20"/>
              <w:jc w:val="right"/>
              <w:rPr>
                <w:b w:val="0"/>
              </w:rPr>
            </w:pPr>
            <w:r w:rsidRPr="00B77182">
              <w:rPr>
                <w:b w:val="0"/>
                <w:color w:val="000000"/>
              </w:rPr>
              <w:t>11,819</w:t>
            </w:r>
          </w:p>
        </w:tc>
        <w:tc>
          <w:tcPr>
            <w:tcW w:w="1191" w:type="dxa"/>
            <w:tcBorders>
              <w:top w:val="nil"/>
              <w:bottom w:val="single" w:sz="4" w:space="0" w:color="auto"/>
            </w:tcBorders>
          </w:tcPr>
          <w:p w14:paraId="39BD8291" w14:textId="77777777" w:rsidR="00B51828" w:rsidRPr="00B77182" w:rsidRDefault="00B51828" w:rsidP="002101D2">
            <w:pPr>
              <w:pStyle w:val="Tabletextboldleft"/>
              <w:spacing w:before="20" w:after="20"/>
              <w:jc w:val="right"/>
              <w:rPr>
                <w:b w:val="0"/>
              </w:rPr>
            </w:pPr>
            <w:r w:rsidRPr="00B77182">
              <w:rPr>
                <w:b w:val="0"/>
                <w:color w:val="000000"/>
              </w:rPr>
              <w:t>12,205</w:t>
            </w:r>
          </w:p>
        </w:tc>
      </w:tr>
      <w:tr w:rsidR="000A51A6" w:rsidRPr="00F647C7" w14:paraId="427EBFC5" w14:textId="77777777" w:rsidTr="00E61184">
        <w:trPr>
          <w:trHeight w:val="212"/>
        </w:trPr>
        <w:tc>
          <w:tcPr>
            <w:tcW w:w="2410" w:type="dxa"/>
            <w:tcBorders>
              <w:bottom w:val="nil"/>
            </w:tcBorders>
          </w:tcPr>
          <w:p w14:paraId="5398E4B4" w14:textId="77777777" w:rsidR="000A51A6" w:rsidRPr="00386763" w:rsidRDefault="000A51A6" w:rsidP="000A51A6">
            <w:pPr>
              <w:pStyle w:val="Tabletextboldleft"/>
              <w:spacing w:before="20" w:after="20"/>
            </w:pPr>
            <w:r w:rsidRPr="00F411CD">
              <w:rPr>
                <w:b w:val="0"/>
              </w:rPr>
              <w:t>Non-gynaecological cytology</w:t>
            </w:r>
          </w:p>
        </w:tc>
        <w:tc>
          <w:tcPr>
            <w:tcW w:w="1190" w:type="dxa"/>
            <w:tcBorders>
              <w:bottom w:val="nil"/>
            </w:tcBorders>
            <w:vAlign w:val="bottom"/>
          </w:tcPr>
          <w:p w14:paraId="2B8ABA57" w14:textId="0776159D" w:rsidR="000A51A6" w:rsidRPr="000A51A6" w:rsidRDefault="000A51A6" w:rsidP="000A51A6">
            <w:pPr>
              <w:pStyle w:val="Tabletextboldleft"/>
              <w:spacing w:before="20" w:after="20"/>
              <w:jc w:val="right"/>
              <w:rPr>
                <w:b w:val="0"/>
              </w:rPr>
            </w:pPr>
            <w:r w:rsidRPr="000A51A6">
              <w:rPr>
                <w:b w:val="0"/>
                <w:color w:val="000000"/>
              </w:rPr>
              <w:t>1164</w:t>
            </w:r>
          </w:p>
        </w:tc>
        <w:tc>
          <w:tcPr>
            <w:tcW w:w="1191" w:type="dxa"/>
            <w:tcBorders>
              <w:bottom w:val="nil"/>
            </w:tcBorders>
            <w:vAlign w:val="bottom"/>
          </w:tcPr>
          <w:p w14:paraId="041B5322" w14:textId="5827E57A" w:rsidR="000A51A6" w:rsidRPr="000A51A6" w:rsidRDefault="000A51A6" w:rsidP="000A51A6">
            <w:pPr>
              <w:pStyle w:val="Tabletextboldleft"/>
              <w:spacing w:before="20" w:after="20"/>
              <w:jc w:val="right"/>
              <w:rPr>
                <w:b w:val="0"/>
              </w:rPr>
            </w:pPr>
            <w:r w:rsidRPr="000A51A6">
              <w:rPr>
                <w:b w:val="0"/>
                <w:color w:val="000000"/>
              </w:rPr>
              <w:t>1198</w:t>
            </w:r>
          </w:p>
        </w:tc>
        <w:tc>
          <w:tcPr>
            <w:tcW w:w="1190" w:type="dxa"/>
            <w:tcBorders>
              <w:bottom w:val="nil"/>
            </w:tcBorders>
            <w:vAlign w:val="bottom"/>
          </w:tcPr>
          <w:p w14:paraId="2750E352" w14:textId="0D9B5111" w:rsidR="000A51A6" w:rsidRPr="000A51A6" w:rsidRDefault="000A51A6" w:rsidP="000A51A6">
            <w:pPr>
              <w:pStyle w:val="Tabletextboldleft"/>
              <w:spacing w:before="20" w:after="20"/>
              <w:jc w:val="right"/>
              <w:rPr>
                <w:b w:val="0"/>
              </w:rPr>
            </w:pPr>
            <w:r w:rsidRPr="000A51A6">
              <w:rPr>
                <w:b w:val="0"/>
                <w:color w:val="000000"/>
              </w:rPr>
              <w:t>1232</w:t>
            </w:r>
          </w:p>
        </w:tc>
        <w:tc>
          <w:tcPr>
            <w:tcW w:w="1191" w:type="dxa"/>
            <w:tcBorders>
              <w:bottom w:val="nil"/>
            </w:tcBorders>
            <w:vAlign w:val="bottom"/>
          </w:tcPr>
          <w:p w14:paraId="652D7B75" w14:textId="1A81A131" w:rsidR="000A51A6" w:rsidRPr="000A51A6" w:rsidRDefault="000A51A6" w:rsidP="000A51A6">
            <w:pPr>
              <w:pStyle w:val="Tabletextboldleft"/>
              <w:spacing w:before="20" w:after="20"/>
              <w:jc w:val="right"/>
              <w:rPr>
                <w:b w:val="0"/>
              </w:rPr>
            </w:pPr>
            <w:r w:rsidRPr="000A51A6">
              <w:rPr>
                <w:b w:val="0"/>
                <w:color w:val="000000"/>
              </w:rPr>
              <w:t>1265</w:t>
            </w:r>
          </w:p>
        </w:tc>
        <w:tc>
          <w:tcPr>
            <w:tcW w:w="1191" w:type="dxa"/>
            <w:tcBorders>
              <w:bottom w:val="nil"/>
            </w:tcBorders>
            <w:vAlign w:val="bottom"/>
          </w:tcPr>
          <w:p w14:paraId="1CE619F6" w14:textId="7A118820" w:rsidR="000A51A6" w:rsidRPr="000A51A6" w:rsidRDefault="000A51A6" w:rsidP="000A51A6">
            <w:pPr>
              <w:pStyle w:val="Tabletextboldleft"/>
              <w:spacing w:before="20" w:after="20"/>
              <w:jc w:val="right"/>
              <w:rPr>
                <w:b w:val="0"/>
              </w:rPr>
            </w:pPr>
            <w:r w:rsidRPr="000A51A6">
              <w:rPr>
                <w:b w:val="0"/>
                <w:color w:val="000000"/>
              </w:rPr>
              <w:t>1299</w:t>
            </w:r>
          </w:p>
        </w:tc>
      </w:tr>
      <w:tr w:rsidR="000A51A6" w:rsidRPr="00F647C7" w14:paraId="5AB12784" w14:textId="77777777" w:rsidTr="00E61184">
        <w:trPr>
          <w:trHeight w:val="212"/>
        </w:trPr>
        <w:tc>
          <w:tcPr>
            <w:tcW w:w="2410" w:type="dxa"/>
            <w:tcBorders>
              <w:top w:val="nil"/>
              <w:bottom w:val="nil"/>
            </w:tcBorders>
          </w:tcPr>
          <w:p w14:paraId="138FB466" w14:textId="77777777" w:rsidR="000A51A6" w:rsidRPr="003804E4" w:rsidRDefault="000A51A6" w:rsidP="000A51A6">
            <w:pPr>
              <w:pStyle w:val="Tabletextboldleft"/>
              <w:spacing w:before="20" w:after="20"/>
              <w:ind w:firstLine="317"/>
              <w:rPr>
                <w:b w:val="0"/>
              </w:rPr>
            </w:pPr>
            <w:r w:rsidRPr="00F411CD">
              <w:rPr>
                <w:b w:val="0"/>
              </w:rPr>
              <w:t>Complex</w:t>
            </w:r>
          </w:p>
        </w:tc>
        <w:tc>
          <w:tcPr>
            <w:tcW w:w="1190" w:type="dxa"/>
            <w:tcBorders>
              <w:top w:val="nil"/>
              <w:bottom w:val="nil"/>
            </w:tcBorders>
            <w:vAlign w:val="bottom"/>
          </w:tcPr>
          <w:p w14:paraId="0B0859A4" w14:textId="0DA01DBA" w:rsidR="000A51A6" w:rsidRPr="000A51A6" w:rsidRDefault="000A51A6" w:rsidP="000A51A6">
            <w:pPr>
              <w:pStyle w:val="Tabletextboldleft"/>
              <w:spacing w:before="20" w:after="20"/>
              <w:jc w:val="right"/>
              <w:rPr>
                <w:b w:val="0"/>
              </w:rPr>
            </w:pPr>
            <w:r w:rsidRPr="000A51A6">
              <w:rPr>
                <w:b w:val="0"/>
                <w:color w:val="000000"/>
              </w:rPr>
              <w:t>211</w:t>
            </w:r>
          </w:p>
        </w:tc>
        <w:tc>
          <w:tcPr>
            <w:tcW w:w="1191" w:type="dxa"/>
            <w:tcBorders>
              <w:top w:val="nil"/>
              <w:bottom w:val="nil"/>
            </w:tcBorders>
            <w:vAlign w:val="bottom"/>
          </w:tcPr>
          <w:p w14:paraId="5A639EFA" w14:textId="52A123D6" w:rsidR="000A51A6" w:rsidRPr="000A51A6" w:rsidRDefault="000A51A6" w:rsidP="000A51A6">
            <w:pPr>
              <w:pStyle w:val="Tabletextboldleft"/>
              <w:spacing w:before="20" w:after="20"/>
              <w:jc w:val="right"/>
              <w:rPr>
                <w:b w:val="0"/>
              </w:rPr>
            </w:pPr>
            <w:r w:rsidRPr="000A51A6">
              <w:rPr>
                <w:b w:val="0"/>
                <w:color w:val="000000"/>
              </w:rPr>
              <w:t>218</w:t>
            </w:r>
          </w:p>
        </w:tc>
        <w:tc>
          <w:tcPr>
            <w:tcW w:w="1190" w:type="dxa"/>
            <w:tcBorders>
              <w:top w:val="nil"/>
              <w:bottom w:val="nil"/>
            </w:tcBorders>
            <w:vAlign w:val="bottom"/>
          </w:tcPr>
          <w:p w14:paraId="3AD6B1B7" w14:textId="0AE8BC96" w:rsidR="000A51A6" w:rsidRPr="000A51A6" w:rsidRDefault="000A51A6" w:rsidP="000A51A6">
            <w:pPr>
              <w:pStyle w:val="Tabletextboldleft"/>
              <w:spacing w:before="20" w:after="20"/>
              <w:jc w:val="right"/>
              <w:rPr>
                <w:b w:val="0"/>
              </w:rPr>
            </w:pPr>
            <w:r w:rsidRPr="000A51A6">
              <w:rPr>
                <w:b w:val="0"/>
                <w:color w:val="000000"/>
              </w:rPr>
              <w:t>224</w:t>
            </w:r>
          </w:p>
        </w:tc>
        <w:tc>
          <w:tcPr>
            <w:tcW w:w="1191" w:type="dxa"/>
            <w:tcBorders>
              <w:top w:val="nil"/>
              <w:bottom w:val="nil"/>
            </w:tcBorders>
            <w:vAlign w:val="bottom"/>
          </w:tcPr>
          <w:p w14:paraId="596C8B9A" w14:textId="1D9772ED" w:rsidR="000A51A6" w:rsidRPr="000A51A6" w:rsidRDefault="000A51A6" w:rsidP="000A51A6">
            <w:pPr>
              <w:pStyle w:val="Tabletextboldleft"/>
              <w:spacing w:before="20" w:after="20"/>
              <w:jc w:val="right"/>
              <w:rPr>
                <w:b w:val="0"/>
              </w:rPr>
            </w:pPr>
            <w:r w:rsidRPr="000A51A6">
              <w:rPr>
                <w:b w:val="0"/>
                <w:color w:val="000000"/>
              </w:rPr>
              <w:t>230</w:t>
            </w:r>
          </w:p>
        </w:tc>
        <w:tc>
          <w:tcPr>
            <w:tcW w:w="1191" w:type="dxa"/>
            <w:tcBorders>
              <w:top w:val="nil"/>
              <w:bottom w:val="nil"/>
            </w:tcBorders>
            <w:vAlign w:val="bottom"/>
          </w:tcPr>
          <w:p w14:paraId="34346FC8" w14:textId="5620BCEC" w:rsidR="000A51A6" w:rsidRPr="000A51A6" w:rsidRDefault="000A51A6" w:rsidP="000A51A6">
            <w:pPr>
              <w:pStyle w:val="Tabletextboldleft"/>
              <w:spacing w:before="20" w:after="20"/>
              <w:jc w:val="right"/>
              <w:rPr>
                <w:b w:val="0"/>
              </w:rPr>
            </w:pPr>
            <w:r w:rsidRPr="000A51A6">
              <w:rPr>
                <w:b w:val="0"/>
                <w:color w:val="000000"/>
              </w:rPr>
              <w:t>236</w:t>
            </w:r>
          </w:p>
        </w:tc>
      </w:tr>
      <w:tr w:rsidR="000A51A6" w:rsidRPr="00F647C7" w14:paraId="76348E9E" w14:textId="77777777" w:rsidTr="00E61184">
        <w:trPr>
          <w:trHeight w:val="212"/>
        </w:trPr>
        <w:tc>
          <w:tcPr>
            <w:tcW w:w="2410" w:type="dxa"/>
            <w:tcBorders>
              <w:top w:val="nil"/>
              <w:bottom w:val="single" w:sz="4" w:space="0" w:color="auto"/>
            </w:tcBorders>
          </w:tcPr>
          <w:p w14:paraId="5945E751" w14:textId="77777777" w:rsidR="000A51A6" w:rsidRPr="003804E4" w:rsidRDefault="000A51A6" w:rsidP="000A51A6">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vAlign w:val="bottom"/>
          </w:tcPr>
          <w:p w14:paraId="69C7EBA2" w14:textId="40FC86DF" w:rsidR="000A51A6" w:rsidRPr="000A51A6" w:rsidRDefault="000A51A6" w:rsidP="000A51A6">
            <w:pPr>
              <w:pStyle w:val="Tabletextboldleft"/>
              <w:spacing w:before="20" w:after="20"/>
              <w:jc w:val="right"/>
              <w:rPr>
                <w:b w:val="0"/>
              </w:rPr>
            </w:pPr>
            <w:r w:rsidRPr="000A51A6">
              <w:rPr>
                <w:b w:val="0"/>
                <w:color w:val="000000"/>
              </w:rPr>
              <w:t>953</w:t>
            </w:r>
          </w:p>
        </w:tc>
        <w:tc>
          <w:tcPr>
            <w:tcW w:w="1191" w:type="dxa"/>
            <w:tcBorders>
              <w:top w:val="nil"/>
              <w:bottom w:val="single" w:sz="4" w:space="0" w:color="auto"/>
            </w:tcBorders>
            <w:vAlign w:val="bottom"/>
          </w:tcPr>
          <w:p w14:paraId="35A7A48E" w14:textId="32CEEA63" w:rsidR="000A51A6" w:rsidRPr="000A51A6" w:rsidRDefault="000A51A6" w:rsidP="000A51A6">
            <w:pPr>
              <w:pStyle w:val="Tabletextboldleft"/>
              <w:spacing w:before="20" w:after="20"/>
              <w:jc w:val="right"/>
              <w:rPr>
                <w:b w:val="0"/>
              </w:rPr>
            </w:pPr>
            <w:r w:rsidRPr="000A51A6">
              <w:rPr>
                <w:b w:val="0"/>
                <w:color w:val="000000"/>
              </w:rPr>
              <w:t>980</w:t>
            </w:r>
          </w:p>
        </w:tc>
        <w:tc>
          <w:tcPr>
            <w:tcW w:w="1190" w:type="dxa"/>
            <w:tcBorders>
              <w:top w:val="nil"/>
              <w:bottom w:val="single" w:sz="4" w:space="0" w:color="auto"/>
            </w:tcBorders>
            <w:vAlign w:val="bottom"/>
          </w:tcPr>
          <w:p w14:paraId="7B60BB57" w14:textId="4702957B" w:rsidR="000A51A6" w:rsidRPr="000A51A6" w:rsidRDefault="000A51A6" w:rsidP="000A51A6">
            <w:pPr>
              <w:pStyle w:val="Tabletextboldleft"/>
              <w:spacing w:before="20" w:after="20"/>
              <w:jc w:val="right"/>
              <w:rPr>
                <w:b w:val="0"/>
              </w:rPr>
            </w:pPr>
            <w:r w:rsidRPr="000A51A6">
              <w:rPr>
                <w:b w:val="0"/>
                <w:color w:val="000000"/>
              </w:rPr>
              <w:t>1008</w:t>
            </w:r>
          </w:p>
        </w:tc>
        <w:tc>
          <w:tcPr>
            <w:tcW w:w="1191" w:type="dxa"/>
            <w:tcBorders>
              <w:top w:val="nil"/>
              <w:bottom w:val="single" w:sz="4" w:space="0" w:color="auto"/>
            </w:tcBorders>
            <w:vAlign w:val="bottom"/>
          </w:tcPr>
          <w:p w14:paraId="48FFFE0D" w14:textId="492D6E65" w:rsidR="000A51A6" w:rsidRPr="000A51A6" w:rsidRDefault="000A51A6" w:rsidP="000A51A6">
            <w:pPr>
              <w:pStyle w:val="Tabletextboldleft"/>
              <w:spacing w:before="20" w:after="20"/>
              <w:jc w:val="right"/>
              <w:rPr>
                <w:b w:val="0"/>
              </w:rPr>
            </w:pPr>
            <w:r w:rsidRPr="000A51A6">
              <w:rPr>
                <w:b w:val="0"/>
                <w:color w:val="000000"/>
              </w:rPr>
              <w:t>1035</w:t>
            </w:r>
          </w:p>
        </w:tc>
        <w:tc>
          <w:tcPr>
            <w:tcW w:w="1191" w:type="dxa"/>
            <w:tcBorders>
              <w:top w:val="nil"/>
              <w:bottom w:val="single" w:sz="4" w:space="0" w:color="auto"/>
            </w:tcBorders>
            <w:vAlign w:val="bottom"/>
          </w:tcPr>
          <w:p w14:paraId="1FC225E5" w14:textId="6EF0E2F1" w:rsidR="000A51A6" w:rsidRPr="000A51A6" w:rsidRDefault="000A51A6" w:rsidP="000A51A6">
            <w:pPr>
              <w:pStyle w:val="Tabletextboldleft"/>
              <w:spacing w:before="20" w:after="20"/>
              <w:jc w:val="right"/>
              <w:rPr>
                <w:b w:val="0"/>
              </w:rPr>
            </w:pPr>
            <w:r w:rsidRPr="000A51A6">
              <w:rPr>
                <w:b w:val="0"/>
                <w:color w:val="000000"/>
              </w:rPr>
              <w:t>1063</w:t>
            </w:r>
          </w:p>
        </w:tc>
      </w:tr>
      <w:tr w:rsidR="000A51A6" w:rsidRPr="00F647C7" w14:paraId="55B6D607" w14:textId="77777777" w:rsidTr="00E61184">
        <w:trPr>
          <w:trHeight w:val="212"/>
        </w:trPr>
        <w:tc>
          <w:tcPr>
            <w:tcW w:w="2410" w:type="dxa"/>
            <w:tcBorders>
              <w:bottom w:val="nil"/>
            </w:tcBorders>
          </w:tcPr>
          <w:p w14:paraId="595027BA" w14:textId="77777777" w:rsidR="000A51A6" w:rsidRPr="00386763" w:rsidRDefault="000A51A6" w:rsidP="000A51A6">
            <w:pPr>
              <w:pStyle w:val="Tabletextboldleft"/>
              <w:spacing w:before="20" w:after="20"/>
            </w:pPr>
            <w:r w:rsidRPr="00F411CD">
              <w:rPr>
                <w:b w:val="0"/>
              </w:rPr>
              <w:t>All cytology</w:t>
            </w:r>
          </w:p>
        </w:tc>
        <w:tc>
          <w:tcPr>
            <w:tcW w:w="1190" w:type="dxa"/>
            <w:tcBorders>
              <w:bottom w:val="nil"/>
            </w:tcBorders>
            <w:vAlign w:val="bottom"/>
          </w:tcPr>
          <w:p w14:paraId="7310ECCC" w14:textId="46D10134" w:rsidR="000A51A6" w:rsidRPr="000A51A6" w:rsidRDefault="000A51A6" w:rsidP="000A51A6">
            <w:pPr>
              <w:pStyle w:val="Tabletextboldleft"/>
              <w:spacing w:before="20" w:after="20"/>
              <w:jc w:val="right"/>
              <w:rPr>
                <w:b w:val="0"/>
              </w:rPr>
            </w:pPr>
            <w:r w:rsidRPr="000A51A6">
              <w:rPr>
                <w:b w:val="0"/>
                <w:color w:val="000000"/>
              </w:rPr>
              <w:t>9,260</w:t>
            </w:r>
          </w:p>
        </w:tc>
        <w:tc>
          <w:tcPr>
            <w:tcW w:w="1191" w:type="dxa"/>
            <w:tcBorders>
              <w:bottom w:val="nil"/>
            </w:tcBorders>
            <w:vAlign w:val="bottom"/>
          </w:tcPr>
          <w:p w14:paraId="6B595354" w14:textId="5B28082C" w:rsidR="000A51A6" w:rsidRPr="000A51A6" w:rsidRDefault="000A51A6" w:rsidP="000A51A6">
            <w:pPr>
              <w:pStyle w:val="Tabletextboldleft"/>
              <w:spacing w:before="20" w:after="20"/>
              <w:jc w:val="right"/>
              <w:rPr>
                <w:b w:val="0"/>
              </w:rPr>
            </w:pPr>
            <w:r w:rsidRPr="000A51A6">
              <w:rPr>
                <w:b w:val="0"/>
                <w:color w:val="000000"/>
              </w:rPr>
              <w:t>9,361</w:t>
            </w:r>
          </w:p>
        </w:tc>
        <w:tc>
          <w:tcPr>
            <w:tcW w:w="1190" w:type="dxa"/>
            <w:tcBorders>
              <w:bottom w:val="nil"/>
            </w:tcBorders>
            <w:vAlign w:val="bottom"/>
          </w:tcPr>
          <w:p w14:paraId="5CDEBC38" w14:textId="29CE697C" w:rsidR="000A51A6" w:rsidRPr="000A51A6" w:rsidRDefault="000A51A6" w:rsidP="000A51A6">
            <w:pPr>
              <w:pStyle w:val="Tabletextboldleft"/>
              <w:spacing w:before="20" w:after="20"/>
              <w:jc w:val="right"/>
              <w:rPr>
                <w:b w:val="0"/>
              </w:rPr>
            </w:pPr>
            <w:r w:rsidRPr="000A51A6">
              <w:rPr>
                <w:b w:val="0"/>
                <w:color w:val="000000"/>
              </w:rPr>
              <w:t>9,462</w:t>
            </w:r>
          </w:p>
        </w:tc>
        <w:tc>
          <w:tcPr>
            <w:tcW w:w="1191" w:type="dxa"/>
            <w:tcBorders>
              <w:bottom w:val="nil"/>
            </w:tcBorders>
            <w:vAlign w:val="bottom"/>
          </w:tcPr>
          <w:p w14:paraId="67E7902D" w14:textId="6EB18A4B" w:rsidR="000A51A6" w:rsidRPr="000A51A6" w:rsidRDefault="000A51A6" w:rsidP="000A51A6">
            <w:pPr>
              <w:pStyle w:val="Tabletextboldleft"/>
              <w:spacing w:before="20" w:after="20"/>
              <w:jc w:val="right"/>
              <w:rPr>
                <w:b w:val="0"/>
              </w:rPr>
            </w:pPr>
            <w:r w:rsidRPr="000A51A6">
              <w:rPr>
                <w:b w:val="0"/>
                <w:color w:val="000000"/>
              </w:rPr>
              <w:t>9,563</w:t>
            </w:r>
          </w:p>
        </w:tc>
        <w:tc>
          <w:tcPr>
            <w:tcW w:w="1191" w:type="dxa"/>
            <w:tcBorders>
              <w:bottom w:val="nil"/>
            </w:tcBorders>
            <w:vAlign w:val="bottom"/>
          </w:tcPr>
          <w:p w14:paraId="3992F467" w14:textId="2C134DB1" w:rsidR="000A51A6" w:rsidRPr="000A51A6" w:rsidRDefault="000A51A6" w:rsidP="000A51A6">
            <w:pPr>
              <w:pStyle w:val="Tabletextboldleft"/>
              <w:spacing w:before="20" w:after="20"/>
              <w:jc w:val="right"/>
              <w:rPr>
                <w:b w:val="0"/>
              </w:rPr>
            </w:pPr>
            <w:r w:rsidRPr="000A51A6">
              <w:rPr>
                <w:b w:val="0"/>
                <w:color w:val="000000"/>
              </w:rPr>
              <w:t>9,664</w:t>
            </w:r>
          </w:p>
        </w:tc>
      </w:tr>
      <w:tr w:rsidR="000A51A6" w:rsidRPr="00F647C7" w14:paraId="29C63C11" w14:textId="77777777" w:rsidTr="00E61184">
        <w:trPr>
          <w:trHeight w:val="212"/>
        </w:trPr>
        <w:tc>
          <w:tcPr>
            <w:tcW w:w="2410" w:type="dxa"/>
            <w:tcBorders>
              <w:top w:val="nil"/>
              <w:bottom w:val="nil"/>
            </w:tcBorders>
          </w:tcPr>
          <w:p w14:paraId="623DB6BD" w14:textId="77777777" w:rsidR="000A51A6" w:rsidRPr="003804E4" w:rsidRDefault="000A51A6" w:rsidP="000A51A6">
            <w:pPr>
              <w:pStyle w:val="Tabletextboldleft"/>
              <w:spacing w:before="20" w:after="20"/>
              <w:ind w:firstLine="317"/>
              <w:rPr>
                <w:b w:val="0"/>
              </w:rPr>
            </w:pPr>
            <w:r w:rsidRPr="00F411CD">
              <w:rPr>
                <w:b w:val="0"/>
              </w:rPr>
              <w:t>Complex</w:t>
            </w:r>
          </w:p>
        </w:tc>
        <w:tc>
          <w:tcPr>
            <w:tcW w:w="1190" w:type="dxa"/>
            <w:tcBorders>
              <w:top w:val="nil"/>
              <w:bottom w:val="nil"/>
            </w:tcBorders>
            <w:vAlign w:val="bottom"/>
          </w:tcPr>
          <w:p w14:paraId="74985596" w14:textId="7B984F3F" w:rsidR="000A51A6" w:rsidRPr="000A51A6" w:rsidRDefault="000A51A6" w:rsidP="000A51A6">
            <w:pPr>
              <w:pStyle w:val="Tabletextboldleft"/>
              <w:spacing w:before="20" w:after="20"/>
              <w:jc w:val="right"/>
              <w:rPr>
                <w:b w:val="0"/>
              </w:rPr>
            </w:pPr>
            <w:r w:rsidRPr="000A51A6">
              <w:rPr>
                <w:b w:val="0"/>
                <w:color w:val="000000"/>
              </w:rPr>
              <w:t>1,682</w:t>
            </w:r>
          </w:p>
        </w:tc>
        <w:tc>
          <w:tcPr>
            <w:tcW w:w="1191" w:type="dxa"/>
            <w:tcBorders>
              <w:top w:val="nil"/>
              <w:bottom w:val="nil"/>
            </w:tcBorders>
            <w:vAlign w:val="bottom"/>
          </w:tcPr>
          <w:p w14:paraId="13184F09" w14:textId="1D251CD3" w:rsidR="000A51A6" w:rsidRPr="000A51A6" w:rsidRDefault="000A51A6" w:rsidP="000A51A6">
            <w:pPr>
              <w:pStyle w:val="Tabletextboldleft"/>
              <w:spacing w:before="20" w:after="20"/>
              <w:jc w:val="right"/>
              <w:rPr>
                <w:b w:val="0"/>
              </w:rPr>
            </w:pPr>
            <w:r w:rsidRPr="000A51A6">
              <w:rPr>
                <w:b w:val="0"/>
                <w:color w:val="000000"/>
              </w:rPr>
              <w:t>1,701</w:t>
            </w:r>
          </w:p>
        </w:tc>
        <w:tc>
          <w:tcPr>
            <w:tcW w:w="1190" w:type="dxa"/>
            <w:tcBorders>
              <w:top w:val="nil"/>
              <w:bottom w:val="nil"/>
            </w:tcBorders>
            <w:vAlign w:val="bottom"/>
          </w:tcPr>
          <w:p w14:paraId="269CC358" w14:textId="33CF84B9" w:rsidR="000A51A6" w:rsidRPr="000A51A6" w:rsidRDefault="000A51A6" w:rsidP="000A51A6">
            <w:pPr>
              <w:pStyle w:val="Tabletextboldleft"/>
              <w:spacing w:before="20" w:after="20"/>
              <w:jc w:val="right"/>
              <w:rPr>
                <w:b w:val="0"/>
              </w:rPr>
            </w:pPr>
            <w:r w:rsidRPr="000A51A6">
              <w:rPr>
                <w:b w:val="0"/>
                <w:color w:val="000000"/>
              </w:rPr>
              <w:t>1,719</w:t>
            </w:r>
          </w:p>
        </w:tc>
        <w:tc>
          <w:tcPr>
            <w:tcW w:w="1191" w:type="dxa"/>
            <w:tcBorders>
              <w:top w:val="nil"/>
              <w:bottom w:val="nil"/>
            </w:tcBorders>
            <w:vAlign w:val="bottom"/>
          </w:tcPr>
          <w:p w14:paraId="66FECDD9" w14:textId="3B237E48" w:rsidR="000A51A6" w:rsidRPr="000A51A6" w:rsidRDefault="000A51A6" w:rsidP="000A51A6">
            <w:pPr>
              <w:pStyle w:val="Tabletextboldleft"/>
              <w:spacing w:before="20" w:after="20"/>
              <w:jc w:val="right"/>
              <w:rPr>
                <w:b w:val="0"/>
              </w:rPr>
            </w:pPr>
            <w:r w:rsidRPr="000A51A6">
              <w:rPr>
                <w:b w:val="0"/>
                <w:color w:val="000000"/>
              </w:rPr>
              <w:t>1,738</w:t>
            </w:r>
          </w:p>
        </w:tc>
        <w:tc>
          <w:tcPr>
            <w:tcW w:w="1191" w:type="dxa"/>
            <w:tcBorders>
              <w:top w:val="nil"/>
              <w:bottom w:val="nil"/>
            </w:tcBorders>
            <w:vAlign w:val="bottom"/>
          </w:tcPr>
          <w:p w14:paraId="582BF797" w14:textId="5BB05829" w:rsidR="000A51A6" w:rsidRPr="000A51A6" w:rsidRDefault="000A51A6" w:rsidP="000A51A6">
            <w:pPr>
              <w:pStyle w:val="Tabletextboldleft"/>
              <w:spacing w:before="20" w:after="20"/>
              <w:jc w:val="right"/>
              <w:rPr>
                <w:b w:val="0"/>
              </w:rPr>
            </w:pPr>
            <w:r w:rsidRPr="000A51A6">
              <w:rPr>
                <w:b w:val="0"/>
                <w:color w:val="000000"/>
              </w:rPr>
              <w:t>1,756</w:t>
            </w:r>
          </w:p>
        </w:tc>
      </w:tr>
      <w:tr w:rsidR="000A51A6" w:rsidRPr="00F647C7" w14:paraId="38FBCD58" w14:textId="77777777" w:rsidTr="00E61184">
        <w:trPr>
          <w:trHeight w:val="212"/>
        </w:trPr>
        <w:tc>
          <w:tcPr>
            <w:tcW w:w="2410" w:type="dxa"/>
            <w:tcBorders>
              <w:top w:val="nil"/>
            </w:tcBorders>
          </w:tcPr>
          <w:p w14:paraId="34FB1458" w14:textId="77777777" w:rsidR="000A51A6" w:rsidRPr="003804E4" w:rsidRDefault="000A51A6" w:rsidP="000A51A6">
            <w:pPr>
              <w:pStyle w:val="Tabletextboldleft"/>
              <w:spacing w:before="20" w:after="20"/>
              <w:ind w:firstLine="317"/>
              <w:rPr>
                <w:b w:val="0"/>
              </w:rPr>
            </w:pPr>
            <w:r w:rsidRPr="00F411CD">
              <w:rPr>
                <w:b w:val="0"/>
              </w:rPr>
              <w:t>Non-complex</w:t>
            </w:r>
          </w:p>
        </w:tc>
        <w:tc>
          <w:tcPr>
            <w:tcW w:w="1190" w:type="dxa"/>
            <w:tcBorders>
              <w:top w:val="nil"/>
            </w:tcBorders>
            <w:vAlign w:val="bottom"/>
          </w:tcPr>
          <w:p w14:paraId="1F484857" w14:textId="17330C17" w:rsidR="000A51A6" w:rsidRPr="000A51A6" w:rsidRDefault="000A51A6" w:rsidP="000A51A6">
            <w:pPr>
              <w:pStyle w:val="Tabletextboldleft"/>
              <w:spacing w:before="20" w:after="20"/>
              <w:jc w:val="right"/>
              <w:rPr>
                <w:b w:val="0"/>
              </w:rPr>
            </w:pPr>
            <w:r w:rsidRPr="000A51A6">
              <w:rPr>
                <w:b w:val="0"/>
                <w:color w:val="000000"/>
              </w:rPr>
              <w:t>7,577</w:t>
            </w:r>
          </w:p>
        </w:tc>
        <w:tc>
          <w:tcPr>
            <w:tcW w:w="1191" w:type="dxa"/>
            <w:tcBorders>
              <w:top w:val="nil"/>
            </w:tcBorders>
            <w:vAlign w:val="bottom"/>
          </w:tcPr>
          <w:p w14:paraId="330BF950" w14:textId="1C63971D" w:rsidR="000A51A6" w:rsidRPr="000A51A6" w:rsidRDefault="000A51A6" w:rsidP="000A51A6">
            <w:pPr>
              <w:pStyle w:val="Tabletextboldleft"/>
              <w:spacing w:before="20" w:after="20"/>
              <w:jc w:val="right"/>
              <w:rPr>
                <w:b w:val="0"/>
              </w:rPr>
            </w:pPr>
            <w:r w:rsidRPr="000A51A6">
              <w:rPr>
                <w:b w:val="0"/>
                <w:color w:val="000000"/>
              </w:rPr>
              <w:t>7,660</w:t>
            </w:r>
          </w:p>
        </w:tc>
        <w:tc>
          <w:tcPr>
            <w:tcW w:w="1190" w:type="dxa"/>
            <w:tcBorders>
              <w:top w:val="nil"/>
            </w:tcBorders>
            <w:vAlign w:val="bottom"/>
          </w:tcPr>
          <w:p w14:paraId="6D684561" w14:textId="33A8F553" w:rsidR="000A51A6" w:rsidRPr="000A51A6" w:rsidRDefault="000A51A6" w:rsidP="000A51A6">
            <w:pPr>
              <w:pStyle w:val="Tabletextboldleft"/>
              <w:spacing w:before="20" w:after="20"/>
              <w:jc w:val="right"/>
              <w:rPr>
                <w:b w:val="0"/>
              </w:rPr>
            </w:pPr>
            <w:r w:rsidRPr="000A51A6">
              <w:rPr>
                <w:b w:val="0"/>
                <w:color w:val="000000"/>
              </w:rPr>
              <w:t>7,743</w:t>
            </w:r>
          </w:p>
        </w:tc>
        <w:tc>
          <w:tcPr>
            <w:tcW w:w="1191" w:type="dxa"/>
            <w:tcBorders>
              <w:top w:val="nil"/>
            </w:tcBorders>
            <w:vAlign w:val="bottom"/>
          </w:tcPr>
          <w:p w14:paraId="543A99D7" w14:textId="73D8370F" w:rsidR="000A51A6" w:rsidRPr="000A51A6" w:rsidRDefault="000A51A6" w:rsidP="000A51A6">
            <w:pPr>
              <w:pStyle w:val="Tabletextboldleft"/>
              <w:spacing w:before="20" w:after="20"/>
              <w:jc w:val="right"/>
              <w:rPr>
                <w:b w:val="0"/>
              </w:rPr>
            </w:pPr>
            <w:r w:rsidRPr="000A51A6">
              <w:rPr>
                <w:b w:val="0"/>
                <w:color w:val="000000"/>
              </w:rPr>
              <w:t>7,826</w:t>
            </w:r>
          </w:p>
        </w:tc>
        <w:tc>
          <w:tcPr>
            <w:tcW w:w="1191" w:type="dxa"/>
            <w:tcBorders>
              <w:top w:val="nil"/>
            </w:tcBorders>
            <w:vAlign w:val="bottom"/>
          </w:tcPr>
          <w:p w14:paraId="672CB3D5" w14:textId="48C52659" w:rsidR="000A51A6" w:rsidRPr="000A51A6" w:rsidRDefault="000A51A6" w:rsidP="000A51A6">
            <w:pPr>
              <w:pStyle w:val="Tabletextboldleft"/>
              <w:spacing w:before="20" w:after="20"/>
              <w:jc w:val="right"/>
              <w:rPr>
                <w:b w:val="0"/>
              </w:rPr>
            </w:pPr>
            <w:r w:rsidRPr="000A51A6">
              <w:rPr>
                <w:b w:val="0"/>
                <w:color w:val="000000"/>
              </w:rPr>
              <w:t>7,908</w:t>
            </w:r>
          </w:p>
        </w:tc>
      </w:tr>
      <w:tr w:rsidR="000A51A6" w:rsidRPr="00F647C7" w14:paraId="348857D9" w14:textId="77777777" w:rsidTr="00E61184">
        <w:trPr>
          <w:trHeight w:val="212"/>
        </w:trPr>
        <w:tc>
          <w:tcPr>
            <w:tcW w:w="2410" w:type="dxa"/>
          </w:tcPr>
          <w:p w14:paraId="2F017014" w14:textId="77777777" w:rsidR="000A51A6" w:rsidRPr="00B77182" w:rsidRDefault="000A51A6" w:rsidP="000A51A6">
            <w:pPr>
              <w:pStyle w:val="Tabletextboldleft"/>
              <w:spacing w:before="20" w:after="20"/>
              <w:rPr>
                <w:i/>
              </w:rPr>
            </w:pPr>
            <w:r>
              <w:rPr>
                <w:b w:val="0"/>
                <w:i/>
              </w:rPr>
              <w:t>Sub-t</w:t>
            </w:r>
            <w:r w:rsidRPr="00B77182">
              <w:rPr>
                <w:b w:val="0"/>
                <w:i/>
              </w:rPr>
              <w:t>otal (excluding gynaecological cytology)</w:t>
            </w:r>
          </w:p>
        </w:tc>
        <w:tc>
          <w:tcPr>
            <w:tcW w:w="1190" w:type="dxa"/>
          </w:tcPr>
          <w:p w14:paraId="65357133" w14:textId="2A23D67D" w:rsidR="000A51A6" w:rsidRPr="00C932DC" w:rsidRDefault="000A51A6" w:rsidP="000A51A6">
            <w:pPr>
              <w:pStyle w:val="Tabletextboldleft"/>
              <w:spacing w:before="20" w:after="20"/>
              <w:jc w:val="right"/>
              <w:rPr>
                <w:b w:val="0"/>
                <w:i/>
              </w:rPr>
            </w:pPr>
            <w:r w:rsidRPr="00C932DC">
              <w:rPr>
                <w:b w:val="0"/>
                <w:i/>
                <w:color w:val="000000"/>
              </w:rPr>
              <w:t>22,659</w:t>
            </w:r>
          </w:p>
        </w:tc>
        <w:tc>
          <w:tcPr>
            <w:tcW w:w="1191" w:type="dxa"/>
          </w:tcPr>
          <w:p w14:paraId="4E44ABBC" w14:textId="572B39D3" w:rsidR="000A51A6" w:rsidRPr="00C932DC" w:rsidRDefault="000A51A6" w:rsidP="000A51A6">
            <w:pPr>
              <w:pStyle w:val="Tabletextboldleft"/>
              <w:spacing w:before="20" w:after="20"/>
              <w:jc w:val="right"/>
              <w:rPr>
                <w:b w:val="0"/>
                <w:i/>
              </w:rPr>
            </w:pPr>
            <w:r w:rsidRPr="00C932DC">
              <w:rPr>
                <w:b w:val="0"/>
                <w:i/>
                <w:color w:val="000000"/>
              </w:rPr>
              <w:t>23,472</w:t>
            </w:r>
          </w:p>
        </w:tc>
        <w:tc>
          <w:tcPr>
            <w:tcW w:w="1190" w:type="dxa"/>
          </w:tcPr>
          <w:p w14:paraId="3B7D2EF4" w14:textId="73EB5A27" w:rsidR="000A51A6" w:rsidRPr="00C932DC" w:rsidRDefault="000A51A6" w:rsidP="000A51A6">
            <w:pPr>
              <w:pStyle w:val="Tabletextboldleft"/>
              <w:spacing w:before="20" w:after="20"/>
              <w:jc w:val="right"/>
              <w:rPr>
                <w:b w:val="0"/>
                <w:i/>
              </w:rPr>
            </w:pPr>
            <w:r w:rsidRPr="00C932DC">
              <w:rPr>
                <w:b w:val="0"/>
                <w:i/>
                <w:color w:val="000000"/>
              </w:rPr>
              <w:t>24,284</w:t>
            </w:r>
          </w:p>
        </w:tc>
        <w:tc>
          <w:tcPr>
            <w:tcW w:w="1191" w:type="dxa"/>
          </w:tcPr>
          <w:p w14:paraId="4C7F1072" w14:textId="24A759A5" w:rsidR="000A51A6" w:rsidRPr="00C932DC" w:rsidRDefault="000A51A6" w:rsidP="000A51A6">
            <w:pPr>
              <w:pStyle w:val="Tabletextboldleft"/>
              <w:spacing w:before="20" w:after="20"/>
              <w:jc w:val="right"/>
              <w:rPr>
                <w:b w:val="0"/>
                <w:i/>
              </w:rPr>
            </w:pPr>
            <w:r w:rsidRPr="00C932DC">
              <w:rPr>
                <w:b w:val="0"/>
                <w:i/>
                <w:color w:val="000000"/>
              </w:rPr>
              <w:t>25,097</w:t>
            </w:r>
          </w:p>
        </w:tc>
        <w:tc>
          <w:tcPr>
            <w:tcW w:w="1191" w:type="dxa"/>
          </w:tcPr>
          <w:p w14:paraId="41A6BC08" w14:textId="441F5076" w:rsidR="000A51A6" w:rsidRPr="00C932DC" w:rsidRDefault="000A51A6" w:rsidP="000A51A6">
            <w:pPr>
              <w:pStyle w:val="Tabletextboldleft"/>
              <w:spacing w:before="20" w:after="20"/>
              <w:jc w:val="right"/>
              <w:rPr>
                <w:b w:val="0"/>
                <w:i/>
              </w:rPr>
            </w:pPr>
            <w:r w:rsidRPr="00C932DC">
              <w:rPr>
                <w:b w:val="0"/>
                <w:i/>
                <w:color w:val="000000"/>
              </w:rPr>
              <w:t>25,910</w:t>
            </w:r>
          </w:p>
        </w:tc>
      </w:tr>
      <w:tr w:rsidR="000A51A6" w:rsidRPr="00F647C7" w14:paraId="34EA0250" w14:textId="77777777" w:rsidTr="00E61184">
        <w:trPr>
          <w:trHeight w:val="212"/>
        </w:trPr>
        <w:tc>
          <w:tcPr>
            <w:tcW w:w="2410" w:type="dxa"/>
          </w:tcPr>
          <w:p w14:paraId="6D9EEA9C" w14:textId="77777777" w:rsidR="000A51A6" w:rsidRPr="00B77182" w:rsidRDefault="000A51A6" w:rsidP="000A51A6">
            <w:pPr>
              <w:pStyle w:val="Tabletextboldleft"/>
              <w:spacing w:before="20" w:after="20"/>
              <w:rPr>
                <w:i/>
              </w:rPr>
            </w:pPr>
            <w:r>
              <w:rPr>
                <w:b w:val="0"/>
                <w:i/>
              </w:rPr>
              <w:t>Sub-t</w:t>
            </w:r>
            <w:r w:rsidRPr="00B77182">
              <w:rPr>
                <w:b w:val="0"/>
                <w:i/>
              </w:rPr>
              <w:t>otal (including all cytology)</w:t>
            </w:r>
          </w:p>
        </w:tc>
        <w:tc>
          <w:tcPr>
            <w:tcW w:w="1190" w:type="dxa"/>
          </w:tcPr>
          <w:p w14:paraId="049B4728" w14:textId="482F0843" w:rsidR="000A51A6" w:rsidRPr="00C932DC" w:rsidRDefault="000A51A6" w:rsidP="000A51A6">
            <w:pPr>
              <w:pStyle w:val="Tabletextboldleft"/>
              <w:spacing w:before="20" w:after="20"/>
              <w:jc w:val="right"/>
              <w:rPr>
                <w:b w:val="0"/>
                <w:i/>
              </w:rPr>
            </w:pPr>
            <w:r w:rsidRPr="00C932DC">
              <w:rPr>
                <w:b w:val="0"/>
                <w:i/>
                <w:color w:val="000000"/>
              </w:rPr>
              <w:t>30,755</w:t>
            </w:r>
          </w:p>
        </w:tc>
        <w:tc>
          <w:tcPr>
            <w:tcW w:w="1191" w:type="dxa"/>
          </w:tcPr>
          <w:p w14:paraId="54056CF9" w14:textId="36317F59" w:rsidR="000A51A6" w:rsidRPr="00C932DC" w:rsidRDefault="000A51A6" w:rsidP="000A51A6">
            <w:pPr>
              <w:pStyle w:val="Tabletextboldleft"/>
              <w:spacing w:before="20" w:after="20"/>
              <w:jc w:val="right"/>
              <w:rPr>
                <w:b w:val="0"/>
                <w:i/>
              </w:rPr>
            </w:pPr>
            <w:r w:rsidRPr="00C932DC">
              <w:rPr>
                <w:b w:val="0"/>
                <w:i/>
                <w:color w:val="000000"/>
              </w:rPr>
              <w:t>31,635</w:t>
            </w:r>
          </w:p>
        </w:tc>
        <w:tc>
          <w:tcPr>
            <w:tcW w:w="1190" w:type="dxa"/>
          </w:tcPr>
          <w:p w14:paraId="6F326312" w14:textId="2D8205BD" w:rsidR="000A51A6" w:rsidRPr="00C932DC" w:rsidRDefault="000A51A6" w:rsidP="000A51A6">
            <w:pPr>
              <w:pStyle w:val="Tabletextboldleft"/>
              <w:spacing w:before="20" w:after="20"/>
              <w:jc w:val="right"/>
              <w:rPr>
                <w:b w:val="0"/>
                <w:i/>
              </w:rPr>
            </w:pPr>
            <w:r w:rsidRPr="00C932DC">
              <w:rPr>
                <w:b w:val="0"/>
                <w:i/>
                <w:color w:val="000000"/>
              </w:rPr>
              <w:t>32,515</w:t>
            </w:r>
          </w:p>
        </w:tc>
        <w:tc>
          <w:tcPr>
            <w:tcW w:w="1191" w:type="dxa"/>
          </w:tcPr>
          <w:p w14:paraId="7B0FA8D7" w14:textId="06812A6A" w:rsidR="000A51A6" w:rsidRPr="00C932DC" w:rsidRDefault="000A51A6" w:rsidP="000A51A6">
            <w:pPr>
              <w:pStyle w:val="Tabletextboldleft"/>
              <w:spacing w:before="20" w:after="20"/>
              <w:jc w:val="right"/>
              <w:rPr>
                <w:b w:val="0"/>
                <w:i/>
              </w:rPr>
            </w:pPr>
            <w:r w:rsidRPr="00C932DC">
              <w:rPr>
                <w:b w:val="0"/>
                <w:i/>
                <w:color w:val="000000"/>
              </w:rPr>
              <w:t>33,395</w:t>
            </w:r>
          </w:p>
        </w:tc>
        <w:tc>
          <w:tcPr>
            <w:tcW w:w="1191" w:type="dxa"/>
          </w:tcPr>
          <w:p w14:paraId="22CD3153" w14:textId="7DCE8ADB" w:rsidR="000A51A6" w:rsidRPr="00C932DC" w:rsidRDefault="000A51A6" w:rsidP="000A51A6">
            <w:pPr>
              <w:pStyle w:val="Tabletextboldleft"/>
              <w:spacing w:before="20" w:after="20"/>
              <w:jc w:val="right"/>
              <w:rPr>
                <w:b w:val="0"/>
                <w:i/>
              </w:rPr>
            </w:pPr>
            <w:r w:rsidRPr="00C932DC">
              <w:rPr>
                <w:b w:val="0"/>
                <w:i/>
                <w:color w:val="000000"/>
              </w:rPr>
              <w:t>34,275</w:t>
            </w:r>
          </w:p>
        </w:tc>
      </w:tr>
      <w:tr w:rsidR="00B51828" w:rsidRPr="00F647C7" w14:paraId="2E560377" w14:textId="77777777" w:rsidTr="00E61184">
        <w:trPr>
          <w:trHeight w:val="212"/>
        </w:trPr>
        <w:tc>
          <w:tcPr>
            <w:tcW w:w="2410" w:type="dxa"/>
            <w:tcBorders>
              <w:bottom w:val="single" w:sz="4" w:space="0" w:color="auto"/>
            </w:tcBorders>
            <w:shd w:val="clear" w:color="auto" w:fill="D0CECE" w:themeFill="background2" w:themeFillShade="E6"/>
          </w:tcPr>
          <w:p w14:paraId="106783A4" w14:textId="77777777" w:rsidR="00B51828" w:rsidRPr="00386763" w:rsidRDefault="00B51828" w:rsidP="002101D2">
            <w:pPr>
              <w:pStyle w:val="Tabletextboldleft"/>
              <w:spacing w:before="20" w:after="20"/>
            </w:pPr>
            <w:r w:rsidRPr="009D63D8">
              <w:rPr>
                <w:i/>
              </w:rPr>
              <w:t>Scenario 2</w:t>
            </w:r>
          </w:p>
        </w:tc>
        <w:tc>
          <w:tcPr>
            <w:tcW w:w="1190" w:type="dxa"/>
            <w:tcBorders>
              <w:bottom w:val="single" w:sz="4" w:space="0" w:color="auto"/>
            </w:tcBorders>
            <w:shd w:val="clear" w:color="auto" w:fill="D0CECE" w:themeFill="background2" w:themeFillShade="E6"/>
          </w:tcPr>
          <w:p w14:paraId="6E31F67A" w14:textId="77777777" w:rsidR="00B51828" w:rsidRPr="00B77182" w:rsidRDefault="00B51828" w:rsidP="002101D2">
            <w:pPr>
              <w:pStyle w:val="Tabletextboldleft"/>
              <w:spacing w:before="20" w:after="20"/>
              <w:jc w:val="right"/>
              <w:rPr>
                <w:b w:val="0"/>
              </w:rPr>
            </w:pPr>
            <w:r w:rsidRPr="00B77182">
              <w:rPr>
                <w:b w:val="0"/>
              </w:rPr>
              <w:t>-</w:t>
            </w:r>
          </w:p>
        </w:tc>
        <w:tc>
          <w:tcPr>
            <w:tcW w:w="1191" w:type="dxa"/>
            <w:tcBorders>
              <w:bottom w:val="single" w:sz="4" w:space="0" w:color="auto"/>
            </w:tcBorders>
            <w:shd w:val="clear" w:color="auto" w:fill="D0CECE" w:themeFill="background2" w:themeFillShade="E6"/>
          </w:tcPr>
          <w:p w14:paraId="0DC9A69A" w14:textId="77777777" w:rsidR="00B51828" w:rsidRPr="00B77182" w:rsidRDefault="00B51828" w:rsidP="002101D2">
            <w:pPr>
              <w:pStyle w:val="Tabletextboldleft"/>
              <w:spacing w:before="20" w:after="20"/>
              <w:jc w:val="right"/>
              <w:rPr>
                <w:b w:val="0"/>
              </w:rPr>
            </w:pPr>
            <w:r w:rsidRPr="00B77182">
              <w:rPr>
                <w:b w:val="0"/>
              </w:rPr>
              <w:t>-</w:t>
            </w:r>
          </w:p>
        </w:tc>
        <w:tc>
          <w:tcPr>
            <w:tcW w:w="1190" w:type="dxa"/>
            <w:tcBorders>
              <w:bottom w:val="single" w:sz="4" w:space="0" w:color="auto"/>
            </w:tcBorders>
            <w:shd w:val="clear" w:color="auto" w:fill="D0CECE" w:themeFill="background2" w:themeFillShade="E6"/>
          </w:tcPr>
          <w:p w14:paraId="0C09143A" w14:textId="77777777" w:rsidR="00B51828" w:rsidRPr="00B77182" w:rsidRDefault="00B51828" w:rsidP="002101D2">
            <w:pPr>
              <w:pStyle w:val="Tabletextboldleft"/>
              <w:spacing w:before="20" w:after="20"/>
              <w:jc w:val="right"/>
              <w:rPr>
                <w:b w:val="0"/>
              </w:rPr>
            </w:pPr>
            <w:r w:rsidRPr="00B77182">
              <w:rPr>
                <w:b w:val="0"/>
              </w:rPr>
              <w:t>-</w:t>
            </w:r>
          </w:p>
        </w:tc>
        <w:tc>
          <w:tcPr>
            <w:tcW w:w="1191" w:type="dxa"/>
            <w:tcBorders>
              <w:bottom w:val="single" w:sz="4" w:space="0" w:color="auto"/>
            </w:tcBorders>
            <w:shd w:val="clear" w:color="auto" w:fill="D0CECE" w:themeFill="background2" w:themeFillShade="E6"/>
          </w:tcPr>
          <w:p w14:paraId="5359A3F9" w14:textId="77777777" w:rsidR="00B51828" w:rsidRPr="00B77182" w:rsidRDefault="00B51828" w:rsidP="002101D2">
            <w:pPr>
              <w:pStyle w:val="Tabletextboldleft"/>
              <w:spacing w:before="20" w:after="20"/>
              <w:jc w:val="right"/>
              <w:rPr>
                <w:b w:val="0"/>
              </w:rPr>
            </w:pPr>
            <w:r w:rsidRPr="00B77182">
              <w:rPr>
                <w:b w:val="0"/>
              </w:rPr>
              <w:t>-</w:t>
            </w:r>
          </w:p>
        </w:tc>
        <w:tc>
          <w:tcPr>
            <w:tcW w:w="1191" w:type="dxa"/>
            <w:tcBorders>
              <w:bottom w:val="single" w:sz="4" w:space="0" w:color="auto"/>
            </w:tcBorders>
            <w:shd w:val="clear" w:color="auto" w:fill="D0CECE" w:themeFill="background2" w:themeFillShade="E6"/>
          </w:tcPr>
          <w:p w14:paraId="30F47C6C" w14:textId="77777777" w:rsidR="00B51828" w:rsidRPr="00B77182" w:rsidRDefault="00B51828" w:rsidP="002101D2">
            <w:pPr>
              <w:pStyle w:val="Tabletextboldleft"/>
              <w:spacing w:before="20" w:after="20"/>
              <w:jc w:val="right"/>
              <w:rPr>
                <w:b w:val="0"/>
              </w:rPr>
            </w:pPr>
            <w:r w:rsidRPr="00B77182">
              <w:rPr>
                <w:b w:val="0"/>
              </w:rPr>
              <w:t>-</w:t>
            </w:r>
          </w:p>
        </w:tc>
      </w:tr>
      <w:tr w:rsidR="00B51828" w:rsidRPr="00F647C7" w14:paraId="649FE7E7" w14:textId="77777777" w:rsidTr="00E61184">
        <w:trPr>
          <w:trHeight w:val="212"/>
        </w:trPr>
        <w:tc>
          <w:tcPr>
            <w:tcW w:w="2410" w:type="dxa"/>
            <w:tcBorders>
              <w:bottom w:val="nil"/>
            </w:tcBorders>
          </w:tcPr>
          <w:p w14:paraId="34CFC9F7" w14:textId="77777777" w:rsidR="00B51828" w:rsidRPr="00386763" w:rsidRDefault="00B51828" w:rsidP="002101D2">
            <w:pPr>
              <w:pStyle w:val="Tabletextboldleft"/>
              <w:spacing w:before="20" w:after="20"/>
            </w:pPr>
            <w:r w:rsidRPr="00F411CD">
              <w:rPr>
                <w:b w:val="0"/>
              </w:rPr>
              <w:t>Tissue pathology</w:t>
            </w:r>
            <w:r w:rsidRPr="00F411CD">
              <w:rPr>
                <w:b w:val="0"/>
                <w:vertAlign w:val="superscript"/>
              </w:rPr>
              <w:t>a</w:t>
            </w:r>
          </w:p>
        </w:tc>
        <w:tc>
          <w:tcPr>
            <w:tcW w:w="1190" w:type="dxa"/>
            <w:tcBorders>
              <w:bottom w:val="nil"/>
            </w:tcBorders>
          </w:tcPr>
          <w:p w14:paraId="2283EB7D" w14:textId="77777777" w:rsidR="00B51828" w:rsidRPr="00B77182" w:rsidRDefault="00B51828" w:rsidP="002101D2">
            <w:pPr>
              <w:pStyle w:val="Tabletextboldleft"/>
              <w:spacing w:before="20" w:after="20"/>
              <w:jc w:val="right"/>
              <w:rPr>
                <w:b w:val="0"/>
              </w:rPr>
            </w:pPr>
            <w:r w:rsidRPr="00B77182">
              <w:rPr>
                <w:b w:val="0"/>
                <w:color w:val="000000"/>
              </w:rPr>
              <w:t>5,004</w:t>
            </w:r>
          </w:p>
        </w:tc>
        <w:tc>
          <w:tcPr>
            <w:tcW w:w="1191" w:type="dxa"/>
            <w:tcBorders>
              <w:bottom w:val="nil"/>
            </w:tcBorders>
          </w:tcPr>
          <w:p w14:paraId="39EDDD52" w14:textId="77777777" w:rsidR="00B51828" w:rsidRPr="00B77182" w:rsidRDefault="00B51828" w:rsidP="002101D2">
            <w:pPr>
              <w:pStyle w:val="Tabletextboldleft"/>
              <w:spacing w:before="20" w:after="20"/>
              <w:jc w:val="right"/>
              <w:rPr>
                <w:b w:val="0"/>
              </w:rPr>
            </w:pPr>
            <w:r w:rsidRPr="00B77182">
              <w:rPr>
                <w:b w:val="0"/>
                <w:color w:val="000000"/>
              </w:rPr>
              <w:t>5,186</w:t>
            </w:r>
          </w:p>
        </w:tc>
        <w:tc>
          <w:tcPr>
            <w:tcW w:w="1190" w:type="dxa"/>
            <w:tcBorders>
              <w:bottom w:val="nil"/>
            </w:tcBorders>
          </w:tcPr>
          <w:p w14:paraId="7550747E" w14:textId="77777777" w:rsidR="00B51828" w:rsidRPr="00B77182" w:rsidRDefault="00B51828" w:rsidP="002101D2">
            <w:pPr>
              <w:pStyle w:val="Tabletextboldleft"/>
              <w:spacing w:before="20" w:after="20"/>
              <w:jc w:val="right"/>
              <w:rPr>
                <w:b w:val="0"/>
              </w:rPr>
            </w:pPr>
            <w:r w:rsidRPr="00B77182">
              <w:rPr>
                <w:b w:val="0"/>
                <w:color w:val="000000"/>
              </w:rPr>
              <w:t>5,367</w:t>
            </w:r>
          </w:p>
        </w:tc>
        <w:tc>
          <w:tcPr>
            <w:tcW w:w="1191" w:type="dxa"/>
            <w:tcBorders>
              <w:bottom w:val="nil"/>
            </w:tcBorders>
          </w:tcPr>
          <w:p w14:paraId="2A920095" w14:textId="77777777" w:rsidR="00B51828" w:rsidRPr="00B77182" w:rsidRDefault="00B51828" w:rsidP="002101D2">
            <w:pPr>
              <w:pStyle w:val="Tabletextboldleft"/>
              <w:spacing w:before="20" w:after="20"/>
              <w:jc w:val="right"/>
              <w:rPr>
                <w:b w:val="0"/>
              </w:rPr>
            </w:pPr>
            <w:r w:rsidRPr="00B77182">
              <w:rPr>
                <w:b w:val="0"/>
                <w:color w:val="000000"/>
              </w:rPr>
              <w:t>5,548</w:t>
            </w:r>
          </w:p>
        </w:tc>
        <w:tc>
          <w:tcPr>
            <w:tcW w:w="1191" w:type="dxa"/>
            <w:tcBorders>
              <w:bottom w:val="nil"/>
            </w:tcBorders>
          </w:tcPr>
          <w:p w14:paraId="3E2D22E1" w14:textId="77777777" w:rsidR="00B51828" w:rsidRPr="00B77182" w:rsidRDefault="00B51828" w:rsidP="002101D2">
            <w:pPr>
              <w:pStyle w:val="Tabletextboldleft"/>
              <w:spacing w:before="20" w:after="20"/>
              <w:jc w:val="right"/>
              <w:rPr>
                <w:b w:val="0"/>
              </w:rPr>
            </w:pPr>
            <w:r w:rsidRPr="00B77182">
              <w:rPr>
                <w:b w:val="0"/>
                <w:color w:val="000000"/>
              </w:rPr>
              <w:t>5,729</w:t>
            </w:r>
          </w:p>
        </w:tc>
      </w:tr>
      <w:tr w:rsidR="00B51828" w:rsidRPr="00F647C7" w14:paraId="18132343" w14:textId="77777777" w:rsidTr="00E61184">
        <w:trPr>
          <w:trHeight w:val="212"/>
        </w:trPr>
        <w:tc>
          <w:tcPr>
            <w:tcW w:w="2410" w:type="dxa"/>
            <w:tcBorders>
              <w:top w:val="nil"/>
              <w:bottom w:val="nil"/>
            </w:tcBorders>
          </w:tcPr>
          <w:p w14:paraId="659084C6" w14:textId="77777777" w:rsidR="00B51828" w:rsidRPr="003804E4" w:rsidRDefault="00B51828" w:rsidP="002101D2">
            <w:pPr>
              <w:pStyle w:val="Tabletextboldleft"/>
              <w:spacing w:before="20" w:after="20"/>
              <w:ind w:firstLine="317"/>
              <w:rPr>
                <w:b w:val="0"/>
              </w:rPr>
            </w:pPr>
            <w:r w:rsidRPr="00F411CD">
              <w:rPr>
                <w:b w:val="0"/>
              </w:rPr>
              <w:t>Complex</w:t>
            </w:r>
          </w:p>
        </w:tc>
        <w:tc>
          <w:tcPr>
            <w:tcW w:w="1190" w:type="dxa"/>
            <w:tcBorders>
              <w:top w:val="nil"/>
              <w:bottom w:val="nil"/>
            </w:tcBorders>
          </w:tcPr>
          <w:p w14:paraId="7442836E" w14:textId="77777777" w:rsidR="00B51828" w:rsidRPr="00B77182" w:rsidRDefault="00B51828" w:rsidP="002101D2">
            <w:pPr>
              <w:pStyle w:val="Tabletextboldleft"/>
              <w:spacing w:before="20" w:after="20"/>
              <w:jc w:val="right"/>
              <w:rPr>
                <w:b w:val="0"/>
              </w:rPr>
            </w:pPr>
            <w:r w:rsidRPr="00B77182">
              <w:rPr>
                <w:b w:val="0"/>
                <w:color w:val="000000"/>
              </w:rPr>
              <w:t>1,422</w:t>
            </w:r>
          </w:p>
        </w:tc>
        <w:tc>
          <w:tcPr>
            <w:tcW w:w="1191" w:type="dxa"/>
            <w:tcBorders>
              <w:top w:val="nil"/>
              <w:bottom w:val="nil"/>
            </w:tcBorders>
          </w:tcPr>
          <w:p w14:paraId="36B91B8E" w14:textId="77777777" w:rsidR="00B51828" w:rsidRPr="00B77182" w:rsidRDefault="00B51828" w:rsidP="002101D2">
            <w:pPr>
              <w:pStyle w:val="Tabletextboldleft"/>
              <w:spacing w:before="20" w:after="20"/>
              <w:jc w:val="right"/>
              <w:rPr>
                <w:b w:val="0"/>
              </w:rPr>
            </w:pPr>
            <w:r w:rsidRPr="00B77182">
              <w:rPr>
                <w:b w:val="0"/>
                <w:color w:val="000000"/>
              </w:rPr>
              <w:t>1,473</w:t>
            </w:r>
          </w:p>
        </w:tc>
        <w:tc>
          <w:tcPr>
            <w:tcW w:w="1190" w:type="dxa"/>
            <w:tcBorders>
              <w:top w:val="nil"/>
              <w:bottom w:val="nil"/>
            </w:tcBorders>
          </w:tcPr>
          <w:p w14:paraId="7662F584" w14:textId="77777777" w:rsidR="00B51828" w:rsidRPr="00B77182" w:rsidRDefault="00B51828" w:rsidP="002101D2">
            <w:pPr>
              <w:pStyle w:val="Tabletextboldleft"/>
              <w:spacing w:before="20" w:after="20"/>
              <w:jc w:val="right"/>
              <w:rPr>
                <w:b w:val="0"/>
              </w:rPr>
            </w:pPr>
            <w:r w:rsidRPr="00B77182">
              <w:rPr>
                <w:b w:val="0"/>
                <w:color w:val="000000"/>
              </w:rPr>
              <w:t>1,525</w:t>
            </w:r>
          </w:p>
        </w:tc>
        <w:tc>
          <w:tcPr>
            <w:tcW w:w="1191" w:type="dxa"/>
            <w:tcBorders>
              <w:top w:val="nil"/>
              <w:bottom w:val="nil"/>
            </w:tcBorders>
          </w:tcPr>
          <w:p w14:paraId="4D71CE7A" w14:textId="77777777" w:rsidR="00B51828" w:rsidRPr="00B77182" w:rsidRDefault="00B51828" w:rsidP="002101D2">
            <w:pPr>
              <w:pStyle w:val="Tabletextboldleft"/>
              <w:spacing w:before="20" w:after="20"/>
              <w:jc w:val="right"/>
              <w:rPr>
                <w:b w:val="0"/>
              </w:rPr>
            </w:pPr>
            <w:r w:rsidRPr="00B77182">
              <w:rPr>
                <w:b w:val="0"/>
                <w:color w:val="000000"/>
              </w:rPr>
              <w:t>1,576</w:t>
            </w:r>
          </w:p>
        </w:tc>
        <w:tc>
          <w:tcPr>
            <w:tcW w:w="1191" w:type="dxa"/>
            <w:tcBorders>
              <w:top w:val="nil"/>
              <w:bottom w:val="nil"/>
            </w:tcBorders>
          </w:tcPr>
          <w:p w14:paraId="220AEC2C" w14:textId="77777777" w:rsidR="00B51828" w:rsidRPr="00B77182" w:rsidRDefault="00B51828" w:rsidP="002101D2">
            <w:pPr>
              <w:pStyle w:val="Tabletextboldleft"/>
              <w:spacing w:before="20" w:after="20"/>
              <w:jc w:val="right"/>
              <w:rPr>
                <w:b w:val="0"/>
              </w:rPr>
            </w:pPr>
            <w:r w:rsidRPr="00B77182">
              <w:rPr>
                <w:b w:val="0"/>
                <w:color w:val="000000"/>
              </w:rPr>
              <w:t>1,628</w:t>
            </w:r>
          </w:p>
        </w:tc>
      </w:tr>
      <w:tr w:rsidR="00B51828" w:rsidRPr="00F647C7" w14:paraId="1ED11EC3" w14:textId="77777777" w:rsidTr="00E61184">
        <w:trPr>
          <w:trHeight w:val="212"/>
        </w:trPr>
        <w:tc>
          <w:tcPr>
            <w:tcW w:w="2410" w:type="dxa"/>
            <w:tcBorders>
              <w:top w:val="nil"/>
              <w:bottom w:val="single" w:sz="4" w:space="0" w:color="auto"/>
            </w:tcBorders>
          </w:tcPr>
          <w:p w14:paraId="313C7B8F" w14:textId="77777777" w:rsidR="00B51828" w:rsidRPr="003804E4" w:rsidRDefault="00B51828" w:rsidP="002101D2">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tcPr>
          <w:p w14:paraId="785CFBF5" w14:textId="77777777" w:rsidR="00B51828" w:rsidRPr="00B77182" w:rsidRDefault="00B51828" w:rsidP="002101D2">
            <w:pPr>
              <w:pStyle w:val="Tabletextboldleft"/>
              <w:spacing w:before="20" w:after="20"/>
              <w:jc w:val="right"/>
              <w:rPr>
                <w:b w:val="0"/>
              </w:rPr>
            </w:pPr>
            <w:r w:rsidRPr="00B77182">
              <w:rPr>
                <w:b w:val="0"/>
                <w:color w:val="000000"/>
              </w:rPr>
              <w:t>3,582</w:t>
            </w:r>
          </w:p>
        </w:tc>
        <w:tc>
          <w:tcPr>
            <w:tcW w:w="1191" w:type="dxa"/>
            <w:tcBorders>
              <w:top w:val="nil"/>
              <w:bottom w:val="single" w:sz="4" w:space="0" w:color="auto"/>
            </w:tcBorders>
          </w:tcPr>
          <w:p w14:paraId="223ACC22" w14:textId="77777777" w:rsidR="00B51828" w:rsidRPr="00B77182" w:rsidRDefault="00B51828" w:rsidP="002101D2">
            <w:pPr>
              <w:pStyle w:val="Tabletextboldleft"/>
              <w:spacing w:before="20" w:after="20"/>
              <w:jc w:val="right"/>
              <w:rPr>
                <w:b w:val="0"/>
              </w:rPr>
            </w:pPr>
            <w:r w:rsidRPr="00B77182">
              <w:rPr>
                <w:b w:val="0"/>
                <w:color w:val="000000"/>
              </w:rPr>
              <w:t>3,712</w:t>
            </w:r>
          </w:p>
        </w:tc>
        <w:tc>
          <w:tcPr>
            <w:tcW w:w="1190" w:type="dxa"/>
            <w:tcBorders>
              <w:top w:val="nil"/>
              <w:bottom w:val="single" w:sz="4" w:space="0" w:color="auto"/>
            </w:tcBorders>
          </w:tcPr>
          <w:p w14:paraId="44B5FE02" w14:textId="77777777" w:rsidR="00B51828" w:rsidRPr="00B77182" w:rsidRDefault="00B51828" w:rsidP="002101D2">
            <w:pPr>
              <w:pStyle w:val="Tabletextboldleft"/>
              <w:spacing w:before="20" w:after="20"/>
              <w:jc w:val="right"/>
              <w:rPr>
                <w:b w:val="0"/>
              </w:rPr>
            </w:pPr>
            <w:r w:rsidRPr="00B77182">
              <w:rPr>
                <w:b w:val="0"/>
                <w:color w:val="000000"/>
              </w:rPr>
              <w:t>3,842</w:t>
            </w:r>
          </w:p>
        </w:tc>
        <w:tc>
          <w:tcPr>
            <w:tcW w:w="1191" w:type="dxa"/>
            <w:tcBorders>
              <w:top w:val="nil"/>
              <w:bottom w:val="single" w:sz="4" w:space="0" w:color="auto"/>
            </w:tcBorders>
          </w:tcPr>
          <w:p w14:paraId="14DE5B69" w14:textId="77777777" w:rsidR="00B51828" w:rsidRPr="00B77182" w:rsidRDefault="00B51828" w:rsidP="002101D2">
            <w:pPr>
              <w:pStyle w:val="Tabletextboldleft"/>
              <w:spacing w:before="20" w:after="20"/>
              <w:jc w:val="right"/>
              <w:rPr>
                <w:b w:val="0"/>
              </w:rPr>
            </w:pPr>
            <w:r w:rsidRPr="00B77182">
              <w:rPr>
                <w:b w:val="0"/>
                <w:color w:val="000000"/>
              </w:rPr>
              <w:t>3,972</w:t>
            </w:r>
          </w:p>
        </w:tc>
        <w:tc>
          <w:tcPr>
            <w:tcW w:w="1191" w:type="dxa"/>
            <w:tcBorders>
              <w:top w:val="nil"/>
              <w:bottom w:val="single" w:sz="4" w:space="0" w:color="auto"/>
            </w:tcBorders>
          </w:tcPr>
          <w:p w14:paraId="316585F7" w14:textId="77777777" w:rsidR="00B51828" w:rsidRPr="00B77182" w:rsidRDefault="00B51828" w:rsidP="002101D2">
            <w:pPr>
              <w:pStyle w:val="Tabletextboldleft"/>
              <w:spacing w:before="20" w:after="20"/>
              <w:jc w:val="right"/>
              <w:rPr>
                <w:b w:val="0"/>
              </w:rPr>
            </w:pPr>
            <w:r w:rsidRPr="00B77182">
              <w:rPr>
                <w:b w:val="0"/>
                <w:color w:val="000000"/>
              </w:rPr>
              <w:t>4,102</w:t>
            </w:r>
          </w:p>
        </w:tc>
      </w:tr>
      <w:tr w:rsidR="000A51A6" w:rsidRPr="00F647C7" w14:paraId="3B8C869C" w14:textId="77777777" w:rsidTr="00E61184">
        <w:trPr>
          <w:trHeight w:val="212"/>
        </w:trPr>
        <w:tc>
          <w:tcPr>
            <w:tcW w:w="2410" w:type="dxa"/>
            <w:tcBorders>
              <w:bottom w:val="nil"/>
            </w:tcBorders>
          </w:tcPr>
          <w:p w14:paraId="5795E3FF" w14:textId="77777777" w:rsidR="000A51A6" w:rsidRPr="00386763" w:rsidRDefault="000A51A6" w:rsidP="000A51A6">
            <w:pPr>
              <w:pStyle w:val="Tabletextboldleft"/>
              <w:spacing w:before="20" w:after="20"/>
            </w:pPr>
            <w:r w:rsidRPr="00F411CD">
              <w:rPr>
                <w:b w:val="0"/>
              </w:rPr>
              <w:t>Non-gynaecological cytology</w:t>
            </w:r>
          </w:p>
        </w:tc>
        <w:tc>
          <w:tcPr>
            <w:tcW w:w="1190" w:type="dxa"/>
            <w:tcBorders>
              <w:bottom w:val="nil"/>
            </w:tcBorders>
            <w:vAlign w:val="bottom"/>
          </w:tcPr>
          <w:p w14:paraId="2C58A094" w14:textId="23531A00" w:rsidR="000A51A6" w:rsidRPr="000A51A6" w:rsidRDefault="000A51A6" w:rsidP="000A51A6">
            <w:pPr>
              <w:pStyle w:val="Tabletextboldleft"/>
              <w:spacing w:before="20" w:after="20"/>
              <w:jc w:val="right"/>
              <w:rPr>
                <w:b w:val="0"/>
              </w:rPr>
            </w:pPr>
            <w:r w:rsidRPr="000A51A6">
              <w:rPr>
                <w:b w:val="0"/>
                <w:color w:val="000000"/>
              </w:rPr>
              <w:t>1,036</w:t>
            </w:r>
          </w:p>
        </w:tc>
        <w:tc>
          <w:tcPr>
            <w:tcW w:w="1191" w:type="dxa"/>
            <w:tcBorders>
              <w:bottom w:val="nil"/>
            </w:tcBorders>
            <w:vAlign w:val="bottom"/>
          </w:tcPr>
          <w:p w14:paraId="5F1519AB" w14:textId="46194924" w:rsidR="000A51A6" w:rsidRPr="000A51A6" w:rsidRDefault="000A51A6" w:rsidP="000A51A6">
            <w:pPr>
              <w:pStyle w:val="Tabletextboldleft"/>
              <w:spacing w:before="20" w:after="20"/>
              <w:jc w:val="right"/>
              <w:rPr>
                <w:b w:val="0"/>
              </w:rPr>
            </w:pPr>
            <w:r w:rsidRPr="000A51A6">
              <w:rPr>
                <w:b w:val="0"/>
                <w:color w:val="000000"/>
              </w:rPr>
              <w:t>1,066</w:t>
            </w:r>
          </w:p>
        </w:tc>
        <w:tc>
          <w:tcPr>
            <w:tcW w:w="1190" w:type="dxa"/>
            <w:tcBorders>
              <w:bottom w:val="nil"/>
            </w:tcBorders>
            <w:vAlign w:val="bottom"/>
          </w:tcPr>
          <w:p w14:paraId="47868F09" w14:textId="5317CD6F" w:rsidR="000A51A6" w:rsidRPr="000A51A6" w:rsidRDefault="000A51A6" w:rsidP="000A51A6">
            <w:pPr>
              <w:pStyle w:val="Tabletextboldleft"/>
              <w:spacing w:before="20" w:after="20"/>
              <w:jc w:val="right"/>
              <w:rPr>
                <w:b w:val="0"/>
              </w:rPr>
            </w:pPr>
            <w:r w:rsidRPr="000A51A6">
              <w:rPr>
                <w:b w:val="0"/>
                <w:color w:val="000000"/>
              </w:rPr>
              <w:t>1,097</w:t>
            </w:r>
          </w:p>
        </w:tc>
        <w:tc>
          <w:tcPr>
            <w:tcW w:w="1191" w:type="dxa"/>
            <w:tcBorders>
              <w:bottom w:val="nil"/>
            </w:tcBorders>
            <w:vAlign w:val="bottom"/>
          </w:tcPr>
          <w:p w14:paraId="102A24EA" w14:textId="5330EF9E" w:rsidR="000A51A6" w:rsidRPr="000A51A6" w:rsidRDefault="000A51A6" w:rsidP="000A51A6">
            <w:pPr>
              <w:pStyle w:val="Tabletextboldleft"/>
              <w:spacing w:before="20" w:after="20"/>
              <w:jc w:val="right"/>
              <w:rPr>
                <w:b w:val="0"/>
              </w:rPr>
            </w:pPr>
            <w:r w:rsidRPr="000A51A6">
              <w:rPr>
                <w:b w:val="0"/>
                <w:color w:val="000000"/>
              </w:rPr>
              <w:t>1,127</w:t>
            </w:r>
          </w:p>
        </w:tc>
        <w:tc>
          <w:tcPr>
            <w:tcW w:w="1191" w:type="dxa"/>
            <w:tcBorders>
              <w:bottom w:val="nil"/>
            </w:tcBorders>
            <w:vAlign w:val="bottom"/>
          </w:tcPr>
          <w:p w14:paraId="3BD6D3EA" w14:textId="17656781" w:rsidR="000A51A6" w:rsidRPr="000A51A6" w:rsidRDefault="000A51A6" w:rsidP="000A51A6">
            <w:pPr>
              <w:pStyle w:val="Tabletextboldleft"/>
              <w:spacing w:before="20" w:after="20"/>
              <w:jc w:val="right"/>
              <w:rPr>
                <w:b w:val="0"/>
              </w:rPr>
            </w:pPr>
            <w:r w:rsidRPr="000A51A6">
              <w:rPr>
                <w:b w:val="0"/>
                <w:color w:val="000000"/>
              </w:rPr>
              <w:t>1,157</w:t>
            </w:r>
          </w:p>
        </w:tc>
      </w:tr>
      <w:tr w:rsidR="000A51A6" w:rsidRPr="00F647C7" w14:paraId="4FCAC8BE" w14:textId="77777777" w:rsidTr="00E61184">
        <w:trPr>
          <w:trHeight w:val="212"/>
        </w:trPr>
        <w:tc>
          <w:tcPr>
            <w:tcW w:w="2410" w:type="dxa"/>
            <w:tcBorders>
              <w:top w:val="nil"/>
              <w:bottom w:val="nil"/>
            </w:tcBorders>
          </w:tcPr>
          <w:p w14:paraId="1914D6E8" w14:textId="77777777" w:rsidR="000A51A6" w:rsidRPr="003804E4" w:rsidRDefault="000A51A6" w:rsidP="000A51A6">
            <w:pPr>
              <w:pStyle w:val="Tabletextboldleft"/>
              <w:spacing w:before="20" w:after="20"/>
              <w:ind w:firstLine="317"/>
              <w:rPr>
                <w:b w:val="0"/>
              </w:rPr>
            </w:pPr>
            <w:r w:rsidRPr="00F411CD">
              <w:rPr>
                <w:b w:val="0"/>
              </w:rPr>
              <w:t>Complex</w:t>
            </w:r>
          </w:p>
        </w:tc>
        <w:tc>
          <w:tcPr>
            <w:tcW w:w="1190" w:type="dxa"/>
            <w:tcBorders>
              <w:top w:val="nil"/>
              <w:bottom w:val="nil"/>
            </w:tcBorders>
            <w:vAlign w:val="bottom"/>
          </w:tcPr>
          <w:p w14:paraId="4F8539A7" w14:textId="284070F1" w:rsidR="000A51A6" w:rsidRPr="000A51A6" w:rsidRDefault="000A51A6" w:rsidP="000A51A6">
            <w:pPr>
              <w:pStyle w:val="Tabletextboldleft"/>
              <w:spacing w:before="20" w:after="20"/>
              <w:jc w:val="right"/>
              <w:rPr>
                <w:b w:val="0"/>
              </w:rPr>
            </w:pPr>
            <w:r w:rsidRPr="000A51A6">
              <w:rPr>
                <w:b w:val="0"/>
                <w:color w:val="000000"/>
              </w:rPr>
              <w:t>190</w:t>
            </w:r>
          </w:p>
        </w:tc>
        <w:tc>
          <w:tcPr>
            <w:tcW w:w="1191" w:type="dxa"/>
            <w:tcBorders>
              <w:top w:val="nil"/>
              <w:bottom w:val="nil"/>
            </w:tcBorders>
            <w:vAlign w:val="bottom"/>
          </w:tcPr>
          <w:p w14:paraId="45019E6C" w14:textId="4B39A66A" w:rsidR="000A51A6" w:rsidRPr="000A51A6" w:rsidRDefault="000A51A6" w:rsidP="000A51A6">
            <w:pPr>
              <w:pStyle w:val="Tabletextboldleft"/>
              <w:spacing w:before="20" w:after="20"/>
              <w:jc w:val="right"/>
              <w:rPr>
                <w:b w:val="0"/>
              </w:rPr>
            </w:pPr>
            <w:r w:rsidRPr="000A51A6">
              <w:rPr>
                <w:b w:val="0"/>
                <w:color w:val="000000"/>
              </w:rPr>
              <w:t>196</w:t>
            </w:r>
          </w:p>
        </w:tc>
        <w:tc>
          <w:tcPr>
            <w:tcW w:w="1190" w:type="dxa"/>
            <w:tcBorders>
              <w:top w:val="nil"/>
              <w:bottom w:val="nil"/>
            </w:tcBorders>
            <w:vAlign w:val="bottom"/>
          </w:tcPr>
          <w:p w14:paraId="6A277E82" w14:textId="7DB21AAE" w:rsidR="000A51A6" w:rsidRPr="000A51A6" w:rsidRDefault="000A51A6" w:rsidP="000A51A6">
            <w:pPr>
              <w:pStyle w:val="Tabletextboldleft"/>
              <w:spacing w:before="20" w:after="20"/>
              <w:jc w:val="right"/>
              <w:rPr>
                <w:b w:val="0"/>
              </w:rPr>
            </w:pPr>
            <w:r w:rsidRPr="000A51A6">
              <w:rPr>
                <w:b w:val="0"/>
                <w:color w:val="000000"/>
              </w:rPr>
              <w:t>201</w:t>
            </w:r>
          </w:p>
        </w:tc>
        <w:tc>
          <w:tcPr>
            <w:tcW w:w="1191" w:type="dxa"/>
            <w:tcBorders>
              <w:top w:val="nil"/>
              <w:bottom w:val="nil"/>
            </w:tcBorders>
            <w:vAlign w:val="bottom"/>
          </w:tcPr>
          <w:p w14:paraId="082D22F0" w14:textId="34B66DD0" w:rsidR="000A51A6" w:rsidRPr="000A51A6" w:rsidRDefault="000A51A6" w:rsidP="000A51A6">
            <w:pPr>
              <w:pStyle w:val="Tabletextboldleft"/>
              <w:spacing w:before="20" w:after="20"/>
              <w:jc w:val="right"/>
              <w:rPr>
                <w:b w:val="0"/>
              </w:rPr>
            </w:pPr>
            <w:r w:rsidRPr="000A51A6">
              <w:rPr>
                <w:b w:val="0"/>
                <w:color w:val="000000"/>
              </w:rPr>
              <w:t>207</w:t>
            </w:r>
          </w:p>
        </w:tc>
        <w:tc>
          <w:tcPr>
            <w:tcW w:w="1191" w:type="dxa"/>
            <w:tcBorders>
              <w:top w:val="nil"/>
              <w:bottom w:val="nil"/>
            </w:tcBorders>
            <w:vAlign w:val="bottom"/>
          </w:tcPr>
          <w:p w14:paraId="46A1FF45" w14:textId="559F8DEB" w:rsidR="000A51A6" w:rsidRPr="000A51A6" w:rsidRDefault="000A51A6" w:rsidP="000A51A6">
            <w:pPr>
              <w:pStyle w:val="Tabletextboldleft"/>
              <w:spacing w:before="20" w:after="20"/>
              <w:jc w:val="right"/>
              <w:rPr>
                <w:b w:val="0"/>
              </w:rPr>
            </w:pPr>
            <w:r w:rsidRPr="000A51A6">
              <w:rPr>
                <w:b w:val="0"/>
                <w:color w:val="000000"/>
              </w:rPr>
              <w:t>212</w:t>
            </w:r>
          </w:p>
        </w:tc>
      </w:tr>
      <w:tr w:rsidR="000A51A6" w:rsidRPr="00F647C7" w14:paraId="456555D3" w14:textId="77777777" w:rsidTr="00E61184">
        <w:trPr>
          <w:trHeight w:val="212"/>
        </w:trPr>
        <w:tc>
          <w:tcPr>
            <w:tcW w:w="2410" w:type="dxa"/>
            <w:tcBorders>
              <w:top w:val="nil"/>
              <w:bottom w:val="single" w:sz="4" w:space="0" w:color="auto"/>
            </w:tcBorders>
          </w:tcPr>
          <w:p w14:paraId="3183F039" w14:textId="77777777" w:rsidR="000A51A6" w:rsidRPr="003804E4" w:rsidRDefault="000A51A6" w:rsidP="000A51A6">
            <w:pPr>
              <w:pStyle w:val="Tabletextboldleft"/>
              <w:spacing w:before="20" w:after="20"/>
              <w:ind w:firstLine="317"/>
              <w:rPr>
                <w:b w:val="0"/>
              </w:rPr>
            </w:pPr>
            <w:r w:rsidRPr="00F411CD">
              <w:rPr>
                <w:b w:val="0"/>
              </w:rPr>
              <w:t>Non-complex</w:t>
            </w:r>
          </w:p>
        </w:tc>
        <w:tc>
          <w:tcPr>
            <w:tcW w:w="1190" w:type="dxa"/>
            <w:tcBorders>
              <w:top w:val="nil"/>
              <w:bottom w:val="single" w:sz="4" w:space="0" w:color="auto"/>
            </w:tcBorders>
            <w:vAlign w:val="bottom"/>
          </w:tcPr>
          <w:p w14:paraId="2DA39453" w14:textId="6514438A" w:rsidR="000A51A6" w:rsidRPr="000A51A6" w:rsidRDefault="000A51A6" w:rsidP="000A51A6">
            <w:pPr>
              <w:pStyle w:val="Tabletextboldleft"/>
              <w:spacing w:before="20" w:after="20"/>
              <w:jc w:val="right"/>
              <w:rPr>
                <w:b w:val="0"/>
              </w:rPr>
            </w:pPr>
            <w:r w:rsidRPr="000A51A6">
              <w:rPr>
                <w:b w:val="0"/>
                <w:color w:val="000000"/>
              </w:rPr>
              <w:t>846</w:t>
            </w:r>
          </w:p>
        </w:tc>
        <w:tc>
          <w:tcPr>
            <w:tcW w:w="1191" w:type="dxa"/>
            <w:tcBorders>
              <w:top w:val="nil"/>
              <w:bottom w:val="single" w:sz="4" w:space="0" w:color="auto"/>
            </w:tcBorders>
            <w:vAlign w:val="bottom"/>
          </w:tcPr>
          <w:p w14:paraId="777DF0EB" w14:textId="556FF6CC" w:rsidR="000A51A6" w:rsidRPr="000A51A6" w:rsidRDefault="000A51A6" w:rsidP="000A51A6">
            <w:pPr>
              <w:pStyle w:val="Tabletextboldleft"/>
              <w:spacing w:before="20" w:after="20"/>
              <w:jc w:val="right"/>
              <w:rPr>
                <w:b w:val="0"/>
              </w:rPr>
            </w:pPr>
            <w:r w:rsidRPr="000A51A6">
              <w:rPr>
                <w:b w:val="0"/>
                <w:color w:val="000000"/>
              </w:rPr>
              <w:t>871</w:t>
            </w:r>
          </w:p>
        </w:tc>
        <w:tc>
          <w:tcPr>
            <w:tcW w:w="1190" w:type="dxa"/>
            <w:tcBorders>
              <w:top w:val="nil"/>
              <w:bottom w:val="single" w:sz="4" w:space="0" w:color="auto"/>
            </w:tcBorders>
            <w:vAlign w:val="bottom"/>
          </w:tcPr>
          <w:p w14:paraId="35904D20" w14:textId="435BDF01" w:rsidR="000A51A6" w:rsidRPr="000A51A6" w:rsidRDefault="000A51A6" w:rsidP="000A51A6">
            <w:pPr>
              <w:pStyle w:val="Tabletextboldleft"/>
              <w:spacing w:before="20" w:after="20"/>
              <w:jc w:val="right"/>
              <w:rPr>
                <w:b w:val="0"/>
              </w:rPr>
            </w:pPr>
            <w:r w:rsidRPr="000A51A6">
              <w:rPr>
                <w:b w:val="0"/>
                <w:color w:val="000000"/>
              </w:rPr>
              <w:t>895</w:t>
            </w:r>
          </w:p>
        </w:tc>
        <w:tc>
          <w:tcPr>
            <w:tcW w:w="1191" w:type="dxa"/>
            <w:tcBorders>
              <w:top w:val="nil"/>
              <w:bottom w:val="single" w:sz="4" w:space="0" w:color="auto"/>
            </w:tcBorders>
            <w:vAlign w:val="bottom"/>
          </w:tcPr>
          <w:p w14:paraId="7BEB91DF" w14:textId="3686FC9C" w:rsidR="000A51A6" w:rsidRPr="000A51A6" w:rsidRDefault="000A51A6" w:rsidP="000A51A6">
            <w:pPr>
              <w:pStyle w:val="Tabletextboldleft"/>
              <w:spacing w:before="20" w:after="20"/>
              <w:jc w:val="right"/>
              <w:rPr>
                <w:b w:val="0"/>
              </w:rPr>
            </w:pPr>
            <w:r w:rsidRPr="000A51A6">
              <w:rPr>
                <w:b w:val="0"/>
                <w:color w:val="000000"/>
              </w:rPr>
              <w:t>920</w:t>
            </w:r>
          </w:p>
        </w:tc>
        <w:tc>
          <w:tcPr>
            <w:tcW w:w="1191" w:type="dxa"/>
            <w:tcBorders>
              <w:top w:val="nil"/>
              <w:bottom w:val="single" w:sz="4" w:space="0" w:color="auto"/>
            </w:tcBorders>
            <w:vAlign w:val="bottom"/>
          </w:tcPr>
          <w:p w14:paraId="174822A2" w14:textId="7395BEF1" w:rsidR="000A51A6" w:rsidRPr="000A51A6" w:rsidRDefault="000A51A6" w:rsidP="000A51A6">
            <w:pPr>
              <w:pStyle w:val="Tabletextboldleft"/>
              <w:spacing w:before="20" w:after="20"/>
              <w:jc w:val="right"/>
              <w:rPr>
                <w:b w:val="0"/>
              </w:rPr>
            </w:pPr>
            <w:r w:rsidRPr="000A51A6">
              <w:rPr>
                <w:b w:val="0"/>
                <w:color w:val="000000"/>
              </w:rPr>
              <w:t>945</w:t>
            </w:r>
          </w:p>
        </w:tc>
      </w:tr>
      <w:tr w:rsidR="000A51A6" w:rsidRPr="00F647C7" w14:paraId="4B7F86C2" w14:textId="77777777" w:rsidTr="00E61184">
        <w:trPr>
          <w:trHeight w:val="212"/>
        </w:trPr>
        <w:tc>
          <w:tcPr>
            <w:tcW w:w="2410" w:type="dxa"/>
            <w:tcBorders>
              <w:bottom w:val="nil"/>
            </w:tcBorders>
          </w:tcPr>
          <w:p w14:paraId="5B9A6999" w14:textId="77777777" w:rsidR="000A51A6" w:rsidRPr="00386763" w:rsidRDefault="000A51A6" w:rsidP="000A51A6">
            <w:pPr>
              <w:pStyle w:val="Tabletextboldleft"/>
              <w:spacing w:before="20" w:after="20"/>
            </w:pPr>
            <w:r w:rsidRPr="00F411CD">
              <w:rPr>
                <w:b w:val="0"/>
              </w:rPr>
              <w:t>All cytology</w:t>
            </w:r>
          </w:p>
        </w:tc>
        <w:tc>
          <w:tcPr>
            <w:tcW w:w="1190" w:type="dxa"/>
            <w:tcBorders>
              <w:bottom w:val="nil"/>
            </w:tcBorders>
            <w:vAlign w:val="bottom"/>
          </w:tcPr>
          <w:p w14:paraId="4DD20CA4" w14:textId="7F07E460" w:rsidR="000A51A6" w:rsidRPr="000A51A6" w:rsidRDefault="000A51A6" w:rsidP="000A51A6">
            <w:pPr>
              <w:pStyle w:val="Tabletextboldleft"/>
              <w:spacing w:before="20" w:after="20"/>
              <w:jc w:val="right"/>
              <w:rPr>
                <w:b w:val="0"/>
              </w:rPr>
            </w:pPr>
            <w:r w:rsidRPr="000A51A6">
              <w:rPr>
                <w:b w:val="0"/>
                <w:color w:val="000000"/>
              </w:rPr>
              <w:t>8,244</w:t>
            </w:r>
          </w:p>
        </w:tc>
        <w:tc>
          <w:tcPr>
            <w:tcW w:w="1191" w:type="dxa"/>
            <w:tcBorders>
              <w:bottom w:val="nil"/>
            </w:tcBorders>
            <w:vAlign w:val="bottom"/>
          </w:tcPr>
          <w:p w14:paraId="0E3BC54D" w14:textId="6CD12A30" w:rsidR="000A51A6" w:rsidRPr="000A51A6" w:rsidRDefault="000A51A6" w:rsidP="000A51A6">
            <w:pPr>
              <w:pStyle w:val="Tabletextboldleft"/>
              <w:spacing w:before="20" w:after="20"/>
              <w:jc w:val="right"/>
              <w:rPr>
                <w:b w:val="0"/>
              </w:rPr>
            </w:pPr>
            <w:r w:rsidRPr="000A51A6">
              <w:rPr>
                <w:b w:val="0"/>
                <w:color w:val="000000"/>
              </w:rPr>
              <w:t>8,334</w:t>
            </w:r>
          </w:p>
        </w:tc>
        <w:tc>
          <w:tcPr>
            <w:tcW w:w="1190" w:type="dxa"/>
            <w:tcBorders>
              <w:bottom w:val="nil"/>
            </w:tcBorders>
            <w:vAlign w:val="bottom"/>
          </w:tcPr>
          <w:p w14:paraId="260CC6A8" w14:textId="2F4C6242" w:rsidR="000A51A6" w:rsidRPr="000A51A6" w:rsidRDefault="000A51A6" w:rsidP="000A51A6">
            <w:pPr>
              <w:pStyle w:val="Tabletextboldleft"/>
              <w:spacing w:before="20" w:after="20"/>
              <w:jc w:val="right"/>
              <w:rPr>
                <w:b w:val="0"/>
              </w:rPr>
            </w:pPr>
            <w:r w:rsidRPr="000A51A6">
              <w:rPr>
                <w:b w:val="0"/>
                <w:color w:val="000000"/>
              </w:rPr>
              <w:t>8,424</w:t>
            </w:r>
          </w:p>
        </w:tc>
        <w:tc>
          <w:tcPr>
            <w:tcW w:w="1191" w:type="dxa"/>
            <w:tcBorders>
              <w:bottom w:val="nil"/>
            </w:tcBorders>
            <w:vAlign w:val="bottom"/>
          </w:tcPr>
          <w:p w14:paraId="532DF0E6" w14:textId="20624A55" w:rsidR="000A51A6" w:rsidRPr="000A51A6" w:rsidRDefault="000A51A6" w:rsidP="000A51A6">
            <w:pPr>
              <w:pStyle w:val="Tabletextboldleft"/>
              <w:spacing w:before="20" w:after="20"/>
              <w:jc w:val="right"/>
              <w:rPr>
                <w:b w:val="0"/>
              </w:rPr>
            </w:pPr>
            <w:r w:rsidRPr="000A51A6">
              <w:rPr>
                <w:b w:val="0"/>
                <w:color w:val="000000"/>
              </w:rPr>
              <w:t>8,514</w:t>
            </w:r>
          </w:p>
        </w:tc>
        <w:tc>
          <w:tcPr>
            <w:tcW w:w="1191" w:type="dxa"/>
            <w:tcBorders>
              <w:bottom w:val="nil"/>
            </w:tcBorders>
            <w:vAlign w:val="bottom"/>
          </w:tcPr>
          <w:p w14:paraId="247F878A" w14:textId="75CA55E0" w:rsidR="000A51A6" w:rsidRPr="000A51A6" w:rsidRDefault="000A51A6" w:rsidP="000A51A6">
            <w:pPr>
              <w:pStyle w:val="Tabletextboldleft"/>
              <w:spacing w:before="20" w:after="20"/>
              <w:jc w:val="right"/>
              <w:rPr>
                <w:b w:val="0"/>
              </w:rPr>
            </w:pPr>
            <w:r w:rsidRPr="000A51A6">
              <w:rPr>
                <w:b w:val="0"/>
                <w:color w:val="000000"/>
              </w:rPr>
              <w:t>8,605</w:t>
            </w:r>
          </w:p>
        </w:tc>
      </w:tr>
      <w:tr w:rsidR="000A51A6" w:rsidRPr="00F647C7" w14:paraId="0988A71B" w14:textId="77777777" w:rsidTr="00E61184">
        <w:trPr>
          <w:trHeight w:val="212"/>
        </w:trPr>
        <w:tc>
          <w:tcPr>
            <w:tcW w:w="2410" w:type="dxa"/>
            <w:tcBorders>
              <w:top w:val="nil"/>
              <w:bottom w:val="nil"/>
            </w:tcBorders>
          </w:tcPr>
          <w:p w14:paraId="7661A135" w14:textId="77777777" w:rsidR="000A51A6" w:rsidRPr="003804E4" w:rsidRDefault="000A51A6" w:rsidP="000A51A6">
            <w:pPr>
              <w:pStyle w:val="Tabletextboldleft"/>
              <w:spacing w:before="20" w:after="20"/>
              <w:ind w:firstLine="317"/>
              <w:rPr>
                <w:b w:val="0"/>
              </w:rPr>
            </w:pPr>
            <w:r w:rsidRPr="00F411CD">
              <w:rPr>
                <w:b w:val="0"/>
              </w:rPr>
              <w:t>Complex</w:t>
            </w:r>
          </w:p>
        </w:tc>
        <w:tc>
          <w:tcPr>
            <w:tcW w:w="1190" w:type="dxa"/>
            <w:tcBorders>
              <w:top w:val="nil"/>
              <w:bottom w:val="nil"/>
            </w:tcBorders>
            <w:vAlign w:val="bottom"/>
          </w:tcPr>
          <w:p w14:paraId="1A725B34" w14:textId="6E4D58A6" w:rsidR="000A51A6" w:rsidRPr="000A51A6" w:rsidRDefault="000A51A6" w:rsidP="000A51A6">
            <w:pPr>
              <w:pStyle w:val="Tabletextboldleft"/>
              <w:spacing w:before="20" w:after="20"/>
              <w:jc w:val="right"/>
              <w:rPr>
                <w:b w:val="0"/>
              </w:rPr>
            </w:pPr>
            <w:r w:rsidRPr="000A51A6">
              <w:rPr>
                <w:b w:val="0"/>
                <w:color w:val="000000"/>
              </w:rPr>
              <w:t>1,511</w:t>
            </w:r>
          </w:p>
        </w:tc>
        <w:tc>
          <w:tcPr>
            <w:tcW w:w="1191" w:type="dxa"/>
            <w:tcBorders>
              <w:top w:val="nil"/>
              <w:bottom w:val="nil"/>
            </w:tcBorders>
            <w:vAlign w:val="bottom"/>
          </w:tcPr>
          <w:p w14:paraId="30219190" w14:textId="284ED643" w:rsidR="000A51A6" w:rsidRPr="000A51A6" w:rsidRDefault="000A51A6" w:rsidP="000A51A6">
            <w:pPr>
              <w:pStyle w:val="Tabletextboldleft"/>
              <w:spacing w:before="20" w:after="20"/>
              <w:jc w:val="right"/>
              <w:rPr>
                <w:b w:val="0"/>
              </w:rPr>
            </w:pPr>
            <w:r w:rsidRPr="000A51A6">
              <w:rPr>
                <w:b w:val="0"/>
                <w:color w:val="000000"/>
              </w:rPr>
              <w:t>1,528</w:t>
            </w:r>
          </w:p>
        </w:tc>
        <w:tc>
          <w:tcPr>
            <w:tcW w:w="1190" w:type="dxa"/>
            <w:tcBorders>
              <w:top w:val="nil"/>
              <w:bottom w:val="nil"/>
            </w:tcBorders>
            <w:vAlign w:val="bottom"/>
          </w:tcPr>
          <w:p w14:paraId="12DA1995" w14:textId="737E88DA" w:rsidR="000A51A6" w:rsidRPr="000A51A6" w:rsidRDefault="000A51A6" w:rsidP="000A51A6">
            <w:pPr>
              <w:pStyle w:val="Tabletextboldleft"/>
              <w:spacing w:before="20" w:after="20"/>
              <w:jc w:val="right"/>
              <w:rPr>
                <w:b w:val="0"/>
              </w:rPr>
            </w:pPr>
            <w:r w:rsidRPr="000A51A6">
              <w:rPr>
                <w:b w:val="0"/>
                <w:color w:val="000000"/>
              </w:rPr>
              <w:t>1,544</w:t>
            </w:r>
          </w:p>
        </w:tc>
        <w:tc>
          <w:tcPr>
            <w:tcW w:w="1191" w:type="dxa"/>
            <w:tcBorders>
              <w:top w:val="nil"/>
              <w:bottom w:val="nil"/>
            </w:tcBorders>
            <w:vAlign w:val="bottom"/>
          </w:tcPr>
          <w:p w14:paraId="54141B8E" w14:textId="5854FC18" w:rsidR="000A51A6" w:rsidRPr="000A51A6" w:rsidRDefault="000A51A6" w:rsidP="000A51A6">
            <w:pPr>
              <w:pStyle w:val="Tabletextboldleft"/>
              <w:spacing w:before="20" w:after="20"/>
              <w:jc w:val="right"/>
              <w:rPr>
                <w:b w:val="0"/>
              </w:rPr>
            </w:pPr>
            <w:r w:rsidRPr="000A51A6">
              <w:rPr>
                <w:b w:val="0"/>
                <w:color w:val="000000"/>
              </w:rPr>
              <w:t>1,561</w:t>
            </w:r>
          </w:p>
        </w:tc>
        <w:tc>
          <w:tcPr>
            <w:tcW w:w="1191" w:type="dxa"/>
            <w:tcBorders>
              <w:top w:val="nil"/>
              <w:bottom w:val="nil"/>
            </w:tcBorders>
            <w:vAlign w:val="bottom"/>
          </w:tcPr>
          <w:p w14:paraId="2271F9CB" w14:textId="4F5809F2" w:rsidR="000A51A6" w:rsidRPr="000A51A6" w:rsidRDefault="000A51A6" w:rsidP="000A51A6">
            <w:pPr>
              <w:pStyle w:val="Tabletextboldleft"/>
              <w:spacing w:before="20" w:after="20"/>
              <w:jc w:val="right"/>
              <w:rPr>
                <w:b w:val="0"/>
              </w:rPr>
            </w:pPr>
            <w:r w:rsidRPr="000A51A6">
              <w:rPr>
                <w:b w:val="0"/>
                <w:color w:val="000000"/>
              </w:rPr>
              <w:t>1,577</w:t>
            </w:r>
          </w:p>
        </w:tc>
      </w:tr>
      <w:tr w:rsidR="000A51A6" w:rsidRPr="00F647C7" w14:paraId="68D025C7" w14:textId="77777777" w:rsidTr="00E61184">
        <w:trPr>
          <w:trHeight w:val="212"/>
        </w:trPr>
        <w:tc>
          <w:tcPr>
            <w:tcW w:w="2410" w:type="dxa"/>
            <w:tcBorders>
              <w:top w:val="nil"/>
            </w:tcBorders>
          </w:tcPr>
          <w:p w14:paraId="5A7F7FCA" w14:textId="77777777" w:rsidR="000A51A6" w:rsidRPr="003804E4" w:rsidRDefault="000A51A6" w:rsidP="000A51A6">
            <w:pPr>
              <w:pStyle w:val="Tabletextboldleft"/>
              <w:spacing w:before="20" w:after="20"/>
              <w:ind w:firstLine="317"/>
              <w:rPr>
                <w:b w:val="0"/>
              </w:rPr>
            </w:pPr>
            <w:r w:rsidRPr="00F411CD">
              <w:rPr>
                <w:b w:val="0"/>
              </w:rPr>
              <w:t>Non-complex</w:t>
            </w:r>
          </w:p>
        </w:tc>
        <w:tc>
          <w:tcPr>
            <w:tcW w:w="1190" w:type="dxa"/>
            <w:tcBorders>
              <w:top w:val="nil"/>
            </w:tcBorders>
            <w:vAlign w:val="bottom"/>
          </w:tcPr>
          <w:p w14:paraId="68563F13" w14:textId="7F8271F6" w:rsidR="000A51A6" w:rsidRPr="000A51A6" w:rsidRDefault="000A51A6" w:rsidP="000A51A6">
            <w:pPr>
              <w:pStyle w:val="Tabletextboldleft"/>
              <w:spacing w:before="20" w:after="20"/>
              <w:jc w:val="right"/>
              <w:rPr>
                <w:b w:val="0"/>
              </w:rPr>
            </w:pPr>
            <w:r w:rsidRPr="000A51A6">
              <w:rPr>
                <w:b w:val="0"/>
                <w:color w:val="000000"/>
              </w:rPr>
              <w:t>6,733</w:t>
            </w:r>
          </w:p>
        </w:tc>
        <w:tc>
          <w:tcPr>
            <w:tcW w:w="1191" w:type="dxa"/>
            <w:tcBorders>
              <w:top w:val="nil"/>
            </w:tcBorders>
            <w:vAlign w:val="bottom"/>
          </w:tcPr>
          <w:p w14:paraId="4FBE9BCF" w14:textId="4A5ADD88" w:rsidR="000A51A6" w:rsidRPr="000A51A6" w:rsidRDefault="000A51A6" w:rsidP="000A51A6">
            <w:pPr>
              <w:pStyle w:val="Tabletextboldleft"/>
              <w:spacing w:before="20" w:after="20"/>
              <w:jc w:val="right"/>
              <w:rPr>
                <w:b w:val="0"/>
              </w:rPr>
            </w:pPr>
            <w:r w:rsidRPr="000A51A6">
              <w:rPr>
                <w:b w:val="0"/>
                <w:color w:val="000000"/>
              </w:rPr>
              <w:t>6,806</w:t>
            </w:r>
          </w:p>
        </w:tc>
        <w:tc>
          <w:tcPr>
            <w:tcW w:w="1190" w:type="dxa"/>
            <w:tcBorders>
              <w:top w:val="nil"/>
            </w:tcBorders>
            <w:vAlign w:val="bottom"/>
          </w:tcPr>
          <w:p w14:paraId="5E6C4138" w14:textId="1AF18B4B" w:rsidR="000A51A6" w:rsidRPr="000A51A6" w:rsidRDefault="000A51A6" w:rsidP="000A51A6">
            <w:pPr>
              <w:pStyle w:val="Tabletextboldleft"/>
              <w:spacing w:before="20" w:after="20"/>
              <w:jc w:val="right"/>
              <w:rPr>
                <w:b w:val="0"/>
              </w:rPr>
            </w:pPr>
            <w:r w:rsidRPr="000A51A6">
              <w:rPr>
                <w:b w:val="0"/>
                <w:color w:val="000000"/>
              </w:rPr>
              <w:t>6,880</w:t>
            </w:r>
          </w:p>
        </w:tc>
        <w:tc>
          <w:tcPr>
            <w:tcW w:w="1191" w:type="dxa"/>
            <w:tcBorders>
              <w:top w:val="nil"/>
            </w:tcBorders>
            <w:vAlign w:val="bottom"/>
          </w:tcPr>
          <w:p w14:paraId="7A0EE632" w14:textId="3F796A67" w:rsidR="000A51A6" w:rsidRPr="000A51A6" w:rsidRDefault="000A51A6" w:rsidP="000A51A6">
            <w:pPr>
              <w:pStyle w:val="Tabletextboldleft"/>
              <w:spacing w:before="20" w:after="20"/>
              <w:jc w:val="right"/>
              <w:rPr>
                <w:b w:val="0"/>
              </w:rPr>
            </w:pPr>
            <w:r w:rsidRPr="000A51A6">
              <w:rPr>
                <w:b w:val="0"/>
                <w:color w:val="000000"/>
              </w:rPr>
              <w:t>6,953</w:t>
            </w:r>
          </w:p>
        </w:tc>
        <w:tc>
          <w:tcPr>
            <w:tcW w:w="1191" w:type="dxa"/>
            <w:tcBorders>
              <w:top w:val="nil"/>
            </w:tcBorders>
            <w:vAlign w:val="bottom"/>
          </w:tcPr>
          <w:p w14:paraId="28A1F8BD" w14:textId="2FF3C710" w:rsidR="000A51A6" w:rsidRPr="000A51A6" w:rsidRDefault="000A51A6" w:rsidP="000A51A6">
            <w:pPr>
              <w:pStyle w:val="Tabletextboldleft"/>
              <w:spacing w:before="20" w:after="20"/>
              <w:jc w:val="right"/>
              <w:rPr>
                <w:b w:val="0"/>
              </w:rPr>
            </w:pPr>
            <w:r w:rsidRPr="000A51A6">
              <w:rPr>
                <w:b w:val="0"/>
                <w:color w:val="000000"/>
              </w:rPr>
              <w:t>7,027</w:t>
            </w:r>
          </w:p>
        </w:tc>
      </w:tr>
      <w:tr w:rsidR="000A51A6" w:rsidRPr="00F647C7" w14:paraId="410E5982" w14:textId="77777777" w:rsidTr="00E61184">
        <w:trPr>
          <w:trHeight w:val="212"/>
        </w:trPr>
        <w:tc>
          <w:tcPr>
            <w:tcW w:w="2410" w:type="dxa"/>
          </w:tcPr>
          <w:p w14:paraId="14462933" w14:textId="77777777" w:rsidR="000A51A6" w:rsidRPr="00B77182" w:rsidRDefault="000A51A6" w:rsidP="000A51A6">
            <w:pPr>
              <w:pStyle w:val="Tabletextboldleft"/>
              <w:spacing w:before="20" w:after="20"/>
              <w:rPr>
                <w:i/>
              </w:rPr>
            </w:pPr>
            <w:r>
              <w:rPr>
                <w:b w:val="0"/>
                <w:i/>
              </w:rPr>
              <w:t>Sub-t</w:t>
            </w:r>
            <w:r w:rsidRPr="00B77182">
              <w:rPr>
                <w:b w:val="0"/>
                <w:i/>
              </w:rPr>
              <w:t>otal (excluding gynaecological cytology)</w:t>
            </w:r>
          </w:p>
        </w:tc>
        <w:tc>
          <w:tcPr>
            <w:tcW w:w="1190" w:type="dxa"/>
          </w:tcPr>
          <w:p w14:paraId="62A73E33" w14:textId="26196F7A" w:rsidR="000A51A6" w:rsidRPr="00C932DC" w:rsidRDefault="000A51A6" w:rsidP="000A51A6">
            <w:pPr>
              <w:pStyle w:val="Tabletextboldleft"/>
              <w:spacing w:before="20" w:after="20"/>
              <w:jc w:val="right"/>
              <w:rPr>
                <w:b w:val="0"/>
                <w:i/>
              </w:rPr>
            </w:pPr>
            <w:r w:rsidRPr="00C932DC">
              <w:rPr>
                <w:b w:val="0"/>
                <w:i/>
                <w:color w:val="000000"/>
              </w:rPr>
              <w:t>6,041</w:t>
            </w:r>
          </w:p>
        </w:tc>
        <w:tc>
          <w:tcPr>
            <w:tcW w:w="1191" w:type="dxa"/>
          </w:tcPr>
          <w:p w14:paraId="450A1EF7" w14:textId="1151B182" w:rsidR="000A51A6" w:rsidRPr="00C932DC" w:rsidRDefault="000A51A6" w:rsidP="000A51A6">
            <w:pPr>
              <w:pStyle w:val="Tabletextboldleft"/>
              <w:spacing w:before="20" w:after="20"/>
              <w:jc w:val="right"/>
              <w:rPr>
                <w:b w:val="0"/>
                <w:i/>
              </w:rPr>
            </w:pPr>
            <w:r w:rsidRPr="00C932DC">
              <w:rPr>
                <w:b w:val="0"/>
                <w:i/>
                <w:color w:val="000000"/>
              </w:rPr>
              <w:t>6,252</w:t>
            </w:r>
          </w:p>
        </w:tc>
        <w:tc>
          <w:tcPr>
            <w:tcW w:w="1190" w:type="dxa"/>
          </w:tcPr>
          <w:p w14:paraId="3052CDE9" w14:textId="35243290" w:rsidR="000A51A6" w:rsidRPr="00C932DC" w:rsidRDefault="000A51A6" w:rsidP="000A51A6">
            <w:pPr>
              <w:pStyle w:val="Tabletextboldleft"/>
              <w:spacing w:before="20" w:after="20"/>
              <w:jc w:val="right"/>
              <w:rPr>
                <w:b w:val="0"/>
                <w:i/>
              </w:rPr>
            </w:pPr>
            <w:r w:rsidRPr="00C932DC">
              <w:rPr>
                <w:b w:val="0"/>
                <w:i/>
                <w:color w:val="000000"/>
              </w:rPr>
              <w:t>6,463</w:t>
            </w:r>
          </w:p>
        </w:tc>
        <w:tc>
          <w:tcPr>
            <w:tcW w:w="1191" w:type="dxa"/>
          </w:tcPr>
          <w:p w14:paraId="73B237DC" w14:textId="51D971E0" w:rsidR="000A51A6" w:rsidRPr="00C932DC" w:rsidRDefault="000A51A6" w:rsidP="000A51A6">
            <w:pPr>
              <w:pStyle w:val="Tabletextboldleft"/>
              <w:spacing w:before="20" w:after="20"/>
              <w:jc w:val="right"/>
              <w:rPr>
                <w:b w:val="0"/>
                <w:i/>
              </w:rPr>
            </w:pPr>
            <w:r w:rsidRPr="00C932DC">
              <w:rPr>
                <w:b w:val="0"/>
                <w:i/>
                <w:color w:val="000000"/>
              </w:rPr>
              <w:t>6,675</w:t>
            </w:r>
          </w:p>
        </w:tc>
        <w:tc>
          <w:tcPr>
            <w:tcW w:w="1191" w:type="dxa"/>
          </w:tcPr>
          <w:p w14:paraId="1715F96C" w14:textId="7BC0D337" w:rsidR="000A51A6" w:rsidRPr="00C932DC" w:rsidRDefault="000A51A6" w:rsidP="000A51A6">
            <w:pPr>
              <w:pStyle w:val="Tabletextboldleft"/>
              <w:spacing w:before="20" w:after="20"/>
              <w:jc w:val="right"/>
              <w:rPr>
                <w:b w:val="0"/>
                <w:i/>
              </w:rPr>
            </w:pPr>
            <w:r w:rsidRPr="00C932DC">
              <w:rPr>
                <w:b w:val="0"/>
                <w:i/>
                <w:color w:val="000000"/>
              </w:rPr>
              <w:t>6,886</w:t>
            </w:r>
          </w:p>
        </w:tc>
      </w:tr>
      <w:tr w:rsidR="000A51A6" w:rsidRPr="00F647C7" w14:paraId="15ED4063" w14:textId="77777777" w:rsidTr="00E61184">
        <w:trPr>
          <w:trHeight w:val="212"/>
        </w:trPr>
        <w:tc>
          <w:tcPr>
            <w:tcW w:w="2410" w:type="dxa"/>
          </w:tcPr>
          <w:p w14:paraId="5E8CAFAF" w14:textId="77777777" w:rsidR="000A51A6" w:rsidRPr="00B77182" w:rsidRDefault="000A51A6" w:rsidP="000A51A6">
            <w:pPr>
              <w:pStyle w:val="Tabletextboldleft"/>
              <w:spacing w:before="20" w:after="20"/>
              <w:rPr>
                <w:i/>
              </w:rPr>
            </w:pPr>
            <w:r>
              <w:rPr>
                <w:b w:val="0"/>
                <w:i/>
              </w:rPr>
              <w:t>Sub-t</w:t>
            </w:r>
            <w:r w:rsidRPr="00B77182">
              <w:rPr>
                <w:b w:val="0"/>
                <w:i/>
              </w:rPr>
              <w:t>otal (including all cytology)</w:t>
            </w:r>
          </w:p>
        </w:tc>
        <w:tc>
          <w:tcPr>
            <w:tcW w:w="1190" w:type="dxa"/>
          </w:tcPr>
          <w:p w14:paraId="563CB626" w14:textId="0C430CCA" w:rsidR="000A51A6" w:rsidRPr="00C932DC" w:rsidRDefault="000A51A6" w:rsidP="000A51A6">
            <w:pPr>
              <w:pStyle w:val="Tabletextboldleft"/>
              <w:spacing w:before="20" w:after="20"/>
              <w:jc w:val="right"/>
              <w:rPr>
                <w:b w:val="0"/>
                <w:i/>
              </w:rPr>
            </w:pPr>
            <w:r w:rsidRPr="00C932DC">
              <w:rPr>
                <w:b w:val="0"/>
                <w:i/>
                <w:color w:val="000000"/>
              </w:rPr>
              <w:t>13,248</w:t>
            </w:r>
          </w:p>
        </w:tc>
        <w:tc>
          <w:tcPr>
            <w:tcW w:w="1191" w:type="dxa"/>
          </w:tcPr>
          <w:p w14:paraId="7224A705" w14:textId="70E35907" w:rsidR="000A51A6" w:rsidRPr="00C932DC" w:rsidRDefault="000A51A6" w:rsidP="000A51A6">
            <w:pPr>
              <w:pStyle w:val="Tabletextboldleft"/>
              <w:spacing w:before="20" w:after="20"/>
              <w:jc w:val="right"/>
              <w:rPr>
                <w:b w:val="0"/>
                <w:i/>
              </w:rPr>
            </w:pPr>
            <w:r w:rsidRPr="00C932DC">
              <w:rPr>
                <w:b w:val="0"/>
                <w:i/>
                <w:color w:val="000000"/>
              </w:rPr>
              <w:t>13,520</w:t>
            </w:r>
          </w:p>
        </w:tc>
        <w:tc>
          <w:tcPr>
            <w:tcW w:w="1190" w:type="dxa"/>
          </w:tcPr>
          <w:p w14:paraId="03285525" w14:textId="66BAAB36" w:rsidR="000A51A6" w:rsidRPr="00C932DC" w:rsidRDefault="000A51A6" w:rsidP="000A51A6">
            <w:pPr>
              <w:pStyle w:val="Tabletextboldleft"/>
              <w:spacing w:before="20" w:after="20"/>
              <w:jc w:val="right"/>
              <w:rPr>
                <w:b w:val="0"/>
                <w:i/>
              </w:rPr>
            </w:pPr>
            <w:r w:rsidRPr="00C932DC">
              <w:rPr>
                <w:b w:val="0"/>
                <w:i/>
                <w:color w:val="000000"/>
              </w:rPr>
              <w:t>13,791</w:t>
            </w:r>
          </w:p>
        </w:tc>
        <w:tc>
          <w:tcPr>
            <w:tcW w:w="1191" w:type="dxa"/>
          </w:tcPr>
          <w:p w14:paraId="3D571654" w14:textId="20F50921" w:rsidR="000A51A6" w:rsidRPr="00C932DC" w:rsidRDefault="000A51A6" w:rsidP="000A51A6">
            <w:pPr>
              <w:pStyle w:val="Tabletextboldleft"/>
              <w:spacing w:before="20" w:after="20"/>
              <w:jc w:val="right"/>
              <w:rPr>
                <w:b w:val="0"/>
                <w:i/>
              </w:rPr>
            </w:pPr>
            <w:r w:rsidRPr="00C932DC">
              <w:rPr>
                <w:b w:val="0"/>
                <w:i/>
                <w:color w:val="000000"/>
              </w:rPr>
              <w:t>14,063</w:t>
            </w:r>
          </w:p>
        </w:tc>
        <w:tc>
          <w:tcPr>
            <w:tcW w:w="1191" w:type="dxa"/>
          </w:tcPr>
          <w:p w14:paraId="51005C99" w14:textId="0DCC8BE1" w:rsidR="000A51A6" w:rsidRPr="00C932DC" w:rsidRDefault="000A51A6" w:rsidP="000A51A6">
            <w:pPr>
              <w:pStyle w:val="Tabletextboldleft"/>
              <w:spacing w:before="20" w:after="20"/>
              <w:jc w:val="right"/>
              <w:rPr>
                <w:b w:val="0"/>
                <w:i/>
              </w:rPr>
            </w:pPr>
            <w:r w:rsidRPr="00C932DC">
              <w:rPr>
                <w:b w:val="0"/>
                <w:i/>
                <w:color w:val="000000"/>
              </w:rPr>
              <w:t>14,334</w:t>
            </w:r>
          </w:p>
        </w:tc>
      </w:tr>
      <w:tr w:rsidR="00B51828" w:rsidRPr="00F647C7" w14:paraId="46EE8672" w14:textId="77777777" w:rsidTr="00E61184">
        <w:trPr>
          <w:trHeight w:val="212"/>
        </w:trPr>
        <w:tc>
          <w:tcPr>
            <w:tcW w:w="2410" w:type="dxa"/>
            <w:shd w:val="clear" w:color="auto" w:fill="D0CECE" w:themeFill="background2" w:themeFillShade="E6"/>
          </w:tcPr>
          <w:p w14:paraId="49CBD188" w14:textId="77777777" w:rsidR="00B51828" w:rsidRDefault="00B51828" w:rsidP="002101D2">
            <w:pPr>
              <w:pStyle w:val="Tabletextboldleft"/>
              <w:spacing w:before="20" w:after="20"/>
            </w:pPr>
            <w:r w:rsidRPr="00F411CD">
              <w:t xml:space="preserve">TOTAL </w:t>
            </w:r>
          </w:p>
          <w:p w14:paraId="2B3237C2" w14:textId="77777777" w:rsidR="00B51828" w:rsidRPr="00386763" w:rsidRDefault="00B51828" w:rsidP="002101D2">
            <w:pPr>
              <w:pStyle w:val="Tabletextboldleft"/>
              <w:spacing w:before="20" w:after="20"/>
            </w:pPr>
            <w:r w:rsidRPr="009D63D8">
              <w:rPr>
                <w:b w:val="0"/>
              </w:rPr>
              <w:t>(</w:t>
            </w:r>
            <w:r w:rsidRPr="009D63D8">
              <w:rPr>
                <w:b w:val="0"/>
                <w:i/>
              </w:rPr>
              <w:t>S1</w:t>
            </w:r>
            <w:r w:rsidRPr="009D63D8">
              <w:rPr>
                <w:b w:val="0"/>
              </w:rPr>
              <w:t xml:space="preserve"> and S</w:t>
            </w:r>
            <w:r w:rsidRPr="009D63D8">
              <w:rPr>
                <w:b w:val="0"/>
                <w:i/>
              </w:rPr>
              <w:t>2</w:t>
            </w:r>
            <w:r w:rsidRPr="009D63D8">
              <w:rPr>
                <w:b w:val="0"/>
              </w:rPr>
              <w:t xml:space="preserve"> – excluding gynaecological cytology)</w:t>
            </w:r>
          </w:p>
        </w:tc>
        <w:tc>
          <w:tcPr>
            <w:tcW w:w="1190" w:type="dxa"/>
            <w:shd w:val="clear" w:color="auto" w:fill="D0CECE" w:themeFill="background2" w:themeFillShade="E6"/>
          </w:tcPr>
          <w:p w14:paraId="4091CFCA" w14:textId="77777777" w:rsidR="00B51828" w:rsidRPr="00B77182" w:rsidRDefault="00B51828" w:rsidP="002101D2">
            <w:pPr>
              <w:pStyle w:val="Tabletextboldleft"/>
              <w:spacing w:before="20" w:after="20"/>
              <w:jc w:val="right"/>
            </w:pPr>
            <w:r w:rsidRPr="00B77182">
              <w:rPr>
                <w:color w:val="000000"/>
              </w:rPr>
              <w:t>28,700</w:t>
            </w:r>
          </w:p>
        </w:tc>
        <w:tc>
          <w:tcPr>
            <w:tcW w:w="1191" w:type="dxa"/>
            <w:shd w:val="clear" w:color="auto" w:fill="D0CECE" w:themeFill="background2" w:themeFillShade="E6"/>
          </w:tcPr>
          <w:p w14:paraId="34DD48B5" w14:textId="77777777" w:rsidR="00B51828" w:rsidRPr="00B77182" w:rsidRDefault="00B51828" w:rsidP="002101D2">
            <w:pPr>
              <w:pStyle w:val="Tabletextboldleft"/>
              <w:spacing w:before="20" w:after="20"/>
              <w:jc w:val="right"/>
            </w:pPr>
            <w:r w:rsidRPr="00B77182">
              <w:rPr>
                <w:color w:val="000000"/>
              </w:rPr>
              <w:t>29,724</w:t>
            </w:r>
          </w:p>
        </w:tc>
        <w:tc>
          <w:tcPr>
            <w:tcW w:w="1190" w:type="dxa"/>
            <w:shd w:val="clear" w:color="auto" w:fill="D0CECE" w:themeFill="background2" w:themeFillShade="E6"/>
          </w:tcPr>
          <w:p w14:paraId="283B16CE" w14:textId="77777777" w:rsidR="00B51828" w:rsidRPr="00B77182" w:rsidRDefault="00B51828" w:rsidP="002101D2">
            <w:pPr>
              <w:pStyle w:val="Tabletextboldleft"/>
              <w:spacing w:before="20" w:after="20"/>
              <w:jc w:val="right"/>
            </w:pPr>
            <w:r w:rsidRPr="00B77182">
              <w:rPr>
                <w:color w:val="000000"/>
              </w:rPr>
              <w:t>30,748</w:t>
            </w:r>
          </w:p>
        </w:tc>
        <w:tc>
          <w:tcPr>
            <w:tcW w:w="1191" w:type="dxa"/>
            <w:shd w:val="clear" w:color="auto" w:fill="D0CECE" w:themeFill="background2" w:themeFillShade="E6"/>
          </w:tcPr>
          <w:p w14:paraId="7DE6A883" w14:textId="77777777" w:rsidR="00B51828" w:rsidRPr="00B77182" w:rsidRDefault="00B51828" w:rsidP="002101D2">
            <w:pPr>
              <w:pStyle w:val="Tabletextboldleft"/>
              <w:spacing w:before="20" w:after="20"/>
              <w:jc w:val="right"/>
            </w:pPr>
            <w:r w:rsidRPr="00B77182">
              <w:rPr>
                <w:color w:val="000000"/>
              </w:rPr>
              <w:t>31,772</w:t>
            </w:r>
          </w:p>
        </w:tc>
        <w:tc>
          <w:tcPr>
            <w:tcW w:w="1191" w:type="dxa"/>
            <w:shd w:val="clear" w:color="auto" w:fill="D0CECE" w:themeFill="background2" w:themeFillShade="E6"/>
          </w:tcPr>
          <w:p w14:paraId="14DB94F7" w14:textId="77777777" w:rsidR="00B51828" w:rsidRPr="00B77182" w:rsidRDefault="00B51828" w:rsidP="002101D2">
            <w:pPr>
              <w:pStyle w:val="Tabletextboldleft"/>
              <w:spacing w:before="20" w:after="20"/>
              <w:jc w:val="right"/>
            </w:pPr>
            <w:r w:rsidRPr="00B77182">
              <w:rPr>
                <w:color w:val="000000"/>
              </w:rPr>
              <w:t>32,796</w:t>
            </w:r>
          </w:p>
        </w:tc>
      </w:tr>
      <w:tr w:rsidR="00B51828" w:rsidRPr="00F647C7" w14:paraId="30EBE7B4" w14:textId="77777777" w:rsidTr="00E61184">
        <w:trPr>
          <w:trHeight w:val="212"/>
        </w:trPr>
        <w:tc>
          <w:tcPr>
            <w:tcW w:w="2410" w:type="dxa"/>
            <w:shd w:val="clear" w:color="auto" w:fill="D0CECE" w:themeFill="background2" w:themeFillShade="E6"/>
          </w:tcPr>
          <w:p w14:paraId="47A89E87" w14:textId="77777777" w:rsidR="00B51828" w:rsidRDefault="00B51828" w:rsidP="002101D2">
            <w:pPr>
              <w:pStyle w:val="Tabletextboldleft"/>
              <w:spacing w:before="20" w:after="20"/>
            </w:pPr>
            <w:r w:rsidRPr="00F411CD">
              <w:t xml:space="preserve">TOTAL </w:t>
            </w:r>
          </w:p>
          <w:p w14:paraId="2AD67617" w14:textId="77777777" w:rsidR="00B51828" w:rsidRPr="00386763" w:rsidRDefault="00B51828" w:rsidP="002101D2">
            <w:pPr>
              <w:pStyle w:val="Tabletextboldleft"/>
              <w:spacing w:before="20" w:after="20"/>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1190" w:type="dxa"/>
            <w:shd w:val="clear" w:color="auto" w:fill="D0CECE" w:themeFill="background2" w:themeFillShade="E6"/>
          </w:tcPr>
          <w:p w14:paraId="007D0A0E" w14:textId="77777777" w:rsidR="00B51828" w:rsidRPr="00B77182" w:rsidRDefault="00B51828" w:rsidP="002101D2">
            <w:pPr>
              <w:pStyle w:val="Tabletextboldleft"/>
              <w:spacing w:before="20" w:after="20"/>
              <w:jc w:val="right"/>
            </w:pPr>
            <w:r w:rsidRPr="00B77182">
              <w:rPr>
                <w:color w:val="000000"/>
              </w:rPr>
              <w:t>44,003</w:t>
            </w:r>
          </w:p>
        </w:tc>
        <w:tc>
          <w:tcPr>
            <w:tcW w:w="1191" w:type="dxa"/>
            <w:shd w:val="clear" w:color="auto" w:fill="D0CECE" w:themeFill="background2" w:themeFillShade="E6"/>
          </w:tcPr>
          <w:p w14:paraId="57F76951" w14:textId="77777777" w:rsidR="00B51828" w:rsidRPr="00B77182" w:rsidRDefault="00B51828" w:rsidP="002101D2">
            <w:pPr>
              <w:pStyle w:val="Tabletextboldleft"/>
              <w:spacing w:before="20" w:after="20"/>
              <w:jc w:val="right"/>
            </w:pPr>
            <w:r w:rsidRPr="00B77182">
              <w:rPr>
                <w:color w:val="000000"/>
              </w:rPr>
              <w:t>45,155</w:t>
            </w:r>
          </w:p>
        </w:tc>
        <w:tc>
          <w:tcPr>
            <w:tcW w:w="1190" w:type="dxa"/>
            <w:shd w:val="clear" w:color="auto" w:fill="D0CECE" w:themeFill="background2" w:themeFillShade="E6"/>
          </w:tcPr>
          <w:p w14:paraId="4990250A" w14:textId="77777777" w:rsidR="00B51828" w:rsidRPr="00B77182" w:rsidRDefault="00B51828" w:rsidP="002101D2">
            <w:pPr>
              <w:pStyle w:val="Tabletextboldleft"/>
              <w:spacing w:before="20" w:after="20"/>
              <w:jc w:val="right"/>
            </w:pPr>
            <w:r w:rsidRPr="00B77182">
              <w:rPr>
                <w:color w:val="000000"/>
              </w:rPr>
              <w:t>46,306</w:t>
            </w:r>
          </w:p>
        </w:tc>
        <w:tc>
          <w:tcPr>
            <w:tcW w:w="1191" w:type="dxa"/>
            <w:shd w:val="clear" w:color="auto" w:fill="D0CECE" w:themeFill="background2" w:themeFillShade="E6"/>
          </w:tcPr>
          <w:p w14:paraId="39E9C30E" w14:textId="77777777" w:rsidR="00B51828" w:rsidRPr="00B77182" w:rsidRDefault="00B51828" w:rsidP="002101D2">
            <w:pPr>
              <w:pStyle w:val="Tabletextboldleft"/>
              <w:spacing w:before="20" w:after="20"/>
              <w:jc w:val="right"/>
            </w:pPr>
            <w:r w:rsidRPr="00B77182">
              <w:rPr>
                <w:color w:val="000000"/>
              </w:rPr>
              <w:t>47,457</w:t>
            </w:r>
          </w:p>
        </w:tc>
        <w:tc>
          <w:tcPr>
            <w:tcW w:w="1191" w:type="dxa"/>
            <w:shd w:val="clear" w:color="auto" w:fill="D0CECE" w:themeFill="background2" w:themeFillShade="E6"/>
          </w:tcPr>
          <w:p w14:paraId="57ECC26E" w14:textId="77777777" w:rsidR="00B51828" w:rsidRPr="00B77182" w:rsidRDefault="00B51828" w:rsidP="002101D2">
            <w:pPr>
              <w:pStyle w:val="Tabletextboldleft"/>
              <w:spacing w:before="20" w:after="20"/>
              <w:jc w:val="right"/>
            </w:pPr>
            <w:r w:rsidRPr="00B77182">
              <w:rPr>
                <w:color w:val="000000"/>
              </w:rPr>
              <w:t>48,609</w:t>
            </w:r>
          </w:p>
        </w:tc>
      </w:tr>
    </w:tbl>
    <w:p w14:paraId="6524B3E3"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&lt;Incremental services (SO items)&gt;</w:t>
      </w:r>
    </w:p>
    <w:p w14:paraId="4C1600F4" w14:textId="77777777" w:rsidR="00B51828" w:rsidRPr="001D2CEB" w:rsidRDefault="00B51828" w:rsidP="002101D2">
      <w:pPr>
        <w:spacing w:before="20"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032F634A" w14:textId="77777777" w:rsidR="00B51828" w:rsidRPr="00BC2B1A" w:rsidRDefault="00B51828" w:rsidP="002101D2">
      <w:pPr>
        <w:ind w:left="0" w:firstLine="720"/>
        <w:rPr>
          <w:rFonts w:ascii="Arial Narrow" w:hAnsi="Arial Narrow"/>
          <w:sz w:val="18"/>
          <w:szCs w:val="18"/>
        </w:rPr>
      </w:pPr>
      <w:r w:rsidRPr="00DB0F9B">
        <w:rPr>
          <w:rFonts w:ascii="Arial Narrow" w:hAnsi="Arial Narrow"/>
          <w:sz w:val="18"/>
          <w:szCs w:val="18"/>
          <w:vertAlign w:val="superscript"/>
        </w:rPr>
        <w:t>a</w:t>
      </w:r>
      <w:r>
        <w:rPr>
          <w:rFonts w:ascii="Arial Narrow" w:hAnsi="Arial Narrow"/>
          <w:sz w:val="18"/>
          <w:szCs w:val="18"/>
        </w:rPr>
        <w:t xml:space="preserve"> Includes bone marrow items</w:t>
      </w:r>
    </w:p>
    <w:p w14:paraId="4C00CEC5" w14:textId="77777777" w:rsidR="00B51828" w:rsidRDefault="00B51828">
      <w:pPr>
        <w:spacing w:after="160" w:line="259" w:lineRule="auto"/>
        <w:ind w:left="0"/>
      </w:pPr>
      <w:r>
        <w:br w:type="page"/>
      </w:r>
    </w:p>
    <w:p w14:paraId="560940F2" w14:textId="77777777" w:rsidR="00B51828" w:rsidRDefault="00B51828" w:rsidP="002101D2">
      <w:pPr>
        <w:keepNext/>
      </w:pPr>
      <w:r>
        <w:lastRenderedPageBreak/>
        <w:fldChar w:fldCharType="begin"/>
      </w:r>
      <w:r>
        <w:instrText xml:space="preserve"> REF _Ref394917887 \h </w:instrText>
      </w:r>
      <w:r>
        <w:fldChar w:fldCharType="separate"/>
      </w:r>
      <w:r w:rsidR="0044620B">
        <w:t xml:space="preserve">Table </w:t>
      </w:r>
      <w:r w:rsidR="0044620B">
        <w:rPr>
          <w:noProof/>
        </w:rPr>
        <w:t>E.2</w:t>
      </w:r>
      <w:r w:rsidR="0044620B">
        <w:noBreakHyphen/>
      </w:r>
      <w:r w:rsidR="0044620B">
        <w:rPr>
          <w:noProof/>
        </w:rPr>
        <w:t>5</w:t>
      </w:r>
      <w:r>
        <w:fldChar w:fldCharType="end"/>
      </w:r>
      <w:r>
        <w:t xml:space="preserve"> presents the estimated cost of the two second, expert opinion items over the first five years of the proposed listing. As discussed in Section </w:t>
      </w:r>
      <w:r>
        <w:fldChar w:fldCharType="begin"/>
      </w:r>
      <w:r>
        <w:instrText xml:space="preserve"> REF _Ref394917702 \w \h </w:instrText>
      </w:r>
      <w:r>
        <w:fldChar w:fldCharType="separate"/>
      </w:r>
      <w:r w:rsidR="0044620B">
        <w:t>E.1.4</w:t>
      </w:r>
      <w:r>
        <w:fldChar w:fldCharType="end"/>
      </w:r>
      <w:r>
        <w:t xml:space="preserve"> the costs have been calculated using the 85% benefit for all cases – $153.00 and $314.50 for ‘non-complex’ and ‘complex’ second, expert opinions, respectively. The estimated total cost of the items also represents the incremental cost to the MBS, given that under current funding arrangements second, expert opinions are provided without MBS reimbursement; hence the current cost to the MBS is $0. </w:t>
      </w:r>
    </w:p>
    <w:p w14:paraId="3C0D6B8A" w14:textId="77777777" w:rsidR="00B51828" w:rsidRDefault="00B51828" w:rsidP="002101D2">
      <w:pPr>
        <w:pStyle w:val="Caption"/>
      </w:pPr>
      <w:bookmarkStart w:id="274" w:name="_Ref394917887"/>
      <w:bookmarkStart w:id="275" w:name="_Toc396211779"/>
      <w:r>
        <w:t xml:space="preserve">Table </w:t>
      </w:r>
      <w:fldSimple w:instr=" STYLEREF 2 \s ">
        <w:r w:rsidR="0044620B">
          <w:rPr>
            <w:noProof/>
          </w:rPr>
          <w:t>E.2</w:t>
        </w:r>
      </w:fldSimple>
      <w:r>
        <w:noBreakHyphen/>
      </w:r>
      <w:fldSimple w:instr=" SEQ Table \* ARABIC \s 2 ">
        <w:r w:rsidR="0044620B">
          <w:rPr>
            <w:noProof/>
          </w:rPr>
          <w:t>5</w:t>
        </w:r>
      </w:fldSimple>
      <w:bookmarkEnd w:id="274"/>
      <w:r>
        <w:tab/>
        <w:t>Estimated cost to the MBS of the proposed items for second, expert opinions, over the first five years of listing – Proposed funding arrangements</w:t>
      </w:r>
      <w:bookmarkEnd w:id="275"/>
    </w:p>
    <w:tbl>
      <w:tblPr>
        <w:tblStyle w:val="TableGrid"/>
        <w:tblW w:w="8363" w:type="dxa"/>
        <w:tblInd w:w="704" w:type="dxa"/>
        <w:tblLayout w:type="fixed"/>
        <w:tblLook w:val="04A0" w:firstRow="1" w:lastRow="0" w:firstColumn="1" w:lastColumn="0" w:noHBand="0" w:noVBand="1"/>
        <w:tblCaption w:val="Estimated cost under proposed funding arrangements"/>
        <w:tblDescription w:val="Estimated cost to the MBS of the proposed items for second, expert opinions, over the first five years of listing – Proposed funding arrangements"/>
      </w:tblPr>
      <w:tblGrid>
        <w:gridCol w:w="2390"/>
        <w:gridCol w:w="1194"/>
        <w:gridCol w:w="1195"/>
        <w:gridCol w:w="1194"/>
        <w:gridCol w:w="1195"/>
        <w:gridCol w:w="1195"/>
      </w:tblGrid>
      <w:tr w:rsidR="00B51828" w14:paraId="0D74DD99" w14:textId="77777777" w:rsidTr="00E61184">
        <w:trPr>
          <w:trHeight w:val="212"/>
          <w:tblHeader/>
        </w:trPr>
        <w:tc>
          <w:tcPr>
            <w:tcW w:w="2390" w:type="dxa"/>
          </w:tcPr>
          <w:p w14:paraId="69E36EFD" w14:textId="77777777" w:rsidR="00B51828" w:rsidRDefault="00B51828" w:rsidP="002101D2">
            <w:pPr>
              <w:pStyle w:val="Tabletextboldleft"/>
              <w:spacing w:before="20" w:after="20"/>
            </w:pPr>
          </w:p>
        </w:tc>
        <w:tc>
          <w:tcPr>
            <w:tcW w:w="1194" w:type="dxa"/>
          </w:tcPr>
          <w:p w14:paraId="5525C24A" w14:textId="77777777" w:rsidR="00B51828" w:rsidRDefault="00B51828" w:rsidP="002101D2">
            <w:pPr>
              <w:pStyle w:val="Tabletextboldleft"/>
              <w:spacing w:before="20" w:after="20"/>
              <w:jc w:val="right"/>
            </w:pPr>
            <w:r>
              <w:t>Year 1</w:t>
            </w:r>
          </w:p>
          <w:p w14:paraId="249B7DAE" w14:textId="77777777" w:rsidR="00B51828" w:rsidRDefault="00B51828" w:rsidP="002101D2">
            <w:pPr>
              <w:pStyle w:val="Tabletextboldleft"/>
              <w:spacing w:before="20" w:after="20"/>
              <w:jc w:val="right"/>
            </w:pPr>
            <w:r>
              <w:t>(2015-16)</w:t>
            </w:r>
          </w:p>
        </w:tc>
        <w:tc>
          <w:tcPr>
            <w:tcW w:w="1195" w:type="dxa"/>
          </w:tcPr>
          <w:p w14:paraId="7C314C28" w14:textId="77777777" w:rsidR="00B51828" w:rsidRDefault="00B51828" w:rsidP="002101D2">
            <w:pPr>
              <w:pStyle w:val="Tabletextboldleft"/>
              <w:spacing w:before="20" w:after="20"/>
              <w:jc w:val="right"/>
            </w:pPr>
            <w:r>
              <w:t>Year 2</w:t>
            </w:r>
          </w:p>
          <w:p w14:paraId="0A439378" w14:textId="77777777" w:rsidR="00B51828" w:rsidRDefault="00B51828" w:rsidP="002101D2">
            <w:pPr>
              <w:pStyle w:val="Tabletextboldleft"/>
              <w:spacing w:before="20" w:after="20"/>
              <w:jc w:val="right"/>
            </w:pPr>
            <w:r>
              <w:t>(2016-17)</w:t>
            </w:r>
          </w:p>
        </w:tc>
        <w:tc>
          <w:tcPr>
            <w:tcW w:w="1194" w:type="dxa"/>
          </w:tcPr>
          <w:p w14:paraId="5D7D1CA9" w14:textId="77777777" w:rsidR="00B51828" w:rsidRDefault="00B51828" w:rsidP="002101D2">
            <w:pPr>
              <w:pStyle w:val="Tabletextboldleft"/>
              <w:spacing w:before="20" w:after="20"/>
              <w:jc w:val="right"/>
            </w:pPr>
            <w:r>
              <w:t>Year 3</w:t>
            </w:r>
          </w:p>
          <w:p w14:paraId="23C176D5" w14:textId="77777777" w:rsidR="00B51828" w:rsidRDefault="00B51828" w:rsidP="002101D2">
            <w:pPr>
              <w:pStyle w:val="Tabletextboldleft"/>
              <w:spacing w:before="20" w:after="20"/>
              <w:jc w:val="right"/>
            </w:pPr>
            <w:r>
              <w:t>(2017-18)</w:t>
            </w:r>
          </w:p>
        </w:tc>
        <w:tc>
          <w:tcPr>
            <w:tcW w:w="1195" w:type="dxa"/>
          </w:tcPr>
          <w:p w14:paraId="4FF89162" w14:textId="77777777" w:rsidR="00B51828" w:rsidRDefault="00B51828" w:rsidP="002101D2">
            <w:pPr>
              <w:pStyle w:val="Tabletextboldleft"/>
              <w:spacing w:before="20" w:after="20"/>
              <w:jc w:val="right"/>
            </w:pPr>
            <w:r>
              <w:t>Year 4</w:t>
            </w:r>
          </w:p>
          <w:p w14:paraId="0DEE4BCC" w14:textId="77777777" w:rsidR="00B51828" w:rsidRDefault="00B51828" w:rsidP="002101D2">
            <w:pPr>
              <w:pStyle w:val="Tabletextboldleft"/>
              <w:spacing w:before="20" w:after="20"/>
              <w:jc w:val="right"/>
            </w:pPr>
            <w:r>
              <w:t>(2018-19)</w:t>
            </w:r>
          </w:p>
        </w:tc>
        <w:tc>
          <w:tcPr>
            <w:tcW w:w="1195" w:type="dxa"/>
          </w:tcPr>
          <w:p w14:paraId="09DE99DE" w14:textId="77777777" w:rsidR="00B51828" w:rsidRDefault="00B51828" w:rsidP="002101D2">
            <w:pPr>
              <w:pStyle w:val="Tabletextboldleft"/>
              <w:spacing w:before="20" w:after="20"/>
              <w:jc w:val="right"/>
            </w:pPr>
            <w:r>
              <w:t>Year 5</w:t>
            </w:r>
          </w:p>
          <w:p w14:paraId="3BC19B70" w14:textId="77777777" w:rsidR="00B51828" w:rsidRDefault="00B51828" w:rsidP="002101D2">
            <w:pPr>
              <w:pStyle w:val="Tabletextboldleft"/>
              <w:spacing w:before="20" w:after="20"/>
              <w:jc w:val="right"/>
            </w:pPr>
            <w:r>
              <w:t>(2019-20)</w:t>
            </w:r>
          </w:p>
        </w:tc>
      </w:tr>
      <w:tr w:rsidR="00B51828" w:rsidRPr="00F647C7" w14:paraId="6426033B" w14:textId="77777777" w:rsidTr="00E61184">
        <w:trPr>
          <w:trHeight w:val="212"/>
        </w:trPr>
        <w:tc>
          <w:tcPr>
            <w:tcW w:w="2390" w:type="dxa"/>
            <w:tcBorders>
              <w:bottom w:val="single" w:sz="4" w:space="0" w:color="auto"/>
            </w:tcBorders>
            <w:shd w:val="clear" w:color="auto" w:fill="D0CECE" w:themeFill="background2" w:themeFillShade="E6"/>
          </w:tcPr>
          <w:p w14:paraId="5765FC1D" w14:textId="77777777" w:rsidR="00B51828" w:rsidRPr="0076472C" w:rsidRDefault="00B51828" w:rsidP="002101D2">
            <w:pPr>
              <w:pStyle w:val="Tabletextboldleft"/>
              <w:spacing w:before="20" w:after="20"/>
              <w:rPr>
                <w:i/>
              </w:rPr>
            </w:pPr>
            <w:r>
              <w:rPr>
                <w:i/>
              </w:rPr>
              <w:t>Scenario 1</w:t>
            </w:r>
          </w:p>
        </w:tc>
        <w:tc>
          <w:tcPr>
            <w:tcW w:w="1194" w:type="dxa"/>
            <w:tcBorders>
              <w:bottom w:val="single" w:sz="4" w:space="0" w:color="auto"/>
            </w:tcBorders>
            <w:shd w:val="clear" w:color="auto" w:fill="D0CECE" w:themeFill="background2" w:themeFillShade="E6"/>
          </w:tcPr>
          <w:p w14:paraId="7E85D3F3" w14:textId="77777777" w:rsidR="00B51828" w:rsidRPr="002D0B57" w:rsidRDefault="00B51828" w:rsidP="002101D2">
            <w:pPr>
              <w:pStyle w:val="Tabletextboldleft"/>
              <w:spacing w:before="20" w:after="20"/>
              <w:jc w:val="right"/>
              <w:rPr>
                <w:b w:val="0"/>
              </w:rPr>
            </w:pPr>
            <w:r>
              <w:rPr>
                <w:b w:val="0"/>
              </w:rPr>
              <w:t>-</w:t>
            </w:r>
          </w:p>
        </w:tc>
        <w:tc>
          <w:tcPr>
            <w:tcW w:w="1195" w:type="dxa"/>
            <w:tcBorders>
              <w:bottom w:val="single" w:sz="4" w:space="0" w:color="auto"/>
            </w:tcBorders>
            <w:shd w:val="clear" w:color="auto" w:fill="D0CECE" w:themeFill="background2" w:themeFillShade="E6"/>
          </w:tcPr>
          <w:p w14:paraId="6F21154C" w14:textId="77777777" w:rsidR="00B51828" w:rsidRPr="002D0B57" w:rsidRDefault="00B51828" w:rsidP="002101D2">
            <w:pPr>
              <w:pStyle w:val="Tabletextboldleft"/>
              <w:spacing w:before="20" w:after="20"/>
              <w:jc w:val="right"/>
              <w:rPr>
                <w:b w:val="0"/>
              </w:rPr>
            </w:pPr>
            <w:r>
              <w:rPr>
                <w:b w:val="0"/>
              </w:rPr>
              <w:t>-</w:t>
            </w:r>
          </w:p>
        </w:tc>
        <w:tc>
          <w:tcPr>
            <w:tcW w:w="1194" w:type="dxa"/>
            <w:tcBorders>
              <w:bottom w:val="single" w:sz="4" w:space="0" w:color="auto"/>
            </w:tcBorders>
            <w:shd w:val="clear" w:color="auto" w:fill="D0CECE" w:themeFill="background2" w:themeFillShade="E6"/>
          </w:tcPr>
          <w:p w14:paraId="633B06E8" w14:textId="77777777" w:rsidR="00B51828" w:rsidRPr="002D0B57" w:rsidRDefault="00B51828" w:rsidP="002101D2">
            <w:pPr>
              <w:pStyle w:val="Tabletextboldleft"/>
              <w:spacing w:before="20" w:after="20"/>
              <w:jc w:val="right"/>
              <w:rPr>
                <w:b w:val="0"/>
              </w:rPr>
            </w:pPr>
            <w:r>
              <w:rPr>
                <w:b w:val="0"/>
              </w:rPr>
              <w:t>-</w:t>
            </w:r>
          </w:p>
        </w:tc>
        <w:tc>
          <w:tcPr>
            <w:tcW w:w="1195" w:type="dxa"/>
            <w:tcBorders>
              <w:bottom w:val="single" w:sz="4" w:space="0" w:color="auto"/>
            </w:tcBorders>
            <w:shd w:val="clear" w:color="auto" w:fill="D0CECE" w:themeFill="background2" w:themeFillShade="E6"/>
          </w:tcPr>
          <w:p w14:paraId="6A84EDB0" w14:textId="77777777" w:rsidR="00B51828" w:rsidRPr="002D0B57" w:rsidRDefault="00B51828" w:rsidP="002101D2">
            <w:pPr>
              <w:pStyle w:val="Tabletextboldleft"/>
              <w:spacing w:before="20" w:after="20"/>
              <w:jc w:val="right"/>
              <w:rPr>
                <w:b w:val="0"/>
              </w:rPr>
            </w:pPr>
            <w:r>
              <w:rPr>
                <w:b w:val="0"/>
              </w:rPr>
              <w:t>-</w:t>
            </w:r>
          </w:p>
        </w:tc>
        <w:tc>
          <w:tcPr>
            <w:tcW w:w="1195" w:type="dxa"/>
            <w:tcBorders>
              <w:bottom w:val="single" w:sz="4" w:space="0" w:color="auto"/>
            </w:tcBorders>
            <w:shd w:val="clear" w:color="auto" w:fill="D0CECE" w:themeFill="background2" w:themeFillShade="E6"/>
          </w:tcPr>
          <w:p w14:paraId="089F5900" w14:textId="77777777" w:rsidR="00B51828" w:rsidRPr="002D0B57" w:rsidRDefault="00B51828" w:rsidP="002101D2">
            <w:pPr>
              <w:pStyle w:val="Tabletextboldleft"/>
              <w:spacing w:before="20" w:after="20"/>
              <w:jc w:val="right"/>
              <w:rPr>
                <w:b w:val="0"/>
              </w:rPr>
            </w:pPr>
            <w:r>
              <w:rPr>
                <w:b w:val="0"/>
              </w:rPr>
              <w:t>-</w:t>
            </w:r>
          </w:p>
        </w:tc>
      </w:tr>
      <w:tr w:rsidR="00B51828" w:rsidRPr="00F647C7" w14:paraId="0E633CE0" w14:textId="77777777" w:rsidTr="00E61184">
        <w:trPr>
          <w:trHeight w:val="212"/>
        </w:trPr>
        <w:tc>
          <w:tcPr>
            <w:tcW w:w="2390" w:type="dxa"/>
            <w:tcBorders>
              <w:bottom w:val="nil"/>
            </w:tcBorders>
          </w:tcPr>
          <w:p w14:paraId="2156CB0C" w14:textId="77777777" w:rsidR="00B51828" w:rsidRPr="00386763"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1194" w:type="dxa"/>
            <w:tcBorders>
              <w:bottom w:val="nil"/>
            </w:tcBorders>
          </w:tcPr>
          <w:p w14:paraId="19B85252" w14:textId="77777777" w:rsidR="00B51828" w:rsidRPr="00E51B48" w:rsidRDefault="00B51828" w:rsidP="002101D2">
            <w:pPr>
              <w:pStyle w:val="Tabletextboldleft"/>
              <w:spacing w:before="20" w:after="20"/>
              <w:jc w:val="right"/>
              <w:rPr>
                <w:b w:val="0"/>
              </w:rPr>
            </w:pPr>
            <w:r w:rsidRPr="00E51B48">
              <w:rPr>
                <w:b w:val="0"/>
                <w:color w:val="000000"/>
              </w:rPr>
              <w:t>$7,912,188</w:t>
            </w:r>
          </w:p>
        </w:tc>
        <w:tc>
          <w:tcPr>
            <w:tcW w:w="1195" w:type="dxa"/>
            <w:tcBorders>
              <w:bottom w:val="nil"/>
            </w:tcBorders>
          </w:tcPr>
          <w:p w14:paraId="4F3AC7CA" w14:textId="77777777" w:rsidR="00B51828" w:rsidRPr="00E51B48" w:rsidRDefault="00B51828" w:rsidP="002101D2">
            <w:pPr>
              <w:pStyle w:val="Tabletextboldleft"/>
              <w:spacing w:before="20" w:after="20"/>
              <w:jc w:val="right"/>
              <w:rPr>
                <w:b w:val="0"/>
              </w:rPr>
            </w:pPr>
            <w:r w:rsidRPr="00E51B48">
              <w:rPr>
                <w:b w:val="0"/>
                <w:color w:val="000000"/>
              </w:rPr>
              <w:t>$8,198,864</w:t>
            </w:r>
          </w:p>
        </w:tc>
        <w:tc>
          <w:tcPr>
            <w:tcW w:w="1194" w:type="dxa"/>
            <w:tcBorders>
              <w:bottom w:val="nil"/>
            </w:tcBorders>
          </w:tcPr>
          <w:p w14:paraId="1D0F6C79" w14:textId="77777777" w:rsidR="00B51828" w:rsidRPr="00E51B48" w:rsidRDefault="00B51828" w:rsidP="002101D2">
            <w:pPr>
              <w:pStyle w:val="Tabletextboldleft"/>
              <w:spacing w:before="20" w:after="20"/>
              <w:jc w:val="right"/>
              <w:rPr>
                <w:b w:val="0"/>
              </w:rPr>
            </w:pPr>
            <w:r w:rsidRPr="00E51B48">
              <w:rPr>
                <w:b w:val="0"/>
                <w:color w:val="000000"/>
              </w:rPr>
              <w:t>$8,485,547</w:t>
            </w:r>
          </w:p>
        </w:tc>
        <w:tc>
          <w:tcPr>
            <w:tcW w:w="1195" w:type="dxa"/>
            <w:tcBorders>
              <w:bottom w:val="nil"/>
            </w:tcBorders>
          </w:tcPr>
          <w:p w14:paraId="73C11A7F" w14:textId="77777777" w:rsidR="00B51828" w:rsidRPr="00E51B48" w:rsidRDefault="00B51828" w:rsidP="002101D2">
            <w:pPr>
              <w:pStyle w:val="Tabletextboldleft"/>
              <w:spacing w:before="20" w:after="20"/>
              <w:jc w:val="right"/>
              <w:rPr>
                <w:b w:val="0"/>
              </w:rPr>
            </w:pPr>
            <w:r w:rsidRPr="00E51B48">
              <w:rPr>
                <w:b w:val="0"/>
                <w:color w:val="000000"/>
              </w:rPr>
              <w:t>$8,772,231</w:t>
            </w:r>
          </w:p>
        </w:tc>
        <w:tc>
          <w:tcPr>
            <w:tcW w:w="1195" w:type="dxa"/>
            <w:tcBorders>
              <w:bottom w:val="nil"/>
            </w:tcBorders>
          </w:tcPr>
          <w:p w14:paraId="52227159" w14:textId="77777777" w:rsidR="00B51828" w:rsidRPr="00E51B48" w:rsidRDefault="00B51828" w:rsidP="002101D2">
            <w:pPr>
              <w:pStyle w:val="Tabletextboldleft"/>
              <w:spacing w:before="20" w:after="20"/>
              <w:jc w:val="right"/>
              <w:rPr>
                <w:b w:val="0"/>
              </w:rPr>
            </w:pPr>
            <w:r w:rsidRPr="00E51B48">
              <w:rPr>
                <w:b w:val="0"/>
                <w:color w:val="000000"/>
              </w:rPr>
              <w:t>$9,058,912</w:t>
            </w:r>
          </w:p>
        </w:tc>
      </w:tr>
      <w:tr w:rsidR="00B51828" w:rsidRPr="00F647C7" w14:paraId="1DB61253" w14:textId="77777777" w:rsidTr="00E61184">
        <w:trPr>
          <w:trHeight w:val="212"/>
        </w:trPr>
        <w:tc>
          <w:tcPr>
            <w:tcW w:w="2390" w:type="dxa"/>
            <w:tcBorders>
              <w:top w:val="nil"/>
              <w:bottom w:val="nil"/>
            </w:tcBorders>
          </w:tcPr>
          <w:p w14:paraId="1023132D" w14:textId="77777777" w:rsidR="00B51828" w:rsidRPr="00386763" w:rsidRDefault="00B51828" w:rsidP="002101D2">
            <w:pPr>
              <w:pStyle w:val="Tabletextboldleft"/>
              <w:spacing w:before="20" w:after="20"/>
              <w:ind w:firstLine="317"/>
              <w:rPr>
                <w:b w:val="0"/>
              </w:rPr>
            </w:pPr>
            <w:r w:rsidRPr="00386763">
              <w:rPr>
                <w:b w:val="0"/>
              </w:rPr>
              <w:t>Complex</w:t>
            </w:r>
          </w:p>
        </w:tc>
        <w:tc>
          <w:tcPr>
            <w:tcW w:w="1194" w:type="dxa"/>
            <w:tcBorders>
              <w:top w:val="nil"/>
              <w:bottom w:val="nil"/>
            </w:tcBorders>
          </w:tcPr>
          <w:p w14:paraId="2CA368DC" w14:textId="77777777" w:rsidR="00B51828" w:rsidRPr="00E80BCE" w:rsidRDefault="00B51828" w:rsidP="002101D2">
            <w:pPr>
              <w:pStyle w:val="Tabletextboldleft"/>
              <w:spacing w:before="20" w:after="20"/>
              <w:jc w:val="right"/>
              <w:rPr>
                <w:b w:val="0"/>
              </w:rPr>
            </w:pPr>
            <w:r w:rsidRPr="00E80BCE">
              <w:rPr>
                <w:b w:val="0"/>
                <w:color w:val="000000"/>
              </w:rPr>
              <w:t>$5,577,444</w:t>
            </w:r>
          </w:p>
        </w:tc>
        <w:tc>
          <w:tcPr>
            <w:tcW w:w="1195" w:type="dxa"/>
            <w:tcBorders>
              <w:top w:val="nil"/>
              <w:bottom w:val="nil"/>
            </w:tcBorders>
          </w:tcPr>
          <w:p w14:paraId="13FA8CA7" w14:textId="77777777" w:rsidR="00B51828" w:rsidRPr="00E80BCE" w:rsidRDefault="00B51828" w:rsidP="002101D2">
            <w:pPr>
              <w:pStyle w:val="Tabletextboldleft"/>
              <w:spacing w:before="20" w:after="20"/>
              <w:jc w:val="right"/>
              <w:rPr>
                <w:b w:val="0"/>
              </w:rPr>
            </w:pPr>
            <w:r w:rsidRPr="00E80BCE">
              <w:rPr>
                <w:b w:val="0"/>
                <w:color w:val="000000"/>
              </w:rPr>
              <w:t>$5,779,527</w:t>
            </w:r>
          </w:p>
        </w:tc>
        <w:tc>
          <w:tcPr>
            <w:tcW w:w="1194" w:type="dxa"/>
            <w:tcBorders>
              <w:top w:val="nil"/>
              <w:bottom w:val="nil"/>
            </w:tcBorders>
          </w:tcPr>
          <w:p w14:paraId="0DF29626" w14:textId="77777777" w:rsidR="00B51828" w:rsidRPr="00E80BCE" w:rsidRDefault="00B51828" w:rsidP="002101D2">
            <w:pPr>
              <w:pStyle w:val="Tabletextboldleft"/>
              <w:spacing w:before="20" w:after="20"/>
              <w:jc w:val="right"/>
              <w:rPr>
                <w:b w:val="0"/>
              </w:rPr>
            </w:pPr>
            <w:r w:rsidRPr="00E80BCE">
              <w:rPr>
                <w:b w:val="0"/>
                <w:color w:val="000000"/>
              </w:rPr>
              <w:t>$5,981,615</w:t>
            </w:r>
          </w:p>
        </w:tc>
        <w:tc>
          <w:tcPr>
            <w:tcW w:w="1195" w:type="dxa"/>
            <w:tcBorders>
              <w:top w:val="nil"/>
              <w:bottom w:val="nil"/>
            </w:tcBorders>
          </w:tcPr>
          <w:p w14:paraId="2E76DB1D" w14:textId="77777777" w:rsidR="00B51828" w:rsidRPr="00E80BCE" w:rsidRDefault="00B51828" w:rsidP="002101D2">
            <w:pPr>
              <w:pStyle w:val="Tabletextboldleft"/>
              <w:spacing w:before="20" w:after="20"/>
              <w:jc w:val="right"/>
              <w:rPr>
                <w:b w:val="0"/>
              </w:rPr>
            </w:pPr>
            <w:r w:rsidRPr="00E80BCE">
              <w:rPr>
                <w:b w:val="0"/>
                <w:color w:val="000000"/>
              </w:rPr>
              <w:t>$6,183,704</w:t>
            </w:r>
          </w:p>
        </w:tc>
        <w:tc>
          <w:tcPr>
            <w:tcW w:w="1195" w:type="dxa"/>
            <w:tcBorders>
              <w:top w:val="nil"/>
              <w:bottom w:val="nil"/>
            </w:tcBorders>
          </w:tcPr>
          <w:p w14:paraId="20C0C0ED" w14:textId="77777777" w:rsidR="00B51828" w:rsidRPr="00E80BCE" w:rsidRDefault="00B51828" w:rsidP="002101D2">
            <w:pPr>
              <w:pStyle w:val="Tabletextboldleft"/>
              <w:spacing w:before="20" w:after="20"/>
              <w:jc w:val="right"/>
              <w:rPr>
                <w:b w:val="0"/>
              </w:rPr>
            </w:pPr>
            <w:r w:rsidRPr="00E80BCE">
              <w:rPr>
                <w:b w:val="0"/>
                <w:color w:val="000000"/>
              </w:rPr>
              <w:t>$6,385,791</w:t>
            </w:r>
          </w:p>
        </w:tc>
      </w:tr>
      <w:tr w:rsidR="00B51828" w:rsidRPr="00F647C7" w14:paraId="7FE1ADBF" w14:textId="77777777" w:rsidTr="00E61184">
        <w:trPr>
          <w:trHeight w:val="212"/>
        </w:trPr>
        <w:tc>
          <w:tcPr>
            <w:tcW w:w="2390" w:type="dxa"/>
            <w:tcBorders>
              <w:top w:val="nil"/>
              <w:bottom w:val="single" w:sz="4" w:space="0" w:color="auto"/>
            </w:tcBorders>
          </w:tcPr>
          <w:p w14:paraId="6CE9C5E7" w14:textId="77777777" w:rsidR="00B51828" w:rsidRPr="00386763" w:rsidRDefault="00B51828" w:rsidP="002101D2">
            <w:pPr>
              <w:pStyle w:val="Tabletextboldleft"/>
              <w:spacing w:before="20" w:after="20"/>
              <w:ind w:firstLine="317"/>
              <w:rPr>
                <w:b w:val="0"/>
              </w:rPr>
            </w:pPr>
            <w:r w:rsidRPr="00386763">
              <w:rPr>
                <w:b w:val="0"/>
              </w:rPr>
              <w:t>Non-complex</w:t>
            </w:r>
          </w:p>
        </w:tc>
        <w:tc>
          <w:tcPr>
            <w:tcW w:w="1194" w:type="dxa"/>
            <w:tcBorders>
              <w:top w:val="nil"/>
              <w:bottom w:val="single" w:sz="4" w:space="0" w:color="auto"/>
            </w:tcBorders>
          </w:tcPr>
          <w:p w14:paraId="5F5A2142" w14:textId="77777777" w:rsidR="00B51828" w:rsidRPr="00E80BCE" w:rsidRDefault="00B51828" w:rsidP="002101D2">
            <w:pPr>
              <w:pStyle w:val="Tabletextboldleft"/>
              <w:spacing w:before="20" w:after="20"/>
              <w:jc w:val="right"/>
              <w:rPr>
                <w:b w:val="0"/>
              </w:rPr>
            </w:pPr>
            <w:r w:rsidRPr="00E80BCE">
              <w:rPr>
                <w:b w:val="0"/>
                <w:color w:val="000000"/>
              </w:rPr>
              <w:t>$2,334,744</w:t>
            </w:r>
          </w:p>
        </w:tc>
        <w:tc>
          <w:tcPr>
            <w:tcW w:w="1195" w:type="dxa"/>
            <w:tcBorders>
              <w:top w:val="nil"/>
              <w:bottom w:val="single" w:sz="4" w:space="0" w:color="auto"/>
            </w:tcBorders>
          </w:tcPr>
          <w:p w14:paraId="1FBAC203" w14:textId="77777777" w:rsidR="00B51828" w:rsidRPr="00E80BCE" w:rsidRDefault="00B51828" w:rsidP="002101D2">
            <w:pPr>
              <w:pStyle w:val="Tabletextboldleft"/>
              <w:spacing w:before="20" w:after="20"/>
              <w:jc w:val="right"/>
              <w:rPr>
                <w:b w:val="0"/>
              </w:rPr>
            </w:pPr>
            <w:r w:rsidRPr="00E80BCE">
              <w:rPr>
                <w:b w:val="0"/>
                <w:color w:val="000000"/>
              </w:rPr>
              <w:t>$2,419,337</w:t>
            </w:r>
          </w:p>
        </w:tc>
        <w:tc>
          <w:tcPr>
            <w:tcW w:w="1194" w:type="dxa"/>
            <w:tcBorders>
              <w:top w:val="nil"/>
              <w:bottom w:val="single" w:sz="4" w:space="0" w:color="auto"/>
            </w:tcBorders>
          </w:tcPr>
          <w:p w14:paraId="5AB1A92E" w14:textId="77777777" w:rsidR="00B51828" w:rsidRPr="00E80BCE" w:rsidRDefault="00B51828" w:rsidP="002101D2">
            <w:pPr>
              <w:pStyle w:val="Tabletextboldleft"/>
              <w:spacing w:before="20" w:after="20"/>
              <w:jc w:val="right"/>
              <w:rPr>
                <w:b w:val="0"/>
              </w:rPr>
            </w:pPr>
            <w:r w:rsidRPr="00E80BCE">
              <w:rPr>
                <w:b w:val="0"/>
                <w:color w:val="000000"/>
              </w:rPr>
              <w:t>$2,503,932</w:t>
            </w:r>
          </w:p>
        </w:tc>
        <w:tc>
          <w:tcPr>
            <w:tcW w:w="1195" w:type="dxa"/>
            <w:tcBorders>
              <w:top w:val="nil"/>
              <w:bottom w:val="single" w:sz="4" w:space="0" w:color="auto"/>
            </w:tcBorders>
          </w:tcPr>
          <w:p w14:paraId="6CB43D79" w14:textId="77777777" w:rsidR="00B51828" w:rsidRPr="00E80BCE" w:rsidRDefault="00B51828" w:rsidP="002101D2">
            <w:pPr>
              <w:pStyle w:val="Tabletextboldleft"/>
              <w:spacing w:before="20" w:after="20"/>
              <w:jc w:val="right"/>
              <w:rPr>
                <w:b w:val="0"/>
              </w:rPr>
            </w:pPr>
            <w:r w:rsidRPr="00E80BCE">
              <w:rPr>
                <w:b w:val="0"/>
                <w:color w:val="000000"/>
              </w:rPr>
              <w:t>$2,588,527</w:t>
            </w:r>
          </w:p>
        </w:tc>
        <w:tc>
          <w:tcPr>
            <w:tcW w:w="1195" w:type="dxa"/>
            <w:tcBorders>
              <w:top w:val="nil"/>
              <w:bottom w:val="single" w:sz="4" w:space="0" w:color="auto"/>
            </w:tcBorders>
          </w:tcPr>
          <w:p w14:paraId="59A73D26" w14:textId="77777777" w:rsidR="00B51828" w:rsidRPr="00E80BCE" w:rsidRDefault="00B51828" w:rsidP="002101D2">
            <w:pPr>
              <w:pStyle w:val="Tabletextboldleft"/>
              <w:spacing w:before="20" w:after="20"/>
              <w:jc w:val="right"/>
              <w:rPr>
                <w:b w:val="0"/>
              </w:rPr>
            </w:pPr>
            <w:r w:rsidRPr="00E80BCE">
              <w:rPr>
                <w:b w:val="0"/>
                <w:color w:val="000000"/>
              </w:rPr>
              <w:t>$2,673,122</w:t>
            </w:r>
          </w:p>
        </w:tc>
      </w:tr>
      <w:tr w:rsidR="000A51A6" w:rsidRPr="00F647C7" w14:paraId="54DD4AD4" w14:textId="77777777" w:rsidTr="00E61184">
        <w:trPr>
          <w:trHeight w:val="212"/>
        </w:trPr>
        <w:tc>
          <w:tcPr>
            <w:tcW w:w="2390" w:type="dxa"/>
            <w:tcBorders>
              <w:bottom w:val="nil"/>
            </w:tcBorders>
          </w:tcPr>
          <w:p w14:paraId="0FD37B84" w14:textId="77777777" w:rsidR="000A51A6" w:rsidRPr="00F411CD" w:rsidRDefault="000A51A6" w:rsidP="000A51A6">
            <w:pPr>
              <w:pStyle w:val="Tabletextboldleft"/>
              <w:spacing w:before="20" w:after="20"/>
              <w:rPr>
                <w:b w:val="0"/>
              </w:rPr>
            </w:pPr>
            <w:r w:rsidRPr="00F411CD">
              <w:rPr>
                <w:b w:val="0"/>
              </w:rPr>
              <w:t>Non-gynaecological cytology</w:t>
            </w:r>
          </w:p>
        </w:tc>
        <w:tc>
          <w:tcPr>
            <w:tcW w:w="1194" w:type="dxa"/>
            <w:tcBorders>
              <w:bottom w:val="nil"/>
            </w:tcBorders>
            <w:vAlign w:val="bottom"/>
          </w:tcPr>
          <w:p w14:paraId="3F3625A2" w14:textId="3110BE88" w:rsidR="000A51A6" w:rsidRPr="00E80BCE" w:rsidRDefault="000A51A6" w:rsidP="000A51A6">
            <w:pPr>
              <w:pStyle w:val="Tabletextboldleft"/>
              <w:spacing w:before="20" w:after="20"/>
              <w:jc w:val="right"/>
              <w:rPr>
                <w:b w:val="0"/>
              </w:rPr>
            </w:pPr>
            <w:r w:rsidRPr="00E80BCE">
              <w:rPr>
                <w:b w:val="0"/>
                <w:color w:val="000000"/>
              </w:rPr>
              <w:t>$332,981</w:t>
            </w:r>
          </w:p>
        </w:tc>
        <w:tc>
          <w:tcPr>
            <w:tcW w:w="1195" w:type="dxa"/>
            <w:tcBorders>
              <w:bottom w:val="nil"/>
            </w:tcBorders>
            <w:vAlign w:val="bottom"/>
          </w:tcPr>
          <w:p w14:paraId="1B4E97EA" w14:textId="07FA0F36" w:rsidR="000A51A6" w:rsidRPr="00E80BCE" w:rsidRDefault="000A51A6" w:rsidP="000A51A6">
            <w:pPr>
              <w:pStyle w:val="Tabletextboldleft"/>
              <w:spacing w:before="20" w:after="20"/>
              <w:jc w:val="right"/>
              <w:rPr>
                <w:b w:val="0"/>
              </w:rPr>
            </w:pPr>
            <w:r w:rsidRPr="00E80BCE">
              <w:rPr>
                <w:b w:val="0"/>
                <w:color w:val="000000"/>
              </w:rPr>
              <w:t>$342,641</w:t>
            </w:r>
          </w:p>
        </w:tc>
        <w:tc>
          <w:tcPr>
            <w:tcW w:w="1194" w:type="dxa"/>
            <w:tcBorders>
              <w:bottom w:val="nil"/>
            </w:tcBorders>
            <w:vAlign w:val="bottom"/>
          </w:tcPr>
          <w:p w14:paraId="31269A3D" w14:textId="1914D14C" w:rsidR="000A51A6" w:rsidRPr="00E80BCE" w:rsidRDefault="000A51A6" w:rsidP="000A51A6">
            <w:pPr>
              <w:pStyle w:val="Tabletextboldleft"/>
              <w:spacing w:before="20" w:after="20"/>
              <w:jc w:val="right"/>
              <w:rPr>
                <w:b w:val="0"/>
              </w:rPr>
            </w:pPr>
            <w:r w:rsidRPr="00E80BCE">
              <w:rPr>
                <w:b w:val="0"/>
                <w:color w:val="000000"/>
              </w:rPr>
              <w:t>$352,300</w:t>
            </w:r>
          </w:p>
        </w:tc>
        <w:tc>
          <w:tcPr>
            <w:tcW w:w="1195" w:type="dxa"/>
            <w:tcBorders>
              <w:bottom w:val="nil"/>
            </w:tcBorders>
            <w:vAlign w:val="bottom"/>
          </w:tcPr>
          <w:p w14:paraId="30F7F2C6" w14:textId="092100A7" w:rsidR="000A51A6" w:rsidRPr="00E80BCE" w:rsidRDefault="000A51A6" w:rsidP="000A51A6">
            <w:pPr>
              <w:pStyle w:val="Tabletextboldleft"/>
              <w:spacing w:before="20" w:after="20"/>
              <w:jc w:val="right"/>
              <w:rPr>
                <w:b w:val="0"/>
              </w:rPr>
            </w:pPr>
            <w:r w:rsidRPr="00E80BCE">
              <w:rPr>
                <w:b w:val="0"/>
                <w:color w:val="000000"/>
              </w:rPr>
              <w:t>$361,960</w:t>
            </w:r>
          </w:p>
        </w:tc>
        <w:tc>
          <w:tcPr>
            <w:tcW w:w="1195" w:type="dxa"/>
            <w:tcBorders>
              <w:bottom w:val="nil"/>
            </w:tcBorders>
            <w:vAlign w:val="bottom"/>
          </w:tcPr>
          <w:p w14:paraId="33295CE3" w14:textId="1AE13CE2" w:rsidR="000A51A6" w:rsidRPr="00E80BCE" w:rsidRDefault="000A51A6" w:rsidP="000A51A6">
            <w:pPr>
              <w:pStyle w:val="Tabletextboldleft"/>
              <w:spacing w:before="20" w:after="20"/>
              <w:jc w:val="right"/>
              <w:rPr>
                <w:b w:val="0"/>
              </w:rPr>
            </w:pPr>
            <w:r w:rsidRPr="00E80BCE">
              <w:rPr>
                <w:b w:val="0"/>
                <w:color w:val="000000"/>
              </w:rPr>
              <w:t>$371,621</w:t>
            </w:r>
          </w:p>
        </w:tc>
      </w:tr>
      <w:tr w:rsidR="00E80BCE" w:rsidRPr="00F647C7" w14:paraId="4C731244" w14:textId="77777777" w:rsidTr="00E61184">
        <w:trPr>
          <w:trHeight w:val="212"/>
        </w:trPr>
        <w:tc>
          <w:tcPr>
            <w:tcW w:w="2390" w:type="dxa"/>
            <w:tcBorders>
              <w:top w:val="nil"/>
              <w:bottom w:val="nil"/>
            </w:tcBorders>
          </w:tcPr>
          <w:p w14:paraId="488C831A" w14:textId="77777777" w:rsidR="00E80BCE" w:rsidRPr="00F411CD" w:rsidRDefault="00E80BCE" w:rsidP="00E80BCE">
            <w:pPr>
              <w:pStyle w:val="Tabletextboldleft"/>
              <w:spacing w:before="20" w:after="20"/>
              <w:ind w:firstLine="317"/>
              <w:rPr>
                <w:b w:val="0"/>
              </w:rPr>
            </w:pPr>
            <w:r w:rsidRPr="00F411CD">
              <w:rPr>
                <w:b w:val="0"/>
              </w:rPr>
              <w:t>Complex</w:t>
            </w:r>
          </w:p>
        </w:tc>
        <w:tc>
          <w:tcPr>
            <w:tcW w:w="1194" w:type="dxa"/>
            <w:tcBorders>
              <w:top w:val="nil"/>
              <w:bottom w:val="nil"/>
            </w:tcBorders>
            <w:vAlign w:val="bottom"/>
          </w:tcPr>
          <w:p w14:paraId="518E5F5A" w14:textId="3293CA8F" w:rsidR="00E80BCE" w:rsidRPr="00E80BCE" w:rsidRDefault="00E80BCE" w:rsidP="00E80BCE">
            <w:pPr>
              <w:pStyle w:val="Tabletextboldleft"/>
              <w:spacing w:before="20" w:after="20"/>
              <w:jc w:val="right"/>
              <w:rPr>
                <w:b w:val="0"/>
              </w:rPr>
            </w:pPr>
            <w:r w:rsidRPr="00E80BCE">
              <w:rPr>
                <w:b w:val="0"/>
                <w:color w:val="000000"/>
              </w:rPr>
              <w:t>$106,280</w:t>
            </w:r>
          </w:p>
        </w:tc>
        <w:tc>
          <w:tcPr>
            <w:tcW w:w="1195" w:type="dxa"/>
            <w:tcBorders>
              <w:top w:val="nil"/>
              <w:bottom w:val="nil"/>
            </w:tcBorders>
            <w:vAlign w:val="bottom"/>
          </w:tcPr>
          <w:p w14:paraId="5DECD08B" w14:textId="118607E6" w:rsidR="00E80BCE" w:rsidRPr="00E80BCE" w:rsidRDefault="00E80BCE" w:rsidP="00E80BCE">
            <w:pPr>
              <w:pStyle w:val="Tabletextboldleft"/>
              <w:spacing w:before="20" w:after="20"/>
              <w:jc w:val="right"/>
              <w:rPr>
                <w:b w:val="0"/>
              </w:rPr>
            </w:pPr>
            <w:r w:rsidRPr="00E80BCE">
              <w:rPr>
                <w:b w:val="0"/>
                <w:color w:val="000000"/>
              </w:rPr>
              <w:t>$109,363</w:t>
            </w:r>
          </w:p>
        </w:tc>
        <w:tc>
          <w:tcPr>
            <w:tcW w:w="1194" w:type="dxa"/>
            <w:tcBorders>
              <w:top w:val="nil"/>
              <w:bottom w:val="nil"/>
            </w:tcBorders>
            <w:vAlign w:val="bottom"/>
          </w:tcPr>
          <w:p w14:paraId="61093DF5" w14:textId="6C4F07AD" w:rsidR="00E80BCE" w:rsidRPr="00E80BCE" w:rsidRDefault="00E80BCE" w:rsidP="00E80BCE">
            <w:pPr>
              <w:pStyle w:val="Tabletextboldleft"/>
              <w:spacing w:before="20" w:after="20"/>
              <w:jc w:val="right"/>
              <w:rPr>
                <w:b w:val="0"/>
              </w:rPr>
            </w:pPr>
            <w:r w:rsidRPr="00E80BCE">
              <w:rPr>
                <w:b w:val="0"/>
                <w:color w:val="000000"/>
              </w:rPr>
              <w:t>$112,446</w:t>
            </w:r>
          </w:p>
        </w:tc>
        <w:tc>
          <w:tcPr>
            <w:tcW w:w="1195" w:type="dxa"/>
            <w:tcBorders>
              <w:top w:val="nil"/>
              <w:bottom w:val="nil"/>
            </w:tcBorders>
            <w:vAlign w:val="bottom"/>
          </w:tcPr>
          <w:p w14:paraId="3A9ADB90" w14:textId="588D3401" w:rsidR="00E80BCE" w:rsidRPr="00E80BCE" w:rsidRDefault="00E80BCE" w:rsidP="00E80BCE">
            <w:pPr>
              <w:pStyle w:val="Tabletextboldleft"/>
              <w:spacing w:before="20" w:after="20"/>
              <w:jc w:val="right"/>
              <w:rPr>
                <w:b w:val="0"/>
              </w:rPr>
            </w:pPr>
            <w:r w:rsidRPr="00E80BCE">
              <w:rPr>
                <w:b w:val="0"/>
                <w:color w:val="000000"/>
              </w:rPr>
              <w:t>$115,529</w:t>
            </w:r>
          </w:p>
        </w:tc>
        <w:tc>
          <w:tcPr>
            <w:tcW w:w="1195" w:type="dxa"/>
            <w:tcBorders>
              <w:top w:val="nil"/>
              <w:bottom w:val="nil"/>
            </w:tcBorders>
            <w:vAlign w:val="bottom"/>
          </w:tcPr>
          <w:p w14:paraId="61E5EAF1" w14:textId="733420D7" w:rsidR="00E80BCE" w:rsidRPr="00E80BCE" w:rsidRDefault="00E80BCE" w:rsidP="00E80BCE">
            <w:pPr>
              <w:pStyle w:val="Tabletextboldleft"/>
              <w:spacing w:before="20" w:after="20"/>
              <w:jc w:val="right"/>
              <w:rPr>
                <w:b w:val="0"/>
              </w:rPr>
            </w:pPr>
            <w:r w:rsidRPr="00E80BCE">
              <w:rPr>
                <w:b w:val="0"/>
                <w:color w:val="000000"/>
              </w:rPr>
              <w:t>$118,613</w:t>
            </w:r>
          </w:p>
        </w:tc>
      </w:tr>
      <w:tr w:rsidR="00E80BCE" w:rsidRPr="00F647C7" w14:paraId="2F499873" w14:textId="77777777" w:rsidTr="00E61184">
        <w:trPr>
          <w:trHeight w:val="212"/>
        </w:trPr>
        <w:tc>
          <w:tcPr>
            <w:tcW w:w="2390" w:type="dxa"/>
            <w:tcBorders>
              <w:top w:val="nil"/>
              <w:bottom w:val="single" w:sz="4" w:space="0" w:color="auto"/>
            </w:tcBorders>
          </w:tcPr>
          <w:p w14:paraId="75909810" w14:textId="77777777" w:rsidR="00E80BCE" w:rsidRPr="00F411CD" w:rsidRDefault="00E80BCE" w:rsidP="00E80BCE">
            <w:pPr>
              <w:pStyle w:val="Tabletextboldleft"/>
              <w:spacing w:before="20" w:after="20"/>
              <w:ind w:firstLine="317"/>
              <w:rPr>
                <w:b w:val="0"/>
              </w:rPr>
            </w:pPr>
            <w:r w:rsidRPr="00F411CD">
              <w:rPr>
                <w:b w:val="0"/>
              </w:rPr>
              <w:t>Non-complex</w:t>
            </w:r>
          </w:p>
        </w:tc>
        <w:tc>
          <w:tcPr>
            <w:tcW w:w="1194" w:type="dxa"/>
            <w:tcBorders>
              <w:top w:val="nil"/>
              <w:bottom w:val="single" w:sz="4" w:space="0" w:color="auto"/>
            </w:tcBorders>
            <w:vAlign w:val="bottom"/>
          </w:tcPr>
          <w:p w14:paraId="47268417" w14:textId="7CA5EB95" w:rsidR="00E80BCE" w:rsidRPr="00E80BCE" w:rsidRDefault="00E80BCE" w:rsidP="00E80BCE">
            <w:pPr>
              <w:pStyle w:val="Tabletextboldleft"/>
              <w:spacing w:before="20" w:after="20"/>
              <w:jc w:val="right"/>
              <w:rPr>
                <w:b w:val="0"/>
              </w:rPr>
            </w:pPr>
            <w:r w:rsidRPr="00E80BCE">
              <w:rPr>
                <w:b w:val="0"/>
                <w:color w:val="000000"/>
              </w:rPr>
              <w:t>$226,701</w:t>
            </w:r>
          </w:p>
        </w:tc>
        <w:tc>
          <w:tcPr>
            <w:tcW w:w="1195" w:type="dxa"/>
            <w:tcBorders>
              <w:top w:val="nil"/>
              <w:bottom w:val="single" w:sz="4" w:space="0" w:color="auto"/>
            </w:tcBorders>
            <w:vAlign w:val="bottom"/>
          </w:tcPr>
          <w:p w14:paraId="2BA63DF3" w14:textId="67E0AD8D" w:rsidR="00E80BCE" w:rsidRPr="00E80BCE" w:rsidRDefault="00E80BCE" w:rsidP="00E80BCE">
            <w:pPr>
              <w:pStyle w:val="Tabletextboldleft"/>
              <w:spacing w:before="20" w:after="20"/>
              <w:jc w:val="right"/>
              <w:rPr>
                <w:b w:val="0"/>
              </w:rPr>
            </w:pPr>
            <w:r w:rsidRPr="00E80BCE">
              <w:rPr>
                <w:b w:val="0"/>
                <w:color w:val="000000"/>
              </w:rPr>
              <w:t>$233,278</w:t>
            </w:r>
          </w:p>
        </w:tc>
        <w:tc>
          <w:tcPr>
            <w:tcW w:w="1194" w:type="dxa"/>
            <w:tcBorders>
              <w:top w:val="nil"/>
              <w:bottom w:val="single" w:sz="4" w:space="0" w:color="auto"/>
            </w:tcBorders>
            <w:vAlign w:val="bottom"/>
          </w:tcPr>
          <w:p w14:paraId="23A353B8" w14:textId="0725B4D2" w:rsidR="00E80BCE" w:rsidRPr="00E80BCE" w:rsidRDefault="00E80BCE" w:rsidP="00E80BCE">
            <w:pPr>
              <w:pStyle w:val="Tabletextboldleft"/>
              <w:spacing w:before="20" w:after="20"/>
              <w:jc w:val="right"/>
              <w:rPr>
                <w:b w:val="0"/>
              </w:rPr>
            </w:pPr>
            <w:r w:rsidRPr="00E80BCE">
              <w:rPr>
                <w:b w:val="0"/>
                <w:color w:val="000000"/>
              </w:rPr>
              <w:t>$239,854</w:t>
            </w:r>
          </w:p>
        </w:tc>
        <w:tc>
          <w:tcPr>
            <w:tcW w:w="1195" w:type="dxa"/>
            <w:tcBorders>
              <w:top w:val="nil"/>
              <w:bottom w:val="single" w:sz="4" w:space="0" w:color="auto"/>
            </w:tcBorders>
            <w:vAlign w:val="bottom"/>
          </w:tcPr>
          <w:p w14:paraId="4BCF7569" w14:textId="46558C8A" w:rsidR="00E80BCE" w:rsidRPr="00E80BCE" w:rsidRDefault="00E80BCE" w:rsidP="00E80BCE">
            <w:pPr>
              <w:pStyle w:val="Tabletextboldleft"/>
              <w:spacing w:before="20" w:after="20"/>
              <w:jc w:val="right"/>
              <w:rPr>
                <w:b w:val="0"/>
              </w:rPr>
            </w:pPr>
            <w:r w:rsidRPr="00E80BCE">
              <w:rPr>
                <w:b w:val="0"/>
                <w:color w:val="000000"/>
              </w:rPr>
              <w:t>$246,431</w:t>
            </w:r>
          </w:p>
        </w:tc>
        <w:tc>
          <w:tcPr>
            <w:tcW w:w="1195" w:type="dxa"/>
            <w:tcBorders>
              <w:top w:val="nil"/>
              <w:bottom w:val="single" w:sz="4" w:space="0" w:color="auto"/>
            </w:tcBorders>
            <w:vAlign w:val="bottom"/>
          </w:tcPr>
          <w:p w14:paraId="70D8267E" w14:textId="47022CD8" w:rsidR="00E80BCE" w:rsidRPr="00E80BCE" w:rsidRDefault="00E80BCE" w:rsidP="00E80BCE">
            <w:pPr>
              <w:pStyle w:val="Tabletextboldleft"/>
              <w:spacing w:before="20" w:after="20"/>
              <w:jc w:val="right"/>
              <w:rPr>
                <w:b w:val="0"/>
              </w:rPr>
            </w:pPr>
            <w:r w:rsidRPr="00E80BCE">
              <w:rPr>
                <w:b w:val="0"/>
                <w:color w:val="000000"/>
              </w:rPr>
              <w:t>$253,008</w:t>
            </w:r>
          </w:p>
        </w:tc>
      </w:tr>
      <w:tr w:rsidR="00E80BCE" w:rsidRPr="00F647C7" w14:paraId="45B13CFF" w14:textId="77777777" w:rsidTr="00E61184">
        <w:trPr>
          <w:trHeight w:val="212"/>
        </w:trPr>
        <w:tc>
          <w:tcPr>
            <w:tcW w:w="2390" w:type="dxa"/>
            <w:tcBorders>
              <w:bottom w:val="nil"/>
            </w:tcBorders>
          </w:tcPr>
          <w:p w14:paraId="356A442D" w14:textId="77777777" w:rsidR="00E80BCE" w:rsidRPr="00F411CD" w:rsidRDefault="00E80BCE" w:rsidP="00E80BCE">
            <w:pPr>
              <w:pStyle w:val="Tabletextboldleft"/>
              <w:spacing w:before="20" w:after="20"/>
              <w:rPr>
                <w:b w:val="0"/>
              </w:rPr>
            </w:pPr>
            <w:r w:rsidRPr="00F411CD">
              <w:rPr>
                <w:b w:val="0"/>
              </w:rPr>
              <w:t>All cytology</w:t>
            </w:r>
          </w:p>
        </w:tc>
        <w:tc>
          <w:tcPr>
            <w:tcW w:w="1194" w:type="dxa"/>
            <w:tcBorders>
              <w:bottom w:val="nil"/>
            </w:tcBorders>
            <w:vAlign w:val="bottom"/>
          </w:tcPr>
          <w:p w14:paraId="48C6485D" w14:textId="7E50F7F1" w:rsidR="00E80BCE" w:rsidRPr="00E80BCE" w:rsidRDefault="00E80BCE" w:rsidP="00E80BCE">
            <w:pPr>
              <w:pStyle w:val="Tabletextboldleft"/>
              <w:spacing w:before="20" w:after="20"/>
              <w:jc w:val="right"/>
              <w:rPr>
                <w:b w:val="0"/>
              </w:rPr>
            </w:pPr>
            <w:r w:rsidRPr="00E80BCE">
              <w:rPr>
                <w:b w:val="0"/>
                <w:color w:val="000000"/>
              </w:rPr>
              <w:t>$2,648,780</w:t>
            </w:r>
          </w:p>
        </w:tc>
        <w:tc>
          <w:tcPr>
            <w:tcW w:w="1195" w:type="dxa"/>
            <w:tcBorders>
              <w:bottom w:val="nil"/>
            </w:tcBorders>
            <w:vAlign w:val="bottom"/>
          </w:tcPr>
          <w:p w14:paraId="79D305B4" w14:textId="0253606A" w:rsidR="00E80BCE" w:rsidRPr="00E80BCE" w:rsidRDefault="00E80BCE" w:rsidP="00E80BCE">
            <w:pPr>
              <w:pStyle w:val="Tabletextboldleft"/>
              <w:spacing w:before="20" w:after="20"/>
              <w:jc w:val="right"/>
              <w:rPr>
                <w:b w:val="0"/>
              </w:rPr>
            </w:pPr>
            <w:r w:rsidRPr="00E80BCE">
              <w:rPr>
                <w:b w:val="0"/>
                <w:color w:val="000000"/>
              </w:rPr>
              <w:t>$2,677,727</w:t>
            </w:r>
          </w:p>
        </w:tc>
        <w:tc>
          <w:tcPr>
            <w:tcW w:w="1194" w:type="dxa"/>
            <w:tcBorders>
              <w:bottom w:val="nil"/>
            </w:tcBorders>
            <w:vAlign w:val="bottom"/>
          </w:tcPr>
          <w:p w14:paraId="2F8EB624" w14:textId="3456C9BA" w:rsidR="00E80BCE" w:rsidRPr="00E80BCE" w:rsidRDefault="00E80BCE" w:rsidP="00E80BCE">
            <w:pPr>
              <w:pStyle w:val="Tabletextboldleft"/>
              <w:spacing w:before="20" w:after="20"/>
              <w:jc w:val="right"/>
              <w:rPr>
                <w:b w:val="0"/>
              </w:rPr>
            </w:pPr>
            <w:r w:rsidRPr="00E80BCE">
              <w:rPr>
                <w:b w:val="0"/>
                <w:color w:val="000000"/>
              </w:rPr>
              <w:t>$2,706,671</w:t>
            </w:r>
          </w:p>
        </w:tc>
        <w:tc>
          <w:tcPr>
            <w:tcW w:w="1195" w:type="dxa"/>
            <w:tcBorders>
              <w:bottom w:val="nil"/>
            </w:tcBorders>
            <w:vAlign w:val="bottom"/>
          </w:tcPr>
          <w:p w14:paraId="10EE3E59" w14:textId="23E6EAD7" w:rsidR="00E80BCE" w:rsidRPr="00E80BCE" w:rsidRDefault="00E80BCE" w:rsidP="00E80BCE">
            <w:pPr>
              <w:pStyle w:val="Tabletextboldleft"/>
              <w:spacing w:before="20" w:after="20"/>
              <w:jc w:val="right"/>
              <w:rPr>
                <w:b w:val="0"/>
              </w:rPr>
            </w:pPr>
            <w:r w:rsidRPr="00E80BCE">
              <w:rPr>
                <w:b w:val="0"/>
                <w:color w:val="000000"/>
              </w:rPr>
              <w:t>$2,735,615</w:t>
            </w:r>
          </w:p>
        </w:tc>
        <w:tc>
          <w:tcPr>
            <w:tcW w:w="1195" w:type="dxa"/>
            <w:tcBorders>
              <w:bottom w:val="nil"/>
            </w:tcBorders>
            <w:vAlign w:val="bottom"/>
          </w:tcPr>
          <w:p w14:paraId="1EDAA9CF" w14:textId="6707430F" w:rsidR="00E80BCE" w:rsidRPr="00E80BCE" w:rsidRDefault="00E80BCE" w:rsidP="00E80BCE">
            <w:pPr>
              <w:pStyle w:val="Tabletextboldleft"/>
              <w:spacing w:before="20" w:after="20"/>
              <w:jc w:val="right"/>
              <w:rPr>
                <w:b w:val="0"/>
              </w:rPr>
            </w:pPr>
            <w:r w:rsidRPr="00E80BCE">
              <w:rPr>
                <w:b w:val="0"/>
                <w:color w:val="000000"/>
              </w:rPr>
              <w:t>$2,764,561</w:t>
            </w:r>
          </w:p>
        </w:tc>
      </w:tr>
      <w:tr w:rsidR="00E80BCE" w:rsidRPr="00F647C7" w14:paraId="54B85974" w14:textId="77777777" w:rsidTr="00E61184">
        <w:trPr>
          <w:trHeight w:val="212"/>
        </w:trPr>
        <w:tc>
          <w:tcPr>
            <w:tcW w:w="2390" w:type="dxa"/>
            <w:tcBorders>
              <w:top w:val="nil"/>
              <w:bottom w:val="nil"/>
            </w:tcBorders>
          </w:tcPr>
          <w:p w14:paraId="3B7DD176" w14:textId="77777777" w:rsidR="00E80BCE" w:rsidRPr="00F411CD" w:rsidRDefault="00E80BCE" w:rsidP="00E80BCE">
            <w:pPr>
              <w:pStyle w:val="Tabletextboldleft"/>
              <w:spacing w:before="20" w:after="20"/>
              <w:ind w:firstLine="317"/>
              <w:rPr>
                <w:b w:val="0"/>
              </w:rPr>
            </w:pPr>
            <w:r w:rsidRPr="00F411CD">
              <w:rPr>
                <w:b w:val="0"/>
              </w:rPr>
              <w:t>Complex</w:t>
            </w:r>
          </w:p>
        </w:tc>
        <w:tc>
          <w:tcPr>
            <w:tcW w:w="1194" w:type="dxa"/>
            <w:tcBorders>
              <w:top w:val="nil"/>
              <w:bottom w:val="nil"/>
            </w:tcBorders>
            <w:vAlign w:val="bottom"/>
          </w:tcPr>
          <w:p w14:paraId="64D97900" w14:textId="50BE1446" w:rsidR="00E80BCE" w:rsidRPr="00E80BCE" w:rsidRDefault="00E80BCE" w:rsidP="00E80BCE">
            <w:pPr>
              <w:pStyle w:val="Tabletextboldleft"/>
              <w:spacing w:before="20" w:after="20"/>
              <w:jc w:val="right"/>
              <w:rPr>
                <w:b w:val="0"/>
              </w:rPr>
            </w:pPr>
            <w:r w:rsidRPr="00E80BCE">
              <w:rPr>
                <w:b w:val="0"/>
                <w:color w:val="000000"/>
              </w:rPr>
              <w:t>$845,430</w:t>
            </w:r>
          </w:p>
        </w:tc>
        <w:tc>
          <w:tcPr>
            <w:tcW w:w="1195" w:type="dxa"/>
            <w:tcBorders>
              <w:top w:val="nil"/>
              <w:bottom w:val="nil"/>
            </w:tcBorders>
            <w:vAlign w:val="bottom"/>
          </w:tcPr>
          <w:p w14:paraId="0603ECBD" w14:textId="124EF748" w:rsidR="00E80BCE" w:rsidRPr="00E80BCE" w:rsidRDefault="00E80BCE" w:rsidP="00E80BCE">
            <w:pPr>
              <w:pStyle w:val="Tabletextboldleft"/>
              <w:spacing w:before="20" w:after="20"/>
              <w:jc w:val="right"/>
              <w:rPr>
                <w:b w:val="0"/>
              </w:rPr>
            </w:pPr>
            <w:r w:rsidRPr="00E80BCE">
              <w:rPr>
                <w:b w:val="0"/>
                <w:color w:val="000000"/>
              </w:rPr>
              <w:t>$854,669</w:t>
            </w:r>
          </w:p>
        </w:tc>
        <w:tc>
          <w:tcPr>
            <w:tcW w:w="1194" w:type="dxa"/>
            <w:tcBorders>
              <w:top w:val="nil"/>
              <w:bottom w:val="nil"/>
            </w:tcBorders>
            <w:vAlign w:val="bottom"/>
          </w:tcPr>
          <w:p w14:paraId="5F9DCC2D" w14:textId="64BBCED7" w:rsidR="00E80BCE" w:rsidRPr="00E80BCE" w:rsidRDefault="00E80BCE" w:rsidP="00E80BCE">
            <w:pPr>
              <w:pStyle w:val="Tabletextboldleft"/>
              <w:spacing w:before="20" w:after="20"/>
              <w:jc w:val="right"/>
              <w:rPr>
                <w:b w:val="0"/>
              </w:rPr>
            </w:pPr>
            <w:r w:rsidRPr="00E80BCE">
              <w:rPr>
                <w:b w:val="0"/>
                <w:color w:val="000000"/>
              </w:rPr>
              <w:t>$863,908</w:t>
            </w:r>
          </w:p>
        </w:tc>
        <w:tc>
          <w:tcPr>
            <w:tcW w:w="1195" w:type="dxa"/>
            <w:tcBorders>
              <w:top w:val="nil"/>
              <w:bottom w:val="nil"/>
            </w:tcBorders>
            <w:vAlign w:val="bottom"/>
          </w:tcPr>
          <w:p w14:paraId="43AEB90F" w14:textId="1F0AD946" w:rsidR="00E80BCE" w:rsidRPr="00E80BCE" w:rsidRDefault="00E80BCE" w:rsidP="00E80BCE">
            <w:pPr>
              <w:pStyle w:val="Tabletextboldleft"/>
              <w:spacing w:before="20" w:after="20"/>
              <w:jc w:val="right"/>
              <w:rPr>
                <w:b w:val="0"/>
              </w:rPr>
            </w:pPr>
            <w:r w:rsidRPr="00E80BCE">
              <w:rPr>
                <w:b w:val="0"/>
                <w:color w:val="000000"/>
              </w:rPr>
              <w:t>$873,146</w:t>
            </w:r>
          </w:p>
        </w:tc>
        <w:tc>
          <w:tcPr>
            <w:tcW w:w="1195" w:type="dxa"/>
            <w:tcBorders>
              <w:top w:val="nil"/>
              <w:bottom w:val="nil"/>
            </w:tcBorders>
            <w:vAlign w:val="bottom"/>
          </w:tcPr>
          <w:p w14:paraId="20FE3EB5" w14:textId="2E5E10F8" w:rsidR="00E80BCE" w:rsidRPr="00E80BCE" w:rsidRDefault="00E80BCE" w:rsidP="00E80BCE">
            <w:pPr>
              <w:pStyle w:val="Tabletextboldleft"/>
              <w:spacing w:before="20" w:after="20"/>
              <w:jc w:val="right"/>
              <w:rPr>
                <w:b w:val="0"/>
              </w:rPr>
            </w:pPr>
            <w:r w:rsidRPr="00E80BCE">
              <w:rPr>
                <w:b w:val="0"/>
                <w:color w:val="000000"/>
              </w:rPr>
              <w:t>$882,385</w:t>
            </w:r>
          </w:p>
        </w:tc>
      </w:tr>
      <w:tr w:rsidR="00E80BCE" w:rsidRPr="00F647C7" w14:paraId="25940B38" w14:textId="77777777" w:rsidTr="00E61184">
        <w:trPr>
          <w:trHeight w:val="212"/>
        </w:trPr>
        <w:tc>
          <w:tcPr>
            <w:tcW w:w="2390" w:type="dxa"/>
            <w:tcBorders>
              <w:top w:val="nil"/>
            </w:tcBorders>
          </w:tcPr>
          <w:p w14:paraId="3F4C9DB8" w14:textId="77777777" w:rsidR="00E80BCE" w:rsidRPr="00F411CD" w:rsidRDefault="00E80BCE" w:rsidP="00E80BCE">
            <w:pPr>
              <w:pStyle w:val="Tabletextboldleft"/>
              <w:spacing w:before="20" w:after="20"/>
              <w:ind w:firstLine="317"/>
              <w:rPr>
                <w:b w:val="0"/>
              </w:rPr>
            </w:pPr>
            <w:r w:rsidRPr="00F411CD">
              <w:rPr>
                <w:b w:val="0"/>
              </w:rPr>
              <w:t>Non-complex</w:t>
            </w:r>
          </w:p>
        </w:tc>
        <w:tc>
          <w:tcPr>
            <w:tcW w:w="1194" w:type="dxa"/>
            <w:tcBorders>
              <w:top w:val="nil"/>
            </w:tcBorders>
            <w:vAlign w:val="bottom"/>
          </w:tcPr>
          <w:p w14:paraId="794B68DE" w14:textId="30E5DB9A" w:rsidR="00E80BCE" w:rsidRPr="00E80BCE" w:rsidRDefault="00E80BCE" w:rsidP="00E80BCE">
            <w:pPr>
              <w:pStyle w:val="Tabletextboldleft"/>
              <w:spacing w:before="20" w:after="20"/>
              <w:jc w:val="right"/>
              <w:rPr>
                <w:b w:val="0"/>
              </w:rPr>
            </w:pPr>
            <w:r w:rsidRPr="00E80BCE">
              <w:rPr>
                <w:b w:val="0"/>
                <w:color w:val="000000"/>
              </w:rPr>
              <w:t>$1,803,350</w:t>
            </w:r>
          </w:p>
        </w:tc>
        <w:tc>
          <w:tcPr>
            <w:tcW w:w="1195" w:type="dxa"/>
            <w:tcBorders>
              <w:top w:val="nil"/>
            </w:tcBorders>
            <w:vAlign w:val="bottom"/>
          </w:tcPr>
          <w:p w14:paraId="5D03025C" w14:textId="48B63AE1" w:rsidR="00E80BCE" w:rsidRPr="00E80BCE" w:rsidRDefault="00E80BCE" w:rsidP="00E80BCE">
            <w:pPr>
              <w:pStyle w:val="Tabletextboldleft"/>
              <w:spacing w:before="20" w:after="20"/>
              <w:jc w:val="right"/>
              <w:rPr>
                <w:b w:val="0"/>
              </w:rPr>
            </w:pPr>
            <w:r w:rsidRPr="00E80BCE">
              <w:rPr>
                <w:b w:val="0"/>
                <w:color w:val="000000"/>
              </w:rPr>
              <w:t>$1,823,057</w:t>
            </w:r>
          </w:p>
        </w:tc>
        <w:tc>
          <w:tcPr>
            <w:tcW w:w="1194" w:type="dxa"/>
            <w:tcBorders>
              <w:top w:val="nil"/>
            </w:tcBorders>
            <w:vAlign w:val="bottom"/>
          </w:tcPr>
          <w:p w14:paraId="577E6B0C" w14:textId="4D42165D" w:rsidR="00E80BCE" w:rsidRPr="00E80BCE" w:rsidRDefault="00E80BCE" w:rsidP="00E80BCE">
            <w:pPr>
              <w:pStyle w:val="Tabletextboldleft"/>
              <w:spacing w:before="20" w:after="20"/>
              <w:jc w:val="right"/>
              <w:rPr>
                <w:b w:val="0"/>
              </w:rPr>
            </w:pPr>
            <w:r w:rsidRPr="00E80BCE">
              <w:rPr>
                <w:b w:val="0"/>
                <w:color w:val="000000"/>
              </w:rPr>
              <w:t>$1,842,763</w:t>
            </w:r>
          </w:p>
        </w:tc>
        <w:tc>
          <w:tcPr>
            <w:tcW w:w="1195" w:type="dxa"/>
            <w:tcBorders>
              <w:top w:val="nil"/>
            </w:tcBorders>
            <w:vAlign w:val="bottom"/>
          </w:tcPr>
          <w:p w14:paraId="27DD8D38" w14:textId="4CD6BFC7" w:rsidR="00E80BCE" w:rsidRPr="00E80BCE" w:rsidRDefault="00E80BCE" w:rsidP="00E80BCE">
            <w:pPr>
              <w:pStyle w:val="Tabletextboldleft"/>
              <w:spacing w:before="20" w:after="20"/>
              <w:jc w:val="right"/>
              <w:rPr>
                <w:b w:val="0"/>
              </w:rPr>
            </w:pPr>
            <w:r w:rsidRPr="00E80BCE">
              <w:rPr>
                <w:b w:val="0"/>
                <w:color w:val="000000"/>
              </w:rPr>
              <w:t>$1,862,469</w:t>
            </w:r>
          </w:p>
        </w:tc>
        <w:tc>
          <w:tcPr>
            <w:tcW w:w="1195" w:type="dxa"/>
            <w:tcBorders>
              <w:top w:val="nil"/>
            </w:tcBorders>
            <w:vAlign w:val="bottom"/>
          </w:tcPr>
          <w:p w14:paraId="797F595C" w14:textId="2EF5E5D2" w:rsidR="00E80BCE" w:rsidRPr="00E80BCE" w:rsidRDefault="00E80BCE" w:rsidP="00E80BCE">
            <w:pPr>
              <w:pStyle w:val="Tabletextboldleft"/>
              <w:spacing w:before="20" w:after="20"/>
              <w:jc w:val="right"/>
              <w:rPr>
                <w:b w:val="0"/>
              </w:rPr>
            </w:pPr>
            <w:r w:rsidRPr="00E80BCE">
              <w:rPr>
                <w:b w:val="0"/>
                <w:color w:val="000000"/>
              </w:rPr>
              <w:t>$1,882,176</w:t>
            </w:r>
          </w:p>
        </w:tc>
      </w:tr>
      <w:tr w:rsidR="00E80BCE" w:rsidRPr="00F647C7" w14:paraId="23AE1D73" w14:textId="77777777" w:rsidTr="00E61184">
        <w:trPr>
          <w:trHeight w:val="212"/>
        </w:trPr>
        <w:tc>
          <w:tcPr>
            <w:tcW w:w="2390" w:type="dxa"/>
          </w:tcPr>
          <w:p w14:paraId="3B7F334B" w14:textId="77777777" w:rsidR="00E80BCE" w:rsidRPr="00911865" w:rsidRDefault="00E80BCE" w:rsidP="00E80BCE">
            <w:pPr>
              <w:pStyle w:val="Tabletextboldleft"/>
              <w:spacing w:before="20" w:after="20"/>
              <w:rPr>
                <w:b w:val="0"/>
                <w:i/>
              </w:rPr>
            </w:pPr>
            <w:r w:rsidRPr="00911865">
              <w:rPr>
                <w:b w:val="0"/>
                <w:i/>
              </w:rPr>
              <w:t>Sub-total (excluding gynaecological cytology)</w:t>
            </w:r>
          </w:p>
        </w:tc>
        <w:tc>
          <w:tcPr>
            <w:tcW w:w="1194" w:type="dxa"/>
          </w:tcPr>
          <w:p w14:paraId="19DF96D2" w14:textId="4B790793" w:rsidR="00E80BCE" w:rsidRPr="00C932DC" w:rsidRDefault="00E80BCE" w:rsidP="00E80BCE">
            <w:pPr>
              <w:pStyle w:val="Tabletextboldleft"/>
              <w:spacing w:before="20" w:after="20"/>
              <w:jc w:val="right"/>
              <w:rPr>
                <w:b w:val="0"/>
                <w:i/>
              </w:rPr>
            </w:pPr>
            <w:r w:rsidRPr="00C932DC">
              <w:rPr>
                <w:b w:val="0"/>
                <w:i/>
              </w:rPr>
              <w:t>$8,245,168</w:t>
            </w:r>
          </w:p>
        </w:tc>
        <w:tc>
          <w:tcPr>
            <w:tcW w:w="1195" w:type="dxa"/>
          </w:tcPr>
          <w:p w14:paraId="31A9B036" w14:textId="77F2085C" w:rsidR="00E80BCE" w:rsidRPr="00C932DC" w:rsidRDefault="00E80BCE" w:rsidP="00E80BCE">
            <w:pPr>
              <w:pStyle w:val="Tabletextboldleft"/>
              <w:spacing w:before="20" w:after="20"/>
              <w:jc w:val="right"/>
              <w:rPr>
                <w:b w:val="0"/>
                <w:i/>
              </w:rPr>
            </w:pPr>
            <w:r w:rsidRPr="00C932DC">
              <w:rPr>
                <w:b w:val="0"/>
                <w:i/>
              </w:rPr>
              <w:t>$8,541,505</w:t>
            </w:r>
          </w:p>
        </w:tc>
        <w:tc>
          <w:tcPr>
            <w:tcW w:w="1194" w:type="dxa"/>
          </w:tcPr>
          <w:p w14:paraId="55D9CAC0" w14:textId="3F4D7F69" w:rsidR="00E80BCE" w:rsidRPr="00C932DC" w:rsidRDefault="00E80BCE" w:rsidP="00E80BCE">
            <w:pPr>
              <w:pStyle w:val="Tabletextboldleft"/>
              <w:spacing w:before="20" w:after="20"/>
              <w:jc w:val="right"/>
              <w:rPr>
                <w:b w:val="0"/>
                <w:i/>
              </w:rPr>
            </w:pPr>
            <w:r w:rsidRPr="00C932DC">
              <w:rPr>
                <w:b w:val="0"/>
                <w:i/>
              </w:rPr>
              <w:t>$8,837,847</w:t>
            </w:r>
          </w:p>
        </w:tc>
        <w:tc>
          <w:tcPr>
            <w:tcW w:w="1195" w:type="dxa"/>
          </w:tcPr>
          <w:p w14:paraId="1F441E5D" w14:textId="5F59C131" w:rsidR="00E80BCE" w:rsidRPr="00C932DC" w:rsidRDefault="00E80BCE" w:rsidP="00E80BCE">
            <w:pPr>
              <w:pStyle w:val="Tabletextboldleft"/>
              <w:spacing w:before="20" w:after="20"/>
              <w:jc w:val="right"/>
              <w:rPr>
                <w:b w:val="0"/>
                <w:i/>
              </w:rPr>
            </w:pPr>
            <w:r w:rsidRPr="00C932DC">
              <w:rPr>
                <w:b w:val="0"/>
                <w:i/>
              </w:rPr>
              <w:t>$9,134,191</w:t>
            </w:r>
          </w:p>
        </w:tc>
        <w:tc>
          <w:tcPr>
            <w:tcW w:w="1195" w:type="dxa"/>
          </w:tcPr>
          <w:p w14:paraId="134D9DDF" w14:textId="10B3DB62" w:rsidR="00E80BCE" w:rsidRPr="00C932DC" w:rsidRDefault="00E80BCE" w:rsidP="00E80BCE">
            <w:pPr>
              <w:pStyle w:val="Tabletextboldleft"/>
              <w:spacing w:before="20" w:after="20"/>
              <w:jc w:val="right"/>
              <w:rPr>
                <w:b w:val="0"/>
                <w:i/>
              </w:rPr>
            </w:pPr>
            <w:r w:rsidRPr="00C932DC">
              <w:rPr>
                <w:b w:val="0"/>
                <w:i/>
              </w:rPr>
              <w:t>$9,430,533</w:t>
            </w:r>
          </w:p>
        </w:tc>
      </w:tr>
      <w:tr w:rsidR="00E80BCE" w:rsidRPr="00F647C7" w14:paraId="7EB47A09" w14:textId="77777777" w:rsidTr="00E61184">
        <w:trPr>
          <w:trHeight w:val="212"/>
        </w:trPr>
        <w:tc>
          <w:tcPr>
            <w:tcW w:w="2390" w:type="dxa"/>
          </w:tcPr>
          <w:p w14:paraId="69AC8969" w14:textId="77777777" w:rsidR="00E80BCE" w:rsidRPr="00911865" w:rsidRDefault="00E80BCE" w:rsidP="00E80BCE">
            <w:pPr>
              <w:pStyle w:val="Tabletextboldleft"/>
              <w:spacing w:before="20" w:after="20"/>
              <w:rPr>
                <w:b w:val="0"/>
                <w:i/>
              </w:rPr>
            </w:pPr>
            <w:r w:rsidRPr="00911865">
              <w:rPr>
                <w:b w:val="0"/>
                <w:i/>
              </w:rPr>
              <w:t>Sub-total (including all cytology)</w:t>
            </w:r>
          </w:p>
        </w:tc>
        <w:tc>
          <w:tcPr>
            <w:tcW w:w="1194" w:type="dxa"/>
          </w:tcPr>
          <w:p w14:paraId="1B2069AC" w14:textId="5027949A" w:rsidR="00E80BCE" w:rsidRPr="00C932DC" w:rsidRDefault="00E80BCE" w:rsidP="00E80BCE">
            <w:pPr>
              <w:pStyle w:val="Tabletextboldleft"/>
              <w:spacing w:before="20" w:after="20"/>
              <w:jc w:val="right"/>
              <w:rPr>
                <w:b w:val="0"/>
                <w:i/>
              </w:rPr>
            </w:pPr>
            <w:r w:rsidRPr="00C932DC">
              <w:rPr>
                <w:b w:val="0"/>
                <w:i/>
              </w:rPr>
              <w:t>$10,560,968</w:t>
            </w:r>
          </w:p>
        </w:tc>
        <w:tc>
          <w:tcPr>
            <w:tcW w:w="1195" w:type="dxa"/>
          </w:tcPr>
          <w:p w14:paraId="4582ADDF" w14:textId="5E27EFED" w:rsidR="00E80BCE" w:rsidRPr="00C932DC" w:rsidRDefault="00E80BCE" w:rsidP="00E80BCE">
            <w:pPr>
              <w:pStyle w:val="Tabletextboldleft"/>
              <w:spacing w:before="20" w:after="20"/>
              <w:jc w:val="right"/>
              <w:rPr>
                <w:b w:val="0"/>
                <w:i/>
              </w:rPr>
            </w:pPr>
            <w:r w:rsidRPr="00C932DC">
              <w:rPr>
                <w:b w:val="0"/>
                <w:i/>
              </w:rPr>
              <w:t>$10,876,590</w:t>
            </w:r>
          </w:p>
        </w:tc>
        <w:tc>
          <w:tcPr>
            <w:tcW w:w="1194" w:type="dxa"/>
          </w:tcPr>
          <w:p w14:paraId="41551B4E" w14:textId="64248FEF" w:rsidR="00E80BCE" w:rsidRPr="00C932DC" w:rsidRDefault="00E80BCE" w:rsidP="00E80BCE">
            <w:pPr>
              <w:pStyle w:val="Tabletextboldleft"/>
              <w:spacing w:before="20" w:after="20"/>
              <w:jc w:val="right"/>
              <w:rPr>
                <w:b w:val="0"/>
                <w:i/>
              </w:rPr>
            </w:pPr>
            <w:r w:rsidRPr="00C932DC">
              <w:rPr>
                <w:b w:val="0"/>
                <w:i/>
              </w:rPr>
              <w:t>$11,192,218</w:t>
            </w:r>
          </w:p>
        </w:tc>
        <w:tc>
          <w:tcPr>
            <w:tcW w:w="1195" w:type="dxa"/>
          </w:tcPr>
          <w:p w14:paraId="79054A43" w14:textId="07A74E48" w:rsidR="00E80BCE" w:rsidRPr="00C932DC" w:rsidRDefault="00E80BCE" w:rsidP="00E80BCE">
            <w:pPr>
              <w:pStyle w:val="Tabletextboldleft"/>
              <w:spacing w:before="20" w:after="20"/>
              <w:jc w:val="right"/>
              <w:rPr>
                <w:b w:val="0"/>
                <w:i/>
              </w:rPr>
            </w:pPr>
            <w:r w:rsidRPr="00C932DC">
              <w:rPr>
                <w:b w:val="0"/>
                <w:i/>
              </w:rPr>
              <w:t>$11,507,846</w:t>
            </w:r>
          </w:p>
        </w:tc>
        <w:tc>
          <w:tcPr>
            <w:tcW w:w="1195" w:type="dxa"/>
          </w:tcPr>
          <w:p w14:paraId="5AFEDEC1" w14:textId="29E58BBD" w:rsidR="00E80BCE" w:rsidRPr="00C932DC" w:rsidRDefault="00E80BCE" w:rsidP="00E80BCE">
            <w:pPr>
              <w:pStyle w:val="Tabletextboldleft"/>
              <w:spacing w:before="20" w:after="20"/>
              <w:jc w:val="right"/>
              <w:rPr>
                <w:b w:val="0"/>
                <w:i/>
              </w:rPr>
            </w:pPr>
            <w:r w:rsidRPr="00C932DC">
              <w:rPr>
                <w:b w:val="0"/>
                <w:i/>
              </w:rPr>
              <w:t>$11,823,473</w:t>
            </w:r>
          </w:p>
        </w:tc>
      </w:tr>
      <w:tr w:rsidR="00B51828" w:rsidRPr="00F647C7" w14:paraId="30FDAF26" w14:textId="77777777" w:rsidTr="00E61184">
        <w:trPr>
          <w:trHeight w:val="212"/>
        </w:trPr>
        <w:tc>
          <w:tcPr>
            <w:tcW w:w="2390" w:type="dxa"/>
            <w:tcBorders>
              <w:bottom w:val="single" w:sz="4" w:space="0" w:color="auto"/>
            </w:tcBorders>
            <w:shd w:val="clear" w:color="auto" w:fill="D0CECE" w:themeFill="background2" w:themeFillShade="E6"/>
          </w:tcPr>
          <w:p w14:paraId="6CBAA8FF" w14:textId="77777777" w:rsidR="00B51828" w:rsidRPr="009D63D8" w:rsidRDefault="00B51828" w:rsidP="002101D2">
            <w:pPr>
              <w:pStyle w:val="Tabletextboldleft"/>
              <w:spacing w:before="20" w:after="20"/>
            </w:pPr>
            <w:r w:rsidRPr="009D63D8">
              <w:rPr>
                <w:i/>
              </w:rPr>
              <w:t>Scenario 2</w:t>
            </w:r>
          </w:p>
        </w:tc>
        <w:tc>
          <w:tcPr>
            <w:tcW w:w="1194" w:type="dxa"/>
            <w:tcBorders>
              <w:bottom w:val="single" w:sz="4" w:space="0" w:color="auto"/>
            </w:tcBorders>
            <w:shd w:val="clear" w:color="auto" w:fill="D0CECE" w:themeFill="background2" w:themeFillShade="E6"/>
          </w:tcPr>
          <w:p w14:paraId="4FF2370C" w14:textId="77777777" w:rsidR="00B51828" w:rsidRPr="00E80BCE" w:rsidRDefault="00B51828" w:rsidP="002101D2">
            <w:pPr>
              <w:pStyle w:val="Tabletextboldleft"/>
              <w:spacing w:before="20" w:after="20"/>
              <w:jc w:val="right"/>
              <w:rPr>
                <w:b w:val="0"/>
              </w:rPr>
            </w:pPr>
            <w:r w:rsidRPr="00E80BCE">
              <w:rPr>
                <w:b w:val="0"/>
              </w:rPr>
              <w:t>-</w:t>
            </w:r>
          </w:p>
        </w:tc>
        <w:tc>
          <w:tcPr>
            <w:tcW w:w="1195" w:type="dxa"/>
            <w:tcBorders>
              <w:bottom w:val="single" w:sz="4" w:space="0" w:color="auto"/>
            </w:tcBorders>
            <w:shd w:val="clear" w:color="auto" w:fill="D0CECE" w:themeFill="background2" w:themeFillShade="E6"/>
          </w:tcPr>
          <w:p w14:paraId="1A369D4E" w14:textId="77777777" w:rsidR="00B51828" w:rsidRPr="00E80BCE" w:rsidRDefault="00B51828" w:rsidP="002101D2">
            <w:pPr>
              <w:pStyle w:val="Tabletextboldleft"/>
              <w:spacing w:before="20" w:after="20"/>
              <w:jc w:val="right"/>
              <w:rPr>
                <w:b w:val="0"/>
              </w:rPr>
            </w:pPr>
            <w:r w:rsidRPr="00E80BCE">
              <w:rPr>
                <w:b w:val="0"/>
              </w:rPr>
              <w:t>-</w:t>
            </w:r>
          </w:p>
        </w:tc>
        <w:tc>
          <w:tcPr>
            <w:tcW w:w="1194" w:type="dxa"/>
            <w:tcBorders>
              <w:bottom w:val="single" w:sz="4" w:space="0" w:color="auto"/>
            </w:tcBorders>
            <w:shd w:val="clear" w:color="auto" w:fill="D0CECE" w:themeFill="background2" w:themeFillShade="E6"/>
          </w:tcPr>
          <w:p w14:paraId="3C3D79ED" w14:textId="77777777" w:rsidR="00B51828" w:rsidRPr="00E80BCE" w:rsidRDefault="00B51828" w:rsidP="002101D2">
            <w:pPr>
              <w:pStyle w:val="Tabletextboldleft"/>
              <w:spacing w:before="20" w:after="20"/>
              <w:jc w:val="right"/>
              <w:rPr>
                <w:b w:val="0"/>
              </w:rPr>
            </w:pPr>
            <w:r w:rsidRPr="00E80BCE">
              <w:rPr>
                <w:b w:val="0"/>
              </w:rPr>
              <w:t>-</w:t>
            </w:r>
          </w:p>
        </w:tc>
        <w:tc>
          <w:tcPr>
            <w:tcW w:w="1195" w:type="dxa"/>
            <w:tcBorders>
              <w:bottom w:val="single" w:sz="4" w:space="0" w:color="auto"/>
            </w:tcBorders>
            <w:shd w:val="clear" w:color="auto" w:fill="D0CECE" w:themeFill="background2" w:themeFillShade="E6"/>
          </w:tcPr>
          <w:p w14:paraId="1D7B429B" w14:textId="77777777" w:rsidR="00B51828" w:rsidRPr="00E80BCE" w:rsidRDefault="00B51828" w:rsidP="002101D2">
            <w:pPr>
              <w:pStyle w:val="Tabletextboldleft"/>
              <w:spacing w:before="20" w:after="20"/>
              <w:jc w:val="right"/>
              <w:rPr>
                <w:b w:val="0"/>
              </w:rPr>
            </w:pPr>
            <w:r w:rsidRPr="00E80BCE">
              <w:rPr>
                <w:b w:val="0"/>
              </w:rPr>
              <w:t>-</w:t>
            </w:r>
          </w:p>
        </w:tc>
        <w:tc>
          <w:tcPr>
            <w:tcW w:w="1195" w:type="dxa"/>
            <w:tcBorders>
              <w:bottom w:val="single" w:sz="4" w:space="0" w:color="auto"/>
            </w:tcBorders>
            <w:shd w:val="clear" w:color="auto" w:fill="D0CECE" w:themeFill="background2" w:themeFillShade="E6"/>
          </w:tcPr>
          <w:p w14:paraId="1CB6EF0E" w14:textId="77777777" w:rsidR="00B51828" w:rsidRPr="00E80BCE" w:rsidRDefault="00B51828" w:rsidP="002101D2">
            <w:pPr>
              <w:pStyle w:val="Tabletextboldleft"/>
              <w:spacing w:before="20" w:after="20"/>
              <w:jc w:val="right"/>
              <w:rPr>
                <w:b w:val="0"/>
              </w:rPr>
            </w:pPr>
            <w:r w:rsidRPr="00E80BCE">
              <w:rPr>
                <w:b w:val="0"/>
              </w:rPr>
              <w:t>-</w:t>
            </w:r>
          </w:p>
        </w:tc>
      </w:tr>
      <w:tr w:rsidR="00B51828" w:rsidRPr="00F647C7" w14:paraId="5FCD7D7E" w14:textId="77777777" w:rsidTr="00E61184">
        <w:trPr>
          <w:trHeight w:val="212"/>
        </w:trPr>
        <w:tc>
          <w:tcPr>
            <w:tcW w:w="2390" w:type="dxa"/>
            <w:tcBorders>
              <w:bottom w:val="nil"/>
            </w:tcBorders>
          </w:tcPr>
          <w:p w14:paraId="0F350E16" w14:textId="77777777" w:rsidR="00B51828" w:rsidRPr="00F411CD" w:rsidRDefault="00B51828" w:rsidP="002101D2">
            <w:pPr>
              <w:pStyle w:val="Tabletextboldleft"/>
              <w:spacing w:before="20" w:after="20"/>
              <w:rPr>
                <w:b w:val="0"/>
              </w:rPr>
            </w:pPr>
            <w:r w:rsidRPr="00F411CD">
              <w:rPr>
                <w:b w:val="0"/>
              </w:rPr>
              <w:t>Tissue pathology</w:t>
            </w:r>
            <w:r w:rsidRPr="00F411CD">
              <w:rPr>
                <w:b w:val="0"/>
                <w:vertAlign w:val="superscript"/>
              </w:rPr>
              <w:t>a</w:t>
            </w:r>
          </w:p>
        </w:tc>
        <w:tc>
          <w:tcPr>
            <w:tcW w:w="1194" w:type="dxa"/>
            <w:tcBorders>
              <w:bottom w:val="nil"/>
            </w:tcBorders>
          </w:tcPr>
          <w:p w14:paraId="016A2E33" w14:textId="77777777" w:rsidR="00B51828" w:rsidRPr="00E80BCE" w:rsidRDefault="00B51828" w:rsidP="002101D2">
            <w:pPr>
              <w:pStyle w:val="Tabletextboldleft"/>
              <w:spacing w:before="20" w:after="20"/>
              <w:jc w:val="right"/>
              <w:rPr>
                <w:b w:val="0"/>
              </w:rPr>
            </w:pPr>
            <w:r w:rsidRPr="00E80BCE">
              <w:rPr>
                <w:b w:val="0"/>
                <w:color w:val="000000"/>
              </w:rPr>
              <w:t>$2,290,025</w:t>
            </w:r>
          </w:p>
        </w:tc>
        <w:tc>
          <w:tcPr>
            <w:tcW w:w="1195" w:type="dxa"/>
            <w:tcBorders>
              <w:bottom w:val="nil"/>
            </w:tcBorders>
          </w:tcPr>
          <w:p w14:paraId="617B0396" w14:textId="77777777" w:rsidR="00B51828" w:rsidRPr="00E80BCE" w:rsidRDefault="00B51828" w:rsidP="002101D2">
            <w:pPr>
              <w:pStyle w:val="Tabletextboldleft"/>
              <w:spacing w:before="20" w:after="20"/>
              <w:jc w:val="right"/>
              <w:rPr>
                <w:b w:val="0"/>
              </w:rPr>
            </w:pPr>
            <w:r w:rsidRPr="00E80BCE">
              <w:rPr>
                <w:b w:val="0"/>
                <w:color w:val="000000"/>
              </w:rPr>
              <w:t>$2,372,998</w:t>
            </w:r>
          </w:p>
        </w:tc>
        <w:tc>
          <w:tcPr>
            <w:tcW w:w="1194" w:type="dxa"/>
            <w:tcBorders>
              <w:bottom w:val="nil"/>
            </w:tcBorders>
          </w:tcPr>
          <w:p w14:paraId="47458003" w14:textId="77777777" w:rsidR="00B51828" w:rsidRPr="00E80BCE" w:rsidRDefault="00B51828" w:rsidP="002101D2">
            <w:pPr>
              <w:pStyle w:val="Tabletextboldleft"/>
              <w:spacing w:before="20" w:after="20"/>
              <w:jc w:val="right"/>
              <w:rPr>
                <w:b w:val="0"/>
              </w:rPr>
            </w:pPr>
            <w:r w:rsidRPr="00E80BCE">
              <w:rPr>
                <w:b w:val="0"/>
                <w:color w:val="000000"/>
              </w:rPr>
              <w:t>$2,455,973</w:t>
            </w:r>
          </w:p>
        </w:tc>
        <w:tc>
          <w:tcPr>
            <w:tcW w:w="1195" w:type="dxa"/>
            <w:tcBorders>
              <w:bottom w:val="nil"/>
            </w:tcBorders>
          </w:tcPr>
          <w:p w14:paraId="504CD552" w14:textId="77777777" w:rsidR="00B51828" w:rsidRPr="00E80BCE" w:rsidRDefault="00B51828" w:rsidP="002101D2">
            <w:pPr>
              <w:pStyle w:val="Tabletextboldleft"/>
              <w:spacing w:before="20" w:after="20"/>
              <w:jc w:val="right"/>
              <w:rPr>
                <w:b w:val="0"/>
              </w:rPr>
            </w:pPr>
            <w:r w:rsidRPr="00E80BCE">
              <w:rPr>
                <w:b w:val="0"/>
                <w:color w:val="000000"/>
              </w:rPr>
              <w:t>$2,538,948</w:t>
            </w:r>
          </w:p>
        </w:tc>
        <w:tc>
          <w:tcPr>
            <w:tcW w:w="1195" w:type="dxa"/>
            <w:tcBorders>
              <w:bottom w:val="nil"/>
            </w:tcBorders>
          </w:tcPr>
          <w:p w14:paraId="2EA089A6" w14:textId="77777777" w:rsidR="00B51828" w:rsidRPr="00E80BCE" w:rsidRDefault="00B51828" w:rsidP="002101D2">
            <w:pPr>
              <w:pStyle w:val="Tabletextboldleft"/>
              <w:spacing w:before="20" w:after="20"/>
              <w:jc w:val="right"/>
              <w:rPr>
                <w:b w:val="0"/>
              </w:rPr>
            </w:pPr>
            <w:r w:rsidRPr="00E80BCE">
              <w:rPr>
                <w:b w:val="0"/>
                <w:color w:val="000000"/>
              </w:rPr>
              <w:t>$2,621,922</w:t>
            </w:r>
          </w:p>
        </w:tc>
      </w:tr>
      <w:tr w:rsidR="00B51828" w:rsidRPr="00F647C7" w14:paraId="1A759407" w14:textId="77777777" w:rsidTr="00E61184">
        <w:trPr>
          <w:trHeight w:val="212"/>
        </w:trPr>
        <w:tc>
          <w:tcPr>
            <w:tcW w:w="2390" w:type="dxa"/>
            <w:tcBorders>
              <w:top w:val="nil"/>
              <w:bottom w:val="nil"/>
            </w:tcBorders>
          </w:tcPr>
          <w:p w14:paraId="695442F5" w14:textId="77777777" w:rsidR="00B51828" w:rsidRPr="00F411CD" w:rsidRDefault="00B51828" w:rsidP="002101D2">
            <w:pPr>
              <w:pStyle w:val="Tabletextboldleft"/>
              <w:spacing w:before="20" w:after="20"/>
              <w:ind w:firstLine="317"/>
              <w:rPr>
                <w:b w:val="0"/>
              </w:rPr>
            </w:pPr>
            <w:r w:rsidRPr="00F411CD">
              <w:rPr>
                <w:b w:val="0"/>
              </w:rPr>
              <w:t>Complex</w:t>
            </w:r>
          </w:p>
        </w:tc>
        <w:tc>
          <w:tcPr>
            <w:tcW w:w="1194" w:type="dxa"/>
            <w:tcBorders>
              <w:top w:val="nil"/>
              <w:bottom w:val="nil"/>
            </w:tcBorders>
          </w:tcPr>
          <w:p w14:paraId="60999854" w14:textId="77777777" w:rsidR="00B51828" w:rsidRPr="00E80BCE" w:rsidRDefault="00B51828" w:rsidP="002101D2">
            <w:pPr>
              <w:pStyle w:val="Tabletextboldleft"/>
              <w:spacing w:before="20" w:after="20"/>
              <w:jc w:val="right"/>
              <w:rPr>
                <w:b w:val="0"/>
              </w:rPr>
            </w:pPr>
            <w:r w:rsidRPr="00E80BCE">
              <w:rPr>
                <w:b w:val="0"/>
                <w:color w:val="000000"/>
              </w:rPr>
              <w:t>$1,072,543</w:t>
            </w:r>
          </w:p>
        </w:tc>
        <w:tc>
          <w:tcPr>
            <w:tcW w:w="1195" w:type="dxa"/>
            <w:tcBorders>
              <w:top w:val="nil"/>
              <w:bottom w:val="nil"/>
            </w:tcBorders>
          </w:tcPr>
          <w:p w14:paraId="7F75BADC" w14:textId="77777777" w:rsidR="00B51828" w:rsidRPr="00E80BCE" w:rsidRDefault="00B51828" w:rsidP="002101D2">
            <w:pPr>
              <w:pStyle w:val="Tabletextboldleft"/>
              <w:spacing w:before="20" w:after="20"/>
              <w:jc w:val="right"/>
              <w:rPr>
                <w:b w:val="0"/>
              </w:rPr>
            </w:pPr>
            <w:r w:rsidRPr="00E80BCE">
              <w:rPr>
                <w:b w:val="0"/>
                <w:color w:val="000000"/>
              </w:rPr>
              <w:t>$1,111,404</w:t>
            </w:r>
          </w:p>
        </w:tc>
        <w:tc>
          <w:tcPr>
            <w:tcW w:w="1194" w:type="dxa"/>
            <w:tcBorders>
              <w:top w:val="nil"/>
              <w:bottom w:val="nil"/>
            </w:tcBorders>
          </w:tcPr>
          <w:p w14:paraId="628E7CC9" w14:textId="77777777" w:rsidR="00B51828" w:rsidRPr="00E80BCE" w:rsidRDefault="00B51828" w:rsidP="002101D2">
            <w:pPr>
              <w:pStyle w:val="Tabletextboldleft"/>
              <w:spacing w:before="20" w:after="20"/>
              <w:jc w:val="right"/>
              <w:rPr>
                <w:b w:val="0"/>
              </w:rPr>
            </w:pPr>
            <w:r w:rsidRPr="00E80BCE">
              <w:rPr>
                <w:b w:val="0"/>
                <w:color w:val="000000"/>
              </w:rPr>
              <w:t>$1,150,266</w:t>
            </w:r>
          </w:p>
        </w:tc>
        <w:tc>
          <w:tcPr>
            <w:tcW w:w="1195" w:type="dxa"/>
            <w:tcBorders>
              <w:top w:val="nil"/>
              <w:bottom w:val="nil"/>
            </w:tcBorders>
          </w:tcPr>
          <w:p w14:paraId="0F561665" w14:textId="77777777" w:rsidR="00B51828" w:rsidRPr="00E80BCE" w:rsidRDefault="00B51828" w:rsidP="002101D2">
            <w:pPr>
              <w:pStyle w:val="Tabletextboldleft"/>
              <w:spacing w:before="20" w:after="20"/>
              <w:jc w:val="right"/>
              <w:rPr>
                <w:b w:val="0"/>
              </w:rPr>
            </w:pPr>
            <w:r w:rsidRPr="00E80BCE">
              <w:rPr>
                <w:b w:val="0"/>
                <w:color w:val="000000"/>
              </w:rPr>
              <w:t>$1,189,127</w:t>
            </w:r>
          </w:p>
        </w:tc>
        <w:tc>
          <w:tcPr>
            <w:tcW w:w="1195" w:type="dxa"/>
            <w:tcBorders>
              <w:top w:val="nil"/>
              <w:bottom w:val="nil"/>
            </w:tcBorders>
          </w:tcPr>
          <w:p w14:paraId="74A5DF54" w14:textId="77777777" w:rsidR="00B51828" w:rsidRPr="00E80BCE" w:rsidRDefault="00B51828" w:rsidP="002101D2">
            <w:pPr>
              <w:pStyle w:val="Tabletextboldleft"/>
              <w:spacing w:before="20" w:after="20"/>
              <w:jc w:val="right"/>
              <w:rPr>
                <w:b w:val="0"/>
              </w:rPr>
            </w:pPr>
            <w:r w:rsidRPr="00E80BCE">
              <w:rPr>
                <w:b w:val="0"/>
                <w:color w:val="000000"/>
              </w:rPr>
              <w:t>$1,227,989</w:t>
            </w:r>
          </w:p>
        </w:tc>
      </w:tr>
      <w:tr w:rsidR="00B51828" w:rsidRPr="00F647C7" w14:paraId="5B7717EA" w14:textId="77777777" w:rsidTr="00E61184">
        <w:trPr>
          <w:trHeight w:val="212"/>
        </w:trPr>
        <w:tc>
          <w:tcPr>
            <w:tcW w:w="2390" w:type="dxa"/>
            <w:tcBorders>
              <w:top w:val="nil"/>
              <w:bottom w:val="single" w:sz="4" w:space="0" w:color="auto"/>
            </w:tcBorders>
          </w:tcPr>
          <w:p w14:paraId="2BBC836C" w14:textId="77777777" w:rsidR="00B51828" w:rsidRPr="00F411CD" w:rsidRDefault="00B51828" w:rsidP="002101D2">
            <w:pPr>
              <w:pStyle w:val="Tabletextboldleft"/>
              <w:spacing w:before="20" w:after="20"/>
              <w:ind w:firstLine="317"/>
              <w:rPr>
                <w:b w:val="0"/>
              </w:rPr>
            </w:pPr>
            <w:r w:rsidRPr="00F411CD">
              <w:rPr>
                <w:b w:val="0"/>
              </w:rPr>
              <w:t>Non-complex</w:t>
            </w:r>
          </w:p>
        </w:tc>
        <w:tc>
          <w:tcPr>
            <w:tcW w:w="1194" w:type="dxa"/>
            <w:tcBorders>
              <w:top w:val="nil"/>
              <w:bottom w:val="single" w:sz="4" w:space="0" w:color="auto"/>
            </w:tcBorders>
          </w:tcPr>
          <w:p w14:paraId="7A0A8685" w14:textId="77777777" w:rsidR="00B51828" w:rsidRPr="00E80BCE" w:rsidRDefault="00B51828" w:rsidP="002101D2">
            <w:pPr>
              <w:pStyle w:val="Tabletextboldleft"/>
              <w:spacing w:before="20" w:after="20"/>
              <w:jc w:val="right"/>
              <w:rPr>
                <w:b w:val="0"/>
              </w:rPr>
            </w:pPr>
            <w:r w:rsidRPr="00E80BCE">
              <w:rPr>
                <w:b w:val="0"/>
                <w:color w:val="000000"/>
              </w:rPr>
              <w:t>$1,217,482</w:t>
            </w:r>
          </w:p>
        </w:tc>
        <w:tc>
          <w:tcPr>
            <w:tcW w:w="1195" w:type="dxa"/>
            <w:tcBorders>
              <w:top w:val="nil"/>
              <w:bottom w:val="single" w:sz="4" w:space="0" w:color="auto"/>
            </w:tcBorders>
          </w:tcPr>
          <w:p w14:paraId="00D796AE" w14:textId="77777777" w:rsidR="00B51828" w:rsidRPr="00E80BCE" w:rsidRDefault="00B51828" w:rsidP="002101D2">
            <w:pPr>
              <w:pStyle w:val="Tabletextboldleft"/>
              <w:spacing w:before="20" w:after="20"/>
              <w:jc w:val="right"/>
              <w:rPr>
                <w:b w:val="0"/>
              </w:rPr>
            </w:pPr>
            <w:r w:rsidRPr="00E80BCE">
              <w:rPr>
                <w:b w:val="0"/>
                <w:color w:val="000000"/>
              </w:rPr>
              <w:t>$1,261,594</w:t>
            </w:r>
          </w:p>
        </w:tc>
        <w:tc>
          <w:tcPr>
            <w:tcW w:w="1194" w:type="dxa"/>
            <w:tcBorders>
              <w:top w:val="nil"/>
              <w:bottom w:val="single" w:sz="4" w:space="0" w:color="auto"/>
            </w:tcBorders>
          </w:tcPr>
          <w:p w14:paraId="69BC3626" w14:textId="77777777" w:rsidR="00B51828" w:rsidRPr="00E80BCE" w:rsidRDefault="00B51828" w:rsidP="002101D2">
            <w:pPr>
              <w:pStyle w:val="Tabletextboldleft"/>
              <w:spacing w:before="20" w:after="20"/>
              <w:jc w:val="right"/>
              <w:rPr>
                <w:b w:val="0"/>
              </w:rPr>
            </w:pPr>
            <w:r w:rsidRPr="00E80BCE">
              <w:rPr>
                <w:b w:val="0"/>
                <w:color w:val="000000"/>
              </w:rPr>
              <w:t>$1,305,707</w:t>
            </w:r>
          </w:p>
        </w:tc>
        <w:tc>
          <w:tcPr>
            <w:tcW w:w="1195" w:type="dxa"/>
            <w:tcBorders>
              <w:top w:val="nil"/>
              <w:bottom w:val="single" w:sz="4" w:space="0" w:color="auto"/>
            </w:tcBorders>
          </w:tcPr>
          <w:p w14:paraId="74763EB2" w14:textId="77777777" w:rsidR="00B51828" w:rsidRPr="00E80BCE" w:rsidRDefault="00B51828" w:rsidP="002101D2">
            <w:pPr>
              <w:pStyle w:val="Tabletextboldleft"/>
              <w:spacing w:before="20" w:after="20"/>
              <w:jc w:val="right"/>
              <w:rPr>
                <w:b w:val="0"/>
              </w:rPr>
            </w:pPr>
            <w:r w:rsidRPr="00E80BCE">
              <w:rPr>
                <w:b w:val="0"/>
                <w:color w:val="000000"/>
              </w:rPr>
              <w:t>$1,349,820</w:t>
            </w:r>
          </w:p>
        </w:tc>
        <w:tc>
          <w:tcPr>
            <w:tcW w:w="1195" w:type="dxa"/>
            <w:tcBorders>
              <w:top w:val="nil"/>
              <w:bottom w:val="single" w:sz="4" w:space="0" w:color="auto"/>
            </w:tcBorders>
          </w:tcPr>
          <w:p w14:paraId="775037BC" w14:textId="77777777" w:rsidR="00B51828" w:rsidRPr="00E80BCE" w:rsidRDefault="00B51828" w:rsidP="002101D2">
            <w:pPr>
              <w:pStyle w:val="Tabletextboldleft"/>
              <w:spacing w:before="20" w:after="20"/>
              <w:jc w:val="right"/>
              <w:rPr>
                <w:b w:val="0"/>
              </w:rPr>
            </w:pPr>
            <w:r w:rsidRPr="00E80BCE">
              <w:rPr>
                <w:b w:val="0"/>
                <w:color w:val="000000"/>
              </w:rPr>
              <w:t>$1,393,933</w:t>
            </w:r>
          </w:p>
        </w:tc>
      </w:tr>
      <w:tr w:rsidR="00E80BCE" w:rsidRPr="00F647C7" w14:paraId="52C3594E" w14:textId="77777777" w:rsidTr="00E61184">
        <w:trPr>
          <w:trHeight w:val="212"/>
        </w:trPr>
        <w:tc>
          <w:tcPr>
            <w:tcW w:w="2390" w:type="dxa"/>
            <w:tcBorders>
              <w:bottom w:val="nil"/>
            </w:tcBorders>
          </w:tcPr>
          <w:p w14:paraId="02DD4627" w14:textId="77777777" w:rsidR="00E80BCE" w:rsidRPr="00F411CD" w:rsidRDefault="00E80BCE" w:rsidP="00E80BCE">
            <w:pPr>
              <w:pStyle w:val="Tabletextboldleft"/>
              <w:spacing w:before="20" w:after="20"/>
              <w:rPr>
                <w:b w:val="0"/>
              </w:rPr>
            </w:pPr>
            <w:r w:rsidRPr="00F411CD">
              <w:rPr>
                <w:b w:val="0"/>
              </w:rPr>
              <w:t>Non-gynaecological cytology</w:t>
            </w:r>
          </w:p>
        </w:tc>
        <w:tc>
          <w:tcPr>
            <w:tcW w:w="1194" w:type="dxa"/>
            <w:tcBorders>
              <w:bottom w:val="nil"/>
            </w:tcBorders>
            <w:vAlign w:val="bottom"/>
          </w:tcPr>
          <w:p w14:paraId="7DD8E6FC" w14:textId="258B0A55" w:rsidR="00E80BCE" w:rsidRPr="00E80BCE" w:rsidRDefault="00E80BCE" w:rsidP="00E80BCE">
            <w:pPr>
              <w:pStyle w:val="Tabletextboldleft"/>
              <w:spacing w:before="20" w:after="20"/>
              <w:jc w:val="right"/>
              <w:rPr>
                <w:b w:val="0"/>
              </w:rPr>
            </w:pPr>
            <w:r w:rsidRPr="00E80BCE">
              <w:rPr>
                <w:b w:val="0"/>
                <w:color w:val="000000"/>
              </w:rPr>
              <w:t>$226,174</w:t>
            </w:r>
          </w:p>
        </w:tc>
        <w:tc>
          <w:tcPr>
            <w:tcW w:w="1195" w:type="dxa"/>
            <w:tcBorders>
              <w:bottom w:val="nil"/>
            </w:tcBorders>
            <w:vAlign w:val="bottom"/>
          </w:tcPr>
          <w:p w14:paraId="052240D2" w14:textId="55CEE1D1" w:rsidR="00E80BCE" w:rsidRPr="00E80BCE" w:rsidRDefault="00E80BCE" w:rsidP="00E80BCE">
            <w:pPr>
              <w:pStyle w:val="Tabletextboldleft"/>
              <w:spacing w:before="20" w:after="20"/>
              <w:jc w:val="right"/>
              <w:rPr>
                <w:b w:val="0"/>
              </w:rPr>
            </w:pPr>
            <w:r w:rsidRPr="00E80BCE">
              <w:rPr>
                <w:b w:val="0"/>
                <w:color w:val="000000"/>
              </w:rPr>
              <w:t>$232,736</w:t>
            </w:r>
          </w:p>
        </w:tc>
        <w:tc>
          <w:tcPr>
            <w:tcW w:w="1194" w:type="dxa"/>
            <w:tcBorders>
              <w:bottom w:val="nil"/>
            </w:tcBorders>
            <w:vAlign w:val="bottom"/>
          </w:tcPr>
          <w:p w14:paraId="0E1D78A8" w14:textId="05653EE2" w:rsidR="00E80BCE" w:rsidRPr="00E80BCE" w:rsidRDefault="00E80BCE" w:rsidP="00E80BCE">
            <w:pPr>
              <w:pStyle w:val="Tabletextboldleft"/>
              <w:spacing w:before="20" w:after="20"/>
              <w:jc w:val="right"/>
              <w:rPr>
                <w:b w:val="0"/>
              </w:rPr>
            </w:pPr>
            <w:r w:rsidRPr="00E80BCE">
              <w:rPr>
                <w:b w:val="0"/>
                <w:color w:val="000000"/>
              </w:rPr>
              <w:t>$239,297</w:t>
            </w:r>
          </w:p>
        </w:tc>
        <w:tc>
          <w:tcPr>
            <w:tcW w:w="1195" w:type="dxa"/>
            <w:tcBorders>
              <w:bottom w:val="nil"/>
            </w:tcBorders>
            <w:vAlign w:val="bottom"/>
          </w:tcPr>
          <w:p w14:paraId="1BAA79A2" w14:textId="2421C00F" w:rsidR="00E80BCE" w:rsidRPr="00E80BCE" w:rsidRDefault="00E80BCE" w:rsidP="00E80BCE">
            <w:pPr>
              <w:pStyle w:val="Tabletextboldleft"/>
              <w:spacing w:before="20" w:after="20"/>
              <w:jc w:val="right"/>
              <w:rPr>
                <w:b w:val="0"/>
              </w:rPr>
            </w:pPr>
            <w:r w:rsidRPr="00E80BCE">
              <w:rPr>
                <w:b w:val="0"/>
                <w:color w:val="000000"/>
              </w:rPr>
              <w:t>$245,859</w:t>
            </w:r>
          </w:p>
        </w:tc>
        <w:tc>
          <w:tcPr>
            <w:tcW w:w="1195" w:type="dxa"/>
            <w:tcBorders>
              <w:bottom w:val="nil"/>
            </w:tcBorders>
            <w:vAlign w:val="bottom"/>
          </w:tcPr>
          <w:p w14:paraId="760902F5" w14:textId="31373ADB" w:rsidR="00E80BCE" w:rsidRPr="00E80BCE" w:rsidRDefault="00E80BCE" w:rsidP="00E80BCE">
            <w:pPr>
              <w:pStyle w:val="Tabletextboldleft"/>
              <w:spacing w:before="20" w:after="20"/>
              <w:jc w:val="right"/>
              <w:rPr>
                <w:b w:val="0"/>
              </w:rPr>
            </w:pPr>
            <w:r w:rsidRPr="00E80BCE">
              <w:rPr>
                <w:b w:val="0"/>
                <w:color w:val="000000"/>
              </w:rPr>
              <w:t>$252,420</w:t>
            </w:r>
          </w:p>
        </w:tc>
      </w:tr>
      <w:tr w:rsidR="00E80BCE" w:rsidRPr="00F647C7" w14:paraId="02DF574A" w14:textId="77777777" w:rsidTr="00E61184">
        <w:trPr>
          <w:trHeight w:val="212"/>
        </w:trPr>
        <w:tc>
          <w:tcPr>
            <w:tcW w:w="2390" w:type="dxa"/>
            <w:tcBorders>
              <w:top w:val="nil"/>
              <w:bottom w:val="nil"/>
            </w:tcBorders>
          </w:tcPr>
          <w:p w14:paraId="2B45D92F" w14:textId="77777777" w:rsidR="00E80BCE" w:rsidRPr="00F411CD" w:rsidRDefault="00E80BCE" w:rsidP="00E80BCE">
            <w:pPr>
              <w:pStyle w:val="Tabletextboldleft"/>
              <w:spacing w:before="20" w:after="20"/>
              <w:ind w:firstLine="317"/>
              <w:rPr>
                <w:b w:val="0"/>
              </w:rPr>
            </w:pPr>
            <w:r w:rsidRPr="00F411CD">
              <w:rPr>
                <w:b w:val="0"/>
              </w:rPr>
              <w:t>Complex</w:t>
            </w:r>
          </w:p>
        </w:tc>
        <w:tc>
          <w:tcPr>
            <w:tcW w:w="1194" w:type="dxa"/>
            <w:tcBorders>
              <w:top w:val="nil"/>
              <w:bottom w:val="nil"/>
            </w:tcBorders>
            <w:vAlign w:val="bottom"/>
          </w:tcPr>
          <w:p w14:paraId="31A99D5E" w14:textId="25918FB2" w:rsidR="00E80BCE" w:rsidRPr="00E80BCE" w:rsidRDefault="00E80BCE" w:rsidP="00E80BCE">
            <w:pPr>
              <w:pStyle w:val="Tabletextboldleft"/>
              <w:spacing w:before="20" w:after="20"/>
              <w:jc w:val="right"/>
              <w:rPr>
                <w:b w:val="0"/>
              </w:rPr>
            </w:pPr>
            <w:r w:rsidRPr="00E80BCE">
              <w:rPr>
                <w:b w:val="0"/>
                <w:color w:val="000000"/>
              </w:rPr>
              <w:t>$71,414</w:t>
            </w:r>
          </w:p>
        </w:tc>
        <w:tc>
          <w:tcPr>
            <w:tcW w:w="1195" w:type="dxa"/>
            <w:tcBorders>
              <w:top w:val="nil"/>
              <w:bottom w:val="nil"/>
            </w:tcBorders>
            <w:vAlign w:val="bottom"/>
          </w:tcPr>
          <w:p w14:paraId="5306E8F4" w14:textId="7806578A" w:rsidR="00E80BCE" w:rsidRPr="00E80BCE" w:rsidRDefault="00E80BCE" w:rsidP="00E80BCE">
            <w:pPr>
              <w:pStyle w:val="Tabletextboldleft"/>
              <w:spacing w:before="20" w:after="20"/>
              <w:jc w:val="right"/>
              <w:rPr>
                <w:b w:val="0"/>
              </w:rPr>
            </w:pPr>
            <w:r w:rsidRPr="00E80BCE">
              <w:rPr>
                <w:b w:val="0"/>
                <w:color w:val="000000"/>
              </w:rPr>
              <w:t>$73,486</w:t>
            </w:r>
          </w:p>
        </w:tc>
        <w:tc>
          <w:tcPr>
            <w:tcW w:w="1194" w:type="dxa"/>
            <w:tcBorders>
              <w:top w:val="nil"/>
              <w:bottom w:val="nil"/>
            </w:tcBorders>
            <w:vAlign w:val="bottom"/>
          </w:tcPr>
          <w:p w14:paraId="4B23AF42" w14:textId="4968051C" w:rsidR="00E80BCE" w:rsidRPr="00E80BCE" w:rsidRDefault="00E80BCE" w:rsidP="00E80BCE">
            <w:pPr>
              <w:pStyle w:val="Tabletextboldleft"/>
              <w:spacing w:before="20" w:after="20"/>
              <w:jc w:val="right"/>
              <w:rPr>
                <w:b w:val="0"/>
              </w:rPr>
            </w:pPr>
            <w:r w:rsidRPr="00E80BCE">
              <w:rPr>
                <w:b w:val="0"/>
                <w:color w:val="000000"/>
              </w:rPr>
              <w:t>$75,558</w:t>
            </w:r>
          </w:p>
        </w:tc>
        <w:tc>
          <w:tcPr>
            <w:tcW w:w="1195" w:type="dxa"/>
            <w:tcBorders>
              <w:top w:val="nil"/>
              <w:bottom w:val="nil"/>
            </w:tcBorders>
            <w:vAlign w:val="bottom"/>
          </w:tcPr>
          <w:p w14:paraId="33074FEB" w14:textId="23BC52BC" w:rsidR="00E80BCE" w:rsidRPr="00E80BCE" w:rsidRDefault="00E80BCE" w:rsidP="00E80BCE">
            <w:pPr>
              <w:pStyle w:val="Tabletextboldleft"/>
              <w:spacing w:before="20" w:after="20"/>
              <w:jc w:val="right"/>
              <w:rPr>
                <w:b w:val="0"/>
              </w:rPr>
            </w:pPr>
            <w:r w:rsidRPr="00E80BCE">
              <w:rPr>
                <w:b w:val="0"/>
                <w:color w:val="000000"/>
              </w:rPr>
              <w:t>$77,630</w:t>
            </w:r>
          </w:p>
        </w:tc>
        <w:tc>
          <w:tcPr>
            <w:tcW w:w="1195" w:type="dxa"/>
            <w:tcBorders>
              <w:top w:val="nil"/>
              <w:bottom w:val="nil"/>
            </w:tcBorders>
            <w:vAlign w:val="bottom"/>
          </w:tcPr>
          <w:p w14:paraId="3A91B526" w14:textId="529A5F09" w:rsidR="00E80BCE" w:rsidRPr="00E80BCE" w:rsidRDefault="00E80BCE" w:rsidP="00E80BCE">
            <w:pPr>
              <w:pStyle w:val="Tabletextboldleft"/>
              <w:spacing w:before="20" w:after="20"/>
              <w:jc w:val="right"/>
              <w:rPr>
                <w:b w:val="0"/>
              </w:rPr>
            </w:pPr>
            <w:r w:rsidRPr="00E80BCE">
              <w:rPr>
                <w:b w:val="0"/>
                <w:color w:val="000000"/>
              </w:rPr>
              <w:t>$79,701</w:t>
            </w:r>
          </w:p>
        </w:tc>
      </w:tr>
      <w:tr w:rsidR="00E80BCE" w:rsidRPr="00F647C7" w14:paraId="53FC934D" w14:textId="77777777" w:rsidTr="00E61184">
        <w:trPr>
          <w:trHeight w:val="212"/>
        </w:trPr>
        <w:tc>
          <w:tcPr>
            <w:tcW w:w="2390" w:type="dxa"/>
            <w:tcBorders>
              <w:top w:val="nil"/>
              <w:bottom w:val="single" w:sz="4" w:space="0" w:color="auto"/>
            </w:tcBorders>
          </w:tcPr>
          <w:p w14:paraId="4D245540" w14:textId="77777777" w:rsidR="00E80BCE" w:rsidRPr="00F411CD" w:rsidRDefault="00E80BCE" w:rsidP="00E80BCE">
            <w:pPr>
              <w:pStyle w:val="Tabletextboldleft"/>
              <w:spacing w:before="20" w:after="20"/>
              <w:ind w:firstLine="317"/>
              <w:rPr>
                <w:b w:val="0"/>
              </w:rPr>
            </w:pPr>
            <w:r w:rsidRPr="00F411CD">
              <w:rPr>
                <w:b w:val="0"/>
              </w:rPr>
              <w:t>Non-complex</w:t>
            </w:r>
          </w:p>
        </w:tc>
        <w:tc>
          <w:tcPr>
            <w:tcW w:w="1194" w:type="dxa"/>
            <w:tcBorders>
              <w:top w:val="nil"/>
              <w:bottom w:val="single" w:sz="4" w:space="0" w:color="auto"/>
            </w:tcBorders>
            <w:vAlign w:val="bottom"/>
          </w:tcPr>
          <w:p w14:paraId="05E747E8" w14:textId="41B5643A" w:rsidR="00E80BCE" w:rsidRPr="00E80BCE" w:rsidRDefault="00E80BCE" w:rsidP="00E80BCE">
            <w:pPr>
              <w:pStyle w:val="Tabletextboldleft"/>
              <w:spacing w:before="20" w:after="20"/>
              <w:jc w:val="right"/>
              <w:rPr>
                <w:b w:val="0"/>
              </w:rPr>
            </w:pPr>
            <w:r w:rsidRPr="00E80BCE">
              <w:rPr>
                <w:b w:val="0"/>
                <w:color w:val="000000"/>
              </w:rPr>
              <w:t>$154,760</w:t>
            </w:r>
          </w:p>
        </w:tc>
        <w:tc>
          <w:tcPr>
            <w:tcW w:w="1195" w:type="dxa"/>
            <w:tcBorders>
              <w:top w:val="nil"/>
              <w:bottom w:val="single" w:sz="4" w:space="0" w:color="auto"/>
            </w:tcBorders>
            <w:vAlign w:val="bottom"/>
          </w:tcPr>
          <w:p w14:paraId="14BE369F" w14:textId="44FA6895" w:rsidR="00E80BCE" w:rsidRPr="00E80BCE" w:rsidRDefault="00E80BCE" w:rsidP="00E80BCE">
            <w:pPr>
              <w:pStyle w:val="Tabletextboldleft"/>
              <w:spacing w:before="20" w:after="20"/>
              <w:jc w:val="right"/>
              <w:rPr>
                <w:b w:val="0"/>
              </w:rPr>
            </w:pPr>
            <w:r w:rsidRPr="00E80BCE">
              <w:rPr>
                <w:b w:val="0"/>
                <w:color w:val="000000"/>
              </w:rPr>
              <w:t>$159,250</w:t>
            </w:r>
          </w:p>
        </w:tc>
        <w:tc>
          <w:tcPr>
            <w:tcW w:w="1194" w:type="dxa"/>
            <w:tcBorders>
              <w:top w:val="nil"/>
              <w:bottom w:val="single" w:sz="4" w:space="0" w:color="auto"/>
            </w:tcBorders>
            <w:vAlign w:val="bottom"/>
          </w:tcPr>
          <w:p w14:paraId="60423319" w14:textId="4CCEF680" w:rsidR="00E80BCE" w:rsidRPr="00E80BCE" w:rsidRDefault="00E80BCE" w:rsidP="00E80BCE">
            <w:pPr>
              <w:pStyle w:val="Tabletextboldleft"/>
              <w:spacing w:before="20" w:after="20"/>
              <w:jc w:val="right"/>
              <w:rPr>
                <w:b w:val="0"/>
              </w:rPr>
            </w:pPr>
            <w:r w:rsidRPr="00E80BCE">
              <w:rPr>
                <w:b w:val="0"/>
                <w:color w:val="000000"/>
              </w:rPr>
              <w:t>$163,739</w:t>
            </w:r>
          </w:p>
        </w:tc>
        <w:tc>
          <w:tcPr>
            <w:tcW w:w="1195" w:type="dxa"/>
            <w:tcBorders>
              <w:top w:val="nil"/>
              <w:bottom w:val="single" w:sz="4" w:space="0" w:color="auto"/>
            </w:tcBorders>
            <w:vAlign w:val="bottom"/>
          </w:tcPr>
          <w:p w14:paraId="66AF2EE8" w14:textId="5D237118" w:rsidR="00E80BCE" w:rsidRPr="00E80BCE" w:rsidRDefault="00E80BCE" w:rsidP="00E80BCE">
            <w:pPr>
              <w:pStyle w:val="Tabletextboldleft"/>
              <w:spacing w:before="20" w:after="20"/>
              <w:jc w:val="right"/>
              <w:rPr>
                <w:b w:val="0"/>
              </w:rPr>
            </w:pPr>
            <w:r w:rsidRPr="00E80BCE">
              <w:rPr>
                <w:b w:val="0"/>
                <w:color w:val="000000"/>
              </w:rPr>
              <w:t>$168,229</w:t>
            </w:r>
          </w:p>
        </w:tc>
        <w:tc>
          <w:tcPr>
            <w:tcW w:w="1195" w:type="dxa"/>
            <w:tcBorders>
              <w:top w:val="nil"/>
              <w:bottom w:val="single" w:sz="4" w:space="0" w:color="auto"/>
            </w:tcBorders>
            <w:vAlign w:val="bottom"/>
          </w:tcPr>
          <w:p w14:paraId="69A7588A" w14:textId="7AB5C937" w:rsidR="00E80BCE" w:rsidRPr="00E80BCE" w:rsidRDefault="00E80BCE" w:rsidP="00E80BCE">
            <w:pPr>
              <w:pStyle w:val="Tabletextboldleft"/>
              <w:spacing w:before="20" w:after="20"/>
              <w:jc w:val="right"/>
              <w:rPr>
                <w:b w:val="0"/>
              </w:rPr>
            </w:pPr>
            <w:r w:rsidRPr="00E80BCE">
              <w:rPr>
                <w:b w:val="0"/>
                <w:color w:val="000000"/>
              </w:rPr>
              <w:t>$172,719</w:t>
            </w:r>
          </w:p>
        </w:tc>
      </w:tr>
      <w:tr w:rsidR="00E80BCE" w:rsidRPr="00F647C7" w14:paraId="2C70C9FE" w14:textId="77777777" w:rsidTr="00E61184">
        <w:trPr>
          <w:trHeight w:val="212"/>
        </w:trPr>
        <w:tc>
          <w:tcPr>
            <w:tcW w:w="2390" w:type="dxa"/>
            <w:tcBorders>
              <w:bottom w:val="nil"/>
            </w:tcBorders>
          </w:tcPr>
          <w:p w14:paraId="1BABE3C4" w14:textId="77777777" w:rsidR="00E80BCE" w:rsidRPr="00F411CD" w:rsidRDefault="00E80BCE" w:rsidP="00E80BCE">
            <w:pPr>
              <w:pStyle w:val="Tabletextboldleft"/>
              <w:spacing w:before="20" w:after="20"/>
              <w:rPr>
                <w:b w:val="0"/>
              </w:rPr>
            </w:pPr>
            <w:r w:rsidRPr="00F411CD">
              <w:rPr>
                <w:b w:val="0"/>
              </w:rPr>
              <w:t>All cytology</w:t>
            </w:r>
          </w:p>
        </w:tc>
        <w:tc>
          <w:tcPr>
            <w:tcW w:w="1194" w:type="dxa"/>
            <w:tcBorders>
              <w:bottom w:val="nil"/>
            </w:tcBorders>
            <w:vAlign w:val="bottom"/>
          </w:tcPr>
          <w:p w14:paraId="2C4D942C" w14:textId="12DC76A1" w:rsidR="00E80BCE" w:rsidRPr="00E80BCE" w:rsidRDefault="00E80BCE" w:rsidP="00E80BCE">
            <w:pPr>
              <w:pStyle w:val="Tabletextboldleft"/>
              <w:spacing w:before="20" w:after="20"/>
              <w:jc w:val="right"/>
              <w:rPr>
                <w:b w:val="0"/>
              </w:rPr>
            </w:pPr>
            <w:r w:rsidRPr="00E80BCE">
              <w:rPr>
                <w:b w:val="0"/>
                <w:color w:val="000000"/>
              </w:rPr>
              <w:t>$1,799,163</w:t>
            </w:r>
          </w:p>
        </w:tc>
        <w:tc>
          <w:tcPr>
            <w:tcW w:w="1195" w:type="dxa"/>
            <w:tcBorders>
              <w:bottom w:val="nil"/>
            </w:tcBorders>
            <w:vAlign w:val="bottom"/>
          </w:tcPr>
          <w:p w14:paraId="373A17C7" w14:textId="0C295640" w:rsidR="00E80BCE" w:rsidRPr="00E80BCE" w:rsidRDefault="00E80BCE" w:rsidP="00E80BCE">
            <w:pPr>
              <w:pStyle w:val="Tabletextboldleft"/>
              <w:spacing w:before="20" w:after="20"/>
              <w:jc w:val="right"/>
              <w:rPr>
                <w:b w:val="0"/>
              </w:rPr>
            </w:pPr>
            <w:r w:rsidRPr="00E80BCE">
              <w:rPr>
                <w:b w:val="0"/>
                <w:color w:val="000000"/>
              </w:rPr>
              <w:t>$1,818,824</w:t>
            </w:r>
          </w:p>
        </w:tc>
        <w:tc>
          <w:tcPr>
            <w:tcW w:w="1194" w:type="dxa"/>
            <w:tcBorders>
              <w:bottom w:val="nil"/>
            </w:tcBorders>
            <w:vAlign w:val="bottom"/>
          </w:tcPr>
          <w:p w14:paraId="4AAF052F" w14:textId="7B8F207B" w:rsidR="00E80BCE" w:rsidRPr="00E80BCE" w:rsidRDefault="00E80BCE" w:rsidP="00E80BCE">
            <w:pPr>
              <w:pStyle w:val="Tabletextboldleft"/>
              <w:spacing w:before="20" w:after="20"/>
              <w:jc w:val="right"/>
              <w:rPr>
                <w:b w:val="0"/>
              </w:rPr>
            </w:pPr>
            <w:r w:rsidRPr="00E80BCE">
              <w:rPr>
                <w:b w:val="0"/>
                <w:color w:val="000000"/>
              </w:rPr>
              <w:t>$1,838,484</w:t>
            </w:r>
          </w:p>
        </w:tc>
        <w:tc>
          <w:tcPr>
            <w:tcW w:w="1195" w:type="dxa"/>
            <w:tcBorders>
              <w:bottom w:val="nil"/>
            </w:tcBorders>
            <w:vAlign w:val="bottom"/>
          </w:tcPr>
          <w:p w14:paraId="3766B863" w14:textId="2DF3ABF4" w:rsidR="00E80BCE" w:rsidRPr="00E80BCE" w:rsidRDefault="00E80BCE" w:rsidP="00E80BCE">
            <w:pPr>
              <w:pStyle w:val="Tabletextboldleft"/>
              <w:spacing w:before="20" w:after="20"/>
              <w:jc w:val="right"/>
              <w:rPr>
                <w:b w:val="0"/>
              </w:rPr>
            </w:pPr>
            <w:r w:rsidRPr="00E80BCE">
              <w:rPr>
                <w:b w:val="0"/>
                <w:color w:val="000000"/>
              </w:rPr>
              <w:t>$1,858,144</w:t>
            </w:r>
          </w:p>
        </w:tc>
        <w:tc>
          <w:tcPr>
            <w:tcW w:w="1195" w:type="dxa"/>
            <w:tcBorders>
              <w:bottom w:val="nil"/>
            </w:tcBorders>
            <w:vAlign w:val="bottom"/>
          </w:tcPr>
          <w:p w14:paraId="7ABC7F69" w14:textId="601CE854" w:rsidR="00E80BCE" w:rsidRPr="00E80BCE" w:rsidRDefault="00E80BCE" w:rsidP="00E80BCE">
            <w:pPr>
              <w:pStyle w:val="Tabletextboldleft"/>
              <w:spacing w:before="20" w:after="20"/>
              <w:jc w:val="right"/>
              <w:rPr>
                <w:b w:val="0"/>
              </w:rPr>
            </w:pPr>
            <w:r w:rsidRPr="00E80BCE">
              <w:rPr>
                <w:b w:val="0"/>
                <w:color w:val="000000"/>
              </w:rPr>
              <w:t>$1,877,806</w:t>
            </w:r>
          </w:p>
        </w:tc>
      </w:tr>
      <w:tr w:rsidR="00E80BCE" w:rsidRPr="00F647C7" w14:paraId="3496A2AC" w14:textId="77777777" w:rsidTr="00E61184">
        <w:trPr>
          <w:trHeight w:val="212"/>
        </w:trPr>
        <w:tc>
          <w:tcPr>
            <w:tcW w:w="2390" w:type="dxa"/>
            <w:tcBorders>
              <w:top w:val="nil"/>
              <w:bottom w:val="nil"/>
            </w:tcBorders>
          </w:tcPr>
          <w:p w14:paraId="7E01F002" w14:textId="77777777" w:rsidR="00E80BCE" w:rsidRPr="00F411CD" w:rsidRDefault="00E80BCE" w:rsidP="00E80BCE">
            <w:pPr>
              <w:pStyle w:val="Tabletextboldleft"/>
              <w:spacing w:before="20" w:after="20"/>
              <w:ind w:firstLine="317"/>
              <w:rPr>
                <w:b w:val="0"/>
              </w:rPr>
            </w:pPr>
            <w:r w:rsidRPr="00F411CD">
              <w:rPr>
                <w:b w:val="0"/>
              </w:rPr>
              <w:t>Complex</w:t>
            </w:r>
          </w:p>
        </w:tc>
        <w:tc>
          <w:tcPr>
            <w:tcW w:w="1194" w:type="dxa"/>
            <w:tcBorders>
              <w:top w:val="nil"/>
              <w:bottom w:val="nil"/>
            </w:tcBorders>
            <w:vAlign w:val="bottom"/>
          </w:tcPr>
          <w:p w14:paraId="2B617BA8" w14:textId="1BD33ADA" w:rsidR="00E80BCE" w:rsidRPr="00E80BCE" w:rsidRDefault="00E80BCE" w:rsidP="00E80BCE">
            <w:pPr>
              <w:pStyle w:val="Tabletextboldleft"/>
              <w:spacing w:before="20" w:after="20"/>
              <w:jc w:val="right"/>
              <w:rPr>
                <w:b w:val="0"/>
              </w:rPr>
            </w:pPr>
            <w:r w:rsidRPr="00E80BCE">
              <w:rPr>
                <w:b w:val="0"/>
                <w:color w:val="000000"/>
              </w:rPr>
              <w:t>$568,083</w:t>
            </w:r>
          </w:p>
        </w:tc>
        <w:tc>
          <w:tcPr>
            <w:tcW w:w="1195" w:type="dxa"/>
            <w:tcBorders>
              <w:top w:val="nil"/>
              <w:bottom w:val="nil"/>
            </w:tcBorders>
            <w:vAlign w:val="bottom"/>
          </w:tcPr>
          <w:p w14:paraId="55D1AA7B" w14:textId="49CFAAAB" w:rsidR="00E80BCE" w:rsidRPr="00E80BCE" w:rsidRDefault="00E80BCE" w:rsidP="00E80BCE">
            <w:pPr>
              <w:pStyle w:val="Tabletextboldleft"/>
              <w:spacing w:before="20" w:after="20"/>
              <w:jc w:val="right"/>
              <w:rPr>
                <w:b w:val="0"/>
              </w:rPr>
            </w:pPr>
            <w:r w:rsidRPr="00E80BCE">
              <w:rPr>
                <w:b w:val="0"/>
                <w:color w:val="000000"/>
              </w:rPr>
              <w:t>$574,291</w:t>
            </w:r>
          </w:p>
        </w:tc>
        <w:tc>
          <w:tcPr>
            <w:tcW w:w="1194" w:type="dxa"/>
            <w:tcBorders>
              <w:top w:val="nil"/>
              <w:bottom w:val="nil"/>
            </w:tcBorders>
            <w:vAlign w:val="bottom"/>
          </w:tcPr>
          <w:p w14:paraId="67861157" w14:textId="4B8A3D31" w:rsidR="00E80BCE" w:rsidRPr="00E80BCE" w:rsidRDefault="00E80BCE" w:rsidP="00E80BCE">
            <w:pPr>
              <w:pStyle w:val="Tabletextboldleft"/>
              <w:spacing w:before="20" w:after="20"/>
              <w:jc w:val="right"/>
              <w:rPr>
                <w:b w:val="0"/>
              </w:rPr>
            </w:pPr>
            <w:r w:rsidRPr="00E80BCE">
              <w:rPr>
                <w:b w:val="0"/>
                <w:color w:val="000000"/>
              </w:rPr>
              <w:t>$580,499</w:t>
            </w:r>
          </w:p>
        </w:tc>
        <w:tc>
          <w:tcPr>
            <w:tcW w:w="1195" w:type="dxa"/>
            <w:tcBorders>
              <w:top w:val="nil"/>
              <w:bottom w:val="nil"/>
            </w:tcBorders>
            <w:vAlign w:val="bottom"/>
          </w:tcPr>
          <w:p w14:paraId="1D541C96" w14:textId="509F2AE8" w:rsidR="00E80BCE" w:rsidRPr="00E80BCE" w:rsidRDefault="00E80BCE" w:rsidP="00E80BCE">
            <w:pPr>
              <w:pStyle w:val="Tabletextboldleft"/>
              <w:spacing w:before="20" w:after="20"/>
              <w:jc w:val="right"/>
              <w:rPr>
                <w:b w:val="0"/>
              </w:rPr>
            </w:pPr>
            <w:r w:rsidRPr="00E80BCE">
              <w:rPr>
                <w:b w:val="0"/>
                <w:color w:val="000000"/>
              </w:rPr>
              <w:t>$586,707</w:t>
            </w:r>
          </w:p>
        </w:tc>
        <w:tc>
          <w:tcPr>
            <w:tcW w:w="1195" w:type="dxa"/>
            <w:tcBorders>
              <w:top w:val="nil"/>
              <w:bottom w:val="nil"/>
            </w:tcBorders>
            <w:vAlign w:val="bottom"/>
          </w:tcPr>
          <w:p w14:paraId="3ED96223" w14:textId="339D81FC" w:rsidR="00E80BCE" w:rsidRPr="00E80BCE" w:rsidRDefault="00E80BCE" w:rsidP="00E80BCE">
            <w:pPr>
              <w:pStyle w:val="Tabletextboldleft"/>
              <w:spacing w:before="20" w:after="20"/>
              <w:jc w:val="right"/>
              <w:rPr>
                <w:b w:val="0"/>
              </w:rPr>
            </w:pPr>
            <w:r w:rsidRPr="00E80BCE">
              <w:rPr>
                <w:b w:val="0"/>
                <w:color w:val="000000"/>
              </w:rPr>
              <w:t>$592,915</w:t>
            </w:r>
          </w:p>
        </w:tc>
      </w:tr>
      <w:tr w:rsidR="00E80BCE" w:rsidRPr="00F647C7" w14:paraId="076B715C" w14:textId="77777777" w:rsidTr="00E61184">
        <w:trPr>
          <w:trHeight w:val="212"/>
        </w:trPr>
        <w:tc>
          <w:tcPr>
            <w:tcW w:w="2390" w:type="dxa"/>
            <w:tcBorders>
              <w:top w:val="nil"/>
            </w:tcBorders>
          </w:tcPr>
          <w:p w14:paraId="11EB5EAE" w14:textId="77777777" w:rsidR="00E80BCE" w:rsidRPr="00F411CD" w:rsidRDefault="00E80BCE" w:rsidP="00E80BCE">
            <w:pPr>
              <w:pStyle w:val="Tabletextboldleft"/>
              <w:spacing w:before="20" w:after="20"/>
              <w:ind w:firstLine="317"/>
              <w:rPr>
                <w:b w:val="0"/>
              </w:rPr>
            </w:pPr>
            <w:r w:rsidRPr="00F411CD">
              <w:rPr>
                <w:b w:val="0"/>
              </w:rPr>
              <w:t>Non-complex</w:t>
            </w:r>
          </w:p>
        </w:tc>
        <w:tc>
          <w:tcPr>
            <w:tcW w:w="1194" w:type="dxa"/>
            <w:tcBorders>
              <w:top w:val="nil"/>
            </w:tcBorders>
            <w:vAlign w:val="bottom"/>
          </w:tcPr>
          <w:p w14:paraId="0D9BE38D" w14:textId="0B52950F" w:rsidR="00E80BCE" w:rsidRPr="00E80BCE" w:rsidRDefault="00E80BCE" w:rsidP="00E80BCE">
            <w:pPr>
              <w:pStyle w:val="Tabletextboldleft"/>
              <w:spacing w:before="20" w:after="20"/>
              <w:jc w:val="right"/>
              <w:rPr>
                <w:b w:val="0"/>
              </w:rPr>
            </w:pPr>
            <w:r w:rsidRPr="00E80BCE">
              <w:rPr>
                <w:b w:val="0"/>
                <w:color w:val="000000"/>
              </w:rPr>
              <w:t>$1,231,079</w:t>
            </w:r>
          </w:p>
        </w:tc>
        <w:tc>
          <w:tcPr>
            <w:tcW w:w="1195" w:type="dxa"/>
            <w:tcBorders>
              <w:top w:val="nil"/>
            </w:tcBorders>
            <w:vAlign w:val="bottom"/>
          </w:tcPr>
          <w:p w14:paraId="30753D63" w14:textId="2D038C8C" w:rsidR="00E80BCE" w:rsidRPr="00E80BCE" w:rsidRDefault="00E80BCE" w:rsidP="00E80BCE">
            <w:pPr>
              <w:pStyle w:val="Tabletextboldleft"/>
              <w:spacing w:before="20" w:after="20"/>
              <w:jc w:val="right"/>
              <w:rPr>
                <w:b w:val="0"/>
              </w:rPr>
            </w:pPr>
            <w:r w:rsidRPr="00E80BCE">
              <w:rPr>
                <w:b w:val="0"/>
                <w:color w:val="000000"/>
              </w:rPr>
              <w:t>$1,244,533</w:t>
            </w:r>
          </w:p>
        </w:tc>
        <w:tc>
          <w:tcPr>
            <w:tcW w:w="1194" w:type="dxa"/>
            <w:tcBorders>
              <w:top w:val="nil"/>
            </w:tcBorders>
            <w:vAlign w:val="bottom"/>
          </w:tcPr>
          <w:p w14:paraId="1CC0DC67" w14:textId="66988E7D" w:rsidR="00E80BCE" w:rsidRPr="00E80BCE" w:rsidRDefault="00E80BCE" w:rsidP="00E80BCE">
            <w:pPr>
              <w:pStyle w:val="Tabletextboldleft"/>
              <w:spacing w:before="20" w:after="20"/>
              <w:jc w:val="right"/>
              <w:rPr>
                <w:b w:val="0"/>
              </w:rPr>
            </w:pPr>
            <w:r w:rsidRPr="00E80BCE">
              <w:rPr>
                <w:b w:val="0"/>
                <w:color w:val="000000"/>
              </w:rPr>
              <w:t>$1,257,985</w:t>
            </w:r>
          </w:p>
        </w:tc>
        <w:tc>
          <w:tcPr>
            <w:tcW w:w="1195" w:type="dxa"/>
            <w:tcBorders>
              <w:top w:val="nil"/>
            </w:tcBorders>
            <w:vAlign w:val="bottom"/>
          </w:tcPr>
          <w:p w14:paraId="2DD4224D" w14:textId="4B195092" w:rsidR="00E80BCE" w:rsidRPr="00E80BCE" w:rsidRDefault="00E80BCE" w:rsidP="00E80BCE">
            <w:pPr>
              <w:pStyle w:val="Tabletextboldleft"/>
              <w:spacing w:before="20" w:after="20"/>
              <w:jc w:val="right"/>
              <w:rPr>
                <w:b w:val="0"/>
              </w:rPr>
            </w:pPr>
            <w:r w:rsidRPr="00E80BCE">
              <w:rPr>
                <w:b w:val="0"/>
                <w:color w:val="000000"/>
              </w:rPr>
              <w:t>$1,271,438</w:t>
            </w:r>
          </w:p>
        </w:tc>
        <w:tc>
          <w:tcPr>
            <w:tcW w:w="1195" w:type="dxa"/>
            <w:tcBorders>
              <w:top w:val="nil"/>
            </w:tcBorders>
            <w:vAlign w:val="bottom"/>
          </w:tcPr>
          <w:p w14:paraId="3E34B75E" w14:textId="75692AA2" w:rsidR="00E80BCE" w:rsidRPr="00E80BCE" w:rsidRDefault="00E80BCE" w:rsidP="00E80BCE">
            <w:pPr>
              <w:pStyle w:val="Tabletextboldleft"/>
              <w:spacing w:before="20" w:after="20"/>
              <w:jc w:val="right"/>
              <w:rPr>
                <w:b w:val="0"/>
              </w:rPr>
            </w:pPr>
            <w:r w:rsidRPr="00E80BCE">
              <w:rPr>
                <w:b w:val="0"/>
                <w:color w:val="000000"/>
              </w:rPr>
              <w:t>$1,284,891</w:t>
            </w:r>
          </w:p>
        </w:tc>
      </w:tr>
      <w:tr w:rsidR="00E80BCE" w:rsidRPr="00F647C7" w14:paraId="0B7871A1" w14:textId="77777777" w:rsidTr="00E61184">
        <w:trPr>
          <w:trHeight w:val="212"/>
        </w:trPr>
        <w:tc>
          <w:tcPr>
            <w:tcW w:w="2390" w:type="dxa"/>
          </w:tcPr>
          <w:p w14:paraId="3FE89297" w14:textId="77777777" w:rsidR="00E80BCE" w:rsidRPr="00911865" w:rsidRDefault="00E80BCE" w:rsidP="00E80BCE">
            <w:pPr>
              <w:pStyle w:val="Tabletextboldleft"/>
              <w:spacing w:before="20" w:after="20"/>
              <w:rPr>
                <w:b w:val="0"/>
                <w:i/>
              </w:rPr>
            </w:pPr>
            <w:r w:rsidRPr="00911865">
              <w:rPr>
                <w:b w:val="0"/>
                <w:i/>
              </w:rPr>
              <w:t>Sub-total (excluding gynaecological cytology)</w:t>
            </w:r>
          </w:p>
        </w:tc>
        <w:tc>
          <w:tcPr>
            <w:tcW w:w="1194" w:type="dxa"/>
          </w:tcPr>
          <w:p w14:paraId="584C7F39" w14:textId="1654E891" w:rsidR="00E80BCE" w:rsidRPr="00C932DC" w:rsidRDefault="00E80BCE" w:rsidP="00E80BCE">
            <w:pPr>
              <w:pStyle w:val="Tabletextboldleft"/>
              <w:spacing w:before="20" w:after="20"/>
              <w:jc w:val="right"/>
              <w:rPr>
                <w:b w:val="0"/>
                <w:i/>
              </w:rPr>
            </w:pPr>
            <w:r w:rsidRPr="00C932DC">
              <w:rPr>
                <w:b w:val="0"/>
                <w:i/>
              </w:rPr>
              <w:t>$2,516,200</w:t>
            </w:r>
          </w:p>
        </w:tc>
        <w:tc>
          <w:tcPr>
            <w:tcW w:w="1195" w:type="dxa"/>
          </w:tcPr>
          <w:p w14:paraId="09B99BC8" w14:textId="668F5D29" w:rsidR="00E80BCE" w:rsidRPr="00C932DC" w:rsidRDefault="00E80BCE" w:rsidP="00E80BCE">
            <w:pPr>
              <w:pStyle w:val="Tabletextboldleft"/>
              <w:spacing w:before="20" w:after="20"/>
              <w:jc w:val="right"/>
              <w:rPr>
                <w:b w:val="0"/>
                <w:i/>
              </w:rPr>
            </w:pPr>
            <w:r w:rsidRPr="00C932DC">
              <w:rPr>
                <w:b w:val="0"/>
                <w:i/>
              </w:rPr>
              <w:t>$2,605,734</w:t>
            </w:r>
          </w:p>
        </w:tc>
        <w:tc>
          <w:tcPr>
            <w:tcW w:w="1194" w:type="dxa"/>
          </w:tcPr>
          <w:p w14:paraId="3099F49D" w14:textId="0715A547" w:rsidR="00E80BCE" w:rsidRPr="00C932DC" w:rsidRDefault="00E80BCE" w:rsidP="00E80BCE">
            <w:pPr>
              <w:pStyle w:val="Tabletextboldleft"/>
              <w:spacing w:before="20" w:after="20"/>
              <w:jc w:val="right"/>
              <w:rPr>
                <w:b w:val="0"/>
                <w:i/>
              </w:rPr>
            </w:pPr>
            <w:r w:rsidRPr="00C932DC">
              <w:rPr>
                <w:b w:val="0"/>
                <w:i/>
              </w:rPr>
              <w:t>$2,695,270</w:t>
            </w:r>
          </w:p>
        </w:tc>
        <w:tc>
          <w:tcPr>
            <w:tcW w:w="1195" w:type="dxa"/>
          </w:tcPr>
          <w:p w14:paraId="1D4A0447" w14:textId="113F7A3D" w:rsidR="00E80BCE" w:rsidRPr="00C932DC" w:rsidRDefault="00E80BCE" w:rsidP="00E80BCE">
            <w:pPr>
              <w:pStyle w:val="Tabletextboldleft"/>
              <w:spacing w:before="20" w:after="20"/>
              <w:jc w:val="right"/>
              <w:rPr>
                <w:b w:val="0"/>
                <w:i/>
              </w:rPr>
            </w:pPr>
            <w:r w:rsidRPr="00C932DC">
              <w:rPr>
                <w:b w:val="0"/>
                <w:i/>
              </w:rPr>
              <w:t>$2,784,806</w:t>
            </w:r>
          </w:p>
        </w:tc>
        <w:tc>
          <w:tcPr>
            <w:tcW w:w="1195" w:type="dxa"/>
          </w:tcPr>
          <w:p w14:paraId="3B92D815" w14:textId="1F9C103B" w:rsidR="00E80BCE" w:rsidRPr="00C932DC" w:rsidRDefault="00E80BCE" w:rsidP="00E80BCE">
            <w:pPr>
              <w:pStyle w:val="Tabletextboldleft"/>
              <w:spacing w:before="20" w:after="20"/>
              <w:jc w:val="right"/>
              <w:rPr>
                <w:b w:val="0"/>
                <w:i/>
              </w:rPr>
            </w:pPr>
            <w:r w:rsidRPr="00C932DC">
              <w:rPr>
                <w:b w:val="0"/>
                <w:i/>
              </w:rPr>
              <w:t>$2,874,342</w:t>
            </w:r>
          </w:p>
        </w:tc>
      </w:tr>
      <w:tr w:rsidR="00E80BCE" w:rsidRPr="00F647C7" w14:paraId="0CE95240" w14:textId="77777777" w:rsidTr="00E61184">
        <w:trPr>
          <w:trHeight w:val="212"/>
        </w:trPr>
        <w:tc>
          <w:tcPr>
            <w:tcW w:w="2390" w:type="dxa"/>
          </w:tcPr>
          <w:p w14:paraId="26ABD25B" w14:textId="77777777" w:rsidR="00E80BCE" w:rsidRPr="00911865" w:rsidRDefault="00E80BCE" w:rsidP="00E80BCE">
            <w:pPr>
              <w:pStyle w:val="Tabletextboldleft"/>
              <w:spacing w:before="20" w:after="20"/>
              <w:rPr>
                <w:b w:val="0"/>
                <w:i/>
              </w:rPr>
            </w:pPr>
            <w:r w:rsidRPr="00911865">
              <w:rPr>
                <w:b w:val="0"/>
                <w:i/>
              </w:rPr>
              <w:t>Sub-total (including all cytology)</w:t>
            </w:r>
          </w:p>
        </w:tc>
        <w:tc>
          <w:tcPr>
            <w:tcW w:w="1194" w:type="dxa"/>
          </w:tcPr>
          <w:p w14:paraId="28B1AE9F" w14:textId="21A3029B" w:rsidR="00E80BCE" w:rsidRPr="00C932DC" w:rsidRDefault="00E80BCE" w:rsidP="00E80BCE">
            <w:pPr>
              <w:pStyle w:val="Tabletextboldleft"/>
              <w:spacing w:before="20" w:after="20"/>
              <w:jc w:val="right"/>
              <w:rPr>
                <w:b w:val="0"/>
                <w:i/>
              </w:rPr>
            </w:pPr>
            <w:r w:rsidRPr="00C932DC">
              <w:rPr>
                <w:b w:val="0"/>
                <w:i/>
              </w:rPr>
              <w:t>$4,089,188</w:t>
            </w:r>
          </w:p>
        </w:tc>
        <w:tc>
          <w:tcPr>
            <w:tcW w:w="1195" w:type="dxa"/>
          </w:tcPr>
          <w:p w14:paraId="4384E121" w14:textId="0FC4EEB0" w:rsidR="00E80BCE" w:rsidRPr="00C932DC" w:rsidRDefault="00E80BCE" w:rsidP="00E80BCE">
            <w:pPr>
              <w:pStyle w:val="Tabletextboldleft"/>
              <w:spacing w:before="20" w:after="20"/>
              <w:jc w:val="right"/>
              <w:rPr>
                <w:b w:val="0"/>
                <w:i/>
              </w:rPr>
            </w:pPr>
            <w:r w:rsidRPr="00C932DC">
              <w:rPr>
                <w:b w:val="0"/>
                <w:i/>
              </w:rPr>
              <w:t>$4,191,822</w:t>
            </w:r>
          </w:p>
        </w:tc>
        <w:tc>
          <w:tcPr>
            <w:tcW w:w="1194" w:type="dxa"/>
          </w:tcPr>
          <w:p w14:paraId="5BBD80E2" w14:textId="1FF09117" w:rsidR="00E80BCE" w:rsidRPr="00C932DC" w:rsidRDefault="00E80BCE" w:rsidP="00E80BCE">
            <w:pPr>
              <w:pStyle w:val="Tabletextboldleft"/>
              <w:spacing w:before="20" w:after="20"/>
              <w:jc w:val="right"/>
              <w:rPr>
                <w:b w:val="0"/>
                <w:i/>
              </w:rPr>
            </w:pPr>
            <w:r w:rsidRPr="00C932DC">
              <w:rPr>
                <w:b w:val="0"/>
                <w:i/>
              </w:rPr>
              <w:t>$4,294,457</w:t>
            </w:r>
          </w:p>
        </w:tc>
        <w:tc>
          <w:tcPr>
            <w:tcW w:w="1195" w:type="dxa"/>
          </w:tcPr>
          <w:p w14:paraId="10064C66" w14:textId="376AD987" w:rsidR="00E80BCE" w:rsidRPr="00C932DC" w:rsidRDefault="00E80BCE" w:rsidP="00E80BCE">
            <w:pPr>
              <w:pStyle w:val="Tabletextboldleft"/>
              <w:spacing w:before="20" w:after="20"/>
              <w:jc w:val="right"/>
              <w:rPr>
                <w:b w:val="0"/>
                <w:i/>
              </w:rPr>
            </w:pPr>
            <w:r w:rsidRPr="00C932DC">
              <w:rPr>
                <w:b w:val="0"/>
                <w:i/>
              </w:rPr>
              <w:t>$4,397,092</w:t>
            </w:r>
          </w:p>
        </w:tc>
        <w:tc>
          <w:tcPr>
            <w:tcW w:w="1195" w:type="dxa"/>
          </w:tcPr>
          <w:p w14:paraId="5CADA6EA" w14:textId="2C4CC8E0" w:rsidR="00E80BCE" w:rsidRPr="00C932DC" w:rsidRDefault="00E80BCE" w:rsidP="00E80BCE">
            <w:pPr>
              <w:pStyle w:val="Tabletextboldleft"/>
              <w:spacing w:before="20" w:after="20"/>
              <w:jc w:val="right"/>
              <w:rPr>
                <w:b w:val="0"/>
                <w:i/>
              </w:rPr>
            </w:pPr>
            <w:r w:rsidRPr="00C932DC">
              <w:rPr>
                <w:b w:val="0"/>
                <w:i/>
              </w:rPr>
              <w:t>$4,499,728</w:t>
            </w:r>
          </w:p>
        </w:tc>
      </w:tr>
      <w:tr w:rsidR="00E80BCE" w:rsidRPr="00F647C7" w14:paraId="2223EA5D" w14:textId="77777777" w:rsidTr="00E61184">
        <w:trPr>
          <w:trHeight w:val="212"/>
        </w:trPr>
        <w:tc>
          <w:tcPr>
            <w:tcW w:w="2390" w:type="dxa"/>
            <w:shd w:val="clear" w:color="auto" w:fill="D0CECE" w:themeFill="background2" w:themeFillShade="E6"/>
          </w:tcPr>
          <w:p w14:paraId="6E0522A9" w14:textId="77777777" w:rsidR="00E80BCE" w:rsidRDefault="00E80BCE" w:rsidP="00E80BCE">
            <w:pPr>
              <w:pStyle w:val="Tabletextboldleft"/>
              <w:spacing w:before="20" w:after="20"/>
            </w:pPr>
            <w:r w:rsidRPr="00F411CD">
              <w:t xml:space="preserve">TOTAL </w:t>
            </w:r>
          </w:p>
          <w:p w14:paraId="560F9D30" w14:textId="77777777" w:rsidR="00E80BCE" w:rsidRPr="009D63D8" w:rsidRDefault="00E80BCE" w:rsidP="00E80BCE">
            <w:pPr>
              <w:pStyle w:val="Tabletextboldleft"/>
              <w:spacing w:before="20" w:after="20"/>
              <w:rPr>
                <w:b w:val="0"/>
              </w:rPr>
            </w:pPr>
            <w:r w:rsidRPr="009D63D8">
              <w:rPr>
                <w:b w:val="0"/>
              </w:rPr>
              <w:t>(</w:t>
            </w:r>
            <w:r w:rsidRPr="009D63D8">
              <w:rPr>
                <w:b w:val="0"/>
                <w:i/>
              </w:rPr>
              <w:t>S1</w:t>
            </w:r>
            <w:r w:rsidRPr="009D63D8">
              <w:rPr>
                <w:b w:val="0"/>
              </w:rPr>
              <w:t xml:space="preserve"> and S</w:t>
            </w:r>
            <w:r w:rsidRPr="009D63D8">
              <w:rPr>
                <w:b w:val="0"/>
                <w:i/>
              </w:rPr>
              <w:t>2</w:t>
            </w:r>
            <w:r w:rsidRPr="009D63D8">
              <w:rPr>
                <w:b w:val="0"/>
              </w:rPr>
              <w:t xml:space="preserve"> – excluding gynaecological cytology)</w:t>
            </w:r>
          </w:p>
        </w:tc>
        <w:tc>
          <w:tcPr>
            <w:tcW w:w="1194" w:type="dxa"/>
            <w:shd w:val="clear" w:color="auto" w:fill="D0CECE" w:themeFill="background2" w:themeFillShade="E6"/>
          </w:tcPr>
          <w:p w14:paraId="300E1494" w14:textId="7F89165E" w:rsidR="00E80BCE" w:rsidRPr="00E80BCE" w:rsidRDefault="00E80BCE" w:rsidP="00E80BCE">
            <w:pPr>
              <w:pStyle w:val="Tabletextboldleft"/>
              <w:spacing w:before="20" w:after="20"/>
              <w:jc w:val="right"/>
            </w:pPr>
            <w:r w:rsidRPr="00E80BCE">
              <w:t>$10,761,368</w:t>
            </w:r>
          </w:p>
        </w:tc>
        <w:tc>
          <w:tcPr>
            <w:tcW w:w="1195" w:type="dxa"/>
            <w:shd w:val="clear" w:color="auto" w:fill="D0CECE" w:themeFill="background2" w:themeFillShade="E6"/>
          </w:tcPr>
          <w:p w14:paraId="273838F3" w14:textId="3B68EE9E" w:rsidR="00E80BCE" w:rsidRPr="00E80BCE" w:rsidRDefault="00E80BCE" w:rsidP="00E80BCE">
            <w:pPr>
              <w:pStyle w:val="Tabletextboldleft"/>
              <w:spacing w:before="20" w:after="20"/>
              <w:jc w:val="right"/>
            </w:pPr>
            <w:r w:rsidRPr="00E80BCE">
              <w:t>$11,147,239</w:t>
            </w:r>
          </w:p>
        </w:tc>
        <w:tc>
          <w:tcPr>
            <w:tcW w:w="1194" w:type="dxa"/>
            <w:shd w:val="clear" w:color="auto" w:fill="D0CECE" w:themeFill="background2" w:themeFillShade="E6"/>
          </w:tcPr>
          <w:p w14:paraId="32ED8B2F" w14:textId="11C3073E" w:rsidR="00E80BCE" w:rsidRPr="00E80BCE" w:rsidRDefault="00E80BCE" w:rsidP="00E80BCE">
            <w:pPr>
              <w:pStyle w:val="Tabletextboldleft"/>
              <w:spacing w:before="20" w:after="20"/>
              <w:jc w:val="right"/>
            </w:pPr>
            <w:r w:rsidRPr="00E80BCE">
              <w:t>$11,533,117</w:t>
            </w:r>
          </w:p>
        </w:tc>
        <w:tc>
          <w:tcPr>
            <w:tcW w:w="1195" w:type="dxa"/>
            <w:shd w:val="clear" w:color="auto" w:fill="D0CECE" w:themeFill="background2" w:themeFillShade="E6"/>
          </w:tcPr>
          <w:p w14:paraId="5E0159CC" w14:textId="5CDE789C" w:rsidR="00E80BCE" w:rsidRPr="00E80BCE" w:rsidRDefault="00E80BCE" w:rsidP="00E80BCE">
            <w:pPr>
              <w:pStyle w:val="Tabletextboldleft"/>
              <w:spacing w:before="20" w:after="20"/>
              <w:jc w:val="right"/>
            </w:pPr>
            <w:r w:rsidRPr="00E80BCE">
              <w:t>$11,918,998</w:t>
            </w:r>
          </w:p>
        </w:tc>
        <w:tc>
          <w:tcPr>
            <w:tcW w:w="1195" w:type="dxa"/>
            <w:shd w:val="clear" w:color="auto" w:fill="D0CECE" w:themeFill="background2" w:themeFillShade="E6"/>
          </w:tcPr>
          <w:p w14:paraId="74DECB23" w14:textId="0C9C4C91" w:rsidR="00E80BCE" w:rsidRPr="00E80BCE" w:rsidRDefault="00E80BCE" w:rsidP="00E80BCE">
            <w:pPr>
              <w:pStyle w:val="Tabletextboldleft"/>
              <w:spacing w:before="20" w:after="20"/>
              <w:jc w:val="right"/>
            </w:pPr>
            <w:r w:rsidRPr="00E80BCE">
              <w:t>$12,304,875</w:t>
            </w:r>
          </w:p>
        </w:tc>
      </w:tr>
      <w:tr w:rsidR="00E80BCE" w:rsidRPr="00F647C7" w14:paraId="2E4E37B9" w14:textId="77777777" w:rsidTr="00E61184">
        <w:trPr>
          <w:trHeight w:val="212"/>
        </w:trPr>
        <w:tc>
          <w:tcPr>
            <w:tcW w:w="2390" w:type="dxa"/>
            <w:shd w:val="clear" w:color="auto" w:fill="D0CECE" w:themeFill="background2" w:themeFillShade="E6"/>
          </w:tcPr>
          <w:p w14:paraId="56E2B3F2" w14:textId="77777777" w:rsidR="00E80BCE" w:rsidRDefault="00E80BCE" w:rsidP="00E80BCE">
            <w:pPr>
              <w:pStyle w:val="Tabletextboldleft"/>
              <w:spacing w:before="20" w:after="20"/>
            </w:pPr>
            <w:r w:rsidRPr="00F411CD">
              <w:t xml:space="preserve">TOTAL </w:t>
            </w:r>
          </w:p>
          <w:p w14:paraId="521E33AA" w14:textId="77777777" w:rsidR="00E80BCE" w:rsidRPr="009D63D8" w:rsidRDefault="00E80BCE" w:rsidP="00E80BCE">
            <w:pPr>
              <w:pStyle w:val="Tabletextboldleft"/>
              <w:spacing w:before="20" w:after="20"/>
              <w:rPr>
                <w:b w:val="0"/>
              </w:rPr>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1194" w:type="dxa"/>
            <w:shd w:val="clear" w:color="auto" w:fill="D0CECE" w:themeFill="background2" w:themeFillShade="E6"/>
          </w:tcPr>
          <w:p w14:paraId="6BB0D80C" w14:textId="106EDAD8" w:rsidR="00E80BCE" w:rsidRPr="00E80BCE" w:rsidRDefault="00E80BCE" w:rsidP="00E80BCE">
            <w:pPr>
              <w:pStyle w:val="Tabletextboldleft"/>
              <w:spacing w:before="20" w:after="20"/>
              <w:jc w:val="right"/>
            </w:pPr>
            <w:r w:rsidRPr="00E80BCE">
              <w:t>$14,650,156</w:t>
            </w:r>
          </w:p>
        </w:tc>
        <w:tc>
          <w:tcPr>
            <w:tcW w:w="1195" w:type="dxa"/>
            <w:shd w:val="clear" w:color="auto" w:fill="D0CECE" w:themeFill="background2" w:themeFillShade="E6"/>
          </w:tcPr>
          <w:p w14:paraId="7A5D35A6" w14:textId="11A68ED8" w:rsidR="00E80BCE" w:rsidRPr="00E80BCE" w:rsidRDefault="00E80BCE" w:rsidP="00E80BCE">
            <w:pPr>
              <w:pStyle w:val="Tabletextboldleft"/>
              <w:spacing w:before="20" w:after="20"/>
              <w:jc w:val="right"/>
            </w:pPr>
            <w:r w:rsidRPr="00E80BCE">
              <w:t>$15,068,413</w:t>
            </w:r>
          </w:p>
        </w:tc>
        <w:tc>
          <w:tcPr>
            <w:tcW w:w="1194" w:type="dxa"/>
            <w:shd w:val="clear" w:color="auto" w:fill="D0CECE" w:themeFill="background2" w:themeFillShade="E6"/>
          </w:tcPr>
          <w:p w14:paraId="64E013B8" w14:textId="714FADF6" w:rsidR="00E80BCE" w:rsidRPr="00E80BCE" w:rsidRDefault="00E80BCE" w:rsidP="00E80BCE">
            <w:pPr>
              <w:pStyle w:val="Tabletextboldleft"/>
              <w:spacing w:before="20" w:after="20"/>
              <w:jc w:val="right"/>
            </w:pPr>
            <w:r w:rsidRPr="00E80BCE">
              <w:t>$15,486,675</w:t>
            </w:r>
          </w:p>
        </w:tc>
        <w:tc>
          <w:tcPr>
            <w:tcW w:w="1195" w:type="dxa"/>
            <w:shd w:val="clear" w:color="auto" w:fill="D0CECE" w:themeFill="background2" w:themeFillShade="E6"/>
          </w:tcPr>
          <w:p w14:paraId="036161C6" w14:textId="3D92B09A" w:rsidR="00E80BCE" w:rsidRPr="00E80BCE" w:rsidRDefault="00E80BCE" w:rsidP="00E80BCE">
            <w:pPr>
              <w:pStyle w:val="Tabletextboldleft"/>
              <w:spacing w:before="20" w:after="20"/>
              <w:jc w:val="right"/>
            </w:pPr>
            <w:r w:rsidRPr="00E80BCE">
              <w:t>$15,904,938</w:t>
            </w:r>
          </w:p>
        </w:tc>
        <w:tc>
          <w:tcPr>
            <w:tcW w:w="1195" w:type="dxa"/>
            <w:shd w:val="clear" w:color="auto" w:fill="D0CECE" w:themeFill="background2" w:themeFillShade="E6"/>
          </w:tcPr>
          <w:p w14:paraId="49F099EF" w14:textId="3E2F3476" w:rsidR="00E80BCE" w:rsidRPr="00E80BCE" w:rsidRDefault="00E80BCE" w:rsidP="00E80BCE">
            <w:pPr>
              <w:pStyle w:val="Tabletextboldleft"/>
              <w:spacing w:before="20" w:after="20"/>
              <w:jc w:val="right"/>
            </w:pPr>
            <w:r w:rsidRPr="00E80BCE">
              <w:t>$16,323,201</w:t>
            </w:r>
          </w:p>
        </w:tc>
      </w:tr>
    </w:tbl>
    <w:p w14:paraId="09BC7C24"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&lt;MBS costs (SO items)&gt;</w:t>
      </w:r>
    </w:p>
    <w:p w14:paraId="1EF332F1" w14:textId="77777777" w:rsidR="00B51828" w:rsidRPr="001D2CEB" w:rsidRDefault="00B51828" w:rsidP="002101D2">
      <w:pPr>
        <w:spacing w:before="20"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72F6146D" w14:textId="77777777" w:rsidR="00B51828" w:rsidRDefault="00B51828" w:rsidP="002101D2">
      <w:pPr>
        <w:ind w:left="0" w:firstLine="720"/>
      </w:pPr>
      <w:r w:rsidRPr="00DB0F9B">
        <w:rPr>
          <w:rFonts w:ascii="Arial Narrow" w:hAnsi="Arial Narrow"/>
          <w:sz w:val="18"/>
          <w:szCs w:val="18"/>
          <w:vertAlign w:val="superscript"/>
        </w:rPr>
        <w:t>a</w:t>
      </w:r>
      <w:r>
        <w:rPr>
          <w:rFonts w:ascii="Arial Narrow" w:hAnsi="Arial Narrow"/>
          <w:sz w:val="18"/>
          <w:szCs w:val="18"/>
        </w:rPr>
        <w:t xml:space="preserve"> Includes bone marrow items</w:t>
      </w:r>
    </w:p>
    <w:p w14:paraId="657A815F" w14:textId="77777777" w:rsidR="00B51828" w:rsidRDefault="00B51828">
      <w:pPr>
        <w:spacing w:after="160" w:line="259" w:lineRule="auto"/>
        <w:ind w:left="0"/>
        <w:rPr>
          <w:rFonts w:ascii="Arial Narrow" w:eastAsiaTheme="majorEastAsia" w:hAnsi="Arial Narrow" w:cstheme="majorBidi"/>
          <w:b/>
          <w:sz w:val="18"/>
          <w:szCs w:val="18"/>
        </w:rPr>
      </w:pPr>
      <w:bookmarkStart w:id="276" w:name="_Toc395296034"/>
      <w:bookmarkStart w:id="277" w:name="_Toc395355755"/>
      <w:bookmarkEnd w:id="276"/>
      <w:bookmarkEnd w:id="277"/>
      <w:r>
        <w:rPr>
          <w:rFonts w:ascii="Arial Narrow" w:hAnsi="Arial Narrow"/>
          <w:sz w:val="18"/>
          <w:szCs w:val="18"/>
        </w:rPr>
        <w:br w:type="page"/>
      </w:r>
    </w:p>
    <w:p w14:paraId="27C20962" w14:textId="77777777" w:rsidR="00B51828" w:rsidRDefault="00B51828" w:rsidP="00B51828">
      <w:pPr>
        <w:pStyle w:val="Heading2"/>
        <w:numPr>
          <w:ilvl w:val="1"/>
          <w:numId w:val="1"/>
        </w:numPr>
      </w:pPr>
      <w:bookmarkStart w:id="278" w:name="_Toc395296231"/>
      <w:bookmarkStart w:id="279" w:name="_Toc395355952"/>
      <w:bookmarkStart w:id="280" w:name="_Toc395375239"/>
      <w:bookmarkStart w:id="281" w:name="_Toc395389854"/>
      <w:bookmarkStart w:id="282" w:name="_Toc395296232"/>
      <w:bookmarkStart w:id="283" w:name="_Toc395355953"/>
      <w:bookmarkStart w:id="284" w:name="_Toc395375240"/>
      <w:bookmarkStart w:id="285" w:name="_Toc395389855"/>
      <w:bookmarkStart w:id="286" w:name="_Ref394675288"/>
      <w:bookmarkStart w:id="287" w:name="_Toc396211713"/>
      <w:bookmarkEnd w:id="278"/>
      <w:bookmarkEnd w:id="279"/>
      <w:bookmarkEnd w:id="280"/>
      <w:bookmarkEnd w:id="281"/>
      <w:bookmarkEnd w:id="282"/>
      <w:bookmarkEnd w:id="283"/>
      <w:bookmarkEnd w:id="284"/>
      <w:bookmarkEnd w:id="285"/>
      <w:r>
        <w:lastRenderedPageBreak/>
        <w:t>Estimation of changes in use and cost of other services</w:t>
      </w:r>
      <w:bookmarkEnd w:id="286"/>
      <w:bookmarkEnd w:id="287"/>
    </w:p>
    <w:p w14:paraId="59EEAF58" w14:textId="77777777" w:rsidR="00B51828" w:rsidRDefault="00B51828" w:rsidP="00B51828">
      <w:pPr>
        <w:pStyle w:val="Heading3"/>
        <w:numPr>
          <w:ilvl w:val="2"/>
          <w:numId w:val="1"/>
        </w:numPr>
      </w:pPr>
      <w:r>
        <w:t>MBS items associated with the proposed service</w:t>
      </w:r>
    </w:p>
    <w:p w14:paraId="34C9AC65" w14:textId="77777777" w:rsidR="00B51828" w:rsidRPr="00226B01" w:rsidRDefault="00B51828" w:rsidP="002101D2">
      <w:r>
        <w:t xml:space="preserve">As discussed in Section </w:t>
      </w:r>
      <w:r>
        <w:fldChar w:fldCharType="begin"/>
      </w:r>
      <w:r>
        <w:instrText xml:space="preserve"> REF _Ref394923111 \w \h </w:instrText>
      </w:r>
      <w:r>
        <w:fldChar w:fldCharType="separate"/>
      </w:r>
      <w:r w:rsidR="0044620B">
        <w:t>E.1.2</w:t>
      </w:r>
      <w:r>
        <w:fldChar w:fldCharType="end"/>
      </w:r>
      <w:r>
        <w:t xml:space="preserve">, the financial analysis considers changes in use of ancillary tests (MBS items 72844-72852; 73059-73061; and 73064-73065), the specimen referred fee (MBS item 73940) and the bulk billing incentive (MBS item 74996) that are anticipated if second, expert opinions are funded through the MBS. </w:t>
      </w:r>
      <w:r>
        <w:fldChar w:fldCharType="begin"/>
      </w:r>
      <w:r>
        <w:instrText xml:space="preserve"> REF _Ref394923969 \h </w:instrText>
      </w:r>
      <w:r>
        <w:fldChar w:fldCharType="separate"/>
      </w:r>
      <w:r w:rsidR="0044620B">
        <w:t xml:space="preserve">Table </w:t>
      </w:r>
      <w:r w:rsidR="0044620B">
        <w:rPr>
          <w:noProof/>
        </w:rPr>
        <w:t>E.3</w:t>
      </w:r>
      <w:r w:rsidR="0044620B">
        <w:noBreakHyphen/>
      </w:r>
      <w:r w:rsidR="0044620B">
        <w:rPr>
          <w:noProof/>
        </w:rPr>
        <w:t>1</w:t>
      </w:r>
      <w:r>
        <w:fldChar w:fldCharType="end"/>
      </w:r>
      <w:r>
        <w:t xml:space="preserve"> shows the estimated number of services under the proposed funding arrangements and </w:t>
      </w:r>
      <w:r>
        <w:fldChar w:fldCharType="begin"/>
      </w:r>
      <w:r>
        <w:instrText xml:space="preserve"> REF _Ref394924720 \h </w:instrText>
      </w:r>
      <w:r>
        <w:fldChar w:fldCharType="separate"/>
      </w:r>
      <w:r w:rsidR="0044620B">
        <w:t xml:space="preserve">Table </w:t>
      </w:r>
      <w:r w:rsidR="0044620B">
        <w:rPr>
          <w:noProof/>
        </w:rPr>
        <w:t>E.3</w:t>
      </w:r>
      <w:r w:rsidR="0044620B">
        <w:noBreakHyphen/>
      </w:r>
      <w:r w:rsidR="0044620B">
        <w:rPr>
          <w:noProof/>
        </w:rPr>
        <w:t>2</w:t>
      </w:r>
      <w:r>
        <w:fldChar w:fldCharType="end"/>
      </w:r>
      <w:r>
        <w:t xml:space="preserve"> shows the corresponding information under the current funding arrangements.</w:t>
      </w:r>
    </w:p>
    <w:p w14:paraId="37E767F9" w14:textId="77777777" w:rsidR="00B51828" w:rsidRDefault="00B51828" w:rsidP="002101D2">
      <w:pPr>
        <w:pStyle w:val="Caption"/>
      </w:pPr>
      <w:bookmarkStart w:id="288" w:name="_Ref394923969"/>
      <w:bookmarkStart w:id="289" w:name="_Toc396211780"/>
      <w:r>
        <w:t xml:space="preserve">Table </w:t>
      </w:r>
      <w:fldSimple w:instr=" STYLEREF 2 \s ">
        <w:r w:rsidR="0044620B">
          <w:rPr>
            <w:noProof/>
          </w:rPr>
          <w:t>E.3</w:t>
        </w:r>
      </w:fldSimple>
      <w:r>
        <w:noBreakHyphen/>
      </w:r>
      <w:fldSimple w:instr=" SEQ Table \* ARABIC \s 2 ">
        <w:r w:rsidR="0044620B">
          <w:rPr>
            <w:noProof/>
          </w:rPr>
          <w:t>1</w:t>
        </w:r>
      </w:fldSimple>
      <w:bookmarkEnd w:id="288"/>
      <w:r>
        <w:tab/>
      </w:r>
      <w:r w:rsidRPr="00BC2B1A">
        <w:t xml:space="preserve">Estimated number of services for other </w:t>
      </w:r>
      <w:r>
        <w:t xml:space="preserve">associated </w:t>
      </w:r>
      <w:r w:rsidRPr="00BC2B1A">
        <w:t>MBS items, over the first five years of the proposed MBS listing – Proposed funding arrangements</w:t>
      </w:r>
      <w:bookmarkEnd w:id="289"/>
    </w:p>
    <w:tbl>
      <w:tblPr>
        <w:tblStyle w:val="TableGrid"/>
        <w:tblW w:w="8363" w:type="dxa"/>
        <w:tblInd w:w="704" w:type="dxa"/>
        <w:tblLayout w:type="fixed"/>
        <w:tblLook w:val="04A0" w:firstRow="1" w:lastRow="0" w:firstColumn="1" w:lastColumn="0" w:noHBand="0" w:noVBand="1"/>
        <w:tblCaption w:val="Estimated number of services for other associated MBS items, over the first five years of the proposed MBS listing – Proposed funding arrangements"/>
        <w:tblDescription w:val="The number of services for other MBS items including ancillary tests, specimen referred fee and the bulk billing incentive under proposed funding arrangements"/>
      </w:tblPr>
      <w:tblGrid>
        <w:gridCol w:w="3544"/>
        <w:gridCol w:w="963"/>
        <w:gridCol w:w="964"/>
        <w:gridCol w:w="964"/>
        <w:gridCol w:w="964"/>
        <w:gridCol w:w="964"/>
      </w:tblGrid>
      <w:tr w:rsidR="00B51828" w14:paraId="7FF062BB" w14:textId="77777777" w:rsidTr="00E61184">
        <w:trPr>
          <w:trHeight w:val="212"/>
          <w:tblHeader/>
        </w:trPr>
        <w:tc>
          <w:tcPr>
            <w:tcW w:w="3544" w:type="dxa"/>
          </w:tcPr>
          <w:p w14:paraId="438C87A9" w14:textId="77777777" w:rsidR="00B51828" w:rsidRDefault="00B51828" w:rsidP="002101D2">
            <w:pPr>
              <w:pStyle w:val="Tabletextboldleft"/>
              <w:spacing w:before="20" w:after="20"/>
            </w:pPr>
          </w:p>
        </w:tc>
        <w:tc>
          <w:tcPr>
            <w:tcW w:w="963" w:type="dxa"/>
          </w:tcPr>
          <w:p w14:paraId="013D2DD3" w14:textId="77777777" w:rsidR="00B51828" w:rsidRDefault="00B51828" w:rsidP="002101D2">
            <w:pPr>
              <w:pStyle w:val="Tabletextboldleft"/>
              <w:spacing w:before="20" w:after="20"/>
              <w:jc w:val="right"/>
            </w:pPr>
            <w:r>
              <w:t>Year 1</w:t>
            </w:r>
          </w:p>
          <w:p w14:paraId="23139972" w14:textId="77777777" w:rsidR="00B51828" w:rsidRDefault="00B51828" w:rsidP="002101D2">
            <w:pPr>
              <w:pStyle w:val="Tabletextboldleft"/>
              <w:spacing w:before="20" w:after="20"/>
              <w:jc w:val="right"/>
            </w:pPr>
            <w:r>
              <w:t>(2015-16)</w:t>
            </w:r>
          </w:p>
        </w:tc>
        <w:tc>
          <w:tcPr>
            <w:tcW w:w="964" w:type="dxa"/>
          </w:tcPr>
          <w:p w14:paraId="41F2812F" w14:textId="77777777" w:rsidR="00B51828" w:rsidRDefault="00B51828" w:rsidP="002101D2">
            <w:pPr>
              <w:pStyle w:val="Tabletextboldleft"/>
              <w:spacing w:before="20" w:after="20"/>
              <w:jc w:val="right"/>
            </w:pPr>
            <w:r>
              <w:t>Year 2</w:t>
            </w:r>
          </w:p>
          <w:p w14:paraId="0F52B418" w14:textId="77777777" w:rsidR="00B51828" w:rsidRDefault="00B51828" w:rsidP="002101D2">
            <w:pPr>
              <w:pStyle w:val="Tabletextboldleft"/>
              <w:spacing w:before="20" w:after="20"/>
              <w:jc w:val="right"/>
            </w:pPr>
            <w:r>
              <w:t>(2016-17)</w:t>
            </w:r>
          </w:p>
        </w:tc>
        <w:tc>
          <w:tcPr>
            <w:tcW w:w="964" w:type="dxa"/>
          </w:tcPr>
          <w:p w14:paraId="72D3A793" w14:textId="77777777" w:rsidR="00B51828" w:rsidRDefault="00B51828" w:rsidP="002101D2">
            <w:pPr>
              <w:pStyle w:val="Tabletextboldleft"/>
              <w:spacing w:before="20" w:after="20"/>
              <w:jc w:val="right"/>
            </w:pPr>
            <w:r>
              <w:t>Year 3</w:t>
            </w:r>
          </w:p>
          <w:p w14:paraId="3CD0AEB5" w14:textId="77777777" w:rsidR="00B51828" w:rsidRDefault="00B51828" w:rsidP="002101D2">
            <w:pPr>
              <w:pStyle w:val="Tabletextboldleft"/>
              <w:spacing w:before="20" w:after="20"/>
              <w:jc w:val="right"/>
            </w:pPr>
            <w:r>
              <w:t>(2017-18)</w:t>
            </w:r>
          </w:p>
        </w:tc>
        <w:tc>
          <w:tcPr>
            <w:tcW w:w="964" w:type="dxa"/>
          </w:tcPr>
          <w:p w14:paraId="2CCB3CC8" w14:textId="77777777" w:rsidR="00B51828" w:rsidRDefault="00B51828" w:rsidP="002101D2">
            <w:pPr>
              <w:pStyle w:val="Tabletextboldleft"/>
              <w:spacing w:before="20" w:after="20"/>
              <w:jc w:val="right"/>
            </w:pPr>
            <w:r>
              <w:t>Year 4</w:t>
            </w:r>
          </w:p>
          <w:p w14:paraId="0BE79522" w14:textId="77777777" w:rsidR="00B51828" w:rsidRDefault="00B51828" w:rsidP="002101D2">
            <w:pPr>
              <w:pStyle w:val="Tabletextboldleft"/>
              <w:spacing w:before="20" w:after="20"/>
              <w:jc w:val="right"/>
            </w:pPr>
            <w:r>
              <w:t>(2018-19)</w:t>
            </w:r>
          </w:p>
        </w:tc>
        <w:tc>
          <w:tcPr>
            <w:tcW w:w="964" w:type="dxa"/>
          </w:tcPr>
          <w:p w14:paraId="4E50EFF9" w14:textId="77777777" w:rsidR="00B51828" w:rsidRDefault="00B51828" w:rsidP="002101D2">
            <w:pPr>
              <w:pStyle w:val="Tabletextboldleft"/>
              <w:spacing w:before="20" w:after="20"/>
              <w:jc w:val="right"/>
            </w:pPr>
            <w:r>
              <w:t>Year 5</w:t>
            </w:r>
          </w:p>
          <w:p w14:paraId="12130D42" w14:textId="77777777" w:rsidR="00B51828" w:rsidRDefault="00B51828" w:rsidP="002101D2">
            <w:pPr>
              <w:pStyle w:val="Tabletextboldleft"/>
              <w:spacing w:before="20" w:after="20"/>
              <w:jc w:val="right"/>
            </w:pPr>
            <w:r>
              <w:t>(2019-20)</w:t>
            </w:r>
          </w:p>
        </w:tc>
      </w:tr>
      <w:tr w:rsidR="00B51828" w:rsidRPr="00F647C7" w14:paraId="597E53DC" w14:textId="77777777" w:rsidTr="00E61184">
        <w:trPr>
          <w:trHeight w:val="212"/>
        </w:trPr>
        <w:tc>
          <w:tcPr>
            <w:tcW w:w="3544" w:type="dxa"/>
            <w:tcBorders>
              <w:bottom w:val="single" w:sz="4" w:space="0" w:color="auto"/>
            </w:tcBorders>
            <w:shd w:val="clear" w:color="auto" w:fill="D0CECE" w:themeFill="background2" w:themeFillShade="E6"/>
          </w:tcPr>
          <w:p w14:paraId="4408A442" w14:textId="77777777" w:rsidR="00B51828" w:rsidRPr="0076472C" w:rsidRDefault="00B51828" w:rsidP="002101D2">
            <w:pPr>
              <w:pStyle w:val="Tabletextboldleft"/>
              <w:spacing w:before="20" w:after="20"/>
              <w:rPr>
                <w:i/>
              </w:rPr>
            </w:pPr>
            <w:r>
              <w:rPr>
                <w:i/>
              </w:rPr>
              <w:t>Scenario 1</w:t>
            </w:r>
          </w:p>
        </w:tc>
        <w:tc>
          <w:tcPr>
            <w:tcW w:w="963" w:type="dxa"/>
            <w:tcBorders>
              <w:bottom w:val="single" w:sz="4" w:space="0" w:color="auto"/>
            </w:tcBorders>
            <w:shd w:val="clear" w:color="auto" w:fill="D0CECE" w:themeFill="background2" w:themeFillShade="E6"/>
          </w:tcPr>
          <w:p w14:paraId="1A92496D"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79179F14"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1A3EC338"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74D4060B"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04F8D7E0" w14:textId="77777777" w:rsidR="00B51828" w:rsidRPr="002D0B57" w:rsidRDefault="00B51828" w:rsidP="002101D2">
            <w:pPr>
              <w:pStyle w:val="Tabletextboldleft"/>
              <w:spacing w:before="20" w:after="20"/>
              <w:jc w:val="right"/>
              <w:rPr>
                <w:b w:val="0"/>
              </w:rPr>
            </w:pPr>
            <w:r>
              <w:rPr>
                <w:b w:val="0"/>
              </w:rPr>
              <w:t>-</w:t>
            </w:r>
          </w:p>
        </w:tc>
      </w:tr>
      <w:tr w:rsidR="00B51828" w:rsidRPr="00F647C7" w14:paraId="0C5CA67C" w14:textId="77777777" w:rsidTr="00E61184">
        <w:trPr>
          <w:trHeight w:val="212"/>
        </w:trPr>
        <w:tc>
          <w:tcPr>
            <w:tcW w:w="3544" w:type="dxa"/>
            <w:tcBorders>
              <w:bottom w:val="nil"/>
            </w:tcBorders>
          </w:tcPr>
          <w:p w14:paraId="5E64148F" w14:textId="77777777" w:rsidR="00B51828" w:rsidRPr="00386763"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963" w:type="dxa"/>
            <w:tcBorders>
              <w:bottom w:val="nil"/>
            </w:tcBorders>
          </w:tcPr>
          <w:p w14:paraId="40759288" w14:textId="77777777" w:rsidR="00B51828" w:rsidRPr="001D5AA2" w:rsidRDefault="00B51828" w:rsidP="002101D2">
            <w:pPr>
              <w:pStyle w:val="Tabletextboldleft"/>
              <w:spacing w:before="20" w:after="20"/>
              <w:jc w:val="right"/>
              <w:rPr>
                <w:b w:val="0"/>
              </w:rPr>
            </w:pPr>
            <w:r w:rsidRPr="001D5AA2">
              <w:rPr>
                <w:b w:val="0"/>
              </w:rPr>
              <w:t>80,696</w:t>
            </w:r>
          </w:p>
        </w:tc>
        <w:tc>
          <w:tcPr>
            <w:tcW w:w="964" w:type="dxa"/>
            <w:tcBorders>
              <w:bottom w:val="nil"/>
            </w:tcBorders>
          </w:tcPr>
          <w:p w14:paraId="79834A6A" w14:textId="77777777" w:rsidR="00B51828" w:rsidRPr="001D5AA2" w:rsidRDefault="00B51828" w:rsidP="002101D2">
            <w:pPr>
              <w:pStyle w:val="Tabletextboldleft"/>
              <w:spacing w:before="20" w:after="20"/>
              <w:jc w:val="right"/>
              <w:rPr>
                <w:b w:val="0"/>
              </w:rPr>
            </w:pPr>
            <w:r w:rsidRPr="001D5AA2">
              <w:rPr>
                <w:b w:val="0"/>
              </w:rPr>
              <w:t>83,620</w:t>
            </w:r>
          </w:p>
        </w:tc>
        <w:tc>
          <w:tcPr>
            <w:tcW w:w="964" w:type="dxa"/>
            <w:tcBorders>
              <w:bottom w:val="nil"/>
            </w:tcBorders>
          </w:tcPr>
          <w:p w14:paraId="3CCAAAA3" w14:textId="77777777" w:rsidR="00B51828" w:rsidRPr="001D5AA2" w:rsidRDefault="00B51828" w:rsidP="002101D2">
            <w:pPr>
              <w:pStyle w:val="Tabletextboldleft"/>
              <w:spacing w:before="20" w:after="20"/>
              <w:jc w:val="right"/>
              <w:rPr>
                <w:b w:val="0"/>
              </w:rPr>
            </w:pPr>
            <w:r w:rsidRPr="001D5AA2">
              <w:rPr>
                <w:b w:val="0"/>
              </w:rPr>
              <w:t>86,544</w:t>
            </w:r>
          </w:p>
        </w:tc>
        <w:tc>
          <w:tcPr>
            <w:tcW w:w="964" w:type="dxa"/>
            <w:tcBorders>
              <w:bottom w:val="nil"/>
            </w:tcBorders>
          </w:tcPr>
          <w:p w14:paraId="4600F8DF" w14:textId="77777777" w:rsidR="00B51828" w:rsidRPr="001D5AA2" w:rsidRDefault="00B51828" w:rsidP="002101D2">
            <w:pPr>
              <w:pStyle w:val="Tabletextboldleft"/>
              <w:spacing w:before="20" w:after="20"/>
              <w:jc w:val="right"/>
              <w:rPr>
                <w:b w:val="0"/>
              </w:rPr>
            </w:pPr>
            <w:r w:rsidRPr="001D5AA2">
              <w:rPr>
                <w:b w:val="0"/>
              </w:rPr>
              <w:t>89,468</w:t>
            </w:r>
          </w:p>
        </w:tc>
        <w:tc>
          <w:tcPr>
            <w:tcW w:w="964" w:type="dxa"/>
            <w:tcBorders>
              <w:bottom w:val="nil"/>
            </w:tcBorders>
          </w:tcPr>
          <w:p w14:paraId="2E584BB2" w14:textId="77777777" w:rsidR="00B51828" w:rsidRPr="001D5AA2" w:rsidRDefault="00B51828" w:rsidP="002101D2">
            <w:pPr>
              <w:pStyle w:val="Tabletextboldleft"/>
              <w:spacing w:before="20" w:after="20"/>
              <w:jc w:val="right"/>
              <w:rPr>
                <w:b w:val="0"/>
              </w:rPr>
            </w:pPr>
            <w:r w:rsidRPr="001D5AA2">
              <w:rPr>
                <w:b w:val="0"/>
              </w:rPr>
              <w:t>92,392</w:t>
            </w:r>
          </w:p>
        </w:tc>
      </w:tr>
      <w:tr w:rsidR="00B51828" w:rsidRPr="00F647C7" w14:paraId="04A589D4" w14:textId="77777777" w:rsidTr="00E61184">
        <w:trPr>
          <w:trHeight w:val="212"/>
        </w:trPr>
        <w:tc>
          <w:tcPr>
            <w:tcW w:w="3544" w:type="dxa"/>
            <w:tcBorders>
              <w:top w:val="nil"/>
              <w:bottom w:val="nil"/>
            </w:tcBorders>
          </w:tcPr>
          <w:p w14:paraId="596BAD13" w14:textId="77777777" w:rsidR="00B51828" w:rsidRPr="00386763"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12DB9D6D" w14:textId="77777777" w:rsidR="00B51828" w:rsidRPr="001D5AA2" w:rsidRDefault="00B51828" w:rsidP="002101D2">
            <w:pPr>
              <w:pStyle w:val="Tabletextboldleft"/>
              <w:spacing w:before="20" w:after="20"/>
              <w:jc w:val="right"/>
              <w:rPr>
                <w:b w:val="0"/>
              </w:rPr>
            </w:pPr>
            <w:r w:rsidRPr="001D5AA2">
              <w:rPr>
                <w:b w:val="0"/>
                <w:color w:val="000000"/>
              </w:rPr>
              <w:t>14,708</w:t>
            </w:r>
          </w:p>
        </w:tc>
        <w:tc>
          <w:tcPr>
            <w:tcW w:w="964" w:type="dxa"/>
            <w:tcBorders>
              <w:top w:val="nil"/>
              <w:bottom w:val="nil"/>
            </w:tcBorders>
          </w:tcPr>
          <w:p w14:paraId="0E332B2E" w14:textId="77777777" w:rsidR="00B51828" w:rsidRPr="001D5AA2" w:rsidRDefault="00B51828" w:rsidP="002101D2">
            <w:pPr>
              <w:pStyle w:val="Tabletextboldleft"/>
              <w:spacing w:before="20" w:after="20"/>
              <w:jc w:val="right"/>
              <w:rPr>
                <w:b w:val="0"/>
              </w:rPr>
            </w:pPr>
            <w:r w:rsidRPr="001D5AA2">
              <w:rPr>
                <w:b w:val="0"/>
                <w:color w:val="000000"/>
              </w:rPr>
              <w:t>15,241</w:t>
            </w:r>
          </w:p>
        </w:tc>
        <w:tc>
          <w:tcPr>
            <w:tcW w:w="964" w:type="dxa"/>
            <w:tcBorders>
              <w:top w:val="nil"/>
              <w:bottom w:val="nil"/>
            </w:tcBorders>
          </w:tcPr>
          <w:p w14:paraId="5C0C2940" w14:textId="77777777" w:rsidR="00B51828" w:rsidRPr="001D5AA2" w:rsidRDefault="00B51828" w:rsidP="002101D2">
            <w:pPr>
              <w:pStyle w:val="Tabletextboldleft"/>
              <w:spacing w:before="20" w:after="20"/>
              <w:jc w:val="right"/>
              <w:rPr>
                <w:b w:val="0"/>
              </w:rPr>
            </w:pPr>
            <w:r w:rsidRPr="001D5AA2">
              <w:rPr>
                <w:b w:val="0"/>
                <w:color w:val="000000"/>
              </w:rPr>
              <w:t>15,774</w:t>
            </w:r>
          </w:p>
        </w:tc>
        <w:tc>
          <w:tcPr>
            <w:tcW w:w="964" w:type="dxa"/>
            <w:tcBorders>
              <w:top w:val="nil"/>
              <w:bottom w:val="nil"/>
            </w:tcBorders>
          </w:tcPr>
          <w:p w14:paraId="5997562A" w14:textId="77777777" w:rsidR="00B51828" w:rsidRPr="001D5AA2" w:rsidRDefault="00B51828" w:rsidP="002101D2">
            <w:pPr>
              <w:pStyle w:val="Tabletextboldleft"/>
              <w:spacing w:before="20" w:after="20"/>
              <w:jc w:val="right"/>
              <w:rPr>
                <w:b w:val="0"/>
              </w:rPr>
            </w:pPr>
            <w:r w:rsidRPr="001D5AA2">
              <w:rPr>
                <w:b w:val="0"/>
                <w:color w:val="000000"/>
              </w:rPr>
              <w:t>16,307</w:t>
            </w:r>
          </w:p>
        </w:tc>
        <w:tc>
          <w:tcPr>
            <w:tcW w:w="964" w:type="dxa"/>
            <w:tcBorders>
              <w:top w:val="nil"/>
              <w:bottom w:val="nil"/>
            </w:tcBorders>
          </w:tcPr>
          <w:p w14:paraId="1DD161E7" w14:textId="77777777" w:rsidR="00B51828" w:rsidRPr="001D5AA2" w:rsidRDefault="00B51828" w:rsidP="002101D2">
            <w:pPr>
              <w:pStyle w:val="Tabletextboldleft"/>
              <w:spacing w:before="20" w:after="20"/>
              <w:jc w:val="right"/>
              <w:rPr>
                <w:b w:val="0"/>
              </w:rPr>
            </w:pPr>
            <w:r w:rsidRPr="001D5AA2">
              <w:rPr>
                <w:b w:val="0"/>
                <w:color w:val="000000"/>
              </w:rPr>
              <w:t>16,840</w:t>
            </w:r>
          </w:p>
        </w:tc>
      </w:tr>
      <w:tr w:rsidR="00B51828" w:rsidRPr="00F647C7" w14:paraId="4F39D262" w14:textId="77777777" w:rsidTr="00E61184">
        <w:trPr>
          <w:trHeight w:val="212"/>
        </w:trPr>
        <w:tc>
          <w:tcPr>
            <w:tcW w:w="3544" w:type="dxa"/>
            <w:tcBorders>
              <w:top w:val="nil"/>
              <w:bottom w:val="nil"/>
            </w:tcBorders>
          </w:tcPr>
          <w:p w14:paraId="5DA53240" w14:textId="77777777" w:rsidR="00B51828" w:rsidRPr="00386763"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2585AFD9" w14:textId="77777777" w:rsidR="00B51828" w:rsidRPr="00414F37" w:rsidRDefault="00B51828" w:rsidP="002101D2">
            <w:pPr>
              <w:pStyle w:val="Tabletextboldleft"/>
              <w:spacing w:before="20" w:after="20"/>
              <w:jc w:val="right"/>
              <w:rPr>
                <w:b w:val="0"/>
              </w:rPr>
            </w:pPr>
            <w:r w:rsidRPr="00414F37">
              <w:rPr>
                <w:b w:val="0"/>
                <w:color w:val="000000"/>
              </w:rPr>
              <w:t>32,994</w:t>
            </w:r>
          </w:p>
        </w:tc>
        <w:tc>
          <w:tcPr>
            <w:tcW w:w="964" w:type="dxa"/>
            <w:tcBorders>
              <w:top w:val="nil"/>
              <w:bottom w:val="nil"/>
            </w:tcBorders>
          </w:tcPr>
          <w:p w14:paraId="14B7CF35" w14:textId="77777777" w:rsidR="00B51828" w:rsidRPr="00414F37" w:rsidRDefault="00B51828" w:rsidP="002101D2">
            <w:pPr>
              <w:pStyle w:val="Tabletextboldleft"/>
              <w:spacing w:before="20" w:after="20"/>
              <w:jc w:val="right"/>
              <w:rPr>
                <w:b w:val="0"/>
              </w:rPr>
            </w:pPr>
            <w:r w:rsidRPr="00414F37">
              <w:rPr>
                <w:b w:val="0"/>
                <w:color w:val="000000"/>
              </w:rPr>
              <w:t>34,190</w:t>
            </w:r>
          </w:p>
        </w:tc>
        <w:tc>
          <w:tcPr>
            <w:tcW w:w="964" w:type="dxa"/>
            <w:tcBorders>
              <w:top w:val="nil"/>
              <w:bottom w:val="nil"/>
            </w:tcBorders>
          </w:tcPr>
          <w:p w14:paraId="6A94E0A5" w14:textId="77777777" w:rsidR="00B51828" w:rsidRPr="00414F37" w:rsidRDefault="00B51828" w:rsidP="002101D2">
            <w:pPr>
              <w:pStyle w:val="Tabletextboldleft"/>
              <w:spacing w:before="20" w:after="20"/>
              <w:jc w:val="right"/>
              <w:rPr>
                <w:b w:val="0"/>
              </w:rPr>
            </w:pPr>
            <w:r w:rsidRPr="00414F37">
              <w:rPr>
                <w:b w:val="0"/>
                <w:color w:val="000000"/>
              </w:rPr>
              <w:t>35,385</w:t>
            </w:r>
          </w:p>
        </w:tc>
        <w:tc>
          <w:tcPr>
            <w:tcW w:w="964" w:type="dxa"/>
            <w:tcBorders>
              <w:top w:val="nil"/>
              <w:bottom w:val="nil"/>
            </w:tcBorders>
          </w:tcPr>
          <w:p w14:paraId="6C7B0337" w14:textId="77777777" w:rsidR="00B51828" w:rsidRPr="00414F37" w:rsidRDefault="00B51828" w:rsidP="002101D2">
            <w:pPr>
              <w:pStyle w:val="Tabletextboldleft"/>
              <w:spacing w:before="20" w:after="20"/>
              <w:jc w:val="right"/>
              <w:rPr>
                <w:b w:val="0"/>
              </w:rPr>
            </w:pPr>
            <w:r w:rsidRPr="00414F37">
              <w:rPr>
                <w:b w:val="0"/>
                <w:color w:val="000000"/>
              </w:rPr>
              <w:t>36,580</w:t>
            </w:r>
          </w:p>
        </w:tc>
        <w:tc>
          <w:tcPr>
            <w:tcW w:w="964" w:type="dxa"/>
            <w:tcBorders>
              <w:top w:val="nil"/>
              <w:bottom w:val="nil"/>
            </w:tcBorders>
          </w:tcPr>
          <w:p w14:paraId="463736B0" w14:textId="77777777" w:rsidR="00B51828" w:rsidRPr="00414F37" w:rsidRDefault="00B51828" w:rsidP="002101D2">
            <w:pPr>
              <w:pStyle w:val="Tabletextboldleft"/>
              <w:spacing w:before="20" w:after="20"/>
              <w:jc w:val="right"/>
              <w:rPr>
                <w:b w:val="0"/>
              </w:rPr>
            </w:pPr>
            <w:r w:rsidRPr="00414F37">
              <w:rPr>
                <w:b w:val="0"/>
                <w:color w:val="000000"/>
              </w:rPr>
              <w:t>37,776</w:t>
            </w:r>
          </w:p>
        </w:tc>
      </w:tr>
      <w:tr w:rsidR="00B51828" w:rsidRPr="00F647C7" w14:paraId="5FFD7EC9" w14:textId="77777777" w:rsidTr="00E61184">
        <w:trPr>
          <w:trHeight w:val="212"/>
        </w:trPr>
        <w:tc>
          <w:tcPr>
            <w:tcW w:w="3544" w:type="dxa"/>
            <w:tcBorders>
              <w:top w:val="nil"/>
              <w:bottom w:val="single" w:sz="4" w:space="0" w:color="auto"/>
            </w:tcBorders>
          </w:tcPr>
          <w:p w14:paraId="7848C846" w14:textId="77777777" w:rsidR="00B51828" w:rsidRPr="00386763" w:rsidRDefault="00B51828" w:rsidP="002101D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tcPr>
          <w:p w14:paraId="1B381AFF" w14:textId="77777777" w:rsidR="00B51828" w:rsidRPr="00414F37" w:rsidRDefault="00B51828" w:rsidP="002101D2">
            <w:pPr>
              <w:pStyle w:val="Tabletextboldleft"/>
              <w:spacing w:before="20" w:after="20"/>
              <w:jc w:val="right"/>
              <w:rPr>
                <w:b w:val="0"/>
              </w:rPr>
            </w:pPr>
            <w:r w:rsidRPr="00414F37">
              <w:rPr>
                <w:b w:val="0"/>
                <w:color w:val="000000"/>
              </w:rPr>
              <w:t>32,994</w:t>
            </w:r>
          </w:p>
        </w:tc>
        <w:tc>
          <w:tcPr>
            <w:tcW w:w="964" w:type="dxa"/>
            <w:tcBorders>
              <w:top w:val="nil"/>
              <w:bottom w:val="single" w:sz="4" w:space="0" w:color="auto"/>
            </w:tcBorders>
          </w:tcPr>
          <w:p w14:paraId="52705BF6" w14:textId="77777777" w:rsidR="00B51828" w:rsidRPr="00414F37" w:rsidRDefault="00B51828" w:rsidP="002101D2">
            <w:pPr>
              <w:pStyle w:val="Tabletextboldleft"/>
              <w:spacing w:before="20" w:after="20"/>
              <w:jc w:val="right"/>
              <w:rPr>
                <w:b w:val="0"/>
              </w:rPr>
            </w:pPr>
            <w:r w:rsidRPr="00414F37">
              <w:rPr>
                <w:b w:val="0"/>
                <w:color w:val="000000"/>
              </w:rPr>
              <w:t>34,190</w:t>
            </w:r>
          </w:p>
        </w:tc>
        <w:tc>
          <w:tcPr>
            <w:tcW w:w="964" w:type="dxa"/>
            <w:tcBorders>
              <w:top w:val="nil"/>
              <w:bottom w:val="single" w:sz="4" w:space="0" w:color="auto"/>
            </w:tcBorders>
          </w:tcPr>
          <w:p w14:paraId="3B84D677" w14:textId="77777777" w:rsidR="00B51828" w:rsidRPr="00414F37" w:rsidRDefault="00B51828" w:rsidP="002101D2">
            <w:pPr>
              <w:pStyle w:val="Tabletextboldleft"/>
              <w:spacing w:before="20" w:after="20"/>
              <w:jc w:val="right"/>
              <w:rPr>
                <w:b w:val="0"/>
              </w:rPr>
            </w:pPr>
            <w:r w:rsidRPr="00414F37">
              <w:rPr>
                <w:b w:val="0"/>
                <w:color w:val="000000"/>
              </w:rPr>
              <w:t>35,385</w:t>
            </w:r>
          </w:p>
        </w:tc>
        <w:tc>
          <w:tcPr>
            <w:tcW w:w="964" w:type="dxa"/>
            <w:tcBorders>
              <w:top w:val="nil"/>
              <w:bottom w:val="single" w:sz="4" w:space="0" w:color="auto"/>
            </w:tcBorders>
          </w:tcPr>
          <w:p w14:paraId="722474DC" w14:textId="77777777" w:rsidR="00B51828" w:rsidRPr="00414F37" w:rsidRDefault="00B51828" w:rsidP="002101D2">
            <w:pPr>
              <w:pStyle w:val="Tabletextboldleft"/>
              <w:spacing w:before="20" w:after="20"/>
              <w:jc w:val="right"/>
              <w:rPr>
                <w:b w:val="0"/>
              </w:rPr>
            </w:pPr>
            <w:r w:rsidRPr="00414F37">
              <w:rPr>
                <w:b w:val="0"/>
                <w:color w:val="000000"/>
              </w:rPr>
              <w:t>36,580</w:t>
            </w:r>
          </w:p>
        </w:tc>
        <w:tc>
          <w:tcPr>
            <w:tcW w:w="964" w:type="dxa"/>
            <w:tcBorders>
              <w:top w:val="nil"/>
              <w:bottom w:val="single" w:sz="4" w:space="0" w:color="auto"/>
            </w:tcBorders>
          </w:tcPr>
          <w:p w14:paraId="7BA40FC2" w14:textId="77777777" w:rsidR="00B51828" w:rsidRPr="00414F37" w:rsidRDefault="00B51828" w:rsidP="002101D2">
            <w:pPr>
              <w:pStyle w:val="Tabletextboldleft"/>
              <w:spacing w:before="20" w:after="20"/>
              <w:jc w:val="right"/>
              <w:rPr>
                <w:b w:val="0"/>
              </w:rPr>
            </w:pPr>
            <w:r w:rsidRPr="00414F37">
              <w:rPr>
                <w:b w:val="0"/>
                <w:color w:val="000000"/>
              </w:rPr>
              <w:t>37,776</w:t>
            </w:r>
          </w:p>
        </w:tc>
      </w:tr>
      <w:tr w:rsidR="00414F37" w:rsidRPr="00F647C7" w14:paraId="2C7251DB" w14:textId="77777777" w:rsidTr="00E61184">
        <w:trPr>
          <w:trHeight w:val="212"/>
        </w:trPr>
        <w:tc>
          <w:tcPr>
            <w:tcW w:w="3544" w:type="dxa"/>
            <w:tcBorders>
              <w:bottom w:val="nil"/>
            </w:tcBorders>
          </w:tcPr>
          <w:p w14:paraId="1AF5C1DC" w14:textId="77777777" w:rsidR="00414F37" w:rsidRPr="00F411CD" w:rsidRDefault="00414F37" w:rsidP="00414F37">
            <w:pPr>
              <w:pStyle w:val="Tabletextboldleft"/>
              <w:spacing w:before="20" w:after="20"/>
              <w:rPr>
                <w:b w:val="0"/>
              </w:rPr>
            </w:pPr>
            <w:r w:rsidRPr="00F411CD">
              <w:rPr>
                <w:b w:val="0"/>
              </w:rPr>
              <w:t>Non-gynaecological cytology</w:t>
            </w:r>
          </w:p>
        </w:tc>
        <w:tc>
          <w:tcPr>
            <w:tcW w:w="963" w:type="dxa"/>
            <w:tcBorders>
              <w:bottom w:val="nil"/>
            </w:tcBorders>
            <w:vAlign w:val="bottom"/>
          </w:tcPr>
          <w:p w14:paraId="611ACA6B" w14:textId="6DE1A703" w:rsidR="00414F37" w:rsidRPr="00414F37" w:rsidRDefault="00414F37" w:rsidP="00414F37">
            <w:pPr>
              <w:pStyle w:val="Tabletextboldleft"/>
              <w:spacing w:before="20" w:after="20"/>
              <w:jc w:val="right"/>
              <w:rPr>
                <w:b w:val="0"/>
              </w:rPr>
            </w:pPr>
            <w:r w:rsidRPr="00414F37">
              <w:rPr>
                <w:b w:val="0"/>
                <w:color w:val="000000"/>
              </w:rPr>
              <w:t>3,919</w:t>
            </w:r>
          </w:p>
        </w:tc>
        <w:tc>
          <w:tcPr>
            <w:tcW w:w="964" w:type="dxa"/>
            <w:tcBorders>
              <w:bottom w:val="nil"/>
            </w:tcBorders>
            <w:vAlign w:val="bottom"/>
          </w:tcPr>
          <w:p w14:paraId="5BD45F3C" w14:textId="644AA32A" w:rsidR="00414F37" w:rsidRPr="00414F37" w:rsidRDefault="00414F37" w:rsidP="00414F37">
            <w:pPr>
              <w:pStyle w:val="Tabletextboldleft"/>
              <w:spacing w:before="20" w:after="20"/>
              <w:jc w:val="right"/>
              <w:rPr>
                <w:b w:val="0"/>
              </w:rPr>
            </w:pPr>
            <w:r w:rsidRPr="00414F37">
              <w:rPr>
                <w:b w:val="0"/>
                <w:color w:val="000000"/>
              </w:rPr>
              <w:t>4,033</w:t>
            </w:r>
          </w:p>
        </w:tc>
        <w:tc>
          <w:tcPr>
            <w:tcW w:w="964" w:type="dxa"/>
            <w:tcBorders>
              <w:bottom w:val="nil"/>
            </w:tcBorders>
            <w:vAlign w:val="bottom"/>
          </w:tcPr>
          <w:p w14:paraId="7D565E01" w14:textId="3ECD18BF" w:rsidR="00414F37" w:rsidRPr="00414F37" w:rsidRDefault="00414F37" w:rsidP="00414F37">
            <w:pPr>
              <w:pStyle w:val="Tabletextboldleft"/>
              <w:spacing w:before="20" w:after="20"/>
              <w:jc w:val="right"/>
              <w:rPr>
                <w:b w:val="0"/>
              </w:rPr>
            </w:pPr>
            <w:r w:rsidRPr="00414F37">
              <w:rPr>
                <w:b w:val="0"/>
                <w:color w:val="000000"/>
              </w:rPr>
              <w:t>4,147</w:t>
            </w:r>
          </w:p>
        </w:tc>
        <w:tc>
          <w:tcPr>
            <w:tcW w:w="964" w:type="dxa"/>
            <w:tcBorders>
              <w:bottom w:val="nil"/>
            </w:tcBorders>
            <w:vAlign w:val="bottom"/>
          </w:tcPr>
          <w:p w14:paraId="75614B10" w14:textId="40E54660" w:rsidR="00414F37" w:rsidRPr="00414F37" w:rsidRDefault="00414F37" w:rsidP="00414F37">
            <w:pPr>
              <w:pStyle w:val="Tabletextboldleft"/>
              <w:spacing w:before="20" w:after="20"/>
              <w:jc w:val="right"/>
              <w:rPr>
                <w:b w:val="0"/>
              </w:rPr>
            </w:pPr>
            <w:r w:rsidRPr="00414F37">
              <w:rPr>
                <w:b w:val="0"/>
                <w:color w:val="000000"/>
              </w:rPr>
              <w:t>4,260</w:t>
            </w:r>
          </w:p>
        </w:tc>
        <w:tc>
          <w:tcPr>
            <w:tcW w:w="964" w:type="dxa"/>
            <w:tcBorders>
              <w:bottom w:val="nil"/>
            </w:tcBorders>
            <w:vAlign w:val="bottom"/>
          </w:tcPr>
          <w:p w14:paraId="3089AB03" w14:textId="706DAE3F" w:rsidR="00414F37" w:rsidRPr="00414F37" w:rsidRDefault="00414F37" w:rsidP="00414F37">
            <w:pPr>
              <w:pStyle w:val="Tabletextboldleft"/>
              <w:spacing w:before="20" w:after="20"/>
              <w:jc w:val="right"/>
              <w:rPr>
                <w:b w:val="0"/>
              </w:rPr>
            </w:pPr>
            <w:r w:rsidRPr="00414F37">
              <w:rPr>
                <w:b w:val="0"/>
                <w:color w:val="000000"/>
              </w:rPr>
              <w:t>4,374</w:t>
            </w:r>
          </w:p>
        </w:tc>
      </w:tr>
      <w:tr w:rsidR="00A93B10" w:rsidRPr="00F647C7" w14:paraId="5A5268B0" w14:textId="77777777" w:rsidTr="00E61184">
        <w:trPr>
          <w:trHeight w:val="212"/>
        </w:trPr>
        <w:tc>
          <w:tcPr>
            <w:tcW w:w="3544" w:type="dxa"/>
            <w:tcBorders>
              <w:top w:val="nil"/>
              <w:bottom w:val="nil"/>
            </w:tcBorders>
          </w:tcPr>
          <w:p w14:paraId="38BB0824" w14:textId="77777777" w:rsidR="00A93B10" w:rsidRPr="00F411CD" w:rsidRDefault="00A93B10" w:rsidP="00A93B10">
            <w:pPr>
              <w:pStyle w:val="Tabletextboldleft"/>
              <w:spacing w:before="20" w:after="20"/>
              <w:ind w:firstLine="317"/>
              <w:rPr>
                <w:b w:val="0"/>
              </w:rPr>
            </w:pPr>
            <w:r>
              <w:rPr>
                <w:b w:val="0"/>
              </w:rPr>
              <w:t>Ancillary tests</w:t>
            </w:r>
          </w:p>
        </w:tc>
        <w:tc>
          <w:tcPr>
            <w:tcW w:w="963" w:type="dxa"/>
            <w:tcBorders>
              <w:top w:val="nil"/>
              <w:bottom w:val="nil"/>
            </w:tcBorders>
            <w:vAlign w:val="bottom"/>
          </w:tcPr>
          <w:p w14:paraId="7A340EC9" w14:textId="764CBAA0" w:rsidR="00A93B10" w:rsidRPr="00414F37" w:rsidRDefault="00A93B10" w:rsidP="00A93B10">
            <w:pPr>
              <w:pStyle w:val="Tabletextboldleft"/>
              <w:spacing w:before="20" w:after="20"/>
              <w:jc w:val="right"/>
              <w:rPr>
                <w:b w:val="0"/>
              </w:rPr>
            </w:pPr>
            <w:r w:rsidRPr="00414F37">
              <w:rPr>
                <w:b w:val="0"/>
                <w:color w:val="000000"/>
              </w:rPr>
              <w:t>280</w:t>
            </w:r>
          </w:p>
        </w:tc>
        <w:tc>
          <w:tcPr>
            <w:tcW w:w="964" w:type="dxa"/>
            <w:tcBorders>
              <w:top w:val="nil"/>
              <w:bottom w:val="nil"/>
            </w:tcBorders>
            <w:vAlign w:val="bottom"/>
          </w:tcPr>
          <w:p w14:paraId="3A2840B0" w14:textId="40235C0F" w:rsidR="00A93B10" w:rsidRPr="00414F37" w:rsidRDefault="00A93B10" w:rsidP="00A93B10">
            <w:pPr>
              <w:pStyle w:val="Tabletextboldleft"/>
              <w:spacing w:before="20" w:after="20"/>
              <w:jc w:val="right"/>
              <w:rPr>
                <w:b w:val="0"/>
              </w:rPr>
            </w:pPr>
            <w:r w:rsidRPr="00414F37">
              <w:rPr>
                <w:b w:val="0"/>
                <w:color w:val="000000"/>
              </w:rPr>
              <w:t>288</w:t>
            </w:r>
          </w:p>
        </w:tc>
        <w:tc>
          <w:tcPr>
            <w:tcW w:w="964" w:type="dxa"/>
            <w:tcBorders>
              <w:top w:val="nil"/>
              <w:bottom w:val="nil"/>
            </w:tcBorders>
            <w:vAlign w:val="bottom"/>
          </w:tcPr>
          <w:p w14:paraId="35466998" w14:textId="479D3DB1" w:rsidR="00A93B10" w:rsidRPr="00414F37" w:rsidRDefault="00A93B10" w:rsidP="00A93B10">
            <w:pPr>
              <w:pStyle w:val="Tabletextboldleft"/>
              <w:spacing w:before="20" w:after="20"/>
              <w:jc w:val="right"/>
              <w:rPr>
                <w:b w:val="0"/>
              </w:rPr>
            </w:pPr>
            <w:r w:rsidRPr="00414F37">
              <w:rPr>
                <w:b w:val="0"/>
                <w:color w:val="000000"/>
              </w:rPr>
              <w:t>296</w:t>
            </w:r>
          </w:p>
        </w:tc>
        <w:tc>
          <w:tcPr>
            <w:tcW w:w="964" w:type="dxa"/>
            <w:tcBorders>
              <w:top w:val="nil"/>
              <w:bottom w:val="nil"/>
            </w:tcBorders>
            <w:vAlign w:val="bottom"/>
          </w:tcPr>
          <w:p w14:paraId="694DB4E6" w14:textId="26909F8F" w:rsidR="00A93B10" w:rsidRPr="00414F37" w:rsidRDefault="00A93B10" w:rsidP="00A93B10">
            <w:pPr>
              <w:pStyle w:val="Tabletextboldleft"/>
              <w:spacing w:before="20" w:after="20"/>
              <w:jc w:val="right"/>
              <w:rPr>
                <w:b w:val="0"/>
              </w:rPr>
            </w:pPr>
            <w:r w:rsidRPr="00414F37">
              <w:rPr>
                <w:b w:val="0"/>
                <w:color w:val="000000"/>
              </w:rPr>
              <w:t>304</w:t>
            </w:r>
          </w:p>
        </w:tc>
        <w:tc>
          <w:tcPr>
            <w:tcW w:w="964" w:type="dxa"/>
            <w:tcBorders>
              <w:top w:val="nil"/>
              <w:bottom w:val="nil"/>
            </w:tcBorders>
            <w:vAlign w:val="bottom"/>
          </w:tcPr>
          <w:p w14:paraId="6521BCBC" w14:textId="38A05582" w:rsidR="00A93B10" w:rsidRPr="00414F37" w:rsidRDefault="00A93B10" w:rsidP="00A93B10">
            <w:pPr>
              <w:pStyle w:val="Tabletextboldleft"/>
              <w:spacing w:before="20" w:after="20"/>
              <w:jc w:val="right"/>
              <w:rPr>
                <w:b w:val="0"/>
              </w:rPr>
            </w:pPr>
            <w:r w:rsidRPr="00414F37">
              <w:rPr>
                <w:b w:val="0"/>
                <w:color w:val="000000"/>
              </w:rPr>
              <w:t>313</w:t>
            </w:r>
          </w:p>
        </w:tc>
      </w:tr>
      <w:tr w:rsidR="001D5AA2" w:rsidRPr="00F647C7" w14:paraId="17F80922" w14:textId="77777777" w:rsidTr="00E61184">
        <w:trPr>
          <w:trHeight w:val="212"/>
        </w:trPr>
        <w:tc>
          <w:tcPr>
            <w:tcW w:w="3544" w:type="dxa"/>
            <w:tcBorders>
              <w:top w:val="nil"/>
              <w:bottom w:val="nil"/>
            </w:tcBorders>
          </w:tcPr>
          <w:p w14:paraId="26871376" w14:textId="77777777" w:rsidR="001D5AA2" w:rsidRPr="00F411CD" w:rsidRDefault="001D5AA2" w:rsidP="001D5AA2">
            <w:pPr>
              <w:pStyle w:val="Tabletextboldleft"/>
              <w:spacing w:before="20" w:after="20"/>
              <w:ind w:firstLine="317"/>
              <w:rPr>
                <w:b w:val="0"/>
              </w:rPr>
            </w:pPr>
            <w:r>
              <w:rPr>
                <w:b w:val="0"/>
              </w:rPr>
              <w:t>Specimen referred fee (MBS 73940)</w:t>
            </w:r>
          </w:p>
        </w:tc>
        <w:tc>
          <w:tcPr>
            <w:tcW w:w="963" w:type="dxa"/>
            <w:tcBorders>
              <w:top w:val="nil"/>
              <w:bottom w:val="nil"/>
            </w:tcBorders>
            <w:vAlign w:val="bottom"/>
          </w:tcPr>
          <w:p w14:paraId="27026272" w14:textId="12E9656B" w:rsidR="001D5AA2" w:rsidRPr="00414F37" w:rsidRDefault="001D5AA2" w:rsidP="001D5AA2">
            <w:pPr>
              <w:pStyle w:val="Tabletextboldleft"/>
              <w:spacing w:before="20" w:after="20"/>
              <w:jc w:val="right"/>
              <w:rPr>
                <w:b w:val="0"/>
              </w:rPr>
            </w:pPr>
            <w:r w:rsidRPr="00414F37">
              <w:rPr>
                <w:b w:val="0"/>
              </w:rPr>
              <w:t>1,820</w:t>
            </w:r>
          </w:p>
        </w:tc>
        <w:tc>
          <w:tcPr>
            <w:tcW w:w="964" w:type="dxa"/>
            <w:tcBorders>
              <w:top w:val="nil"/>
              <w:bottom w:val="nil"/>
            </w:tcBorders>
            <w:vAlign w:val="bottom"/>
          </w:tcPr>
          <w:p w14:paraId="21877B52" w14:textId="3C749ECE" w:rsidR="001D5AA2" w:rsidRPr="00414F37" w:rsidRDefault="001D5AA2" w:rsidP="001D5AA2">
            <w:pPr>
              <w:pStyle w:val="Tabletextboldleft"/>
              <w:spacing w:before="20" w:after="20"/>
              <w:jc w:val="right"/>
              <w:rPr>
                <w:b w:val="0"/>
              </w:rPr>
            </w:pPr>
            <w:r w:rsidRPr="00414F37">
              <w:rPr>
                <w:b w:val="0"/>
              </w:rPr>
              <w:t>1,872</w:t>
            </w:r>
          </w:p>
        </w:tc>
        <w:tc>
          <w:tcPr>
            <w:tcW w:w="964" w:type="dxa"/>
            <w:tcBorders>
              <w:top w:val="nil"/>
              <w:bottom w:val="nil"/>
            </w:tcBorders>
            <w:vAlign w:val="bottom"/>
          </w:tcPr>
          <w:p w14:paraId="6592AC56" w14:textId="6A7D39C8" w:rsidR="001D5AA2" w:rsidRPr="00414F37" w:rsidRDefault="001D5AA2" w:rsidP="001D5AA2">
            <w:pPr>
              <w:pStyle w:val="Tabletextboldleft"/>
              <w:spacing w:before="20" w:after="20"/>
              <w:jc w:val="right"/>
              <w:rPr>
                <w:b w:val="0"/>
              </w:rPr>
            </w:pPr>
            <w:r w:rsidRPr="00414F37">
              <w:rPr>
                <w:b w:val="0"/>
              </w:rPr>
              <w:t>1,925</w:t>
            </w:r>
          </w:p>
        </w:tc>
        <w:tc>
          <w:tcPr>
            <w:tcW w:w="964" w:type="dxa"/>
            <w:tcBorders>
              <w:top w:val="nil"/>
              <w:bottom w:val="nil"/>
            </w:tcBorders>
            <w:vAlign w:val="bottom"/>
          </w:tcPr>
          <w:p w14:paraId="46EA5E3F" w14:textId="716AFDCE" w:rsidR="001D5AA2" w:rsidRPr="00414F37" w:rsidRDefault="001D5AA2" w:rsidP="001D5AA2">
            <w:pPr>
              <w:pStyle w:val="Tabletextboldleft"/>
              <w:spacing w:before="20" w:after="20"/>
              <w:jc w:val="right"/>
              <w:rPr>
                <w:b w:val="0"/>
              </w:rPr>
            </w:pPr>
            <w:r w:rsidRPr="00414F37">
              <w:rPr>
                <w:b w:val="0"/>
              </w:rPr>
              <w:t>1,978</w:t>
            </w:r>
          </w:p>
        </w:tc>
        <w:tc>
          <w:tcPr>
            <w:tcW w:w="964" w:type="dxa"/>
            <w:tcBorders>
              <w:top w:val="nil"/>
              <w:bottom w:val="nil"/>
            </w:tcBorders>
            <w:vAlign w:val="bottom"/>
          </w:tcPr>
          <w:p w14:paraId="282E6C28" w14:textId="49F6188D" w:rsidR="001D5AA2" w:rsidRPr="00414F37" w:rsidRDefault="001D5AA2" w:rsidP="001D5AA2">
            <w:pPr>
              <w:pStyle w:val="Tabletextboldleft"/>
              <w:spacing w:before="20" w:after="20"/>
              <w:jc w:val="right"/>
              <w:rPr>
                <w:b w:val="0"/>
              </w:rPr>
            </w:pPr>
            <w:r w:rsidRPr="00414F37">
              <w:rPr>
                <w:b w:val="0"/>
              </w:rPr>
              <w:t>2,031</w:t>
            </w:r>
          </w:p>
        </w:tc>
      </w:tr>
      <w:tr w:rsidR="001D5AA2" w:rsidRPr="00F647C7" w14:paraId="392A41A0" w14:textId="77777777" w:rsidTr="00E61184">
        <w:trPr>
          <w:trHeight w:val="212"/>
        </w:trPr>
        <w:tc>
          <w:tcPr>
            <w:tcW w:w="3544" w:type="dxa"/>
            <w:tcBorders>
              <w:top w:val="nil"/>
              <w:bottom w:val="single" w:sz="4" w:space="0" w:color="auto"/>
            </w:tcBorders>
          </w:tcPr>
          <w:p w14:paraId="21832596" w14:textId="77777777" w:rsidR="001D5AA2" w:rsidRPr="00F411CD" w:rsidRDefault="001D5AA2" w:rsidP="001D5AA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vAlign w:val="bottom"/>
          </w:tcPr>
          <w:p w14:paraId="3F45A2DD" w14:textId="294CF8FF" w:rsidR="001D5AA2" w:rsidRPr="00414F37" w:rsidRDefault="001D5AA2" w:rsidP="001D5AA2">
            <w:pPr>
              <w:pStyle w:val="Tabletextboldleft"/>
              <w:spacing w:before="20" w:after="20"/>
              <w:jc w:val="right"/>
              <w:rPr>
                <w:b w:val="0"/>
              </w:rPr>
            </w:pPr>
            <w:r w:rsidRPr="00414F37">
              <w:rPr>
                <w:b w:val="0"/>
              </w:rPr>
              <w:t>1,820</w:t>
            </w:r>
          </w:p>
        </w:tc>
        <w:tc>
          <w:tcPr>
            <w:tcW w:w="964" w:type="dxa"/>
            <w:tcBorders>
              <w:top w:val="nil"/>
              <w:bottom w:val="single" w:sz="4" w:space="0" w:color="auto"/>
            </w:tcBorders>
            <w:vAlign w:val="bottom"/>
          </w:tcPr>
          <w:p w14:paraId="6D85DB0A" w14:textId="59A10CD9" w:rsidR="001D5AA2" w:rsidRPr="00414F37" w:rsidRDefault="001D5AA2" w:rsidP="001D5AA2">
            <w:pPr>
              <w:pStyle w:val="Tabletextboldleft"/>
              <w:spacing w:before="20" w:after="20"/>
              <w:jc w:val="right"/>
              <w:rPr>
                <w:b w:val="0"/>
              </w:rPr>
            </w:pPr>
            <w:r w:rsidRPr="00414F37">
              <w:rPr>
                <w:b w:val="0"/>
              </w:rPr>
              <w:t>1,872</w:t>
            </w:r>
          </w:p>
        </w:tc>
        <w:tc>
          <w:tcPr>
            <w:tcW w:w="964" w:type="dxa"/>
            <w:tcBorders>
              <w:top w:val="nil"/>
              <w:bottom w:val="single" w:sz="4" w:space="0" w:color="auto"/>
            </w:tcBorders>
            <w:vAlign w:val="bottom"/>
          </w:tcPr>
          <w:p w14:paraId="4330F7E8" w14:textId="6EEE652C" w:rsidR="001D5AA2" w:rsidRPr="00414F37" w:rsidRDefault="001D5AA2" w:rsidP="001D5AA2">
            <w:pPr>
              <w:pStyle w:val="Tabletextboldleft"/>
              <w:spacing w:before="20" w:after="20"/>
              <w:jc w:val="right"/>
              <w:rPr>
                <w:b w:val="0"/>
              </w:rPr>
            </w:pPr>
            <w:r w:rsidRPr="00414F37">
              <w:rPr>
                <w:b w:val="0"/>
              </w:rPr>
              <w:t>1,925</w:t>
            </w:r>
          </w:p>
        </w:tc>
        <w:tc>
          <w:tcPr>
            <w:tcW w:w="964" w:type="dxa"/>
            <w:tcBorders>
              <w:top w:val="nil"/>
              <w:bottom w:val="single" w:sz="4" w:space="0" w:color="auto"/>
            </w:tcBorders>
            <w:vAlign w:val="bottom"/>
          </w:tcPr>
          <w:p w14:paraId="48A36110" w14:textId="4EF942C1" w:rsidR="001D5AA2" w:rsidRPr="00414F37" w:rsidRDefault="001D5AA2" w:rsidP="001D5AA2">
            <w:pPr>
              <w:pStyle w:val="Tabletextboldleft"/>
              <w:spacing w:before="20" w:after="20"/>
              <w:jc w:val="right"/>
              <w:rPr>
                <w:b w:val="0"/>
              </w:rPr>
            </w:pPr>
            <w:r w:rsidRPr="00414F37">
              <w:rPr>
                <w:b w:val="0"/>
              </w:rPr>
              <w:t>1,978</w:t>
            </w:r>
          </w:p>
        </w:tc>
        <w:tc>
          <w:tcPr>
            <w:tcW w:w="964" w:type="dxa"/>
            <w:tcBorders>
              <w:top w:val="nil"/>
              <w:bottom w:val="single" w:sz="4" w:space="0" w:color="auto"/>
            </w:tcBorders>
            <w:vAlign w:val="bottom"/>
          </w:tcPr>
          <w:p w14:paraId="3ECF7E3A" w14:textId="7013BBF1" w:rsidR="001D5AA2" w:rsidRPr="00414F37" w:rsidRDefault="001D5AA2" w:rsidP="001D5AA2">
            <w:pPr>
              <w:pStyle w:val="Tabletextboldleft"/>
              <w:spacing w:before="20" w:after="20"/>
              <w:jc w:val="right"/>
              <w:rPr>
                <w:b w:val="0"/>
              </w:rPr>
            </w:pPr>
            <w:r w:rsidRPr="00414F37">
              <w:rPr>
                <w:b w:val="0"/>
              </w:rPr>
              <w:t>2,031</w:t>
            </w:r>
          </w:p>
        </w:tc>
      </w:tr>
      <w:tr w:rsidR="00414F37" w:rsidRPr="00F647C7" w14:paraId="5307E821" w14:textId="77777777" w:rsidTr="00E61184">
        <w:trPr>
          <w:trHeight w:val="212"/>
        </w:trPr>
        <w:tc>
          <w:tcPr>
            <w:tcW w:w="3544" w:type="dxa"/>
            <w:tcBorders>
              <w:bottom w:val="nil"/>
            </w:tcBorders>
          </w:tcPr>
          <w:p w14:paraId="252466B3" w14:textId="77777777" w:rsidR="00414F37" w:rsidRPr="00F411CD" w:rsidRDefault="00414F37" w:rsidP="00414F37">
            <w:pPr>
              <w:pStyle w:val="Tabletextboldleft"/>
              <w:spacing w:before="20" w:after="20"/>
              <w:rPr>
                <w:b w:val="0"/>
              </w:rPr>
            </w:pPr>
            <w:r>
              <w:rPr>
                <w:b w:val="0"/>
              </w:rPr>
              <w:t>All cytology</w:t>
            </w:r>
          </w:p>
        </w:tc>
        <w:tc>
          <w:tcPr>
            <w:tcW w:w="963" w:type="dxa"/>
            <w:tcBorders>
              <w:bottom w:val="nil"/>
            </w:tcBorders>
            <w:vAlign w:val="bottom"/>
          </w:tcPr>
          <w:p w14:paraId="0084B720" w14:textId="03CA35D8" w:rsidR="00414F37" w:rsidRPr="00414F37" w:rsidRDefault="00414F37" w:rsidP="00414F37">
            <w:pPr>
              <w:pStyle w:val="Tabletextboldleft"/>
              <w:spacing w:before="20" w:after="20"/>
              <w:jc w:val="right"/>
              <w:rPr>
                <w:b w:val="0"/>
              </w:rPr>
            </w:pPr>
            <w:r w:rsidRPr="00414F37">
              <w:rPr>
                <w:b w:val="0"/>
                <w:color w:val="000000"/>
              </w:rPr>
              <w:t>31,177</w:t>
            </w:r>
          </w:p>
        </w:tc>
        <w:tc>
          <w:tcPr>
            <w:tcW w:w="964" w:type="dxa"/>
            <w:tcBorders>
              <w:bottom w:val="nil"/>
            </w:tcBorders>
            <w:vAlign w:val="bottom"/>
          </w:tcPr>
          <w:p w14:paraId="7E71EEC8" w14:textId="799338BA" w:rsidR="00414F37" w:rsidRPr="00414F37" w:rsidRDefault="00414F37" w:rsidP="00414F37">
            <w:pPr>
              <w:pStyle w:val="Tabletextboldleft"/>
              <w:spacing w:before="20" w:after="20"/>
              <w:jc w:val="right"/>
              <w:rPr>
                <w:b w:val="0"/>
              </w:rPr>
            </w:pPr>
            <w:r w:rsidRPr="00414F37">
              <w:rPr>
                <w:b w:val="0"/>
                <w:color w:val="000000"/>
              </w:rPr>
              <w:t>31,518</w:t>
            </w:r>
          </w:p>
        </w:tc>
        <w:tc>
          <w:tcPr>
            <w:tcW w:w="964" w:type="dxa"/>
            <w:tcBorders>
              <w:bottom w:val="nil"/>
            </w:tcBorders>
            <w:vAlign w:val="bottom"/>
          </w:tcPr>
          <w:p w14:paraId="73E27CA5" w14:textId="78C16504" w:rsidR="00414F37" w:rsidRPr="00414F37" w:rsidRDefault="00414F37" w:rsidP="00414F37">
            <w:pPr>
              <w:pStyle w:val="Tabletextboldleft"/>
              <w:spacing w:before="20" w:after="20"/>
              <w:jc w:val="right"/>
              <w:rPr>
                <w:b w:val="0"/>
              </w:rPr>
            </w:pPr>
            <w:r w:rsidRPr="00414F37">
              <w:rPr>
                <w:b w:val="0"/>
                <w:color w:val="000000"/>
              </w:rPr>
              <w:t>31,859</w:t>
            </w:r>
          </w:p>
        </w:tc>
        <w:tc>
          <w:tcPr>
            <w:tcW w:w="964" w:type="dxa"/>
            <w:tcBorders>
              <w:bottom w:val="nil"/>
            </w:tcBorders>
            <w:vAlign w:val="bottom"/>
          </w:tcPr>
          <w:p w14:paraId="52D4B369" w14:textId="654D0B54" w:rsidR="00414F37" w:rsidRPr="00414F37" w:rsidRDefault="00414F37" w:rsidP="00414F37">
            <w:pPr>
              <w:pStyle w:val="Tabletextboldleft"/>
              <w:spacing w:before="20" w:after="20"/>
              <w:jc w:val="right"/>
              <w:rPr>
                <w:b w:val="0"/>
              </w:rPr>
            </w:pPr>
            <w:r w:rsidRPr="00414F37">
              <w:rPr>
                <w:b w:val="0"/>
                <w:color w:val="000000"/>
              </w:rPr>
              <w:t>32,200</w:t>
            </w:r>
          </w:p>
        </w:tc>
        <w:tc>
          <w:tcPr>
            <w:tcW w:w="964" w:type="dxa"/>
            <w:tcBorders>
              <w:bottom w:val="nil"/>
            </w:tcBorders>
            <w:vAlign w:val="bottom"/>
          </w:tcPr>
          <w:p w14:paraId="44F3AB85" w14:textId="59E2643D" w:rsidR="00414F37" w:rsidRPr="00414F37" w:rsidRDefault="00414F37" w:rsidP="00414F37">
            <w:pPr>
              <w:pStyle w:val="Tabletextboldleft"/>
              <w:spacing w:before="20" w:after="20"/>
              <w:jc w:val="right"/>
              <w:rPr>
                <w:b w:val="0"/>
              </w:rPr>
            </w:pPr>
            <w:r w:rsidRPr="00414F37">
              <w:rPr>
                <w:b w:val="0"/>
                <w:color w:val="000000"/>
              </w:rPr>
              <w:t>32,540</w:t>
            </w:r>
          </w:p>
        </w:tc>
      </w:tr>
      <w:tr w:rsidR="00A93B10" w:rsidRPr="00F647C7" w14:paraId="72F8F26C" w14:textId="77777777" w:rsidTr="00E61184">
        <w:trPr>
          <w:trHeight w:val="212"/>
        </w:trPr>
        <w:tc>
          <w:tcPr>
            <w:tcW w:w="3544" w:type="dxa"/>
            <w:tcBorders>
              <w:top w:val="nil"/>
              <w:bottom w:val="nil"/>
            </w:tcBorders>
          </w:tcPr>
          <w:p w14:paraId="71611985" w14:textId="77777777" w:rsidR="00A93B10" w:rsidRPr="00F411CD" w:rsidRDefault="00A93B10" w:rsidP="00A93B10">
            <w:pPr>
              <w:pStyle w:val="Tabletextboldleft"/>
              <w:spacing w:before="20" w:after="20"/>
              <w:ind w:firstLine="317"/>
              <w:rPr>
                <w:b w:val="0"/>
              </w:rPr>
            </w:pPr>
            <w:r>
              <w:rPr>
                <w:b w:val="0"/>
              </w:rPr>
              <w:t>Ancillary tests</w:t>
            </w:r>
          </w:p>
        </w:tc>
        <w:tc>
          <w:tcPr>
            <w:tcW w:w="963" w:type="dxa"/>
            <w:tcBorders>
              <w:top w:val="nil"/>
              <w:bottom w:val="nil"/>
            </w:tcBorders>
            <w:vAlign w:val="bottom"/>
          </w:tcPr>
          <w:p w14:paraId="351CF3DC" w14:textId="55CB6624" w:rsidR="00A93B10" w:rsidRPr="00414F37" w:rsidRDefault="00A93B10" w:rsidP="00A93B10">
            <w:pPr>
              <w:pStyle w:val="Tabletextboldleft"/>
              <w:spacing w:before="20" w:after="20"/>
              <w:jc w:val="right"/>
              <w:rPr>
                <w:b w:val="0"/>
              </w:rPr>
            </w:pPr>
            <w:r w:rsidRPr="00414F37">
              <w:rPr>
                <w:b w:val="0"/>
                <w:color w:val="000000"/>
              </w:rPr>
              <w:t>2,228</w:t>
            </w:r>
          </w:p>
        </w:tc>
        <w:tc>
          <w:tcPr>
            <w:tcW w:w="964" w:type="dxa"/>
            <w:tcBorders>
              <w:top w:val="nil"/>
              <w:bottom w:val="nil"/>
            </w:tcBorders>
            <w:vAlign w:val="bottom"/>
          </w:tcPr>
          <w:p w14:paraId="32C4122B" w14:textId="4A5E3E81" w:rsidR="00A93B10" w:rsidRPr="00414F37" w:rsidRDefault="00A93B10" w:rsidP="00A93B10">
            <w:pPr>
              <w:pStyle w:val="Tabletextboldleft"/>
              <w:spacing w:before="20" w:after="20"/>
              <w:jc w:val="right"/>
              <w:rPr>
                <w:b w:val="0"/>
              </w:rPr>
            </w:pPr>
            <w:r w:rsidRPr="00414F37">
              <w:rPr>
                <w:b w:val="0"/>
                <w:color w:val="000000"/>
              </w:rPr>
              <w:t>2,252</w:t>
            </w:r>
          </w:p>
        </w:tc>
        <w:tc>
          <w:tcPr>
            <w:tcW w:w="964" w:type="dxa"/>
            <w:tcBorders>
              <w:top w:val="nil"/>
              <w:bottom w:val="nil"/>
            </w:tcBorders>
            <w:vAlign w:val="bottom"/>
          </w:tcPr>
          <w:p w14:paraId="26F9CDE5" w14:textId="764EB09D" w:rsidR="00A93B10" w:rsidRPr="00414F37" w:rsidRDefault="00A93B10" w:rsidP="00A93B10">
            <w:pPr>
              <w:pStyle w:val="Tabletextboldleft"/>
              <w:spacing w:before="20" w:after="20"/>
              <w:jc w:val="right"/>
              <w:rPr>
                <w:b w:val="0"/>
              </w:rPr>
            </w:pPr>
            <w:r w:rsidRPr="00414F37">
              <w:rPr>
                <w:b w:val="0"/>
                <w:color w:val="000000"/>
              </w:rPr>
              <w:t>2,277</w:t>
            </w:r>
          </w:p>
        </w:tc>
        <w:tc>
          <w:tcPr>
            <w:tcW w:w="964" w:type="dxa"/>
            <w:tcBorders>
              <w:top w:val="nil"/>
              <w:bottom w:val="nil"/>
            </w:tcBorders>
            <w:vAlign w:val="bottom"/>
          </w:tcPr>
          <w:p w14:paraId="585C8E9A" w14:textId="2AF5A0C2" w:rsidR="00A93B10" w:rsidRPr="00414F37" w:rsidRDefault="00A93B10" w:rsidP="00A93B10">
            <w:pPr>
              <w:pStyle w:val="Tabletextboldleft"/>
              <w:spacing w:before="20" w:after="20"/>
              <w:jc w:val="right"/>
              <w:rPr>
                <w:b w:val="0"/>
              </w:rPr>
            </w:pPr>
            <w:r w:rsidRPr="00414F37">
              <w:rPr>
                <w:b w:val="0"/>
                <w:color w:val="000000"/>
              </w:rPr>
              <w:t>2,301</w:t>
            </w:r>
          </w:p>
        </w:tc>
        <w:tc>
          <w:tcPr>
            <w:tcW w:w="964" w:type="dxa"/>
            <w:tcBorders>
              <w:top w:val="nil"/>
              <w:bottom w:val="nil"/>
            </w:tcBorders>
            <w:vAlign w:val="bottom"/>
          </w:tcPr>
          <w:p w14:paraId="71D77D90" w14:textId="23DAB6A9" w:rsidR="00A93B10" w:rsidRPr="00414F37" w:rsidRDefault="00A93B10" w:rsidP="00A93B10">
            <w:pPr>
              <w:pStyle w:val="Tabletextboldleft"/>
              <w:spacing w:before="20" w:after="20"/>
              <w:jc w:val="right"/>
              <w:rPr>
                <w:b w:val="0"/>
              </w:rPr>
            </w:pPr>
            <w:r w:rsidRPr="00414F37">
              <w:rPr>
                <w:b w:val="0"/>
                <w:color w:val="000000"/>
              </w:rPr>
              <w:t>2,325</w:t>
            </w:r>
          </w:p>
        </w:tc>
      </w:tr>
      <w:tr w:rsidR="001D5AA2" w:rsidRPr="00F647C7" w14:paraId="6303BFAC" w14:textId="77777777" w:rsidTr="00E61184">
        <w:trPr>
          <w:trHeight w:val="212"/>
        </w:trPr>
        <w:tc>
          <w:tcPr>
            <w:tcW w:w="3544" w:type="dxa"/>
            <w:tcBorders>
              <w:top w:val="nil"/>
              <w:bottom w:val="nil"/>
            </w:tcBorders>
          </w:tcPr>
          <w:p w14:paraId="537915D7" w14:textId="77777777" w:rsidR="001D5AA2" w:rsidRPr="00F411CD" w:rsidRDefault="001D5AA2" w:rsidP="001D5AA2">
            <w:pPr>
              <w:pStyle w:val="Tabletextboldleft"/>
              <w:spacing w:before="20" w:after="20"/>
              <w:ind w:firstLine="317"/>
              <w:rPr>
                <w:b w:val="0"/>
              </w:rPr>
            </w:pPr>
            <w:r>
              <w:rPr>
                <w:b w:val="0"/>
              </w:rPr>
              <w:t>Specimen referred fee (MBS 73940)</w:t>
            </w:r>
          </w:p>
        </w:tc>
        <w:tc>
          <w:tcPr>
            <w:tcW w:w="963" w:type="dxa"/>
            <w:tcBorders>
              <w:top w:val="nil"/>
              <w:bottom w:val="nil"/>
            </w:tcBorders>
            <w:vAlign w:val="bottom"/>
          </w:tcPr>
          <w:p w14:paraId="6747B5A4" w14:textId="436910C2" w:rsidR="001D5AA2" w:rsidRPr="00414F37" w:rsidRDefault="001D5AA2" w:rsidP="001D5AA2">
            <w:pPr>
              <w:pStyle w:val="Tabletextboldleft"/>
              <w:spacing w:before="20" w:after="20"/>
              <w:jc w:val="right"/>
              <w:rPr>
                <w:b w:val="0"/>
              </w:rPr>
            </w:pPr>
            <w:r w:rsidRPr="00414F37">
              <w:rPr>
                <w:b w:val="0"/>
              </w:rPr>
              <w:t>14,475</w:t>
            </w:r>
          </w:p>
        </w:tc>
        <w:tc>
          <w:tcPr>
            <w:tcW w:w="964" w:type="dxa"/>
            <w:tcBorders>
              <w:top w:val="nil"/>
              <w:bottom w:val="nil"/>
            </w:tcBorders>
            <w:vAlign w:val="bottom"/>
          </w:tcPr>
          <w:p w14:paraId="45103AEE" w14:textId="22444E9B" w:rsidR="001D5AA2" w:rsidRPr="00414F37" w:rsidRDefault="001D5AA2" w:rsidP="001D5AA2">
            <w:pPr>
              <w:pStyle w:val="Tabletextboldleft"/>
              <w:spacing w:before="20" w:after="20"/>
              <w:jc w:val="right"/>
              <w:rPr>
                <w:b w:val="0"/>
              </w:rPr>
            </w:pPr>
            <w:r w:rsidRPr="00414F37">
              <w:rPr>
                <w:b w:val="0"/>
              </w:rPr>
              <w:t>14,633</w:t>
            </w:r>
          </w:p>
        </w:tc>
        <w:tc>
          <w:tcPr>
            <w:tcW w:w="964" w:type="dxa"/>
            <w:tcBorders>
              <w:top w:val="nil"/>
              <w:bottom w:val="nil"/>
            </w:tcBorders>
            <w:vAlign w:val="bottom"/>
          </w:tcPr>
          <w:p w14:paraId="1AB19AF3" w14:textId="5737FE2D" w:rsidR="001D5AA2" w:rsidRPr="00414F37" w:rsidRDefault="001D5AA2" w:rsidP="001D5AA2">
            <w:pPr>
              <w:pStyle w:val="Tabletextboldleft"/>
              <w:spacing w:before="20" w:after="20"/>
              <w:jc w:val="right"/>
              <w:rPr>
                <w:b w:val="0"/>
              </w:rPr>
            </w:pPr>
            <w:r w:rsidRPr="00414F37">
              <w:rPr>
                <w:b w:val="0"/>
              </w:rPr>
              <w:t>14,791</w:t>
            </w:r>
          </w:p>
        </w:tc>
        <w:tc>
          <w:tcPr>
            <w:tcW w:w="964" w:type="dxa"/>
            <w:tcBorders>
              <w:top w:val="nil"/>
              <w:bottom w:val="nil"/>
            </w:tcBorders>
            <w:vAlign w:val="bottom"/>
          </w:tcPr>
          <w:p w14:paraId="2A9211A1" w14:textId="3027279D" w:rsidR="001D5AA2" w:rsidRPr="00414F37" w:rsidRDefault="001D5AA2" w:rsidP="001D5AA2">
            <w:pPr>
              <w:pStyle w:val="Tabletextboldleft"/>
              <w:spacing w:before="20" w:after="20"/>
              <w:jc w:val="right"/>
              <w:rPr>
                <w:b w:val="0"/>
              </w:rPr>
            </w:pPr>
            <w:r w:rsidRPr="00414F37">
              <w:rPr>
                <w:b w:val="0"/>
              </w:rPr>
              <w:t>14,949</w:t>
            </w:r>
          </w:p>
        </w:tc>
        <w:tc>
          <w:tcPr>
            <w:tcW w:w="964" w:type="dxa"/>
            <w:tcBorders>
              <w:top w:val="nil"/>
              <w:bottom w:val="nil"/>
            </w:tcBorders>
            <w:vAlign w:val="bottom"/>
          </w:tcPr>
          <w:p w14:paraId="40BB0D8D" w14:textId="2E22370E" w:rsidR="001D5AA2" w:rsidRPr="00414F37" w:rsidRDefault="001D5AA2" w:rsidP="001D5AA2">
            <w:pPr>
              <w:pStyle w:val="Tabletextboldleft"/>
              <w:spacing w:before="20" w:after="20"/>
              <w:jc w:val="right"/>
              <w:rPr>
                <w:b w:val="0"/>
              </w:rPr>
            </w:pPr>
            <w:r w:rsidRPr="00414F37">
              <w:rPr>
                <w:b w:val="0"/>
              </w:rPr>
              <w:t>15,107</w:t>
            </w:r>
          </w:p>
        </w:tc>
      </w:tr>
      <w:tr w:rsidR="001D5AA2" w:rsidRPr="00F647C7" w14:paraId="284CA14D" w14:textId="77777777" w:rsidTr="00E61184">
        <w:trPr>
          <w:trHeight w:val="212"/>
        </w:trPr>
        <w:tc>
          <w:tcPr>
            <w:tcW w:w="3544" w:type="dxa"/>
            <w:tcBorders>
              <w:top w:val="nil"/>
            </w:tcBorders>
          </w:tcPr>
          <w:p w14:paraId="21DD2771" w14:textId="77777777" w:rsidR="001D5AA2" w:rsidRPr="00F411CD" w:rsidRDefault="001D5AA2" w:rsidP="001D5AA2">
            <w:pPr>
              <w:pStyle w:val="Tabletextboldleft"/>
              <w:spacing w:before="20" w:after="20"/>
              <w:ind w:firstLine="317"/>
              <w:rPr>
                <w:b w:val="0"/>
              </w:rPr>
            </w:pPr>
            <w:r>
              <w:rPr>
                <w:b w:val="0"/>
              </w:rPr>
              <w:t>Bulk billing incentive (MBS 74996)</w:t>
            </w:r>
          </w:p>
        </w:tc>
        <w:tc>
          <w:tcPr>
            <w:tcW w:w="963" w:type="dxa"/>
            <w:tcBorders>
              <w:top w:val="nil"/>
            </w:tcBorders>
            <w:vAlign w:val="bottom"/>
          </w:tcPr>
          <w:p w14:paraId="3C3EDA7D" w14:textId="2B309836" w:rsidR="001D5AA2" w:rsidRPr="00414F37" w:rsidRDefault="001D5AA2" w:rsidP="001D5AA2">
            <w:pPr>
              <w:pStyle w:val="Tabletextboldleft"/>
              <w:spacing w:before="20" w:after="20"/>
              <w:jc w:val="right"/>
              <w:rPr>
                <w:b w:val="0"/>
              </w:rPr>
            </w:pPr>
            <w:r w:rsidRPr="00414F37">
              <w:rPr>
                <w:b w:val="0"/>
              </w:rPr>
              <w:t>14,475</w:t>
            </w:r>
          </w:p>
        </w:tc>
        <w:tc>
          <w:tcPr>
            <w:tcW w:w="964" w:type="dxa"/>
            <w:tcBorders>
              <w:top w:val="nil"/>
            </w:tcBorders>
            <w:vAlign w:val="bottom"/>
          </w:tcPr>
          <w:p w14:paraId="5250CF57" w14:textId="3DE80A4C" w:rsidR="001D5AA2" w:rsidRPr="00414F37" w:rsidRDefault="001D5AA2" w:rsidP="001D5AA2">
            <w:pPr>
              <w:pStyle w:val="Tabletextboldleft"/>
              <w:spacing w:before="20" w:after="20"/>
              <w:jc w:val="right"/>
              <w:rPr>
                <w:b w:val="0"/>
              </w:rPr>
            </w:pPr>
            <w:r w:rsidRPr="00414F37">
              <w:rPr>
                <w:b w:val="0"/>
              </w:rPr>
              <w:t>14,633</w:t>
            </w:r>
          </w:p>
        </w:tc>
        <w:tc>
          <w:tcPr>
            <w:tcW w:w="964" w:type="dxa"/>
            <w:tcBorders>
              <w:top w:val="nil"/>
            </w:tcBorders>
            <w:vAlign w:val="bottom"/>
          </w:tcPr>
          <w:p w14:paraId="012F25F5" w14:textId="6DD99873" w:rsidR="001D5AA2" w:rsidRPr="00414F37" w:rsidRDefault="001D5AA2" w:rsidP="001D5AA2">
            <w:pPr>
              <w:pStyle w:val="Tabletextboldleft"/>
              <w:spacing w:before="20" w:after="20"/>
              <w:jc w:val="right"/>
              <w:rPr>
                <w:b w:val="0"/>
              </w:rPr>
            </w:pPr>
            <w:r w:rsidRPr="00414F37">
              <w:rPr>
                <w:b w:val="0"/>
              </w:rPr>
              <w:t>14,791</w:t>
            </w:r>
          </w:p>
        </w:tc>
        <w:tc>
          <w:tcPr>
            <w:tcW w:w="964" w:type="dxa"/>
            <w:tcBorders>
              <w:top w:val="nil"/>
            </w:tcBorders>
            <w:vAlign w:val="bottom"/>
          </w:tcPr>
          <w:p w14:paraId="08CFEA52" w14:textId="3AECC4CD" w:rsidR="001D5AA2" w:rsidRPr="00414F37" w:rsidRDefault="001D5AA2" w:rsidP="001D5AA2">
            <w:pPr>
              <w:pStyle w:val="Tabletextboldleft"/>
              <w:spacing w:before="20" w:after="20"/>
              <w:jc w:val="right"/>
              <w:rPr>
                <w:b w:val="0"/>
              </w:rPr>
            </w:pPr>
            <w:r w:rsidRPr="00414F37">
              <w:rPr>
                <w:b w:val="0"/>
              </w:rPr>
              <w:t>14,949</w:t>
            </w:r>
          </w:p>
        </w:tc>
        <w:tc>
          <w:tcPr>
            <w:tcW w:w="964" w:type="dxa"/>
            <w:tcBorders>
              <w:top w:val="nil"/>
            </w:tcBorders>
            <w:vAlign w:val="bottom"/>
          </w:tcPr>
          <w:p w14:paraId="2B5CF5C0" w14:textId="3E18DDE6" w:rsidR="001D5AA2" w:rsidRPr="00414F37" w:rsidRDefault="001D5AA2" w:rsidP="001D5AA2">
            <w:pPr>
              <w:pStyle w:val="Tabletextboldleft"/>
              <w:spacing w:before="20" w:after="20"/>
              <w:jc w:val="right"/>
              <w:rPr>
                <w:b w:val="0"/>
              </w:rPr>
            </w:pPr>
            <w:r w:rsidRPr="00414F37">
              <w:rPr>
                <w:b w:val="0"/>
              </w:rPr>
              <w:t>15,107</w:t>
            </w:r>
          </w:p>
        </w:tc>
      </w:tr>
      <w:tr w:rsidR="001D5AA2" w:rsidRPr="00F647C7" w14:paraId="0FB6B577" w14:textId="77777777" w:rsidTr="00E61184">
        <w:trPr>
          <w:trHeight w:val="212"/>
        </w:trPr>
        <w:tc>
          <w:tcPr>
            <w:tcW w:w="3544" w:type="dxa"/>
          </w:tcPr>
          <w:p w14:paraId="1ED4E14D" w14:textId="77777777" w:rsidR="001D5AA2" w:rsidRPr="00C26CDD" w:rsidRDefault="001D5AA2" w:rsidP="001D5AA2">
            <w:pPr>
              <w:pStyle w:val="Tabletextboldleft"/>
              <w:spacing w:before="20" w:after="20"/>
              <w:rPr>
                <w:b w:val="0"/>
                <w:i/>
              </w:rPr>
            </w:pPr>
            <w:r>
              <w:rPr>
                <w:b w:val="0"/>
                <w:i/>
              </w:rPr>
              <w:t>Sub-t</w:t>
            </w:r>
            <w:r w:rsidRPr="00C26CDD">
              <w:rPr>
                <w:b w:val="0"/>
                <w:i/>
              </w:rPr>
              <w:t>otal (excluding gynaecological cytology)</w:t>
            </w:r>
          </w:p>
        </w:tc>
        <w:tc>
          <w:tcPr>
            <w:tcW w:w="963" w:type="dxa"/>
            <w:vAlign w:val="bottom"/>
          </w:tcPr>
          <w:p w14:paraId="67D40C64" w14:textId="3B8E75E0" w:rsidR="001D5AA2" w:rsidRPr="00C932DC" w:rsidRDefault="001D5AA2" w:rsidP="001D5AA2">
            <w:pPr>
              <w:pStyle w:val="Tabletextboldleft"/>
              <w:spacing w:before="20" w:after="20"/>
              <w:jc w:val="right"/>
              <w:rPr>
                <w:b w:val="0"/>
                <w:i/>
              </w:rPr>
            </w:pPr>
            <w:r w:rsidRPr="00C932DC">
              <w:rPr>
                <w:b w:val="0"/>
                <w:bCs/>
                <w:i/>
                <w:color w:val="000000"/>
              </w:rPr>
              <w:t>84,616</w:t>
            </w:r>
          </w:p>
        </w:tc>
        <w:tc>
          <w:tcPr>
            <w:tcW w:w="964" w:type="dxa"/>
            <w:vAlign w:val="bottom"/>
          </w:tcPr>
          <w:p w14:paraId="4CEC507A" w14:textId="156E556D" w:rsidR="001D5AA2" w:rsidRPr="00C932DC" w:rsidRDefault="001D5AA2" w:rsidP="001D5AA2">
            <w:pPr>
              <w:pStyle w:val="Tabletextboldleft"/>
              <w:spacing w:before="20" w:after="20"/>
              <w:jc w:val="right"/>
              <w:rPr>
                <w:b w:val="0"/>
                <w:i/>
              </w:rPr>
            </w:pPr>
            <w:r w:rsidRPr="00C932DC">
              <w:rPr>
                <w:b w:val="0"/>
                <w:bCs/>
                <w:i/>
                <w:color w:val="000000"/>
              </w:rPr>
              <w:t>87,653</w:t>
            </w:r>
          </w:p>
        </w:tc>
        <w:tc>
          <w:tcPr>
            <w:tcW w:w="964" w:type="dxa"/>
            <w:vAlign w:val="bottom"/>
          </w:tcPr>
          <w:p w14:paraId="20D828F2" w14:textId="7B449F2D" w:rsidR="001D5AA2" w:rsidRPr="00C932DC" w:rsidRDefault="001D5AA2" w:rsidP="001D5AA2">
            <w:pPr>
              <w:pStyle w:val="Tabletextboldleft"/>
              <w:spacing w:before="20" w:after="20"/>
              <w:jc w:val="right"/>
              <w:rPr>
                <w:b w:val="0"/>
                <w:i/>
              </w:rPr>
            </w:pPr>
            <w:r w:rsidRPr="00C932DC">
              <w:rPr>
                <w:b w:val="0"/>
                <w:bCs/>
                <w:i/>
                <w:color w:val="000000"/>
              </w:rPr>
              <w:t>90,691</w:t>
            </w:r>
          </w:p>
        </w:tc>
        <w:tc>
          <w:tcPr>
            <w:tcW w:w="964" w:type="dxa"/>
            <w:vAlign w:val="bottom"/>
          </w:tcPr>
          <w:p w14:paraId="1FA7907A" w14:textId="74669D24" w:rsidR="001D5AA2" w:rsidRPr="00C932DC" w:rsidRDefault="001D5AA2" w:rsidP="001D5AA2">
            <w:pPr>
              <w:pStyle w:val="Tabletextboldleft"/>
              <w:spacing w:before="20" w:after="20"/>
              <w:jc w:val="right"/>
              <w:rPr>
                <w:b w:val="0"/>
                <w:i/>
              </w:rPr>
            </w:pPr>
            <w:r w:rsidRPr="00C932DC">
              <w:rPr>
                <w:b w:val="0"/>
                <w:bCs/>
                <w:i/>
                <w:color w:val="000000"/>
              </w:rPr>
              <w:t>93,728</w:t>
            </w:r>
          </w:p>
        </w:tc>
        <w:tc>
          <w:tcPr>
            <w:tcW w:w="964" w:type="dxa"/>
            <w:vAlign w:val="bottom"/>
          </w:tcPr>
          <w:p w14:paraId="7A5E5383" w14:textId="71DD58E7" w:rsidR="001D5AA2" w:rsidRPr="00C932DC" w:rsidRDefault="001D5AA2" w:rsidP="001D5AA2">
            <w:pPr>
              <w:pStyle w:val="Tabletextboldleft"/>
              <w:spacing w:before="20" w:after="20"/>
              <w:jc w:val="right"/>
              <w:rPr>
                <w:b w:val="0"/>
                <w:i/>
              </w:rPr>
            </w:pPr>
            <w:r w:rsidRPr="00C932DC">
              <w:rPr>
                <w:b w:val="0"/>
                <w:bCs/>
                <w:i/>
                <w:color w:val="000000"/>
              </w:rPr>
              <w:t>96,766</w:t>
            </w:r>
          </w:p>
        </w:tc>
      </w:tr>
      <w:tr w:rsidR="001D5AA2" w:rsidRPr="00F647C7" w14:paraId="49ADC50D" w14:textId="77777777" w:rsidTr="00E61184">
        <w:trPr>
          <w:trHeight w:val="212"/>
        </w:trPr>
        <w:tc>
          <w:tcPr>
            <w:tcW w:w="3544" w:type="dxa"/>
          </w:tcPr>
          <w:p w14:paraId="6F5C46DB" w14:textId="77777777" w:rsidR="001D5AA2" w:rsidRPr="00C26CDD" w:rsidRDefault="001D5AA2" w:rsidP="001D5AA2">
            <w:pPr>
              <w:pStyle w:val="Tabletextboldleft"/>
              <w:spacing w:before="20" w:after="20"/>
              <w:rPr>
                <w:b w:val="0"/>
                <w:i/>
              </w:rPr>
            </w:pPr>
            <w:r>
              <w:rPr>
                <w:b w:val="0"/>
                <w:i/>
              </w:rPr>
              <w:t>Sub-t</w:t>
            </w:r>
            <w:r w:rsidRPr="00C26CDD">
              <w:rPr>
                <w:b w:val="0"/>
                <w:i/>
              </w:rPr>
              <w:t>otal (including all cytology)</w:t>
            </w:r>
          </w:p>
        </w:tc>
        <w:tc>
          <w:tcPr>
            <w:tcW w:w="963" w:type="dxa"/>
            <w:vAlign w:val="bottom"/>
          </w:tcPr>
          <w:p w14:paraId="42173B57" w14:textId="03C529E9" w:rsidR="001D5AA2" w:rsidRPr="00C932DC" w:rsidRDefault="001D5AA2" w:rsidP="001D5AA2">
            <w:pPr>
              <w:pStyle w:val="Tabletextboldleft"/>
              <w:spacing w:before="20" w:after="20"/>
              <w:jc w:val="right"/>
              <w:rPr>
                <w:b w:val="0"/>
                <w:i/>
              </w:rPr>
            </w:pPr>
            <w:r w:rsidRPr="00C932DC">
              <w:rPr>
                <w:b w:val="0"/>
                <w:bCs/>
                <w:i/>
                <w:color w:val="000000"/>
              </w:rPr>
              <w:t>111,874</w:t>
            </w:r>
          </w:p>
        </w:tc>
        <w:tc>
          <w:tcPr>
            <w:tcW w:w="964" w:type="dxa"/>
            <w:vAlign w:val="bottom"/>
          </w:tcPr>
          <w:p w14:paraId="104C5525" w14:textId="26DBC558" w:rsidR="001D5AA2" w:rsidRPr="00C932DC" w:rsidRDefault="001D5AA2" w:rsidP="001D5AA2">
            <w:pPr>
              <w:pStyle w:val="Tabletextboldleft"/>
              <w:spacing w:before="20" w:after="20"/>
              <w:jc w:val="right"/>
              <w:rPr>
                <w:b w:val="0"/>
                <w:i/>
              </w:rPr>
            </w:pPr>
            <w:r w:rsidRPr="00C932DC">
              <w:rPr>
                <w:b w:val="0"/>
                <w:bCs/>
                <w:i/>
                <w:color w:val="000000"/>
              </w:rPr>
              <w:t>115,138</w:t>
            </w:r>
          </w:p>
        </w:tc>
        <w:tc>
          <w:tcPr>
            <w:tcW w:w="964" w:type="dxa"/>
            <w:vAlign w:val="bottom"/>
          </w:tcPr>
          <w:p w14:paraId="5B6B2C6E" w14:textId="0BB14E82" w:rsidR="001D5AA2" w:rsidRPr="00C932DC" w:rsidRDefault="001D5AA2" w:rsidP="001D5AA2">
            <w:pPr>
              <w:pStyle w:val="Tabletextboldleft"/>
              <w:spacing w:before="20" w:after="20"/>
              <w:jc w:val="right"/>
              <w:rPr>
                <w:b w:val="0"/>
                <w:i/>
              </w:rPr>
            </w:pPr>
            <w:r w:rsidRPr="00C932DC">
              <w:rPr>
                <w:b w:val="0"/>
                <w:bCs/>
                <w:i/>
                <w:color w:val="000000"/>
              </w:rPr>
              <w:t>118,403</w:t>
            </w:r>
          </w:p>
        </w:tc>
        <w:tc>
          <w:tcPr>
            <w:tcW w:w="964" w:type="dxa"/>
            <w:vAlign w:val="bottom"/>
          </w:tcPr>
          <w:p w14:paraId="39945672" w14:textId="04E5CEA4" w:rsidR="001D5AA2" w:rsidRPr="00C932DC" w:rsidRDefault="001D5AA2" w:rsidP="001D5AA2">
            <w:pPr>
              <w:pStyle w:val="Tabletextboldleft"/>
              <w:spacing w:before="20" w:after="20"/>
              <w:jc w:val="right"/>
              <w:rPr>
                <w:b w:val="0"/>
                <w:i/>
              </w:rPr>
            </w:pPr>
            <w:r w:rsidRPr="00C932DC">
              <w:rPr>
                <w:b w:val="0"/>
                <w:bCs/>
                <w:i/>
                <w:color w:val="000000"/>
              </w:rPr>
              <w:t>121,667</w:t>
            </w:r>
          </w:p>
        </w:tc>
        <w:tc>
          <w:tcPr>
            <w:tcW w:w="964" w:type="dxa"/>
            <w:vAlign w:val="bottom"/>
          </w:tcPr>
          <w:p w14:paraId="0AC52F21" w14:textId="35A53CDE" w:rsidR="001D5AA2" w:rsidRPr="00C932DC" w:rsidRDefault="001D5AA2" w:rsidP="001D5AA2">
            <w:pPr>
              <w:pStyle w:val="Tabletextboldleft"/>
              <w:spacing w:before="20" w:after="20"/>
              <w:jc w:val="right"/>
              <w:rPr>
                <w:b w:val="0"/>
                <w:i/>
              </w:rPr>
            </w:pPr>
            <w:r w:rsidRPr="00C932DC">
              <w:rPr>
                <w:b w:val="0"/>
                <w:bCs/>
                <w:i/>
                <w:color w:val="000000"/>
              </w:rPr>
              <w:t>124,932</w:t>
            </w:r>
          </w:p>
        </w:tc>
      </w:tr>
      <w:tr w:rsidR="00B51828" w:rsidRPr="00F647C7" w14:paraId="0DEC42FE" w14:textId="77777777" w:rsidTr="00E61184">
        <w:trPr>
          <w:trHeight w:val="212"/>
        </w:trPr>
        <w:tc>
          <w:tcPr>
            <w:tcW w:w="3544" w:type="dxa"/>
            <w:tcBorders>
              <w:bottom w:val="single" w:sz="4" w:space="0" w:color="auto"/>
            </w:tcBorders>
            <w:shd w:val="clear" w:color="auto" w:fill="D0CECE" w:themeFill="background2" w:themeFillShade="E6"/>
          </w:tcPr>
          <w:p w14:paraId="2A6D692D" w14:textId="77777777" w:rsidR="00B51828" w:rsidRPr="009D63D8" w:rsidRDefault="00B51828" w:rsidP="002101D2">
            <w:pPr>
              <w:pStyle w:val="Tabletextboldleft"/>
              <w:spacing w:before="20" w:after="20"/>
            </w:pPr>
            <w:r w:rsidRPr="009D63D8">
              <w:rPr>
                <w:i/>
              </w:rPr>
              <w:t>Scenario 2</w:t>
            </w:r>
          </w:p>
        </w:tc>
        <w:tc>
          <w:tcPr>
            <w:tcW w:w="963" w:type="dxa"/>
            <w:tcBorders>
              <w:bottom w:val="single" w:sz="4" w:space="0" w:color="auto"/>
            </w:tcBorders>
            <w:shd w:val="clear" w:color="auto" w:fill="D0CECE" w:themeFill="background2" w:themeFillShade="E6"/>
          </w:tcPr>
          <w:p w14:paraId="4268BAF0" w14:textId="77777777" w:rsidR="00B51828" w:rsidRPr="00176793" w:rsidRDefault="00B51828" w:rsidP="002101D2">
            <w:pPr>
              <w:pStyle w:val="Tabletextboldleft"/>
              <w:spacing w:before="20" w:after="20"/>
              <w:jc w:val="right"/>
              <w:rPr>
                <w:b w:val="0"/>
              </w:rPr>
            </w:pPr>
            <w:r w:rsidRPr="00176793">
              <w:rPr>
                <w:b w:val="0"/>
              </w:rPr>
              <w:t>-</w:t>
            </w:r>
          </w:p>
        </w:tc>
        <w:tc>
          <w:tcPr>
            <w:tcW w:w="964" w:type="dxa"/>
            <w:tcBorders>
              <w:bottom w:val="single" w:sz="4" w:space="0" w:color="auto"/>
            </w:tcBorders>
            <w:shd w:val="clear" w:color="auto" w:fill="D0CECE" w:themeFill="background2" w:themeFillShade="E6"/>
          </w:tcPr>
          <w:p w14:paraId="46D86FFD" w14:textId="77777777" w:rsidR="00B51828" w:rsidRPr="00176793" w:rsidRDefault="00B51828" w:rsidP="002101D2">
            <w:pPr>
              <w:pStyle w:val="Tabletextboldleft"/>
              <w:spacing w:before="20" w:after="20"/>
              <w:jc w:val="right"/>
              <w:rPr>
                <w:b w:val="0"/>
              </w:rPr>
            </w:pPr>
            <w:r w:rsidRPr="00176793">
              <w:rPr>
                <w:b w:val="0"/>
              </w:rPr>
              <w:t>-</w:t>
            </w:r>
          </w:p>
        </w:tc>
        <w:tc>
          <w:tcPr>
            <w:tcW w:w="964" w:type="dxa"/>
            <w:tcBorders>
              <w:bottom w:val="single" w:sz="4" w:space="0" w:color="auto"/>
            </w:tcBorders>
            <w:shd w:val="clear" w:color="auto" w:fill="D0CECE" w:themeFill="background2" w:themeFillShade="E6"/>
          </w:tcPr>
          <w:p w14:paraId="784D1ED7" w14:textId="77777777" w:rsidR="00B51828" w:rsidRPr="00176793" w:rsidRDefault="00B51828" w:rsidP="002101D2">
            <w:pPr>
              <w:pStyle w:val="Tabletextboldleft"/>
              <w:spacing w:before="20" w:after="20"/>
              <w:jc w:val="right"/>
              <w:rPr>
                <w:b w:val="0"/>
              </w:rPr>
            </w:pPr>
            <w:r w:rsidRPr="00176793">
              <w:rPr>
                <w:b w:val="0"/>
              </w:rPr>
              <w:t>-</w:t>
            </w:r>
          </w:p>
        </w:tc>
        <w:tc>
          <w:tcPr>
            <w:tcW w:w="964" w:type="dxa"/>
            <w:tcBorders>
              <w:bottom w:val="single" w:sz="4" w:space="0" w:color="auto"/>
            </w:tcBorders>
            <w:shd w:val="clear" w:color="auto" w:fill="D0CECE" w:themeFill="background2" w:themeFillShade="E6"/>
          </w:tcPr>
          <w:p w14:paraId="41A50774" w14:textId="77777777" w:rsidR="00B51828" w:rsidRPr="00176793" w:rsidRDefault="00B51828" w:rsidP="002101D2">
            <w:pPr>
              <w:pStyle w:val="Tabletextboldleft"/>
              <w:spacing w:before="20" w:after="20"/>
              <w:jc w:val="right"/>
              <w:rPr>
                <w:b w:val="0"/>
              </w:rPr>
            </w:pPr>
            <w:r w:rsidRPr="00176793">
              <w:rPr>
                <w:b w:val="0"/>
              </w:rPr>
              <w:t>-</w:t>
            </w:r>
          </w:p>
        </w:tc>
        <w:tc>
          <w:tcPr>
            <w:tcW w:w="964" w:type="dxa"/>
            <w:tcBorders>
              <w:bottom w:val="single" w:sz="4" w:space="0" w:color="auto"/>
            </w:tcBorders>
            <w:shd w:val="clear" w:color="auto" w:fill="D0CECE" w:themeFill="background2" w:themeFillShade="E6"/>
          </w:tcPr>
          <w:p w14:paraId="731BD5F6" w14:textId="77777777" w:rsidR="00B51828" w:rsidRPr="00176793" w:rsidRDefault="00B51828" w:rsidP="002101D2">
            <w:pPr>
              <w:pStyle w:val="Tabletextboldleft"/>
              <w:spacing w:before="20" w:after="20"/>
              <w:jc w:val="right"/>
              <w:rPr>
                <w:b w:val="0"/>
              </w:rPr>
            </w:pPr>
            <w:r w:rsidRPr="00176793">
              <w:rPr>
                <w:b w:val="0"/>
              </w:rPr>
              <w:t>-</w:t>
            </w:r>
          </w:p>
        </w:tc>
      </w:tr>
      <w:tr w:rsidR="00B51828" w:rsidRPr="00F647C7" w14:paraId="5366B827" w14:textId="77777777" w:rsidTr="00E61184">
        <w:trPr>
          <w:trHeight w:val="212"/>
        </w:trPr>
        <w:tc>
          <w:tcPr>
            <w:tcW w:w="3544" w:type="dxa"/>
            <w:tcBorders>
              <w:bottom w:val="nil"/>
            </w:tcBorders>
          </w:tcPr>
          <w:p w14:paraId="3BD2D13B" w14:textId="77777777" w:rsidR="00B51828" w:rsidRPr="00F411CD"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963" w:type="dxa"/>
            <w:tcBorders>
              <w:bottom w:val="nil"/>
            </w:tcBorders>
          </w:tcPr>
          <w:p w14:paraId="21B19ECD" w14:textId="77777777" w:rsidR="00B51828" w:rsidRPr="001D5AA2" w:rsidRDefault="00B51828" w:rsidP="002101D2">
            <w:pPr>
              <w:pStyle w:val="Tabletextboldleft"/>
              <w:spacing w:before="20" w:after="20"/>
              <w:jc w:val="right"/>
              <w:rPr>
                <w:b w:val="0"/>
              </w:rPr>
            </w:pPr>
            <w:r w:rsidRPr="001D5AA2">
              <w:rPr>
                <w:b w:val="0"/>
                <w:color w:val="000000"/>
              </w:rPr>
              <w:t>26,757</w:t>
            </w:r>
          </w:p>
        </w:tc>
        <w:tc>
          <w:tcPr>
            <w:tcW w:w="964" w:type="dxa"/>
            <w:tcBorders>
              <w:bottom w:val="nil"/>
            </w:tcBorders>
          </w:tcPr>
          <w:p w14:paraId="3625D432" w14:textId="77777777" w:rsidR="00B51828" w:rsidRPr="001D5AA2" w:rsidRDefault="00B51828" w:rsidP="002101D2">
            <w:pPr>
              <w:pStyle w:val="Tabletextboldleft"/>
              <w:spacing w:before="20" w:after="20"/>
              <w:jc w:val="right"/>
              <w:rPr>
                <w:b w:val="0"/>
              </w:rPr>
            </w:pPr>
            <w:r w:rsidRPr="001D5AA2">
              <w:rPr>
                <w:b w:val="0"/>
                <w:color w:val="000000"/>
              </w:rPr>
              <w:t>27,726</w:t>
            </w:r>
          </w:p>
        </w:tc>
        <w:tc>
          <w:tcPr>
            <w:tcW w:w="964" w:type="dxa"/>
            <w:tcBorders>
              <w:bottom w:val="nil"/>
            </w:tcBorders>
          </w:tcPr>
          <w:p w14:paraId="644A6511" w14:textId="77777777" w:rsidR="00B51828" w:rsidRPr="001D5AA2" w:rsidRDefault="00B51828" w:rsidP="002101D2">
            <w:pPr>
              <w:pStyle w:val="Tabletextboldleft"/>
              <w:spacing w:before="20" w:after="20"/>
              <w:jc w:val="right"/>
              <w:rPr>
                <w:b w:val="0"/>
              </w:rPr>
            </w:pPr>
            <w:r w:rsidRPr="001D5AA2">
              <w:rPr>
                <w:b w:val="0"/>
                <w:color w:val="000000"/>
              </w:rPr>
              <w:t>28,696</w:t>
            </w:r>
          </w:p>
        </w:tc>
        <w:tc>
          <w:tcPr>
            <w:tcW w:w="964" w:type="dxa"/>
            <w:tcBorders>
              <w:bottom w:val="nil"/>
            </w:tcBorders>
          </w:tcPr>
          <w:p w14:paraId="15143464" w14:textId="77777777" w:rsidR="00B51828" w:rsidRPr="001D5AA2" w:rsidRDefault="00B51828" w:rsidP="002101D2">
            <w:pPr>
              <w:pStyle w:val="Tabletextboldleft"/>
              <w:spacing w:before="20" w:after="20"/>
              <w:jc w:val="right"/>
              <w:rPr>
                <w:b w:val="0"/>
              </w:rPr>
            </w:pPr>
            <w:r w:rsidRPr="001D5AA2">
              <w:rPr>
                <w:b w:val="0"/>
                <w:color w:val="000000"/>
              </w:rPr>
              <w:t>29,665</w:t>
            </w:r>
          </w:p>
        </w:tc>
        <w:tc>
          <w:tcPr>
            <w:tcW w:w="964" w:type="dxa"/>
            <w:tcBorders>
              <w:bottom w:val="nil"/>
            </w:tcBorders>
          </w:tcPr>
          <w:p w14:paraId="432A936E" w14:textId="77777777" w:rsidR="00B51828" w:rsidRPr="001D5AA2" w:rsidRDefault="00B51828" w:rsidP="002101D2">
            <w:pPr>
              <w:pStyle w:val="Tabletextboldleft"/>
              <w:spacing w:before="20" w:after="20"/>
              <w:jc w:val="right"/>
              <w:rPr>
                <w:b w:val="0"/>
              </w:rPr>
            </w:pPr>
            <w:r w:rsidRPr="001D5AA2">
              <w:rPr>
                <w:b w:val="0"/>
                <w:color w:val="000000"/>
              </w:rPr>
              <w:t>30,635</w:t>
            </w:r>
          </w:p>
        </w:tc>
      </w:tr>
      <w:tr w:rsidR="00B51828" w:rsidRPr="00F647C7" w14:paraId="73550BFD" w14:textId="77777777" w:rsidTr="00E61184">
        <w:trPr>
          <w:trHeight w:val="212"/>
        </w:trPr>
        <w:tc>
          <w:tcPr>
            <w:tcW w:w="3544" w:type="dxa"/>
            <w:tcBorders>
              <w:top w:val="nil"/>
              <w:bottom w:val="nil"/>
            </w:tcBorders>
          </w:tcPr>
          <w:p w14:paraId="26B39E2A" w14:textId="77777777" w:rsidR="00B51828" w:rsidRPr="00F411CD"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53C77D9C" w14:textId="77777777" w:rsidR="00B51828" w:rsidRPr="001D5AA2" w:rsidRDefault="00B51828" w:rsidP="002101D2">
            <w:pPr>
              <w:pStyle w:val="Tabletextboldleft"/>
              <w:spacing w:before="20" w:after="20"/>
              <w:jc w:val="right"/>
              <w:rPr>
                <w:b w:val="0"/>
              </w:rPr>
            </w:pPr>
            <w:r w:rsidRPr="001D5AA2">
              <w:rPr>
                <w:b w:val="0"/>
                <w:color w:val="000000"/>
              </w:rPr>
              <w:t>4,021</w:t>
            </w:r>
          </w:p>
        </w:tc>
        <w:tc>
          <w:tcPr>
            <w:tcW w:w="964" w:type="dxa"/>
            <w:tcBorders>
              <w:top w:val="nil"/>
              <w:bottom w:val="nil"/>
            </w:tcBorders>
          </w:tcPr>
          <w:p w14:paraId="272AA709" w14:textId="77777777" w:rsidR="00B51828" w:rsidRPr="001D5AA2" w:rsidRDefault="00B51828" w:rsidP="002101D2">
            <w:pPr>
              <w:pStyle w:val="Tabletextboldleft"/>
              <w:spacing w:before="20" w:after="20"/>
              <w:jc w:val="right"/>
              <w:rPr>
                <w:b w:val="0"/>
              </w:rPr>
            </w:pPr>
            <w:r w:rsidRPr="001D5AA2">
              <w:rPr>
                <w:b w:val="0"/>
                <w:color w:val="000000"/>
              </w:rPr>
              <w:t>4,167</w:t>
            </w:r>
          </w:p>
        </w:tc>
        <w:tc>
          <w:tcPr>
            <w:tcW w:w="964" w:type="dxa"/>
            <w:tcBorders>
              <w:top w:val="nil"/>
              <w:bottom w:val="nil"/>
            </w:tcBorders>
          </w:tcPr>
          <w:p w14:paraId="2A56C42F" w14:textId="77777777" w:rsidR="00B51828" w:rsidRPr="001D5AA2" w:rsidRDefault="00B51828" w:rsidP="002101D2">
            <w:pPr>
              <w:pStyle w:val="Tabletextboldleft"/>
              <w:spacing w:before="20" w:after="20"/>
              <w:jc w:val="right"/>
              <w:rPr>
                <w:b w:val="0"/>
              </w:rPr>
            </w:pPr>
            <w:r w:rsidRPr="001D5AA2">
              <w:rPr>
                <w:b w:val="0"/>
                <w:color w:val="000000"/>
              </w:rPr>
              <w:t>4,313</w:t>
            </w:r>
          </w:p>
        </w:tc>
        <w:tc>
          <w:tcPr>
            <w:tcW w:w="964" w:type="dxa"/>
            <w:tcBorders>
              <w:top w:val="nil"/>
              <w:bottom w:val="nil"/>
            </w:tcBorders>
          </w:tcPr>
          <w:p w14:paraId="5DB11697" w14:textId="77777777" w:rsidR="00B51828" w:rsidRPr="001D5AA2" w:rsidRDefault="00B51828" w:rsidP="002101D2">
            <w:pPr>
              <w:pStyle w:val="Tabletextboldleft"/>
              <w:spacing w:before="20" w:after="20"/>
              <w:jc w:val="right"/>
              <w:rPr>
                <w:b w:val="0"/>
              </w:rPr>
            </w:pPr>
            <w:r w:rsidRPr="001D5AA2">
              <w:rPr>
                <w:b w:val="0"/>
                <w:color w:val="000000"/>
              </w:rPr>
              <w:t>4,458</w:t>
            </w:r>
          </w:p>
        </w:tc>
        <w:tc>
          <w:tcPr>
            <w:tcW w:w="964" w:type="dxa"/>
            <w:tcBorders>
              <w:top w:val="nil"/>
              <w:bottom w:val="nil"/>
            </w:tcBorders>
          </w:tcPr>
          <w:p w14:paraId="6DBC7EB0" w14:textId="77777777" w:rsidR="00B51828" w:rsidRPr="001D5AA2" w:rsidRDefault="00B51828" w:rsidP="002101D2">
            <w:pPr>
              <w:pStyle w:val="Tabletextboldleft"/>
              <w:spacing w:before="20" w:after="20"/>
              <w:jc w:val="right"/>
              <w:rPr>
                <w:b w:val="0"/>
              </w:rPr>
            </w:pPr>
            <w:r w:rsidRPr="001D5AA2">
              <w:rPr>
                <w:b w:val="0"/>
                <w:color w:val="000000"/>
              </w:rPr>
              <w:t>4,604</w:t>
            </w:r>
          </w:p>
        </w:tc>
      </w:tr>
      <w:tr w:rsidR="00B51828" w:rsidRPr="00F647C7" w14:paraId="56E26F69" w14:textId="77777777" w:rsidTr="00E61184">
        <w:trPr>
          <w:trHeight w:val="212"/>
        </w:trPr>
        <w:tc>
          <w:tcPr>
            <w:tcW w:w="3544" w:type="dxa"/>
            <w:tcBorders>
              <w:top w:val="nil"/>
              <w:bottom w:val="nil"/>
            </w:tcBorders>
          </w:tcPr>
          <w:p w14:paraId="20B9D209" w14:textId="77777777" w:rsidR="00B51828" w:rsidRPr="00F411CD"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13BB771E" w14:textId="77777777" w:rsidR="00B51828" w:rsidRPr="00414F37" w:rsidRDefault="00B51828" w:rsidP="002101D2">
            <w:pPr>
              <w:pStyle w:val="Tabletextboldleft"/>
              <w:spacing w:before="20" w:after="20"/>
              <w:jc w:val="right"/>
              <w:rPr>
                <w:b w:val="0"/>
              </w:rPr>
            </w:pPr>
            <w:r w:rsidRPr="00414F37">
              <w:rPr>
                <w:b w:val="0"/>
                <w:color w:val="000000"/>
              </w:rPr>
              <w:t>11,368</w:t>
            </w:r>
          </w:p>
        </w:tc>
        <w:tc>
          <w:tcPr>
            <w:tcW w:w="964" w:type="dxa"/>
            <w:tcBorders>
              <w:top w:val="nil"/>
              <w:bottom w:val="nil"/>
            </w:tcBorders>
          </w:tcPr>
          <w:p w14:paraId="19D57731" w14:textId="77777777" w:rsidR="00B51828" w:rsidRPr="00414F37" w:rsidRDefault="00B51828" w:rsidP="002101D2">
            <w:pPr>
              <w:pStyle w:val="Tabletextboldleft"/>
              <w:spacing w:before="20" w:after="20"/>
              <w:jc w:val="right"/>
              <w:rPr>
                <w:b w:val="0"/>
              </w:rPr>
            </w:pPr>
            <w:r w:rsidRPr="00414F37">
              <w:rPr>
                <w:b w:val="0"/>
                <w:color w:val="000000"/>
              </w:rPr>
              <w:t>11,780</w:t>
            </w:r>
          </w:p>
        </w:tc>
        <w:tc>
          <w:tcPr>
            <w:tcW w:w="964" w:type="dxa"/>
            <w:tcBorders>
              <w:top w:val="nil"/>
              <w:bottom w:val="nil"/>
            </w:tcBorders>
          </w:tcPr>
          <w:p w14:paraId="2D4A5C9B" w14:textId="77777777" w:rsidR="00B51828" w:rsidRPr="00414F37" w:rsidRDefault="00B51828" w:rsidP="002101D2">
            <w:pPr>
              <w:pStyle w:val="Tabletextboldleft"/>
              <w:spacing w:before="20" w:after="20"/>
              <w:jc w:val="right"/>
              <w:rPr>
                <w:b w:val="0"/>
              </w:rPr>
            </w:pPr>
            <w:r w:rsidRPr="00414F37">
              <w:rPr>
                <w:b w:val="0"/>
                <w:color w:val="000000"/>
              </w:rPr>
              <w:t>12,191</w:t>
            </w:r>
          </w:p>
        </w:tc>
        <w:tc>
          <w:tcPr>
            <w:tcW w:w="964" w:type="dxa"/>
            <w:tcBorders>
              <w:top w:val="nil"/>
              <w:bottom w:val="nil"/>
            </w:tcBorders>
          </w:tcPr>
          <w:p w14:paraId="18CF7CEE" w14:textId="77777777" w:rsidR="00B51828" w:rsidRPr="00414F37" w:rsidRDefault="00B51828" w:rsidP="002101D2">
            <w:pPr>
              <w:pStyle w:val="Tabletextboldleft"/>
              <w:spacing w:before="20" w:after="20"/>
              <w:jc w:val="right"/>
              <w:rPr>
                <w:b w:val="0"/>
              </w:rPr>
            </w:pPr>
            <w:r w:rsidRPr="00414F37">
              <w:rPr>
                <w:b w:val="0"/>
                <w:color w:val="000000"/>
              </w:rPr>
              <w:t>12,603</w:t>
            </w:r>
          </w:p>
        </w:tc>
        <w:tc>
          <w:tcPr>
            <w:tcW w:w="964" w:type="dxa"/>
            <w:tcBorders>
              <w:top w:val="nil"/>
              <w:bottom w:val="nil"/>
            </w:tcBorders>
          </w:tcPr>
          <w:p w14:paraId="6AF86909" w14:textId="77777777" w:rsidR="00B51828" w:rsidRPr="00414F37" w:rsidRDefault="00B51828" w:rsidP="002101D2">
            <w:pPr>
              <w:pStyle w:val="Tabletextboldleft"/>
              <w:spacing w:before="20" w:after="20"/>
              <w:jc w:val="right"/>
              <w:rPr>
                <w:b w:val="0"/>
              </w:rPr>
            </w:pPr>
            <w:r w:rsidRPr="00414F37">
              <w:rPr>
                <w:b w:val="0"/>
                <w:color w:val="000000"/>
              </w:rPr>
              <w:t>13,015</w:t>
            </w:r>
          </w:p>
        </w:tc>
      </w:tr>
      <w:tr w:rsidR="00B51828" w:rsidRPr="00F647C7" w14:paraId="03E69F1A" w14:textId="77777777" w:rsidTr="00E61184">
        <w:trPr>
          <w:trHeight w:val="212"/>
        </w:trPr>
        <w:tc>
          <w:tcPr>
            <w:tcW w:w="3544" w:type="dxa"/>
            <w:tcBorders>
              <w:top w:val="nil"/>
              <w:bottom w:val="single" w:sz="4" w:space="0" w:color="auto"/>
            </w:tcBorders>
          </w:tcPr>
          <w:p w14:paraId="47D8F3C6" w14:textId="77777777" w:rsidR="00B51828" w:rsidRPr="00F411CD" w:rsidRDefault="00B51828" w:rsidP="002101D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tcPr>
          <w:p w14:paraId="690CCA98" w14:textId="77777777" w:rsidR="00B51828" w:rsidRPr="00414F37" w:rsidRDefault="00B51828" w:rsidP="002101D2">
            <w:pPr>
              <w:pStyle w:val="Tabletextboldleft"/>
              <w:spacing w:before="20" w:after="20"/>
              <w:jc w:val="right"/>
              <w:rPr>
                <w:b w:val="0"/>
              </w:rPr>
            </w:pPr>
            <w:r w:rsidRPr="00414F37">
              <w:rPr>
                <w:b w:val="0"/>
                <w:color w:val="000000"/>
              </w:rPr>
              <w:t>11,368</w:t>
            </w:r>
          </w:p>
        </w:tc>
        <w:tc>
          <w:tcPr>
            <w:tcW w:w="964" w:type="dxa"/>
            <w:tcBorders>
              <w:top w:val="nil"/>
              <w:bottom w:val="single" w:sz="4" w:space="0" w:color="auto"/>
            </w:tcBorders>
          </w:tcPr>
          <w:p w14:paraId="2AC516FE" w14:textId="77777777" w:rsidR="00B51828" w:rsidRPr="00414F37" w:rsidRDefault="00B51828" w:rsidP="002101D2">
            <w:pPr>
              <w:pStyle w:val="Tabletextboldleft"/>
              <w:spacing w:before="20" w:after="20"/>
              <w:jc w:val="right"/>
              <w:rPr>
                <w:b w:val="0"/>
              </w:rPr>
            </w:pPr>
            <w:r w:rsidRPr="00414F37">
              <w:rPr>
                <w:b w:val="0"/>
                <w:color w:val="000000"/>
              </w:rPr>
              <w:t>11,780</w:t>
            </w:r>
          </w:p>
        </w:tc>
        <w:tc>
          <w:tcPr>
            <w:tcW w:w="964" w:type="dxa"/>
            <w:tcBorders>
              <w:top w:val="nil"/>
              <w:bottom w:val="single" w:sz="4" w:space="0" w:color="auto"/>
            </w:tcBorders>
          </w:tcPr>
          <w:p w14:paraId="660FC5B8" w14:textId="77777777" w:rsidR="00B51828" w:rsidRPr="00414F37" w:rsidRDefault="00B51828" w:rsidP="002101D2">
            <w:pPr>
              <w:pStyle w:val="Tabletextboldleft"/>
              <w:spacing w:before="20" w:after="20"/>
              <w:jc w:val="right"/>
              <w:rPr>
                <w:b w:val="0"/>
              </w:rPr>
            </w:pPr>
            <w:r w:rsidRPr="00414F37">
              <w:rPr>
                <w:b w:val="0"/>
                <w:color w:val="000000"/>
              </w:rPr>
              <w:t>12,191</w:t>
            </w:r>
          </w:p>
        </w:tc>
        <w:tc>
          <w:tcPr>
            <w:tcW w:w="964" w:type="dxa"/>
            <w:tcBorders>
              <w:top w:val="nil"/>
              <w:bottom w:val="single" w:sz="4" w:space="0" w:color="auto"/>
            </w:tcBorders>
          </w:tcPr>
          <w:p w14:paraId="06210D92" w14:textId="77777777" w:rsidR="00B51828" w:rsidRPr="00414F37" w:rsidRDefault="00B51828" w:rsidP="002101D2">
            <w:pPr>
              <w:pStyle w:val="Tabletextboldleft"/>
              <w:spacing w:before="20" w:after="20"/>
              <w:jc w:val="right"/>
              <w:rPr>
                <w:b w:val="0"/>
              </w:rPr>
            </w:pPr>
            <w:r w:rsidRPr="00414F37">
              <w:rPr>
                <w:b w:val="0"/>
                <w:color w:val="000000"/>
              </w:rPr>
              <w:t>12,603</w:t>
            </w:r>
          </w:p>
        </w:tc>
        <w:tc>
          <w:tcPr>
            <w:tcW w:w="964" w:type="dxa"/>
            <w:tcBorders>
              <w:top w:val="nil"/>
              <w:bottom w:val="single" w:sz="4" w:space="0" w:color="auto"/>
            </w:tcBorders>
          </w:tcPr>
          <w:p w14:paraId="3D1258D4" w14:textId="77777777" w:rsidR="00B51828" w:rsidRPr="00414F37" w:rsidRDefault="00B51828" w:rsidP="002101D2">
            <w:pPr>
              <w:pStyle w:val="Tabletextboldleft"/>
              <w:spacing w:before="20" w:after="20"/>
              <w:jc w:val="right"/>
              <w:rPr>
                <w:b w:val="0"/>
              </w:rPr>
            </w:pPr>
            <w:r w:rsidRPr="00414F37">
              <w:rPr>
                <w:b w:val="0"/>
                <w:color w:val="000000"/>
              </w:rPr>
              <w:t>13,015</w:t>
            </w:r>
          </w:p>
        </w:tc>
      </w:tr>
      <w:tr w:rsidR="00414F37" w:rsidRPr="00F647C7" w14:paraId="15A46FEA" w14:textId="77777777" w:rsidTr="00E61184">
        <w:trPr>
          <w:trHeight w:val="212"/>
        </w:trPr>
        <w:tc>
          <w:tcPr>
            <w:tcW w:w="3544" w:type="dxa"/>
            <w:tcBorders>
              <w:bottom w:val="nil"/>
            </w:tcBorders>
          </w:tcPr>
          <w:p w14:paraId="41725301" w14:textId="77777777" w:rsidR="00414F37" w:rsidRPr="00F411CD" w:rsidRDefault="00414F37" w:rsidP="00414F37">
            <w:pPr>
              <w:pStyle w:val="Tabletextboldleft"/>
              <w:spacing w:before="20" w:after="20"/>
              <w:rPr>
                <w:b w:val="0"/>
              </w:rPr>
            </w:pPr>
            <w:r w:rsidRPr="00F411CD">
              <w:rPr>
                <w:b w:val="0"/>
              </w:rPr>
              <w:t>Non-gynaecological cytology</w:t>
            </w:r>
          </w:p>
        </w:tc>
        <w:tc>
          <w:tcPr>
            <w:tcW w:w="963" w:type="dxa"/>
            <w:tcBorders>
              <w:bottom w:val="nil"/>
            </w:tcBorders>
            <w:vAlign w:val="bottom"/>
          </w:tcPr>
          <w:p w14:paraId="59E72DCB" w14:textId="3053A1B7" w:rsidR="00414F37" w:rsidRPr="00414F37" w:rsidRDefault="00414F37" w:rsidP="00414F37">
            <w:pPr>
              <w:pStyle w:val="Tabletextboldleft"/>
              <w:spacing w:before="20" w:after="20"/>
              <w:jc w:val="right"/>
              <w:rPr>
                <w:b w:val="0"/>
              </w:rPr>
            </w:pPr>
            <w:r w:rsidRPr="00414F37">
              <w:rPr>
                <w:b w:val="0"/>
                <w:color w:val="000000"/>
              </w:rPr>
              <w:t>2,667</w:t>
            </w:r>
          </w:p>
        </w:tc>
        <w:tc>
          <w:tcPr>
            <w:tcW w:w="964" w:type="dxa"/>
            <w:tcBorders>
              <w:bottom w:val="nil"/>
            </w:tcBorders>
            <w:vAlign w:val="bottom"/>
          </w:tcPr>
          <w:p w14:paraId="14D4BC2F" w14:textId="3FCAA7CD" w:rsidR="00414F37" w:rsidRPr="00414F37" w:rsidRDefault="00414F37" w:rsidP="00414F37">
            <w:pPr>
              <w:pStyle w:val="Tabletextboldleft"/>
              <w:spacing w:before="20" w:after="20"/>
              <w:jc w:val="right"/>
              <w:rPr>
                <w:b w:val="0"/>
              </w:rPr>
            </w:pPr>
            <w:r w:rsidRPr="00414F37">
              <w:rPr>
                <w:b w:val="0"/>
                <w:color w:val="000000"/>
              </w:rPr>
              <w:t>2,745</w:t>
            </w:r>
          </w:p>
        </w:tc>
        <w:tc>
          <w:tcPr>
            <w:tcW w:w="964" w:type="dxa"/>
            <w:tcBorders>
              <w:bottom w:val="nil"/>
            </w:tcBorders>
            <w:vAlign w:val="bottom"/>
          </w:tcPr>
          <w:p w14:paraId="40441F15" w14:textId="3C5A6ABF" w:rsidR="00414F37" w:rsidRPr="00414F37" w:rsidRDefault="00414F37" w:rsidP="00414F37">
            <w:pPr>
              <w:pStyle w:val="Tabletextboldleft"/>
              <w:spacing w:before="20" w:after="20"/>
              <w:jc w:val="right"/>
              <w:rPr>
                <w:b w:val="0"/>
              </w:rPr>
            </w:pPr>
            <w:r w:rsidRPr="00414F37">
              <w:rPr>
                <w:b w:val="0"/>
                <w:color w:val="000000"/>
              </w:rPr>
              <w:t>2,822</w:t>
            </w:r>
          </w:p>
        </w:tc>
        <w:tc>
          <w:tcPr>
            <w:tcW w:w="964" w:type="dxa"/>
            <w:tcBorders>
              <w:bottom w:val="nil"/>
            </w:tcBorders>
            <w:vAlign w:val="bottom"/>
          </w:tcPr>
          <w:p w14:paraId="10693176" w14:textId="5916E05B" w:rsidR="00414F37" w:rsidRPr="00414F37" w:rsidRDefault="00414F37" w:rsidP="00414F37">
            <w:pPr>
              <w:pStyle w:val="Tabletextboldleft"/>
              <w:spacing w:before="20" w:after="20"/>
              <w:jc w:val="right"/>
              <w:rPr>
                <w:b w:val="0"/>
              </w:rPr>
            </w:pPr>
            <w:r w:rsidRPr="00414F37">
              <w:rPr>
                <w:b w:val="0"/>
                <w:color w:val="000000"/>
              </w:rPr>
              <w:t>2,899</w:t>
            </w:r>
          </w:p>
        </w:tc>
        <w:tc>
          <w:tcPr>
            <w:tcW w:w="964" w:type="dxa"/>
            <w:tcBorders>
              <w:bottom w:val="nil"/>
            </w:tcBorders>
            <w:vAlign w:val="bottom"/>
          </w:tcPr>
          <w:p w14:paraId="2E9B44A0" w14:textId="5949ECB1" w:rsidR="00414F37" w:rsidRPr="00414F37" w:rsidRDefault="00414F37" w:rsidP="00414F37">
            <w:pPr>
              <w:pStyle w:val="Tabletextboldleft"/>
              <w:spacing w:before="20" w:after="20"/>
              <w:jc w:val="right"/>
              <w:rPr>
                <w:b w:val="0"/>
              </w:rPr>
            </w:pPr>
            <w:r w:rsidRPr="00414F37">
              <w:rPr>
                <w:b w:val="0"/>
                <w:color w:val="000000"/>
              </w:rPr>
              <w:t>2,977</w:t>
            </w:r>
          </w:p>
        </w:tc>
      </w:tr>
      <w:tr w:rsidR="00A93B10" w:rsidRPr="00F647C7" w14:paraId="523CB95A" w14:textId="77777777" w:rsidTr="00E61184">
        <w:trPr>
          <w:trHeight w:val="212"/>
        </w:trPr>
        <w:tc>
          <w:tcPr>
            <w:tcW w:w="3544" w:type="dxa"/>
            <w:tcBorders>
              <w:top w:val="nil"/>
              <w:bottom w:val="nil"/>
            </w:tcBorders>
          </w:tcPr>
          <w:p w14:paraId="606629EA" w14:textId="77777777" w:rsidR="00A93B10" w:rsidRPr="00F411CD" w:rsidRDefault="00A93B10" w:rsidP="00A93B10">
            <w:pPr>
              <w:pStyle w:val="Tabletextboldleft"/>
              <w:spacing w:before="20" w:after="20"/>
              <w:ind w:firstLine="317"/>
              <w:rPr>
                <w:b w:val="0"/>
              </w:rPr>
            </w:pPr>
            <w:r>
              <w:rPr>
                <w:b w:val="0"/>
              </w:rPr>
              <w:t>Ancillary tests</w:t>
            </w:r>
          </w:p>
        </w:tc>
        <w:tc>
          <w:tcPr>
            <w:tcW w:w="963" w:type="dxa"/>
            <w:tcBorders>
              <w:top w:val="nil"/>
              <w:bottom w:val="nil"/>
            </w:tcBorders>
            <w:vAlign w:val="bottom"/>
          </w:tcPr>
          <w:p w14:paraId="4A62E1E7" w14:textId="79AEC8EA" w:rsidR="00A93B10" w:rsidRPr="00414F37" w:rsidRDefault="00A93B10" w:rsidP="00A93B10">
            <w:pPr>
              <w:pStyle w:val="Tabletextboldleft"/>
              <w:spacing w:before="20" w:after="20"/>
              <w:jc w:val="right"/>
              <w:rPr>
                <w:b w:val="0"/>
              </w:rPr>
            </w:pPr>
            <w:r w:rsidRPr="00414F37">
              <w:rPr>
                <w:b w:val="0"/>
                <w:color w:val="000000"/>
              </w:rPr>
              <w:t>190</w:t>
            </w:r>
          </w:p>
        </w:tc>
        <w:tc>
          <w:tcPr>
            <w:tcW w:w="964" w:type="dxa"/>
            <w:tcBorders>
              <w:top w:val="nil"/>
              <w:bottom w:val="nil"/>
            </w:tcBorders>
            <w:vAlign w:val="bottom"/>
          </w:tcPr>
          <w:p w14:paraId="4E814A56" w14:textId="6A95171F" w:rsidR="00A93B10" w:rsidRPr="00414F37" w:rsidRDefault="00A93B10" w:rsidP="00A93B10">
            <w:pPr>
              <w:pStyle w:val="Tabletextboldleft"/>
              <w:spacing w:before="20" w:after="20"/>
              <w:jc w:val="right"/>
              <w:rPr>
                <w:b w:val="0"/>
              </w:rPr>
            </w:pPr>
            <w:r w:rsidRPr="00414F37">
              <w:rPr>
                <w:b w:val="0"/>
                <w:color w:val="000000"/>
              </w:rPr>
              <w:t>196</w:t>
            </w:r>
          </w:p>
        </w:tc>
        <w:tc>
          <w:tcPr>
            <w:tcW w:w="964" w:type="dxa"/>
            <w:tcBorders>
              <w:top w:val="nil"/>
              <w:bottom w:val="nil"/>
            </w:tcBorders>
            <w:vAlign w:val="bottom"/>
          </w:tcPr>
          <w:p w14:paraId="510DA2E7" w14:textId="7432FEE6" w:rsidR="00A93B10" w:rsidRPr="00414F37" w:rsidRDefault="00A93B10" w:rsidP="00A93B10">
            <w:pPr>
              <w:pStyle w:val="Tabletextboldleft"/>
              <w:spacing w:before="20" w:after="20"/>
              <w:jc w:val="right"/>
              <w:rPr>
                <w:b w:val="0"/>
              </w:rPr>
            </w:pPr>
            <w:r w:rsidRPr="00414F37">
              <w:rPr>
                <w:b w:val="0"/>
                <w:color w:val="000000"/>
              </w:rPr>
              <w:t>201</w:t>
            </w:r>
          </w:p>
        </w:tc>
        <w:tc>
          <w:tcPr>
            <w:tcW w:w="964" w:type="dxa"/>
            <w:tcBorders>
              <w:top w:val="nil"/>
              <w:bottom w:val="nil"/>
            </w:tcBorders>
            <w:vAlign w:val="bottom"/>
          </w:tcPr>
          <w:p w14:paraId="132F53B5" w14:textId="67C76E12" w:rsidR="00A93B10" w:rsidRPr="00414F37" w:rsidRDefault="00A93B10" w:rsidP="00A93B10">
            <w:pPr>
              <w:pStyle w:val="Tabletextboldleft"/>
              <w:spacing w:before="20" w:after="20"/>
              <w:jc w:val="right"/>
              <w:rPr>
                <w:b w:val="0"/>
              </w:rPr>
            </w:pPr>
            <w:r w:rsidRPr="00414F37">
              <w:rPr>
                <w:b w:val="0"/>
                <w:color w:val="000000"/>
              </w:rPr>
              <w:t>207</w:t>
            </w:r>
          </w:p>
        </w:tc>
        <w:tc>
          <w:tcPr>
            <w:tcW w:w="964" w:type="dxa"/>
            <w:tcBorders>
              <w:top w:val="nil"/>
              <w:bottom w:val="nil"/>
            </w:tcBorders>
            <w:vAlign w:val="bottom"/>
          </w:tcPr>
          <w:p w14:paraId="19AB0DCA" w14:textId="0AF256C8" w:rsidR="00A93B10" w:rsidRPr="00414F37" w:rsidRDefault="00A93B10" w:rsidP="00A93B10">
            <w:pPr>
              <w:pStyle w:val="Tabletextboldleft"/>
              <w:spacing w:before="20" w:after="20"/>
              <w:jc w:val="right"/>
              <w:rPr>
                <w:b w:val="0"/>
              </w:rPr>
            </w:pPr>
            <w:r w:rsidRPr="00414F37">
              <w:rPr>
                <w:b w:val="0"/>
                <w:color w:val="000000"/>
              </w:rPr>
              <w:t>212</w:t>
            </w:r>
          </w:p>
        </w:tc>
      </w:tr>
      <w:tr w:rsidR="001D5AA2" w:rsidRPr="00F647C7" w14:paraId="568E0C22" w14:textId="77777777" w:rsidTr="00E61184">
        <w:trPr>
          <w:trHeight w:val="212"/>
        </w:trPr>
        <w:tc>
          <w:tcPr>
            <w:tcW w:w="3544" w:type="dxa"/>
            <w:tcBorders>
              <w:top w:val="nil"/>
              <w:bottom w:val="nil"/>
            </w:tcBorders>
          </w:tcPr>
          <w:p w14:paraId="7E9F89A8" w14:textId="77777777" w:rsidR="001D5AA2" w:rsidRPr="00F411CD" w:rsidRDefault="001D5AA2" w:rsidP="001D5AA2">
            <w:pPr>
              <w:pStyle w:val="Tabletextboldleft"/>
              <w:spacing w:before="20" w:after="20"/>
              <w:ind w:firstLine="317"/>
              <w:rPr>
                <w:b w:val="0"/>
              </w:rPr>
            </w:pPr>
            <w:r>
              <w:rPr>
                <w:b w:val="0"/>
              </w:rPr>
              <w:t>Specimen referred fee (MBS 73940)</w:t>
            </w:r>
          </w:p>
        </w:tc>
        <w:tc>
          <w:tcPr>
            <w:tcW w:w="963" w:type="dxa"/>
            <w:tcBorders>
              <w:top w:val="nil"/>
              <w:bottom w:val="nil"/>
            </w:tcBorders>
            <w:vAlign w:val="bottom"/>
          </w:tcPr>
          <w:p w14:paraId="4970FBAD" w14:textId="1CB840C5" w:rsidR="001D5AA2" w:rsidRPr="00414F37" w:rsidRDefault="001D5AA2" w:rsidP="001D5AA2">
            <w:pPr>
              <w:pStyle w:val="Tabletextboldleft"/>
              <w:spacing w:before="20" w:after="20"/>
              <w:jc w:val="right"/>
              <w:rPr>
                <w:b w:val="0"/>
              </w:rPr>
            </w:pPr>
            <w:r w:rsidRPr="00414F37">
              <w:rPr>
                <w:b w:val="0"/>
              </w:rPr>
              <w:t>1,239</w:t>
            </w:r>
          </w:p>
        </w:tc>
        <w:tc>
          <w:tcPr>
            <w:tcW w:w="964" w:type="dxa"/>
            <w:tcBorders>
              <w:top w:val="nil"/>
              <w:bottom w:val="nil"/>
            </w:tcBorders>
            <w:vAlign w:val="bottom"/>
          </w:tcPr>
          <w:p w14:paraId="0E73E940" w14:textId="139CD776" w:rsidR="001D5AA2" w:rsidRPr="00414F37" w:rsidRDefault="001D5AA2" w:rsidP="001D5AA2">
            <w:pPr>
              <w:pStyle w:val="Tabletextboldleft"/>
              <w:spacing w:before="20" w:after="20"/>
              <w:jc w:val="right"/>
              <w:rPr>
                <w:b w:val="0"/>
              </w:rPr>
            </w:pPr>
            <w:r w:rsidRPr="00414F37">
              <w:rPr>
                <w:b w:val="0"/>
              </w:rPr>
              <w:t>1,275</w:t>
            </w:r>
          </w:p>
        </w:tc>
        <w:tc>
          <w:tcPr>
            <w:tcW w:w="964" w:type="dxa"/>
            <w:tcBorders>
              <w:top w:val="nil"/>
              <w:bottom w:val="nil"/>
            </w:tcBorders>
            <w:vAlign w:val="bottom"/>
          </w:tcPr>
          <w:p w14:paraId="0FC80815" w14:textId="13B19212" w:rsidR="001D5AA2" w:rsidRPr="00414F37" w:rsidRDefault="001D5AA2" w:rsidP="001D5AA2">
            <w:pPr>
              <w:pStyle w:val="Tabletextboldleft"/>
              <w:spacing w:before="20" w:after="20"/>
              <w:jc w:val="right"/>
              <w:rPr>
                <w:b w:val="0"/>
              </w:rPr>
            </w:pPr>
            <w:r w:rsidRPr="00414F37">
              <w:rPr>
                <w:b w:val="0"/>
              </w:rPr>
              <w:t>1,310</w:t>
            </w:r>
          </w:p>
        </w:tc>
        <w:tc>
          <w:tcPr>
            <w:tcW w:w="964" w:type="dxa"/>
            <w:tcBorders>
              <w:top w:val="nil"/>
              <w:bottom w:val="nil"/>
            </w:tcBorders>
            <w:vAlign w:val="bottom"/>
          </w:tcPr>
          <w:p w14:paraId="07EABA37" w14:textId="39520BD9" w:rsidR="001D5AA2" w:rsidRPr="00414F37" w:rsidRDefault="001D5AA2" w:rsidP="001D5AA2">
            <w:pPr>
              <w:pStyle w:val="Tabletextboldleft"/>
              <w:spacing w:before="20" w:after="20"/>
              <w:jc w:val="right"/>
              <w:rPr>
                <w:b w:val="0"/>
              </w:rPr>
            </w:pPr>
            <w:r w:rsidRPr="00414F37">
              <w:rPr>
                <w:b w:val="0"/>
              </w:rPr>
              <w:t>1,346</w:t>
            </w:r>
          </w:p>
        </w:tc>
        <w:tc>
          <w:tcPr>
            <w:tcW w:w="964" w:type="dxa"/>
            <w:tcBorders>
              <w:top w:val="nil"/>
              <w:bottom w:val="nil"/>
            </w:tcBorders>
            <w:vAlign w:val="bottom"/>
          </w:tcPr>
          <w:p w14:paraId="52F68661" w14:textId="7EDD4421" w:rsidR="001D5AA2" w:rsidRPr="00414F37" w:rsidRDefault="001D5AA2" w:rsidP="001D5AA2">
            <w:pPr>
              <w:pStyle w:val="Tabletextboldleft"/>
              <w:spacing w:before="20" w:after="20"/>
              <w:jc w:val="right"/>
              <w:rPr>
                <w:b w:val="0"/>
              </w:rPr>
            </w:pPr>
            <w:r w:rsidRPr="00414F37">
              <w:rPr>
                <w:b w:val="0"/>
              </w:rPr>
              <w:t>1,382</w:t>
            </w:r>
          </w:p>
        </w:tc>
      </w:tr>
      <w:tr w:rsidR="001D5AA2" w:rsidRPr="00F647C7" w14:paraId="2ED22B1F" w14:textId="77777777" w:rsidTr="00E61184">
        <w:trPr>
          <w:trHeight w:val="212"/>
        </w:trPr>
        <w:tc>
          <w:tcPr>
            <w:tcW w:w="3544" w:type="dxa"/>
            <w:tcBorders>
              <w:top w:val="nil"/>
              <w:bottom w:val="single" w:sz="4" w:space="0" w:color="auto"/>
            </w:tcBorders>
          </w:tcPr>
          <w:p w14:paraId="2274467A" w14:textId="77777777" w:rsidR="001D5AA2" w:rsidRPr="00F411CD" w:rsidRDefault="001D5AA2" w:rsidP="001D5AA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vAlign w:val="bottom"/>
          </w:tcPr>
          <w:p w14:paraId="61C06CCB" w14:textId="4A573B72" w:rsidR="001D5AA2" w:rsidRPr="00414F37" w:rsidRDefault="001D5AA2" w:rsidP="001D5AA2">
            <w:pPr>
              <w:pStyle w:val="Tabletextboldleft"/>
              <w:spacing w:before="20" w:after="20"/>
              <w:jc w:val="right"/>
              <w:rPr>
                <w:b w:val="0"/>
              </w:rPr>
            </w:pPr>
            <w:r w:rsidRPr="00414F37">
              <w:rPr>
                <w:b w:val="0"/>
              </w:rPr>
              <w:t>1,239</w:t>
            </w:r>
          </w:p>
        </w:tc>
        <w:tc>
          <w:tcPr>
            <w:tcW w:w="964" w:type="dxa"/>
            <w:tcBorders>
              <w:top w:val="nil"/>
              <w:bottom w:val="single" w:sz="4" w:space="0" w:color="auto"/>
            </w:tcBorders>
            <w:vAlign w:val="bottom"/>
          </w:tcPr>
          <w:p w14:paraId="2E1A839C" w14:textId="311ACE2C" w:rsidR="001D5AA2" w:rsidRPr="00414F37" w:rsidRDefault="001D5AA2" w:rsidP="001D5AA2">
            <w:pPr>
              <w:pStyle w:val="Tabletextboldleft"/>
              <w:spacing w:before="20" w:after="20"/>
              <w:jc w:val="right"/>
              <w:rPr>
                <w:b w:val="0"/>
              </w:rPr>
            </w:pPr>
            <w:r w:rsidRPr="00414F37">
              <w:rPr>
                <w:b w:val="0"/>
              </w:rPr>
              <w:t>1,275</w:t>
            </w:r>
          </w:p>
        </w:tc>
        <w:tc>
          <w:tcPr>
            <w:tcW w:w="964" w:type="dxa"/>
            <w:tcBorders>
              <w:top w:val="nil"/>
              <w:bottom w:val="single" w:sz="4" w:space="0" w:color="auto"/>
            </w:tcBorders>
            <w:vAlign w:val="bottom"/>
          </w:tcPr>
          <w:p w14:paraId="4A37C5AC" w14:textId="5E9A1605" w:rsidR="001D5AA2" w:rsidRPr="00414F37" w:rsidRDefault="001D5AA2" w:rsidP="001D5AA2">
            <w:pPr>
              <w:pStyle w:val="Tabletextboldleft"/>
              <w:spacing w:before="20" w:after="20"/>
              <w:jc w:val="right"/>
              <w:rPr>
                <w:b w:val="0"/>
              </w:rPr>
            </w:pPr>
            <w:r w:rsidRPr="00414F37">
              <w:rPr>
                <w:b w:val="0"/>
              </w:rPr>
              <w:t>1,310</w:t>
            </w:r>
          </w:p>
        </w:tc>
        <w:tc>
          <w:tcPr>
            <w:tcW w:w="964" w:type="dxa"/>
            <w:tcBorders>
              <w:top w:val="nil"/>
              <w:bottom w:val="single" w:sz="4" w:space="0" w:color="auto"/>
            </w:tcBorders>
            <w:vAlign w:val="bottom"/>
          </w:tcPr>
          <w:p w14:paraId="58A734B2" w14:textId="6A6432E7" w:rsidR="001D5AA2" w:rsidRPr="00414F37" w:rsidRDefault="001D5AA2" w:rsidP="001D5AA2">
            <w:pPr>
              <w:pStyle w:val="Tabletextboldleft"/>
              <w:spacing w:before="20" w:after="20"/>
              <w:jc w:val="right"/>
              <w:rPr>
                <w:b w:val="0"/>
              </w:rPr>
            </w:pPr>
            <w:r w:rsidRPr="00414F37">
              <w:rPr>
                <w:b w:val="0"/>
              </w:rPr>
              <w:t>1,346</w:t>
            </w:r>
          </w:p>
        </w:tc>
        <w:tc>
          <w:tcPr>
            <w:tcW w:w="964" w:type="dxa"/>
            <w:tcBorders>
              <w:top w:val="nil"/>
              <w:bottom w:val="single" w:sz="4" w:space="0" w:color="auto"/>
            </w:tcBorders>
            <w:vAlign w:val="bottom"/>
          </w:tcPr>
          <w:p w14:paraId="219D6902" w14:textId="5B086EB6" w:rsidR="001D5AA2" w:rsidRPr="00414F37" w:rsidRDefault="001D5AA2" w:rsidP="001D5AA2">
            <w:pPr>
              <w:pStyle w:val="Tabletextboldleft"/>
              <w:spacing w:before="20" w:after="20"/>
              <w:jc w:val="right"/>
              <w:rPr>
                <w:b w:val="0"/>
              </w:rPr>
            </w:pPr>
            <w:r w:rsidRPr="00414F37">
              <w:rPr>
                <w:b w:val="0"/>
              </w:rPr>
              <w:t>1,382</w:t>
            </w:r>
          </w:p>
        </w:tc>
      </w:tr>
      <w:tr w:rsidR="00414F37" w:rsidRPr="00F647C7" w14:paraId="227EA399" w14:textId="77777777" w:rsidTr="00E61184">
        <w:trPr>
          <w:trHeight w:val="212"/>
        </w:trPr>
        <w:tc>
          <w:tcPr>
            <w:tcW w:w="3544" w:type="dxa"/>
            <w:tcBorders>
              <w:bottom w:val="nil"/>
            </w:tcBorders>
          </w:tcPr>
          <w:p w14:paraId="4FCD2358" w14:textId="77777777" w:rsidR="00414F37" w:rsidRPr="00F411CD" w:rsidRDefault="00414F37" w:rsidP="00414F37">
            <w:pPr>
              <w:pStyle w:val="Tabletextboldleft"/>
              <w:spacing w:before="20" w:after="20"/>
              <w:rPr>
                <w:b w:val="0"/>
              </w:rPr>
            </w:pPr>
            <w:r>
              <w:rPr>
                <w:b w:val="0"/>
              </w:rPr>
              <w:t>All cytology</w:t>
            </w:r>
          </w:p>
        </w:tc>
        <w:tc>
          <w:tcPr>
            <w:tcW w:w="963" w:type="dxa"/>
            <w:tcBorders>
              <w:bottom w:val="nil"/>
            </w:tcBorders>
            <w:vAlign w:val="bottom"/>
          </w:tcPr>
          <w:p w14:paraId="0BD1D411" w14:textId="21E1B947" w:rsidR="00414F37" w:rsidRPr="00414F37" w:rsidRDefault="00414F37" w:rsidP="00414F37">
            <w:pPr>
              <w:pStyle w:val="Tabletextboldleft"/>
              <w:spacing w:before="20" w:after="20"/>
              <w:jc w:val="right"/>
              <w:rPr>
                <w:b w:val="0"/>
              </w:rPr>
            </w:pPr>
            <w:r w:rsidRPr="00414F37">
              <w:rPr>
                <w:b w:val="0"/>
                <w:color w:val="000000"/>
              </w:rPr>
              <w:t>21,217</w:t>
            </w:r>
          </w:p>
        </w:tc>
        <w:tc>
          <w:tcPr>
            <w:tcW w:w="964" w:type="dxa"/>
            <w:tcBorders>
              <w:bottom w:val="nil"/>
            </w:tcBorders>
            <w:vAlign w:val="bottom"/>
          </w:tcPr>
          <w:p w14:paraId="0BC155A3" w14:textId="30483BDF" w:rsidR="00414F37" w:rsidRPr="00414F37" w:rsidRDefault="00414F37" w:rsidP="00414F37">
            <w:pPr>
              <w:pStyle w:val="Tabletextboldleft"/>
              <w:spacing w:before="20" w:after="20"/>
              <w:jc w:val="right"/>
              <w:rPr>
                <w:b w:val="0"/>
              </w:rPr>
            </w:pPr>
            <w:r w:rsidRPr="00414F37">
              <w:rPr>
                <w:b w:val="0"/>
                <w:color w:val="000000"/>
              </w:rPr>
              <w:t>21,449</w:t>
            </w:r>
          </w:p>
        </w:tc>
        <w:tc>
          <w:tcPr>
            <w:tcW w:w="964" w:type="dxa"/>
            <w:tcBorders>
              <w:bottom w:val="nil"/>
            </w:tcBorders>
            <w:vAlign w:val="bottom"/>
          </w:tcPr>
          <w:p w14:paraId="12FF104E" w14:textId="198A8D2E" w:rsidR="00414F37" w:rsidRPr="00414F37" w:rsidRDefault="00414F37" w:rsidP="00414F37">
            <w:pPr>
              <w:pStyle w:val="Tabletextboldleft"/>
              <w:spacing w:before="20" w:after="20"/>
              <w:jc w:val="right"/>
              <w:rPr>
                <w:b w:val="0"/>
              </w:rPr>
            </w:pPr>
            <w:r w:rsidRPr="00414F37">
              <w:rPr>
                <w:b w:val="0"/>
                <w:color w:val="000000"/>
              </w:rPr>
              <w:t>21,681</w:t>
            </w:r>
          </w:p>
        </w:tc>
        <w:tc>
          <w:tcPr>
            <w:tcW w:w="964" w:type="dxa"/>
            <w:tcBorders>
              <w:bottom w:val="nil"/>
            </w:tcBorders>
            <w:vAlign w:val="bottom"/>
          </w:tcPr>
          <w:p w14:paraId="5E213BC1" w14:textId="68CB8042" w:rsidR="00414F37" w:rsidRPr="00414F37" w:rsidRDefault="00414F37" w:rsidP="00414F37">
            <w:pPr>
              <w:pStyle w:val="Tabletextboldleft"/>
              <w:spacing w:before="20" w:after="20"/>
              <w:jc w:val="right"/>
              <w:rPr>
                <w:b w:val="0"/>
              </w:rPr>
            </w:pPr>
            <w:r w:rsidRPr="00414F37">
              <w:rPr>
                <w:b w:val="0"/>
                <w:color w:val="000000"/>
              </w:rPr>
              <w:t>21,912</w:t>
            </w:r>
          </w:p>
        </w:tc>
        <w:tc>
          <w:tcPr>
            <w:tcW w:w="964" w:type="dxa"/>
            <w:tcBorders>
              <w:bottom w:val="nil"/>
            </w:tcBorders>
            <w:vAlign w:val="bottom"/>
          </w:tcPr>
          <w:p w14:paraId="3BFE3687" w14:textId="5928BC8F" w:rsidR="00414F37" w:rsidRPr="00414F37" w:rsidRDefault="00414F37" w:rsidP="00414F37">
            <w:pPr>
              <w:pStyle w:val="Tabletextboldleft"/>
              <w:spacing w:before="20" w:after="20"/>
              <w:jc w:val="right"/>
              <w:rPr>
                <w:b w:val="0"/>
              </w:rPr>
            </w:pPr>
            <w:r w:rsidRPr="00414F37">
              <w:rPr>
                <w:b w:val="0"/>
                <w:color w:val="000000"/>
              </w:rPr>
              <w:t>22,144</w:t>
            </w:r>
          </w:p>
        </w:tc>
      </w:tr>
      <w:tr w:rsidR="00A93B10" w:rsidRPr="00F647C7" w14:paraId="23F7F335" w14:textId="77777777" w:rsidTr="00E61184">
        <w:trPr>
          <w:trHeight w:val="212"/>
        </w:trPr>
        <w:tc>
          <w:tcPr>
            <w:tcW w:w="3544" w:type="dxa"/>
            <w:tcBorders>
              <w:top w:val="nil"/>
              <w:bottom w:val="nil"/>
            </w:tcBorders>
          </w:tcPr>
          <w:p w14:paraId="6F56F427" w14:textId="77777777" w:rsidR="00A93B10" w:rsidRPr="00F411CD" w:rsidRDefault="00A93B10" w:rsidP="00A93B10">
            <w:pPr>
              <w:pStyle w:val="Tabletextboldleft"/>
              <w:spacing w:before="20" w:after="20"/>
              <w:ind w:firstLine="317"/>
              <w:rPr>
                <w:b w:val="0"/>
              </w:rPr>
            </w:pPr>
            <w:r>
              <w:rPr>
                <w:b w:val="0"/>
              </w:rPr>
              <w:t>Ancillary tests</w:t>
            </w:r>
          </w:p>
        </w:tc>
        <w:tc>
          <w:tcPr>
            <w:tcW w:w="963" w:type="dxa"/>
            <w:tcBorders>
              <w:top w:val="nil"/>
              <w:bottom w:val="nil"/>
            </w:tcBorders>
            <w:vAlign w:val="bottom"/>
          </w:tcPr>
          <w:p w14:paraId="75E1789F" w14:textId="05DDD42B" w:rsidR="00A93B10" w:rsidRPr="00414F37" w:rsidRDefault="00A93B10" w:rsidP="00A93B10">
            <w:pPr>
              <w:pStyle w:val="Tabletextboldleft"/>
              <w:spacing w:before="20" w:after="20"/>
              <w:jc w:val="right"/>
              <w:rPr>
                <w:b w:val="0"/>
              </w:rPr>
            </w:pPr>
            <w:r w:rsidRPr="00414F37">
              <w:rPr>
                <w:b w:val="0"/>
                <w:color w:val="000000"/>
              </w:rPr>
              <w:t>1,512</w:t>
            </w:r>
          </w:p>
        </w:tc>
        <w:tc>
          <w:tcPr>
            <w:tcW w:w="964" w:type="dxa"/>
            <w:tcBorders>
              <w:top w:val="nil"/>
              <w:bottom w:val="nil"/>
            </w:tcBorders>
            <w:vAlign w:val="bottom"/>
          </w:tcPr>
          <w:p w14:paraId="65DD60B9" w14:textId="2A213C5B" w:rsidR="00A93B10" w:rsidRPr="00414F37" w:rsidRDefault="00A93B10" w:rsidP="00A93B10">
            <w:pPr>
              <w:pStyle w:val="Tabletextboldleft"/>
              <w:spacing w:before="20" w:after="20"/>
              <w:jc w:val="right"/>
              <w:rPr>
                <w:b w:val="0"/>
              </w:rPr>
            </w:pPr>
            <w:r w:rsidRPr="00414F37">
              <w:rPr>
                <w:b w:val="0"/>
                <w:color w:val="000000"/>
              </w:rPr>
              <w:t>1,528</w:t>
            </w:r>
          </w:p>
        </w:tc>
        <w:tc>
          <w:tcPr>
            <w:tcW w:w="964" w:type="dxa"/>
            <w:tcBorders>
              <w:top w:val="nil"/>
              <w:bottom w:val="nil"/>
            </w:tcBorders>
            <w:vAlign w:val="bottom"/>
          </w:tcPr>
          <w:p w14:paraId="78D487DF" w14:textId="58153484" w:rsidR="00A93B10" w:rsidRPr="00414F37" w:rsidRDefault="00A93B10" w:rsidP="00A93B10">
            <w:pPr>
              <w:pStyle w:val="Tabletextboldleft"/>
              <w:spacing w:before="20" w:after="20"/>
              <w:jc w:val="right"/>
              <w:rPr>
                <w:b w:val="0"/>
              </w:rPr>
            </w:pPr>
            <w:r w:rsidRPr="00414F37">
              <w:rPr>
                <w:b w:val="0"/>
                <w:color w:val="000000"/>
              </w:rPr>
              <w:t>1,545</w:t>
            </w:r>
          </w:p>
        </w:tc>
        <w:tc>
          <w:tcPr>
            <w:tcW w:w="964" w:type="dxa"/>
            <w:tcBorders>
              <w:top w:val="nil"/>
              <w:bottom w:val="nil"/>
            </w:tcBorders>
            <w:vAlign w:val="bottom"/>
          </w:tcPr>
          <w:p w14:paraId="0C6D8115" w14:textId="408C9467" w:rsidR="00A93B10" w:rsidRPr="00414F37" w:rsidRDefault="00A93B10" w:rsidP="00A93B10">
            <w:pPr>
              <w:pStyle w:val="Tabletextboldleft"/>
              <w:spacing w:before="20" w:after="20"/>
              <w:jc w:val="right"/>
              <w:rPr>
                <w:b w:val="0"/>
              </w:rPr>
            </w:pPr>
            <w:r w:rsidRPr="00414F37">
              <w:rPr>
                <w:b w:val="0"/>
                <w:color w:val="000000"/>
              </w:rPr>
              <w:t>1,561</w:t>
            </w:r>
          </w:p>
        </w:tc>
        <w:tc>
          <w:tcPr>
            <w:tcW w:w="964" w:type="dxa"/>
            <w:tcBorders>
              <w:top w:val="nil"/>
              <w:bottom w:val="nil"/>
            </w:tcBorders>
            <w:vAlign w:val="bottom"/>
          </w:tcPr>
          <w:p w14:paraId="5FFDBAE6" w14:textId="6C261532" w:rsidR="00A93B10" w:rsidRPr="00414F37" w:rsidRDefault="00A93B10" w:rsidP="00A93B10">
            <w:pPr>
              <w:pStyle w:val="Tabletextboldleft"/>
              <w:spacing w:before="20" w:after="20"/>
              <w:jc w:val="right"/>
              <w:rPr>
                <w:b w:val="0"/>
              </w:rPr>
            </w:pPr>
            <w:r w:rsidRPr="00414F37">
              <w:rPr>
                <w:b w:val="0"/>
                <w:color w:val="000000"/>
              </w:rPr>
              <w:t>1,578</w:t>
            </w:r>
          </w:p>
        </w:tc>
      </w:tr>
      <w:tr w:rsidR="001D5AA2" w:rsidRPr="00F647C7" w14:paraId="09DD8678" w14:textId="77777777" w:rsidTr="00E61184">
        <w:trPr>
          <w:trHeight w:val="80"/>
        </w:trPr>
        <w:tc>
          <w:tcPr>
            <w:tcW w:w="3544" w:type="dxa"/>
            <w:tcBorders>
              <w:top w:val="nil"/>
              <w:bottom w:val="nil"/>
            </w:tcBorders>
          </w:tcPr>
          <w:p w14:paraId="7A39F012" w14:textId="77777777" w:rsidR="001D5AA2" w:rsidRPr="00F411CD" w:rsidRDefault="001D5AA2" w:rsidP="001D5AA2">
            <w:pPr>
              <w:pStyle w:val="Tabletextboldleft"/>
              <w:spacing w:before="20" w:after="20"/>
              <w:ind w:firstLine="317"/>
              <w:rPr>
                <w:b w:val="0"/>
              </w:rPr>
            </w:pPr>
            <w:r>
              <w:rPr>
                <w:b w:val="0"/>
              </w:rPr>
              <w:t>Specimen referred fee (MBS 73940)</w:t>
            </w:r>
          </w:p>
        </w:tc>
        <w:tc>
          <w:tcPr>
            <w:tcW w:w="963" w:type="dxa"/>
            <w:tcBorders>
              <w:top w:val="nil"/>
              <w:bottom w:val="nil"/>
            </w:tcBorders>
            <w:vAlign w:val="bottom"/>
          </w:tcPr>
          <w:p w14:paraId="1BBBEF1B" w14:textId="5C8F3ABE" w:rsidR="001D5AA2" w:rsidRPr="00414F37" w:rsidRDefault="001D5AA2" w:rsidP="001D5AA2">
            <w:pPr>
              <w:pStyle w:val="Tabletextboldleft"/>
              <w:spacing w:before="20" w:after="20"/>
              <w:jc w:val="right"/>
              <w:rPr>
                <w:b w:val="0"/>
              </w:rPr>
            </w:pPr>
            <w:r w:rsidRPr="00414F37">
              <w:rPr>
                <w:b w:val="0"/>
              </w:rPr>
              <w:t>9,853</w:t>
            </w:r>
          </w:p>
        </w:tc>
        <w:tc>
          <w:tcPr>
            <w:tcW w:w="964" w:type="dxa"/>
            <w:tcBorders>
              <w:top w:val="nil"/>
              <w:bottom w:val="nil"/>
            </w:tcBorders>
            <w:vAlign w:val="bottom"/>
          </w:tcPr>
          <w:p w14:paraId="13D0AF5C" w14:textId="4CCE3682" w:rsidR="001D5AA2" w:rsidRPr="00414F37" w:rsidRDefault="001D5AA2" w:rsidP="001D5AA2">
            <w:pPr>
              <w:pStyle w:val="Tabletextboldleft"/>
              <w:spacing w:before="20" w:after="20"/>
              <w:jc w:val="right"/>
              <w:rPr>
                <w:b w:val="0"/>
              </w:rPr>
            </w:pPr>
            <w:r w:rsidRPr="00414F37">
              <w:rPr>
                <w:b w:val="0"/>
              </w:rPr>
              <w:t>9,960</w:t>
            </w:r>
          </w:p>
        </w:tc>
        <w:tc>
          <w:tcPr>
            <w:tcW w:w="964" w:type="dxa"/>
            <w:tcBorders>
              <w:top w:val="nil"/>
              <w:bottom w:val="nil"/>
            </w:tcBorders>
            <w:vAlign w:val="bottom"/>
          </w:tcPr>
          <w:p w14:paraId="47E41A03" w14:textId="172A30C0" w:rsidR="001D5AA2" w:rsidRPr="00414F37" w:rsidRDefault="001D5AA2" w:rsidP="001D5AA2">
            <w:pPr>
              <w:pStyle w:val="Tabletextboldleft"/>
              <w:spacing w:before="20" w:after="20"/>
              <w:jc w:val="right"/>
              <w:rPr>
                <w:b w:val="0"/>
              </w:rPr>
            </w:pPr>
            <w:r w:rsidRPr="00414F37">
              <w:rPr>
                <w:b w:val="0"/>
              </w:rPr>
              <w:t>10,068</w:t>
            </w:r>
          </w:p>
        </w:tc>
        <w:tc>
          <w:tcPr>
            <w:tcW w:w="964" w:type="dxa"/>
            <w:tcBorders>
              <w:top w:val="nil"/>
              <w:bottom w:val="nil"/>
            </w:tcBorders>
            <w:vAlign w:val="bottom"/>
          </w:tcPr>
          <w:p w14:paraId="14C6CAC5" w14:textId="45EE7047" w:rsidR="001D5AA2" w:rsidRPr="00414F37" w:rsidRDefault="001D5AA2" w:rsidP="001D5AA2">
            <w:pPr>
              <w:pStyle w:val="Tabletextboldleft"/>
              <w:spacing w:before="20" w:after="20"/>
              <w:jc w:val="right"/>
              <w:rPr>
                <w:b w:val="0"/>
              </w:rPr>
            </w:pPr>
            <w:r w:rsidRPr="00414F37">
              <w:rPr>
                <w:b w:val="0"/>
              </w:rPr>
              <w:t>10,176</w:t>
            </w:r>
          </w:p>
        </w:tc>
        <w:tc>
          <w:tcPr>
            <w:tcW w:w="964" w:type="dxa"/>
            <w:tcBorders>
              <w:top w:val="nil"/>
              <w:bottom w:val="nil"/>
            </w:tcBorders>
            <w:vAlign w:val="bottom"/>
          </w:tcPr>
          <w:p w14:paraId="295DADB3" w14:textId="70946C59" w:rsidR="001D5AA2" w:rsidRPr="00414F37" w:rsidRDefault="001D5AA2" w:rsidP="001D5AA2">
            <w:pPr>
              <w:pStyle w:val="Tabletextboldleft"/>
              <w:spacing w:before="20" w:after="20"/>
              <w:jc w:val="right"/>
              <w:rPr>
                <w:b w:val="0"/>
              </w:rPr>
            </w:pPr>
            <w:r w:rsidRPr="00414F37">
              <w:rPr>
                <w:b w:val="0"/>
              </w:rPr>
              <w:t>10,283</w:t>
            </w:r>
          </w:p>
        </w:tc>
      </w:tr>
      <w:tr w:rsidR="001D5AA2" w:rsidRPr="00F647C7" w14:paraId="49325BC3" w14:textId="77777777" w:rsidTr="00E61184">
        <w:trPr>
          <w:trHeight w:val="212"/>
        </w:trPr>
        <w:tc>
          <w:tcPr>
            <w:tcW w:w="3544" w:type="dxa"/>
            <w:tcBorders>
              <w:top w:val="nil"/>
            </w:tcBorders>
          </w:tcPr>
          <w:p w14:paraId="127C664A" w14:textId="77777777" w:rsidR="001D5AA2" w:rsidRPr="00F411CD" w:rsidRDefault="001D5AA2" w:rsidP="001D5AA2">
            <w:pPr>
              <w:pStyle w:val="Tabletextboldleft"/>
              <w:spacing w:before="20" w:after="20"/>
              <w:ind w:firstLine="317"/>
              <w:rPr>
                <w:b w:val="0"/>
              </w:rPr>
            </w:pPr>
            <w:r>
              <w:rPr>
                <w:b w:val="0"/>
              </w:rPr>
              <w:t>Bulk billing incentive (MBS 74996)</w:t>
            </w:r>
          </w:p>
        </w:tc>
        <w:tc>
          <w:tcPr>
            <w:tcW w:w="963" w:type="dxa"/>
            <w:tcBorders>
              <w:top w:val="nil"/>
            </w:tcBorders>
            <w:vAlign w:val="bottom"/>
          </w:tcPr>
          <w:p w14:paraId="496CDD4E" w14:textId="66F537F3" w:rsidR="001D5AA2" w:rsidRPr="00414F37" w:rsidRDefault="001D5AA2" w:rsidP="001D5AA2">
            <w:pPr>
              <w:pStyle w:val="Tabletextboldleft"/>
              <w:spacing w:before="20" w:after="20"/>
              <w:jc w:val="right"/>
              <w:rPr>
                <w:b w:val="0"/>
              </w:rPr>
            </w:pPr>
            <w:r w:rsidRPr="00414F37">
              <w:rPr>
                <w:b w:val="0"/>
              </w:rPr>
              <w:t>9,853</w:t>
            </w:r>
          </w:p>
        </w:tc>
        <w:tc>
          <w:tcPr>
            <w:tcW w:w="964" w:type="dxa"/>
            <w:tcBorders>
              <w:top w:val="nil"/>
            </w:tcBorders>
            <w:vAlign w:val="bottom"/>
          </w:tcPr>
          <w:p w14:paraId="7072CA8E" w14:textId="36040A21" w:rsidR="001D5AA2" w:rsidRPr="00414F37" w:rsidRDefault="001D5AA2" w:rsidP="001D5AA2">
            <w:pPr>
              <w:pStyle w:val="Tabletextboldleft"/>
              <w:spacing w:before="20" w:after="20"/>
              <w:jc w:val="right"/>
              <w:rPr>
                <w:b w:val="0"/>
              </w:rPr>
            </w:pPr>
            <w:r w:rsidRPr="00414F37">
              <w:rPr>
                <w:b w:val="0"/>
              </w:rPr>
              <w:t>9,960</w:t>
            </w:r>
          </w:p>
        </w:tc>
        <w:tc>
          <w:tcPr>
            <w:tcW w:w="964" w:type="dxa"/>
            <w:tcBorders>
              <w:top w:val="nil"/>
            </w:tcBorders>
            <w:vAlign w:val="bottom"/>
          </w:tcPr>
          <w:p w14:paraId="7ED1A5E3" w14:textId="702AC5FC" w:rsidR="001D5AA2" w:rsidRPr="00414F37" w:rsidRDefault="001D5AA2" w:rsidP="001D5AA2">
            <w:pPr>
              <w:pStyle w:val="Tabletextboldleft"/>
              <w:spacing w:before="20" w:after="20"/>
              <w:jc w:val="right"/>
              <w:rPr>
                <w:b w:val="0"/>
              </w:rPr>
            </w:pPr>
            <w:r w:rsidRPr="00414F37">
              <w:rPr>
                <w:b w:val="0"/>
              </w:rPr>
              <w:t>10,068</w:t>
            </w:r>
          </w:p>
        </w:tc>
        <w:tc>
          <w:tcPr>
            <w:tcW w:w="964" w:type="dxa"/>
            <w:tcBorders>
              <w:top w:val="nil"/>
            </w:tcBorders>
            <w:vAlign w:val="bottom"/>
          </w:tcPr>
          <w:p w14:paraId="4BD602DB" w14:textId="252D7FF3" w:rsidR="001D5AA2" w:rsidRPr="00414F37" w:rsidRDefault="001D5AA2" w:rsidP="001D5AA2">
            <w:pPr>
              <w:pStyle w:val="Tabletextboldleft"/>
              <w:spacing w:before="20" w:after="20"/>
              <w:jc w:val="right"/>
              <w:rPr>
                <w:b w:val="0"/>
              </w:rPr>
            </w:pPr>
            <w:r w:rsidRPr="00414F37">
              <w:rPr>
                <w:b w:val="0"/>
              </w:rPr>
              <w:t>10,176</w:t>
            </w:r>
          </w:p>
        </w:tc>
        <w:tc>
          <w:tcPr>
            <w:tcW w:w="964" w:type="dxa"/>
            <w:tcBorders>
              <w:top w:val="nil"/>
            </w:tcBorders>
            <w:vAlign w:val="bottom"/>
          </w:tcPr>
          <w:p w14:paraId="6C385C1B" w14:textId="5317EC41" w:rsidR="001D5AA2" w:rsidRPr="00414F37" w:rsidRDefault="001D5AA2" w:rsidP="001D5AA2">
            <w:pPr>
              <w:pStyle w:val="Tabletextboldleft"/>
              <w:spacing w:before="20" w:after="20"/>
              <w:jc w:val="right"/>
              <w:rPr>
                <w:b w:val="0"/>
              </w:rPr>
            </w:pPr>
            <w:r w:rsidRPr="00414F37">
              <w:rPr>
                <w:b w:val="0"/>
              </w:rPr>
              <w:t>10,283</w:t>
            </w:r>
          </w:p>
        </w:tc>
      </w:tr>
      <w:tr w:rsidR="001D5AA2" w:rsidRPr="00F647C7" w14:paraId="56B0CB1A" w14:textId="77777777" w:rsidTr="00E61184">
        <w:trPr>
          <w:trHeight w:val="212"/>
        </w:trPr>
        <w:tc>
          <w:tcPr>
            <w:tcW w:w="3544" w:type="dxa"/>
          </w:tcPr>
          <w:p w14:paraId="2BF72DAB" w14:textId="77777777" w:rsidR="001D5AA2" w:rsidRPr="00C26CDD" w:rsidRDefault="001D5AA2" w:rsidP="001D5AA2">
            <w:pPr>
              <w:pStyle w:val="Tabletextboldleft"/>
              <w:spacing w:before="20" w:after="20"/>
              <w:rPr>
                <w:b w:val="0"/>
                <w:i/>
              </w:rPr>
            </w:pPr>
            <w:r>
              <w:rPr>
                <w:b w:val="0"/>
                <w:i/>
              </w:rPr>
              <w:t>Sub-t</w:t>
            </w:r>
            <w:r w:rsidRPr="00C26CDD">
              <w:rPr>
                <w:b w:val="0"/>
                <w:i/>
              </w:rPr>
              <w:t>otal (excluding gynaecological cytology)</w:t>
            </w:r>
          </w:p>
        </w:tc>
        <w:tc>
          <w:tcPr>
            <w:tcW w:w="963" w:type="dxa"/>
            <w:vAlign w:val="bottom"/>
          </w:tcPr>
          <w:p w14:paraId="449FCD31" w14:textId="483B5CA8" w:rsidR="001D5AA2" w:rsidRPr="00C932DC" w:rsidRDefault="001D5AA2" w:rsidP="001D5AA2">
            <w:pPr>
              <w:pStyle w:val="Tabletextboldleft"/>
              <w:spacing w:before="20" w:after="20"/>
              <w:jc w:val="right"/>
              <w:rPr>
                <w:b w:val="0"/>
                <w:i/>
              </w:rPr>
            </w:pPr>
            <w:r w:rsidRPr="00C932DC">
              <w:rPr>
                <w:b w:val="0"/>
                <w:bCs/>
                <w:i/>
                <w:color w:val="000000"/>
              </w:rPr>
              <w:t>29,424</w:t>
            </w:r>
          </w:p>
        </w:tc>
        <w:tc>
          <w:tcPr>
            <w:tcW w:w="964" w:type="dxa"/>
            <w:vAlign w:val="bottom"/>
          </w:tcPr>
          <w:p w14:paraId="418FA2FF" w14:textId="4B5B1BD2" w:rsidR="001D5AA2" w:rsidRPr="00C932DC" w:rsidRDefault="001D5AA2" w:rsidP="001D5AA2">
            <w:pPr>
              <w:pStyle w:val="Tabletextboldleft"/>
              <w:spacing w:before="20" w:after="20"/>
              <w:jc w:val="right"/>
              <w:rPr>
                <w:b w:val="0"/>
                <w:i/>
              </w:rPr>
            </w:pPr>
            <w:r w:rsidRPr="00C932DC">
              <w:rPr>
                <w:b w:val="0"/>
                <w:bCs/>
                <w:i/>
                <w:color w:val="000000"/>
              </w:rPr>
              <w:t>30,471</w:t>
            </w:r>
          </w:p>
        </w:tc>
        <w:tc>
          <w:tcPr>
            <w:tcW w:w="964" w:type="dxa"/>
            <w:vAlign w:val="bottom"/>
          </w:tcPr>
          <w:p w14:paraId="3E6CF471" w14:textId="209B02FD" w:rsidR="001D5AA2" w:rsidRPr="00C932DC" w:rsidRDefault="001D5AA2" w:rsidP="001D5AA2">
            <w:pPr>
              <w:pStyle w:val="Tabletextboldleft"/>
              <w:spacing w:before="20" w:after="20"/>
              <w:jc w:val="right"/>
              <w:rPr>
                <w:b w:val="0"/>
                <w:i/>
              </w:rPr>
            </w:pPr>
            <w:r w:rsidRPr="00C932DC">
              <w:rPr>
                <w:b w:val="0"/>
                <w:bCs/>
                <w:i/>
                <w:color w:val="000000"/>
              </w:rPr>
              <w:t>31,518</w:t>
            </w:r>
          </w:p>
        </w:tc>
        <w:tc>
          <w:tcPr>
            <w:tcW w:w="964" w:type="dxa"/>
            <w:vAlign w:val="bottom"/>
          </w:tcPr>
          <w:p w14:paraId="74EA6ACA" w14:textId="0D48111A" w:rsidR="001D5AA2" w:rsidRPr="00C932DC" w:rsidRDefault="001D5AA2" w:rsidP="001D5AA2">
            <w:pPr>
              <w:pStyle w:val="Tabletextboldleft"/>
              <w:spacing w:before="20" w:after="20"/>
              <w:jc w:val="right"/>
              <w:rPr>
                <w:b w:val="0"/>
                <w:i/>
              </w:rPr>
            </w:pPr>
            <w:r w:rsidRPr="00C932DC">
              <w:rPr>
                <w:b w:val="0"/>
                <w:bCs/>
                <w:i/>
                <w:color w:val="000000"/>
              </w:rPr>
              <w:t>32,564</w:t>
            </w:r>
          </w:p>
        </w:tc>
        <w:tc>
          <w:tcPr>
            <w:tcW w:w="964" w:type="dxa"/>
            <w:vAlign w:val="bottom"/>
          </w:tcPr>
          <w:p w14:paraId="600FBC1F" w14:textId="36011664" w:rsidR="001D5AA2" w:rsidRPr="00C932DC" w:rsidRDefault="001D5AA2" w:rsidP="001D5AA2">
            <w:pPr>
              <w:pStyle w:val="Tabletextboldleft"/>
              <w:spacing w:before="20" w:after="20"/>
              <w:jc w:val="right"/>
              <w:rPr>
                <w:b w:val="0"/>
                <w:i/>
              </w:rPr>
            </w:pPr>
            <w:r w:rsidRPr="00C932DC">
              <w:rPr>
                <w:b w:val="0"/>
                <w:bCs/>
                <w:i/>
                <w:color w:val="000000"/>
              </w:rPr>
              <w:t>33,611</w:t>
            </w:r>
          </w:p>
        </w:tc>
      </w:tr>
      <w:tr w:rsidR="001D5AA2" w:rsidRPr="00F647C7" w14:paraId="3C1DDC8A" w14:textId="77777777" w:rsidTr="00E61184">
        <w:trPr>
          <w:trHeight w:val="212"/>
        </w:trPr>
        <w:tc>
          <w:tcPr>
            <w:tcW w:w="3544" w:type="dxa"/>
          </w:tcPr>
          <w:p w14:paraId="576C761E" w14:textId="77777777" w:rsidR="001D5AA2" w:rsidRPr="00C26CDD" w:rsidRDefault="001D5AA2" w:rsidP="001D5AA2">
            <w:pPr>
              <w:pStyle w:val="Tabletextboldleft"/>
              <w:spacing w:before="20" w:after="20"/>
              <w:rPr>
                <w:b w:val="0"/>
                <w:i/>
              </w:rPr>
            </w:pPr>
            <w:r>
              <w:rPr>
                <w:b w:val="0"/>
                <w:i/>
              </w:rPr>
              <w:t>Sub-t</w:t>
            </w:r>
            <w:r w:rsidRPr="00C26CDD">
              <w:rPr>
                <w:b w:val="0"/>
                <w:i/>
              </w:rPr>
              <w:t>otal (including all cytology)</w:t>
            </w:r>
          </w:p>
        </w:tc>
        <w:tc>
          <w:tcPr>
            <w:tcW w:w="963" w:type="dxa"/>
            <w:vAlign w:val="bottom"/>
          </w:tcPr>
          <w:p w14:paraId="76FC3649" w14:textId="357C36BD" w:rsidR="001D5AA2" w:rsidRPr="00C932DC" w:rsidRDefault="001D5AA2" w:rsidP="001D5AA2">
            <w:pPr>
              <w:pStyle w:val="Tabletextboldleft"/>
              <w:spacing w:before="20" w:after="20"/>
              <w:jc w:val="right"/>
              <w:rPr>
                <w:b w:val="0"/>
                <w:i/>
              </w:rPr>
            </w:pPr>
            <w:r w:rsidRPr="00C932DC">
              <w:rPr>
                <w:b w:val="0"/>
                <w:bCs/>
                <w:i/>
                <w:color w:val="000000"/>
              </w:rPr>
              <w:t>47,974</w:t>
            </w:r>
          </w:p>
        </w:tc>
        <w:tc>
          <w:tcPr>
            <w:tcW w:w="964" w:type="dxa"/>
            <w:vAlign w:val="bottom"/>
          </w:tcPr>
          <w:p w14:paraId="44BB831C" w14:textId="13601266" w:rsidR="001D5AA2" w:rsidRPr="00C932DC" w:rsidRDefault="001D5AA2" w:rsidP="001D5AA2">
            <w:pPr>
              <w:pStyle w:val="Tabletextboldleft"/>
              <w:spacing w:before="20" w:after="20"/>
              <w:jc w:val="right"/>
              <w:rPr>
                <w:b w:val="0"/>
                <w:i/>
              </w:rPr>
            </w:pPr>
            <w:r w:rsidRPr="00C932DC">
              <w:rPr>
                <w:b w:val="0"/>
                <w:bCs/>
                <w:i/>
                <w:color w:val="000000"/>
              </w:rPr>
              <w:t>49,175</w:t>
            </w:r>
          </w:p>
        </w:tc>
        <w:tc>
          <w:tcPr>
            <w:tcW w:w="964" w:type="dxa"/>
            <w:vAlign w:val="bottom"/>
          </w:tcPr>
          <w:p w14:paraId="68A194EC" w14:textId="2CBF68D7" w:rsidR="001D5AA2" w:rsidRPr="00C932DC" w:rsidRDefault="001D5AA2" w:rsidP="001D5AA2">
            <w:pPr>
              <w:pStyle w:val="Tabletextboldleft"/>
              <w:spacing w:before="20" w:after="20"/>
              <w:jc w:val="right"/>
              <w:rPr>
                <w:b w:val="0"/>
                <w:i/>
              </w:rPr>
            </w:pPr>
            <w:r w:rsidRPr="00C932DC">
              <w:rPr>
                <w:b w:val="0"/>
                <w:bCs/>
                <w:i/>
                <w:color w:val="000000"/>
              </w:rPr>
              <w:t>50,376</w:t>
            </w:r>
          </w:p>
        </w:tc>
        <w:tc>
          <w:tcPr>
            <w:tcW w:w="964" w:type="dxa"/>
            <w:vAlign w:val="bottom"/>
          </w:tcPr>
          <w:p w14:paraId="19DB1414" w14:textId="31E55017" w:rsidR="001D5AA2" w:rsidRPr="00C932DC" w:rsidRDefault="001D5AA2" w:rsidP="001D5AA2">
            <w:pPr>
              <w:pStyle w:val="Tabletextboldleft"/>
              <w:spacing w:before="20" w:after="20"/>
              <w:jc w:val="right"/>
              <w:rPr>
                <w:b w:val="0"/>
                <w:i/>
              </w:rPr>
            </w:pPr>
            <w:r w:rsidRPr="00C932DC">
              <w:rPr>
                <w:b w:val="0"/>
                <w:bCs/>
                <w:i/>
                <w:color w:val="000000"/>
              </w:rPr>
              <w:t>51,578</w:t>
            </w:r>
          </w:p>
        </w:tc>
        <w:tc>
          <w:tcPr>
            <w:tcW w:w="964" w:type="dxa"/>
            <w:vAlign w:val="bottom"/>
          </w:tcPr>
          <w:p w14:paraId="049DFDCA" w14:textId="0532B287" w:rsidR="001D5AA2" w:rsidRPr="00C932DC" w:rsidRDefault="001D5AA2" w:rsidP="001D5AA2">
            <w:pPr>
              <w:pStyle w:val="Tabletextboldleft"/>
              <w:spacing w:before="20" w:after="20"/>
              <w:jc w:val="right"/>
              <w:rPr>
                <w:b w:val="0"/>
                <w:i/>
              </w:rPr>
            </w:pPr>
            <w:r w:rsidRPr="00C932DC">
              <w:rPr>
                <w:b w:val="0"/>
                <w:bCs/>
                <w:i/>
                <w:color w:val="000000"/>
              </w:rPr>
              <w:t>52,779</w:t>
            </w:r>
          </w:p>
        </w:tc>
      </w:tr>
      <w:tr w:rsidR="00B51828" w:rsidRPr="00F647C7" w14:paraId="5B1FB423" w14:textId="77777777" w:rsidTr="00E61184">
        <w:trPr>
          <w:trHeight w:val="212"/>
        </w:trPr>
        <w:tc>
          <w:tcPr>
            <w:tcW w:w="3544" w:type="dxa"/>
            <w:shd w:val="clear" w:color="auto" w:fill="D0CECE" w:themeFill="background2" w:themeFillShade="E6"/>
          </w:tcPr>
          <w:p w14:paraId="60A26FC6" w14:textId="77777777" w:rsidR="00B51828" w:rsidRDefault="00B51828" w:rsidP="002101D2">
            <w:pPr>
              <w:pStyle w:val="Tabletextboldleft"/>
              <w:spacing w:before="20" w:after="20"/>
            </w:pPr>
            <w:r w:rsidRPr="00F411CD">
              <w:t xml:space="preserve">TOTAL </w:t>
            </w:r>
          </w:p>
          <w:p w14:paraId="52A6F05F" w14:textId="77777777" w:rsidR="00B51828" w:rsidRPr="009D63D8" w:rsidRDefault="00B51828" w:rsidP="002101D2">
            <w:pPr>
              <w:pStyle w:val="Tabletextboldleft"/>
              <w:spacing w:before="20" w:after="20"/>
              <w:rPr>
                <w:b w:val="0"/>
              </w:rPr>
            </w:pPr>
            <w:r w:rsidRPr="009D63D8">
              <w:rPr>
                <w:b w:val="0"/>
              </w:rPr>
              <w:t>(</w:t>
            </w:r>
            <w:r w:rsidRPr="009D63D8">
              <w:rPr>
                <w:b w:val="0"/>
                <w:i/>
              </w:rPr>
              <w:t>S1</w:t>
            </w:r>
            <w:r w:rsidRPr="009D63D8">
              <w:rPr>
                <w:b w:val="0"/>
              </w:rPr>
              <w:t xml:space="preserve"> and S</w:t>
            </w:r>
            <w:r w:rsidRPr="009D63D8">
              <w:rPr>
                <w:b w:val="0"/>
                <w:i/>
              </w:rPr>
              <w:t>2</w:t>
            </w:r>
            <w:r>
              <w:rPr>
                <w:b w:val="0"/>
              </w:rPr>
              <w:t xml:space="preserve"> – excl.</w:t>
            </w:r>
            <w:r w:rsidRPr="009D63D8">
              <w:rPr>
                <w:b w:val="0"/>
              </w:rPr>
              <w:t xml:space="preserve"> gynaecological cytology)</w:t>
            </w:r>
          </w:p>
        </w:tc>
        <w:tc>
          <w:tcPr>
            <w:tcW w:w="963" w:type="dxa"/>
            <w:shd w:val="clear" w:color="auto" w:fill="D0CECE" w:themeFill="background2" w:themeFillShade="E6"/>
          </w:tcPr>
          <w:p w14:paraId="69604680" w14:textId="77777777" w:rsidR="00B51828" w:rsidRPr="00176793" w:rsidRDefault="00B51828" w:rsidP="002101D2">
            <w:pPr>
              <w:pStyle w:val="Tabletextboldleft"/>
              <w:spacing w:before="20" w:after="20"/>
              <w:jc w:val="right"/>
            </w:pPr>
            <w:r w:rsidRPr="00176793">
              <w:rPr>
                <w:color w:val="000000"/>
              </w:rPr>
              <w:t>114,040</w:t>
            </w:r>
          </w:p>
        </w:tc>
        <w:tc>
          <w:tcPr>
            <w:tcW w:w="964" w:type="dxa"/>
            <w:shd w:val="clear" w:color="auto" w:fill="D0CECE" w:themeFill="background2" w:themeFillShade="E6"/>
          </w:tcPr>
          <w:p w14:paraId="2D7D7C1C" w14:textId="77777777" w:rsidR="00B51828" w:rsidRPr="00176793" w:rsidRDefault="00B51828" w:rsidP="002101D2">
            <w:pPr>
              <w:pStyle w:val="Tabletextboldleft"/>
              <w:spacing w:before="20" w:after="20"/>
              <w:jc w:val="right"/>
            </w:pPr>
            <w:r w:rsidRPr="00176793">
              <w:rPr>
                <w:color w:val="000000"/>
              </w:rPr>
              <w:t>118,124</w:t>
            </w:r>
          </w:p>
        </w:tc>
        <w:tc>
          <w:tcPr>
            <w:tcW w:w="964" w:type="dxa"/>
            <w:shd w:val="clear" w:color="auto" w:fill="D0CECE" w:themeFill="background2" w:themeFillShade="E6"/>
          </w:tcPr>
          <w:p w14:paraId="420F0F52" w14:textId="77777777" w:rsidR="00B51828" w:rsidRPr="00176793" w:rsidRDefault="00B51828" w:rsidP="002101D2">
            <w:pPr>
              <w:pStyle w:val="Tabletextboldleft"/>
              <w:spacing w:before="20" w:after="20"/>
              <w:jc w:val="right"/>
            </w:pPr>
            <w:r w:rsidRPr="00176793">
              <w:rPr>
                <w:color w:val="000000"/>
              </w:rPr>
              <w:t>122,208</w:t>
            </w:r>
          </w:p>
        </w:tc>
        <w:tc>
          <w:tcPr>
            <w:tcW w:w="964" w:type="dxa"/>
            <w:shd w:val="clear" w:color="auto" w:fill="D0CECE" w:themeFill="background2" w:themeFillShade="E6"/>
          </w:tcPr>
          <w:p w14:paraId="56CB8BC3" w14:textId="77777777" w:rsidR="00B51828" w:rsidRPr="00176793" w:rsidRDefault="00B51828" w:rsidP="002101D2">
            <w:pPr>
              <w:pStyle w:val="Tabletextboldleft"/>
              <w:spacing w:before="20" w:after="20"/>
              <w:jc w:val="right"/>
            </w:pPr>
            <w:r w:rsidRPr="00176793">
              <w:rPr>
                <w:color w:val="000000"/>
              </w:rPr>
              <w:t>126,293</w:t>
            </w:r>
          </w:p>
        </w:tc>
        <w:tc>
          <w:tcPr>
            <w:tcW w:w="964" w:type="dxa"/>
            <w:shd w:val="clear" w:color="auto" w:fill="D0CECE" w:themeFill="background2" w:themeFillShade="E6"/>
          </w:tcPr>
          <w:p w14:paraId="59BDA2E9" w14:textId="77777777" w:rsidR="00B51828" w:rsidRPr="00176793" w:rsidRDefault="00B51828" w:rsidP="002101D2">
            <w:pPr>
              <w:pStyle w:val="Tabletextboldleft"/>
              <w:spacing w:before="20" w:after="20"/>
              <w:jc w:val="right"/>
            </w:pPr>
            <w:r w:rsidRPr="00176793">
              <w:rPr>
                <w:color w:val="000000"/>
              </w:rPr>
              <w:t>130,377</w:t>
            </w:r>
          </w:p>
        </w:tc>
      </w:tr>
      <w:tr w:rsidR="00B51828" w:rsidRPr="00F647C7" w14:paraId="08A17BFC" w14:textId="77777777" w:rsidTr="00E61184">
        <w:trPr>
          <w:trHeight w:val="212"/>
        </w:trPr>
        <w:tc>
          <w:tcPr>
            <w:tcW w:w="3544" w:type="dxa"/>
            <w:shd w:val="clear" w:color="auto" w:fill="D0CECE" w:themeFill="background2" w:themeFillShade="E6"/>
          </w:tcPr>
          <w:p w14:paraId="6A4E8757" w14:textId="77777777" w:rsidR="00B51828" w:rsidRDefault="00B51828" w:rsidP="002101D2">
            <w:pPr>
              <w:pStyle w:val="Tabletextboldleft"/>
              <w:spacing w:before="20" w:after="20"/>
            </w:pPr>
            <w:r w:rsidRPr="00F411CD">
              <w:t xml:space="preserve">TOTAL </w:t>
            </w:r>
          </w:p>
          <w:p w14:paraId="61AB12A2" w14:textId="77777777" w:rsidR="00B51828" w:rsidRPr="009D63D8" w:rsidRDefault="00B51828" w:rsidP="002101D2">
            <w:pPr>
              <w:pStyle w:val="Tabletextboldleft"/>
              <w:spacing w:before="20" w:after="20"/>
              <w:rPr>
                <w:b w:val="0"/>
              </w:rPr>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963" w:type="dxa"/>
            <w:shd w:val="clear" w:color="auto" w:fill="D0CECE" w:themeFill="background2" w:themeFillShade="E6"/>
          </w:tcPr>
          <w:p w14:paraId="7AF6BE9E" w14:textId="77777777" w:rsidR="00B51828" w:rsidRPr="00176793" w:rsidRDefault="00B51828" w:rsidP="002101D2">
            <w:pPr>
              <w:pStyle w:val="Tabletextboldleft"/>
              <w:spacing w:before="20" w:after="20"/>
              <w:jc w:val="right"/>
            </w:pPr>
            <w:r w:rsidRPr="00176793">
              <w:rPr>
                <w:color w:val="000000"/>
              </w:rPr>
              <w:t>159,847</w:t>
            </w:r>
          </w:p>
        </w:tc>
        <w:tc>
          <w:tcPr>
            <w:tcW w:w="964" w:type="dxa"/>
            <w:shd w:val="clear" w:color="auto" w:fill="D0CECE" w:themeFill="background2" w:themeFillShade="E6"/>
          </w:tcPr>
          <w:p w14:paraId="66FBB792" w14:textId="77777777" w:rsidR="00B51828" w:rsidRPr="00176793" w:rsidRDefault="00B51828" w:rsidP="002101D2">
            <w:pPr>
              <w:pStyle w:val="Tabletextboldleft"/>
              <w:spacing w:before="20" w:after="20"/>
              <w:jc w:val="right"/>
            </w:pPr>
            <w:r w:rsidRPr="00176793">
              <w:rPr>
                <w:color w:val="000000"/>
              </w:rPr>
              <w:t>164,313</w:t>
            </w:r>
          </w:p>
        </w:tc>
        <w:tc>
          <w:tcPr>
            <w:tcW w:w="964" w:type="dxa"/>
            <w:shd w:val="clear" w:color="auto" w:fill="D0CECE" w:themeFill="background2" w:themeFillShade="E6"/>
          </w:tcPr>
          <w:p w14:paraId="61BE45C3" w14:textId="77777777" w:rsidR="00B51828" w:rsidRPr="00176793" w:rsidRDefault="00B51828" w:rsidP="002101D2">
            <w:pPr>
              <w:pStyle w:val="Tabletextboldleft"/>
              <w:spacing w:before="20" w:after="20"/>
              <w:jc w:val="right"/>
            </w:pPr>
            <w:r w:rsidRPr="00176793">
              <w:rPr>
                <w:color w:val="000000"/>
              </w:rPr>
              <w:t>168,779</w:t>
            </w:r>
          </w:p>
        </w:tc>
        <w:tc>
          <w:tcPr>
            <w:tcW w:w="964" w:type="dxa"/>
            <w:shd w:val="clear" w:color="auto" w:fill="D0CECE" w:themeFill="background2" w:themeFillShade="E6"/>
          </w:tcPr>
          <w:p w14:paraId="5B872EFE" w14:textId="77777777" w:rsidR="00B51828" w:rsidRPr="00176793" w:rsidRDefault="00B51828" w:rsidP="002101D2">
            <w:pPr>
              <w:pStyle w:val="Tabletextboldleft"/>
              <w:spacing w:before="20" w:after="20"/>
              <w:jc w:val="right"/>
            </w:pPr>
            <w:r w:rsidRPr="00176793">
              <w:rPr>
                <w:color w:val="000000"/>
              </w:rPr>
              <w:t>173,245</w:t>
            </w:r>
          </w:p>
        </w:tc>
        <w:tc>
          <w:tcPr>
            <w:tcW w:w="964" w:type="dxa"/>
            <w:shd w:val="clear" w:color="auto" w:fill="D0CECE" w:themeFill="background2" w:themeFillShade="E6"/>
          </w:tcPr>
          <w:p w14:paraId="6C22A85A" w14:textId="77777777" w:rsidR="00B51828" w:rsidRPr="00176793" w:rsidRDefault="00B51828" w:rsidP="002101D2">
            <w:pPr>
              <w:pStyle w:val="Tabletextboldleft"/>
              <w:spacing w:before="20" w:after="20"/>
              <w:jc w:val="right"/>
            </w:pPr>
            <w:r w:rsidRPr="00176793">
              <w:rPr>
                <w:color w:val="000000"/>
              </w:rPr>
              <w:t>177,711</w:t>
            </w:r>
          </w:p>
        </w:tc>
      </w:tr>
    </w:tbl>
    <w:p w14:paraId="361E2C9E" w14:textId="77777777" w:rsidR="00B51828" w:rsidRDefault="00B51828" w:rsidP="002101D2">
      <w:pPr>
        <w:keepNext/>
        <w:spacing w:before="20" w:after="0"/>
        <w:ind w:left="0" w:firstLine="720"/>
        <w:rPr>
          <w:rFonts w:ascii="Arial Narrow" w:hAnsi="Arial Narrow"/>
          <w:sz w:val="18"/>
          <w:szCs w:val="18"/>
        </w:rPr>
      </w:pPr>
      <w:r>
        <w:rPr>
          <w:rFonts w:ascii="Arial Narrow" w:hAnsi="Arial Narrow"/>
          <w:sz w:val="18"/>
          <w:szCs w:val="18"/>
        </w:rPr>
        <w:t>Source: Excel Section E workbook &lt;MBS services (associated items)&gt;, &lt;Total MBS services&gt;</w:t>
      </w:r>
    </w:p>
    <w:p w14:paraId="3EA27A79" w14:textId="77777777" w:rsidR="00B51828" w:rsidRPr="001D2CEB" w:rsidRDefault="00B51828" w:rsidP="002101D2">
      <w:pPr>
        <w:keepNext/>
        <w:spacing w:before="20"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7A413BF6" w14:textId="77777777" w:rsidR="00B51828" w:rsidRDefault="00B51828" w:rsidP="002101D2">
      <w:pPr>
        <w:ind w:left="0" w:firstLine="720"/>
        <w:rPr>
          <w:rFonts w:ascii="Arial Narrow" w:hAnsi="Arial Narrow"/>
          <w:sz w:val="18"/>
          <w:szCs w:val="18"/>
        </w:rPr>
      </w:pPr>
      <w:r w:rsidRPr="00DB0F9B">
        <w:rPr>
          <w:rFonts w:ascii="Arial Narrow" w:hAnsi="Arial Narrow"/>
          <w:sz w:val="18"/>
          <w:szCs w:val="18"/>
          <w:vertAlign w:val="superscript"/>
        </w:rPr>
        <w:t>a</w:t>
      </w:r>
      <w:r>
        <w:rPr>
          <w:rFonts w:ascii="Arial Narrow" w:hAnsi="Arial Narrow"/>
          <w:sz w:val="18"/>
          <w:szCs w:val="18"/>
        </w:rPr>
        <w:t xml:space="preserve"> Includes bone marrow items</w:t>
      </w:r>
    </w:p>
    <w:p w14:paraId="0B47CC12" w14:textId="77777777" w:rsidR="00B51828" w:rsidRDefault="00B51828" w:rsidP="002101D2">
      <w:pPr>
        <w:pStyle w:val="Caption"/>
      </w:pPr>
      <w:bookmarkStart w:id="290" w:name="_Ref394924720"/>
      <w:bookmarkStart w:id="291" w:name="_Toc396211781"/>
      <w:r>
        <w:lastRenderedPageBreak/>
        <w:t xml:space="preserve">Table </w:t>
      </w:r>
      <w:fldSimple w:instr=" STYLEREF 2 \s ">
        <w:r w:rsidR="0044620B">
          <w:rPr>
            <w:noProof/>
          </w:rPr>
          <w:t>E.3</w:t>
        </w:r>
      </w:fldSimple>
      <w:r>
        <w:noBreakHyphen/>
      </w:r>
      <w:fldSimple w:instr=" SEQ Table \* ARABIC \s 2 ">
        <w:r w:rsidR="0044620B">
          <w:rPr>
            <w:noProof/>
          </w:rPr>
          <w:t>2</w:t>
        </w:r>
      </w:fldSimple>
      <w:bookmarkEnd w:id="290"/>
      <w:r>
        <w:tab/>
      </w:r>
      <w:r w:rsidRPr="00BC2B1A">
        <w:t xml:space="preserve">Estimated number of services for other </w:t>
      </w:r>
      <w:r>
        <w:t xml:space="preserve">associated </w:t>
      </w:r>
      <w:r w:rsidRPr="00BC2B1A">
        <w:t>MBS items, over the first five years of th</w:t>
      </w:r>
      <w:r>
        <w:t>e proposed MBS listing – Current</w:t>
      </w:r>
      <w:r w:rsidRPr="00BC2B1A">
        <w:t xml:space="preserve"> funding arrangements</w:t>
      </w:r>
      <w:bookmarkEnd w:id="291"/>
    </w:p>
    <w:tbl>
      <w:tblPr>
        <w:tblStyle w:val="TableGrid"/>
        <w:tblW w:w="8363" w:type="dxa"/>
        <w:tblInd w:w="704" w:type="dxa"/>
        <w:tblLayout w:type="fixed"/>
        <w:tblLook w:val="04A0" w:firstRow="1" w:lastRow="0" w:firstColumn="1" w:lastColumn="0" w:noHBand="0" w:noVBand="1"/>
        <w:tblCaption w:val="Estimated number of services for other associated MBS items, over the first five years of the proposed MBS listing – Current funding arrangements"/>
        <w:tblDescription w:val="The number of services for other MBS items including ancillary tests, specimen referred fee and the bulk billing incentive under current funding arrangements"/>
      </w:tblPr>
      <w:tblGrid>
        <w:gridCol w:w="3544"/>
        <w:gridCol w:w="963"/>
        <w:gridCol w:w="964"/>
        <w:gridCol w:w="964"/>
        <w:gridCol w:w="964"/>
        <w:gridCol w:w="964"/>
      </w:tblGrid>
      <w:tr w:rsidR="00B51828" w14:paraId="6C19258B" w14:textId="77777777" w:rsidTr="00E61184">
        <w:trPr>
          <w:trHeight w:val="212"/>
          <w:tblHeader/>
        </w:trPr>
        <w:tc>
          <w:tcPr>
            <w:tcW w:w="3544" w:type="dxa"/>
          </w:tcPr>
          <w:p w14:paraId="5C6C9053" w14:textId="77777777" w:rsidR="00B51828" w:rsidRDefault="00B51828" w:rsidP="002101D2">
            <w:pPr>
              <w:pStyle w:val="Tabletextboldleft"/>
              <w:spacing w:before="20" w:after="20"/>
            </w:pPr>
          </w:p>
        </w:tc>
        <w:tc>
          <w:tcPr>
            <w:tcW w:w="963" w:type="dxa"/>
          </w:tcPr>
          <w:p w14:paraId="4BE9AC6C" w14:textId="77777777" w:rsidR="00B51828" w:rsidRDefault="00B51828" w:rsidP="002101D2">
            <w:pPr>
              <w:pStyle w:val="Tabletextboldleft"/>
              <w:spacing w:before="20" w:after="20"/>
              <w:jc w:val="right"/>
            </w:pPr>
            <w:r>
              <w:t>Year 1</w:t>
            </w:r>
          </w:p>
          <w:p w14:paraId="5E889721" w14:textId="77777777" w:rsidR="00B51828" w:rsidRDefault="00B51828" w:rsidP="002101D2">
            <w:pPr>
              <w:pStyle w:val="Tabletextboldleft"/>
              <w:spacing w:before="20" w:after="20"/>
              <w:jc w:val="right"/>
            </w:pPr>
            <w:r>
              <w:t>(2015-16)</w:t>
            </w:r>
          </w:p>
        </w:tc>
        <w:tc>
          <w:tcPr>
            <w:tcW w:w="964" w:type="dxa"/>
          </w:tcPr>
          <w:p w14:paraId="391ABC68" w14:textId="77777777" w:rsidR="00B51828" w:rsidRDefault="00B51828" w:rsidP="002101D2">
            <w:pPr>
              <w:pStyle w:val="Tabletextboldleft"/>
              <w:spacing w:before="20" w:after="20"/>
              <w:jc w:val="right"/>
            </w:pPr>
            <w:r>
              <w:t>Year 2</w:t>
            </w:r>
          </w:p>
          <w:p w14:paraId="51BABF71" w14:textId="77777777" w:rsidR="00B51828" w:rsidRDefault="00B51828" w:rsidP="002101D2">
            <w:pPr>
              <w:pStyle w:val="Tabletextboldleft"/>
              <w:spacing w:before="20" w:after="20"/>
              <w:jc w:val="right"/>
            </w:pPr>
            <w:r>
              <w:t>(2016-17)</w:t>
            </w:r>
          </w:p>
        </w:tc>
        <w:tc>
          <w:tcPr>
            <w:tcW w:w="964" w:type="dxa"/>
          </w:tcPr>
          <w:p w14:paraId="044F2DD8" w14:textId="77777777" w:rsidR="00B51828" w:rsidRDefault="00B51828" w:rsidP="002101D2">
            <w:pPr>
              <w:pStyle w:val="Tabletextboldleft"/>
              <w:spacing w:before="20" w:after="20"/>
              <w:jc w:val="right"/>
            </w:pPr>
            <w:r>
              <w:t>Year 3</w:t>
            </w:r>
          </w:p>
          <w:p w14:paraId="6C9E5823" w14:textId="77777777" w:rsidR="00B51828" w:rsidRDefault="00B51828" w:rsidP="002101D2">
            <w:pPr>
              <w:pStyle w:val="Tabletextboldleft"/>
              <w:spacing w:before="20" w:after="20"/>
              <w:jc w:val="right"/>
            </w:pPr>
            <w:r>
              <w:t>(2017-18)</w:t>
            </w:r>
          </w:p>
        </w:tc>
        <w:tc>
          <w:tcPr>
            <w:tcW w:w="964" w:type="dxa"/>
          </w:tcPr>
          <w:p w14:paraId="11A8180D" w14:textId="77777777" w:rsidR="00B51828" w:rsidRDefault="00B51828" w:rsidP="002101D2">
            <w:pPr>
              <w:pStyle w:val="Tabletextboldleft"/>
              <w:spacing w:before="20" w:after="20"/>
              <w:jc w:val="right"/>
            </w:pPr>
            <w:r>
              <w:t>Year 4</w:t>
            </w:r>
          </w:p>
          <w:p w14:paraId="78AF5C66" w14:textId="77777777" w:rsidR="00B51828" w:rsidRDefault="00B51828" w:rsidP="002101D2">
            <w:pPr>
              <w:pStyle w:val="Tabletextboldleft"/>
              <w:spacing w:before="20" w:after="20"/>
              <w:jc w:val="right"/>
            </w:pPr>
            <w:r>
              <w:t>(2018-19)</w:t>
            </w:r>
          </w:p>
        </w:tc>
        <w:tc>
          <w:tcPr>
            <w:tcW w:w="964" w:type="dxa"/>
          </w:tcPr>
          <w:p w14:paraId="7A789F4D" w14:textId="77777777" w:rsidR="00B51828" w:rsidRDefault="00B51828" w:rsidP="002101D2">
            <w:pPr>
              <w:pStyle w:val="Tabletextboldleft"/>
              <w:spacing w:before="20" w:after="20"/>
              <w:jc w:val="right"/>
            </w:pPr>
            <w:r>
              <w:t>Year 5</w:t>
            </w:r>
          </w:p>
          <w:p w14:paraId="00843CB2" w14:textId="77777777" w:rsidR="00B51828" w:rsidRDefault="00B51828" w:rsidP="002101D2">
            <w:pPr>
              <w:pStyle w:val="Tabletextboldleft"/>
              <w:spacing w:before="20" w:after="20"/>
              <w:jc w:val="right"/>
            </w:pPr>
            <w:r>
              <w:t>(2019-20)</w:t>
            </w:r>
          </w:p>
        </w:tc>
      </w:tr>
      <w:tr w:rsidR="00B51828" w:rsidRPr="00F647C7" w14:paraId="12C0B6B9" w14:textId="77777777" w:rsidTr="00E61184">
        <w:trPr>
          <w:trHeight w:val="212"/>
        </w:trPr>
        <w:tc>
          <w:tcPr>
            <w:tcW w:w="3544" w:type="dxa"/>
            <w:tcBorders>
              <w:bottom w:val="single" w:sz="4" w:space="0" w:color="auto"/>
            </w:tcBorders>
            <w:shd w:val="clear" w:color="auto" w:fill="D0CECE" w:themeFill="background2" w:themeFillShade="E6"/>
          </w:tcPr>
          <w:p w14:paraId="1BC23E22" w14:textId="77777777" w:rsidR="00B51828" w:rsidRPr="0076472C" w:rsidRDefault="00B51828" w:rsidP="002101D2">
            <w:pPr>
              <w:pStyle w:val="Tabletextboldleft"/>
              <w:spacing w:before="20" w:after="20"/>
              <w:rPr>
                <w:i/>
              </w:rPr>
            </w:pPr>
            <w:r>
              <w:rPr>
                <w:i/>
              </w:rPr>
              <w:t>Scenario 1</w:t>
            </w:r>
          </w:p>
        </w:tc>
        <w:tc>
          <w:tcPr>
            <w:tcW w:w="963" w:type="dxa"/>
            <w:tcBorders>
              <w:bottom w:val="single" w:sz="4" w:space="0" w:color="auto"/>
            </w:tcBorders>
            <w:shd w:val="clear" w:color="auto" w:fill="D0CECE" w:themeFill="background2" w:themeFillShade="E6"/>
          </w:tcPr>
          <w:p w14:paraId="05D66E4E"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0E52528C"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07357EC8"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2A4D81CB"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7A7918FE" w14:textId="77777777" w:rsidR="00B51828" w:rsidRPr="002D0B57" w:rsidRDefault="00B51828" w:rsidP="002101D2">
            <w:pPr>
              <w:pStyle w:val="Tabletextboldleft"/>
              <w:spacing w:before="20" w:after="20"/>
              <w:jc w:val="right"/>
              <w:rPr>
                <w:b w:val="0"/>
              </w:rPr>
            </w:pPr>
            <w:r>
              <w:rPr>
                <w:b w:val="0"/>
              </w:rPr>
              <w:t>-</w:t>
            </w:r>
          </w:p>
        </w:tc>
      </w:tr>
      <w:tr w:rsidR="00B51828" w:rsidRPr="00F647C7" w14:paraId="2144AEF3" w14:textId="77777777" w:rsidTr="00E61184">
        <w:trPr>
          <w:trHeight w:val="212"/>
        </w:trPr>
        <w:tc>
          <w:tcPr>
            <w:tcW w:w="3544" w:type="dxa"/>
            <w:tcBorders>
              <w:bottom w:val="nil"/>
            </w:tcBorders>
          </w:tcPr>
          <w:p w14:paraId="062E80CC" w14:textId="77777777" w:rsidR="00B51828" w:rsidRPr="00386763"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963" w:type="dxa"/>
            <w:tcBorders>
              <w:bottom w:val="nil"/>
            </w:tcBorders>
          </w:tcPr>
          <w:p w14:paraId="410FBE51" w14:textId="77777777" w:rsidR="00B51828" w:rsidRPr="005F49A4" w:rsidRDefault="00B51828" w:rsidP="002101D2">
            <w:pPr>
              <w:pStyle w:val="Tabletextboldleft"/>
              <w:spacing w:before="20" w:after="20"/>
              <w:jc w:val="right"/>
              <w:rPr>
                <w:b w:val="0"/>
              </w:rPr>
            </w:pPr>
            <w:r w:rsidRPr="005F49A4">
              <w:rPr>
                <w:b w:val="0"/>
                <w:color w:val="000000"/>
              </w:rPr>
              <w:t>5,471</w:t>
            </w:r>
          </w:p>
        </w:tc>
        <w:tc>
          <w:tcPr>
            <w:tcW w:w="964" w:type="dxa"/>
            <w:tcBorders>
              <w:bottom w:val="nil"/>
            </w:tcBorders>
          </w:tcPr>
          <w:p w14:paraId="140509B6" w14:textId="77777777" w:rsidR="00B51828" w:rsidRPr="005F49A4" w:rsidRDefault="00B51828" w:rsidP="002101D2">
            <w:pPr>
              <w:pStyle w:val="Tabletextboldleft"/>
              <w:spacing w:before="20" w:after="20"/>
              <w:jc w:val="right"/>
              <w:rPr>
                <w:b w:val="0"/>
              </w:rPr>
            </w:pPr>
            <w:r w:rsidRPr="005F49A4">
              <w:rPr>
                <w:b w:val="0"/>
                <w:color w:val="000000"/>
              </w:rPr>
              <w:t>5,669</w:t>
            </w:r>
          </w:p>
        </w:tc>
        <w:tc>
          <w:tcPr>
            <w:tcW w:w="964" w:type="dxa"/>
            <w:tcBorders>
              <w:bottom w:val="nil"/>
            </w:tcBorders>
          </w:tcPr>
          <w:p w14:paraId="20524E41" w14:textId="77777777" w:rsidR="00B51828" w:rsidRPr="005F49A4" w:rsidRDefault="00B51828" w:rsidP="002101D2">
            <w:pPr>
              <w:pStyle w:val="Tabletextboldleft"/>
              <w:spacing w:before="20" w:after="20"/>
              <w:jc w:val="right"/>
              <w:rPr>
                <w:b w:val="0"/>
              </w:rPr>
            </w:pPr>
            <w:r w:rsidRPr="005F49A4">
              <w:rPr>
                <w:b w:val="0"/>
                <w:color w:val="000000"/>
              </w:rPr>
              <w:t>5,867</w:t>
            </w:r>
          </w:p>
        </w:tc>
        <w:tc>
          <w:tcPr>
            <w:tcW w:w="964" w:type="dxa"/>
            <w:tcBorders>
              <w:bottom w:val="nil"/>
            </w:tcBorders>
          </w:tcPr>
          <w:p w14:paraId="1090E3DD" w14:textId="77777777" w:rsidR="00B51828" w:rsidRPr="005F49A4" w:rsidRDefault="00B51828" w:rsidP="002101D2">
            <w:pPr>
              <w:pStyle w:val="Tabletextboldleft"/>
              <w:spacing w:before="20" w:after="20"/>
              <w:jc w:val="right"/>
              <w:rPr>
                <w:b w:val="0"/>
              </w:rPr>
            </w:pPr>
            <w:r w:rsidRPr="005F49A4">
              <w:rPr>
                <w:b w:val="0"/>
                <w:color w:val="000000"/>
              </w:rPr>
              <w:t>6,065</w:t>
            </w:r>
          </w:p>
        </w:tc>
        <w:tc>
          <w:tcPr>
            <w:tcW w:w="964" w:type="dxa"/>
            <w:tcBorders>
              <w:bottom w:val="nil"/>
            </w:tcBorders>
          </w:tcPr>
          <w:p w14:paraId="21825D5E" w14:textId="77777777" w:rsidR="00B51828" w:rsidRPr="005F49A4" w:rsidRDefault="00B51828" w:rsidP="002101D2">
            <w:pPr>
              <w:pStyle w:val="Tabletextboldleft"/>
              <w:spacing w:before="20" w:after="20"/>
              <w:jc w:val="right"/>
              <w:rPr>
                <w:b w:val="0"/>
              </w:rPr>
            </w:pPr>
            <w:r w:rsidRPr="005F49A4">
              <w:rPr>
                <w:b w:val="0"/>
                <w:color w:val="000000"/>
              </w:rPr>
              <w:t>6,264</w:t>
            </w:r>
          </w:p>
        </w:tc>
      </w:tr>
      <w:tr w:rsidR="00B51828" w:rsidRPr="00F647C7" w14:paraId="098D89E0" w14:textId="77777777" w:rsidTr="00E61184">
        <w:trPr>
          <w:trHeight w:val="212"/>
        </w:trPr>
        <w:tc>
          <w:tcPr>
            <w:tcW w:w="3544" w:type="dxa"/>
            <w:tcBorders>
              <w:top w:val="nil"/>
              <w:bottom w:val="nil"/>
            </w:tcBorders>
          </w:tcPr>
          <w:p w14:paraId="62F864E9" w14:textId="77777777" w:rsidR="00B51828" w:rsidRPr="00386763"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6E44272B" w14:textId="77777777" w:rsidR="00B51828" w:rsidRPr="005F49A4" w:rsidRDefault="00B51828" w:rsidP="002101D2">
            <w:pPr>
              <w:pStyle w:val="Tabletextboldleft"/>
              <w:spacing w:before="20" w:after="20"/>
              <w:jc w:val="right"/>
              <w:rPr>
                <w:b w:val="0"/>
              </w:rPr>
            </w:pPr>
            <w:r w:rsidRPr="005F49A4">
              <w:rPr>
                <w:b w:val="0"/>
                <w:color w:val="000000"/>
              </w:rPr>
              <w:t>5,471</w:t>
            </w:r>
          </w:p>
        </w:tc>
        <w:tc>
          <w:tcPr>
            <w:tcW w:w="964" w:type="dxa"/>
            <w:tcBorders>
              <w:top w:val="nil"/>
              <w:bottom w:val="nil"/>
            </w:tcBorders>
          </w:tcPr>
          <w:p w14:paraId="479F855F" w14:textId="77777777" w:rsidR="00B51828" w:rsidRPr="005F49A4" w:rsidRDefault="00B51828" w:rsidP="002101D2">
            <w:pPr>
              <w:pStyle w:val="Tabletextboldleft"/>
              <w:spacing w:before="20" w:after="20"/>
              <w:jc w:val="right"/>
              <w:rPr>
                <w:b w:val="0"/>
              </w:rPr>
            </w:pPr>
            <w:r w:rsidRPr="005F49A4">
              <w:rPr>
                <w:b w:val="0"/>
                <w:color w:val="000000"/>
              </w:rPr>
              <w:t>5,669</w:t>
            </w:r>
          </w:p>
        </w:tc>
        <w:tc>
          <w:tcPr>
            <w:tcW w:w="964" w:type="dxa"/>
            <w:tcBorders>
              <w:top w:val="nil"/>
              <w:bottom w:val="nil"/>
            </w:tcBorders>
          </w:tcPr>
          <w:p w14:paraId="4DCC64F4" w14:textId="77777777" w:rsidR="00B51828" w:rsidRPr="005F49A4" w:rsidRDefault="00B51828" w:rsidP="002101D2">
            <w:pPr>
              <w:pStyle w:val="Tabletextboldleft"/>
              <w:spacing w:before="20" w:after="20"/>
              <w:jc w:val="right"/>
              <w:rPr>
                <w:b w:val="0"/>
              </w:rPr>
            </w:pPr>
            <w:r w:rsidRPr="005F49A4">
              <w:rPr>
                <w:b w:val="0"/>
                <w:color w:val="000000"/>
              </w:rPr>
              <w:t>5,867</w:t>
            </w:r>
          </w:p>
        </w:tc>
        <w:tc>
          <w:tcPr>
            <w:tcW w:w="964" w:type="dxa"/>
            <w:tcBorders>
              <w:top w:val="nil"/>
              <w:bottom w:val="nil"/>
            </w:tcBorders>
          </w:tcPr>
          <w:p w14:paraId="3549BD82" w14:textId="77777777" w:rsidR="00B51828" w:rsidRPr="005F49A4" w:rsidRDefault="00B51828" w:rsidP="002101D2">
            <w:pPr>
              <w:pStyle w:val="Tabletextboldleft"/>
              <w:spacing w:before="20" w:after="20"/>
              <w:jc w:val="right"/>
              <w:rPr>
                <w:b w:val="0"/>
              </w:rPr>
            </w:pPr>
            <w:r w:rsidRPr="005F49A4">
              <w:rPr>
                <w:b w:val="0"/>
                <w:color w:val="000000"/>
              </w:rPr>
              <w:t>6,065</w:t>
            </w:r>
          </w:p>
        </w:tc>
        <w:tc>
          <w:tcPr>
            <w:tcW w:w="964" w:type="dxa"/>
            <w:tcBorders>
              <w:top w:val="nil"/>
              <w:bottom w:val="nil"/>
            </w:tcBorders>
          </w:tcPr>
          <w:p w14:paraId="68F7E809" w14:textId="77777777" w:rsidR="00B51828" w:rsidRPr="005F49A4" w:rsidRDefault="00B51828" w:rsidP="002101D2">
            <w:pPr>
              <w:pStyle w:val="Tabletextboldleft"/>
              <w:spacing w:before="20" w:after="20"/>
              <w:jc w:val="right"/>
              <w:rPr>
                <w:b w:val="0"/>
              </w:rPr>
            </w:pPr>
            <w:r w:rsidRPr="005F49A4">
              <w:rPr>
                <w:b w:val="0"/>
                <w:color w:val="000000"/>
              </w:rPr>
              <w:t>6,264</w:t>
            </w:r>
          </w:p>
        </w:tc>
      </w:tr>
      <w:tr w:rsidR="00B51828" w:rsidRPr="00F647C7" w14:paraId="1898FC8F" w14:textId="77777777" w:rsidTr="00E61184">
        <w:trPr>
          <w:trHeight w:val="212"/>
        </w:trPr>
        <w:tc>
          <w:tcPr>
            <w:tcW w:w="3544" w:type="dxa"/>
            <w:tcBorders>
              <w:top w:val="nil"/>
              <w:bottom w:val="nil"/>
            </w:tcBorders>
          </w:tcPr>
          <w:p w14:paraId="15EEF95F" w14:textId="77777777" w:rsidR="00B51828" w:rsidRPr="00386763"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0BE15E53"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5FEC3B17"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04A3D041"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1B78FA7F"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0B2EAC69"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19883B13" w14:textId="77777777" w:rsidTr="00E61184">
        <w:trPr>
          <w:trHeight w:val="212"/>
        </w:trPr>
        <w:tc>
          <w:tcPr>
            <w:tcW w:w="3544" w:type="dxa"/>
            <w:tcBorders>
              <w:top w:val="nil"/>
              <w:bottom w:val="single" w:sz="4" w:space="0" w:color="auto"/>
            </w:tcBorders>
          </w:tcPr>
          <w:p w14:paraId="401DA735" w14:textId="77777777" w:rsidR="00B51828" w:rsidRPr="00386763" w:rsidRDefault="00B51828" w:rsidP="002101D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tcPr>
          <w:p w14:paraId="4CA46B01"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5AA9DB88"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4157C5E6"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5F4FEC0F"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181FDDAF"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3B64F850" w14:textId="77777777" w:rsidTr="00E61184">
        <w:trPr>
          <w:trHeight w:val="212"/>
        </w:trPr>
        <w:tc>
          <w:tcPr>
            <w:tcW w:w="3544" w:type="dxa"/>
            <w:tcBorders>
              <w:bottom w:val="nil"/>
            </w:tcBorders>
          </w:tcPr>
          <w:p w14:paraId="1A4EF9BB" w14:textId="77777777" w:rsidR="00B51828" w:rsidRPr="00F411CD" w:rsidRDefault="00B51828" w:rsidP="002101D2">
            <w:pPr>
              <w:pStyle w:val="Tabletextboldleft"/>
              <w:spacing w:before="20" w:after="20"/>
              <w:rPr>
                <w:b w:val="0"/>
              </w:rPr>
            </w:pPr>
            <w:r w:rsidRPr="00F411CD">
              <w:rPr>
                <w:b w:val="0"/>
              </w:rPr>
              <w:t>Non-gynaecological cytology</w:t>
            </w:r>
          </w:p>
        </w:tc>
        <w:tc>
          <w:tcPr>
            <w:tcW w:w="963" w:type="dxa"/>
            <w:tcBorders>
              <w:bottom w:val="nil"/>
            </w:tcBorders>
          </w:tcPr>
          <w:p w14:paraId="62CF4CC1" w14:textId="77777777" w:rsidR="00B51828" w:rsidRPr="005F49A4" w:rsidRDefault="00B51828" w:rsidP="002101D2">
            <w:pPr>
              <w:pStyle w:val="Tabletextboldleft"/>
              <w:spacing w:before="20" w:after="20"/>
              <w:jc w:val="right"/>
              <w:rPr>
                <w:b w:val="0"/>
              </w:rPr>
            </w:pPr>
            <w:r w:rsidRPr="005F49A4">
              <w:rPr>
                <w:b w:val="0"/>
                <w:color w:val="000000"/>
              </w:rPr>
              <w:t>92</w:t>
            </w:r>
          </w:p>
        </w:tc>
        <w:tc>
          <w:tcPr>
            <w:tcW w:w="964" w:type="dxa"/>
            <w:tcBorders>
              <w:bottom w:val="nil"/>
            </w:tcBorders>
          </w:tcPr>
          <w:p w14:paraId="45C06F70" w14:textId="77777777" w:rsidR="00B51828" w:rsidRPr="005F49A4" w:rsidRDefault="00B51828" w:rsidP="002101D2">
            <w:pPr>
              <w:pStyle w:val="Tabletextboldleft"/>
              <w:spacing w:before="20" w:after="20"/>
              <w:jc w:val="right"/>
              <w:rPr>
                <w:b w:val="0"/>
              </w:rPr>
            </w:pPr>
            <w:r w:rsidRPr="005F49A4">
              <w:rPr>
                <w:b w:val="0"/>
                <w:color w:val="000000"/>
              </w:rPr>
              <w:t>95</w:t>
            </w:r>
          </w:p>
        </w:tc>
        <w:tc>
          <w:tcPr>
            <w:tcW w:w="964" w:type="dxa"/>
            <w:tcBorders>
              <w:bottom w:val="nil"/>
            </w:tcBorders>
          </w:tcPr>
          <w:p w14:paraId="0280080A" w14:textId="77777777" w:rsidR="00B51828" w:rsidRPr="005F49A4" w:rsidRDefault="00B51828" w:rsidP="002101D2">
            <w:pPr>
              <w:pStyle w:val="Tabletextboldleft"/>
              <w:spacing w:before="20" w:after="20"/>
              <w:jc w:val="right"/>
              <w:rPr>
                <w:b w:val="0"/>
              </w:rPr>
            </w:pPr>
            <w:r w:rsidRPr="005F49A4">
              <w:rPr>
                <w:b w:val="0"/>
                <w:color w:val="000000"/>
              </w:rPr>
              <w:t>97</w:t>
            </w:r>
          </w:p>
        </w:tc>
        <w:tc>
          <w:tcPr>
            <w:tcW w:w="964" w:type="dxa"/>
            <w:tcBorders>
              <w:bottom w:val="nil"/>
            </w:tcBorders>
          </w:tcPr>
          <w:p w14:paraId="04C10DC6" w14:textId="77777777" w:rsidR="00B51828" w:rsidRPr="005F49A4" w:rsidRDefault="00B51828" w:rsidP="002101D2">
            <w:pPr>
              <w:pStyle w:val="Tabletextboldleft"/>
              <w:spacing w:before="20" w:after="20"/>
              <w:jc w:val="right"/>
              <w:rPr>
                <w:b w:val="0"/>
              </w:rPr>
            </w:pPr>
            <w:r w:rsidRPr="005F49A4">
              <w:rPr>
                <w:b w:val="0"/>
                <w:color w:val="000000"/>
              </w:rPr>
              <w:t>100</w:t>
            </w:r>
          </w:p>
        </w:tc>
        <w:tc>
          <w:tcPr>
            <w:tcW w:w="964" w:type="dxa"/>
            <w:tcBorders>
              <w:bottom w:val="nil"/>
            </w:tcBorders>
          </w:tcPr>
          <w:p w14:paraId="7D3A29DD" w14:textId="77777777" w:rsidR="00B51828" w:rsidRPr="005F49A4" w:rsidRDefault="00B51828" w:rsidP="002101D2">
            <w:pPr>
              <w:pStyle w:val="Tabletextboldleft"/>
              <w:spacing w:before="20" w:after="20"/>
              <w:jc w:val="right"/>
              <w:rPr>
                <w:b w:val="0"/>
              </w:rPr>
            </w:pPr>
            <w:r w:rsidRPr="005F49A4">
              <w:rPr>
                <w:b w:val="0"/>
                <w:color w:val="000000"/>
              </w:rPr>
              <w:t>103</w:t>
            </w:r>
          </w:p>
        </w:tc>
      </w:tr>
      <w:tr w:rsidR="00B51828" w:rsidRPr="00F647C7" w14:paraId="074D3239" w14:textId="77777777" w:rsidTr="00E61184">
        <w:trPr>
          <w:trHeight w:val="212"/>
        </w:trPr>
        <w:tc>
          <w:tcPr>
            <w:tcW w:w="3544" w:type="dxa"/>
            <w:tcBorders>
              <w:top w:val="nil"/>
              <w:bottom w:val="nil"/>
            </w:tcBorders>
          </w:tcPr>
          <w:p w14:paraId="2B96FB7E" w14:textId="77777777" w:rsidR="00B51828" w:rsidRPr="00F411CD"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5A3ACFDD" w14:textId="77777777" w:rsidR="00B51828" w:rsidRPr="005F49A4" w:rsidRDefault="00B51828" w:rsidP="002101D2">
            <w:pPr>
              <w:pStyle w:val="Tabletextboldleft"/>
              <w:spacing w:before="20" w:after="20"/>
              <w:jc w:val="right"/>
              <w:rPr>
                <w:b w:val="0"/>
              </w:rPr>
            </w:pPr>
            <w:r w:rsidRPr="005F49A4">
              <w:rPr>
                <w:b w:val="0"/>
                <w:color w:val="000000"/>
              </w:rPr>
              <w:t>92</w:t>
            </w:r>
          </w:p>
        </w:tc>
        <w:tc>
          <w:tcPr>
            <w:tcW w:w="964" w:type="dxa"/>
            <w:tcBorders>
              <w:top w:val="nil"/>
              <w:bottom w:val="nil"/>
            </w:tcBorders>
          </w:tcPr>
          <w:p w14:paraId="1D4528E1" w14:textId="77777777" w:rsidR="00B51828" w:rsidRPr="005F49A4" w:rsidRDefault="00B51828" w:rsidP="002101D2">
            <w:pPr>
              <w:pStyle w:val="Tabletextboldleft"/>
              <w:spacing w:before="20" w:after="20"/>
              <w:jc w:val="right"/>
              <w:rPr>
                <w:b w:val="0"/>
              </w:rPr>
            </w:pPr>
            <w:r w:rsidRPr="005F49A4">
              <w:rPr>
                <w:b w:val="0"/>
                <w:color w:val="000000"/>
              </w:rPr>
              <w:t>95</w:t>
            </w:r>
          </w:p>
        </w:tc>
        <w:tc>
          <w:tcPr>
            <w:tcW w:w="964" w:type="dxa"/>
            <w:tcBorders>
              <w:top w:val="nil"/>
              <w:bottom w:val="nil"/>
            </w:tcBorders>
          </w:tcPr>
          <w:p w14:paraId="013E002E" w14:textId="77777777" w:rsidR="00B51828" w:rsidRPr="005F49A4" w:rsidRDefault="00B51828" w:rsidP="002101D2">
            <w:pPr>
              <w:pStyle w:val="Tabletextboldleft"/>
              <w:spacing w:before="20" w:after="20"/>
              <w:jc w:val="right"/>
              <w:rPr>
                <w:b w:val="0"/>
              </w:rPr>
            </w:pPr>
            <w:r w:rsidRPr="005F49A4">
              <w:rPr>
                <w:b w:val="0"/>
                <w:color w:val="000000"/>
              </w:rPr>
              <w:t>97</w:t>
            </w:r>
          </w:p>
        </w:tc>
        <w:tc>
          <w:tcPr>
            <w:tcW w:w="964" w:type="dxa"/>
            <w:tcBorders>
              <w:top w:val="nil"/>
              <w:bottom w:val="nil"/>
            </w:tcBorders>
          </w:tcPr>
          <w:p w14:paraId="4299A047" w14:textId="77777777" w:rsidR="00B51828" w:rsidRPr="005F49A4" w:rsidRDefault="00B51828" w:rsidP="002101D2">
            <w:pPr>
              <w:pStyle w:val="Tabletextboldleft"/>
              <w:spacing w:before="20" w:after="20"/>
              <w:jc w:val="right"/>
              <w:rPr>
                <w:b w:val="0"/>
              </w:rPr>
            </w:pPr>
            <w:r w:rsidRPr="005F49A4">
              <w:rPr>
                <w:b w:val="0"/>
                <w:color w:val="000000"/>
              </w:rPr>
              <w:t>100</w:t>
            </w:r>
          </w:p>
        </w:tc>
        <w:tc>
          <w:tcPr>
            <w:tcW w:w="964" w:type="dxa"/>
            <w:tcBorders>
              <w:top w:val="nil"/>
              <w:bottom w:val="nil"/>
            </w:tcBorders>
          </w:tcPr>
          <w:p w14:paraId="1AA6AD25" w14:textId="77777777" w:rsidR="00B51828" w:rsidRPr="005F49A4" w:rsidRDefault="00B51828" w:rsidP="002101D2">
            <w:pPr>
              <w:pStyle w:val="Tabletextboldleft"/>
              <w:spacing w:before="20" w:after="20"/>
              <w:jc w:val="right"/>
              <w:rPr>
                <w:b w:val="0"/>
              </w:rPr>
            </w:pPr>
            <w:r w:rsidRPr="005F49A4">
              <w:rPr>
                <w:b w:val="0"/>
                <w:color w:val="000000"/>
              </w:rPr>
              <w:t>103</w:t>
            </w:r>
          </w:p>
        </w:tc>
      </w:tr>
      <w:tr w:rsidR="00B51828" w:rsidRPr="00F647C7" w14:paraId="1D2F94A0" w14:textId="77777777" w:rsidTr="00E61184">
        <w:trPr>
          <w:trHeight w:val="212"/>
        </w:trPr>
        <w:tc>
          <w:tcPr>
            <w:tcW w:w="3544" w:type="dxa"/>
            <w:tcBorders>
              <w:top w:val="nil"/>
              <w:bottom w:val="nil"/>
            </w:tcBorders>
          </w:tcPr>
          <w:p w14:paraId="378C56A7" w14:textId="77777777" w:rsidR="00B51828" w:rsidRPr="00F411CD"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1DE50303"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75B1425C"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2C4BAD13"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6E3B69DF"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78598426"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3AF37391" w14:textId="77777777" w:rsidTr="00E61184">
        <w:trPr>
          <w:trHeight w:val="212"/>
        </w:trPr>
        <w:tc>
          <w:tcPr>
            <w:tcW w:w="3544" w:type="dxa"/>
            <w:tcBorders>
              <w:top w:val="nil"/>
              <w:bottom w:val="single" w:sz="4" w:space="0" w:color="auto"/>
            </w:tcBorders>
          </w:tcPr>
          <w:p w14:paraId="45658A7A" w14:textId="77777777" w:rsidR="00B51828" w:rsidRPr="00F411CD" w:rsidRDefault="00B51828" w:rsidP="002101D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tcPr>
          <w:p w14:paraId="637E47AE"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7E90C47C"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12CEC6EE"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21B251EF"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50FDFD83"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5B43CEF8" w14:textId="77777777" w:rsidTr="00E61184">
        <w:trPr>
          <w:trHeight w:val="212"/>
        </w:trPr>
        <w:tc>
          <w:tcPr>
            <w:tcW w:w="3544" w:type="dxa"/>
            <w:tcBorders>
              <w:bottom w:val="nil"/>
            </w:tcBorders>
          </w:tcPr>
          <w:p w14:paraId="28A54783" w14:textId="77777777" w:rsidR="00B51828" w:rsidRPr="00F411CD" w:rsidRDefault="00B51828" w:rsidP="002101D2">
            <w:pPr>
              <w:pStyle w:val="Tabletextboldleft"/>
              <w:spacing w:before="20" w:after="20"/>
              <w:rPr>
                <w:b w:val="0"/>
              </w:rPr>
            </w:pPr>
            <w:r>
              <w:rPr>
                <w:b w:val="0"/>
              </w:rPr>
              <w:t>All cytology</w:t>
            </w:r>
          </w:p>
        </w:tc>
        <w:tc>
          <w:tcPr>
            <w:tcW w:w="963" w:type="dxa"/>
            <w:tcBorders>
              <w:bottom w:val="nil"/>
            </w:tcBorders>
          </w:tcPr>
          <w:p w14:paraId="67B52B27" w14:textId="77777777" w:rsidR="00B51828" w:rsidRPr="005F49A4" w:rsidRDefault="00B51828" w:rsidP="002101D2">
            <w:pPr>
              <w:pStyle w:val="Tabletextboldleft"/>
              <w:spacing w:before="20" w:after="20"/>
              <w:jc w:val="right"/>
              <w:rPr>
                <w:b w:val="0"/>
              </w:rPr>
            </w:pPr>
            <w:r w:rsidRPr="005F49A4">
              <w:rPr>
                <w:b w:val="0"/>
                <w:color w:val="000000"/>
              </w:rPr>
              <w:t>733</w:t>
            </w:r>
          </w:p>
        </w:tc>
        <w:tc>
          <w:tcPr>
            <w:tcW w:w="964" w:type="dxa"/>
            <w:tcBorders>
              <w:bottom w:val="nil"/>
            </w:tcBorders>
          </w:tcPr>
          <w:p w14:paraId="2C456AB5" w14:textId="77777777" w:rsidR="00B51828" w:rsidRPr="005F49A4" w:rsidRDefault="00B51828" w:rsidP="002101D2">
            <w:pPr>
              <w:pStyle w:val="Tabletextboldleft"/>
              <w:spacing w:before="20" w:after="20"/>
              <w:jc w:val="right"/>
              <w:rPr>
                <w:b w:val="0"/>
              </w:rPr>
            </w:pPr>
            <w:r w:rsidRPr="005F49A4">
              <w:rPr>
                <w:b w:val="0"/>
                <w:color w:val="000000"/>
              </w:rPr>
              <w:t>741</w:t>
            </w:r>
          </w:p>
        </w:tc>
        <w:tc>
          <w:tcPr>
            <w:tcW w:w="964" w:type="dxa"/>
            <w:tcBorders>
              <w:bottom w:val="nil"/>
            </w:tcBorders>
          </w:tcPr>
          <w:p w14:paraId="7E1B7F09" w14:textId="77777777" w:rsidR="00B51828" w:rsidRPr="005F49A4" w:rsidRDefault="00B51828" w:rsidP="002101D2">
            <w:pPr>
              <w:pStyle w:val="Tabletextboldleft"/>
              <w:spacing w:before="20" w:after="20"/>
              <w:jc w:val="right"/>
              <w:rPr>
                <w:b w:val="0"/>
              </w:rPr>
            </w:pPr>
            <w:r w:rsidRPr="005F49A4">
              <w:rPr>
                <w:b w:val="0"/>
                <w:color w:val="000000"/>
              </w:rPr>
              <w:t>749</w:t>
            </w:r>
          </w:p>
        </w:tc>
        <w:tc>
          <w:tcPr>
            <w:tcW w:w="964" w:type="dxa"/>
            <w:tcBorders>
              <w:bottom w:val="nil"/>
            </w:tcBorders>
          </w:tcPr>
          <w:p w14:paraId="7FE581F0" w14:textId="77777777" w:rsidR="00B51828" w:rsidRPr="005F49A4" w:rsidRDefault="00B51828" w:rsidP="002101D2">
            <w:pPr>
              <w:pStyle w:val="Tabletextboldleft"/>
              <w:spacing w:before="20" w:after="20"/>
              <w:jc w:val="right"/>
              <w:rPr>
                <w:b w:val="0"/>
              </w:rPr>
            </w:pPr>
            <w:r w:rsidRPr="005F49A4">
              <w:rPr>
                <w:b w:val="0"/>
                <w:color w:val="000000"/>
              </w:rPr>
              <w:t>757</w:t>
            </w:r>
          </w:p>
        </w:tc>
        <w:tc>
          <w:tcPr>
            <w:tcW w:w="964" w:type="dxa"/>
            <w:tcBorders>
              <w:bottom w:val="nil"/>
            </w:tcBorders>
          </w:tcPr>
          <w:p w14:paraId="22B6D631" w14:textId="77777777" w:rsidR="00B51828" w:rsidRPr="005F49A4" w:rsidRDefault="00B51828" w:rsidP="002101D2">
            <w:pPr>
              <w:pStyle w:val="Tabletextboldleft"/>
              <w:spacing w:before="20" w:after="20"/>
              <w:jc w:val="right"/>
              <w:rPr>
                <w:b w:val="0"/>
              </w:rPr>
            </w:pPr>
            <w:r w:rsidRPr="005F49A4">
              <w:rPr>
                <w:b w:val="0"/>
                <w:color w:val="000000"/>
              </w:rPr>
              <w:t>765</w:t>
            </w:r>
          </w:p>
        </w:tc>
      </w:tr>
      <w:tr w:rsidR="00B51828" w:rsidRPr="00F647C7" w14:paraId="0CC3EF77" w14:textId="77777777" w:rsidTr="00E61184">
        <w:trPr>
          <w:trHeight w:val="212"/>
        </w:trPr>
        <w:tc>
          <w:tcPr>
            <w:tcW w:w="3544" w:type="dxa"/>
            <w:tcBorders>
              <w:top w:val="nil"/>
              <w:bottom w:val="nil"/>
            </w:tcBorders>
          </w:tcPr>
          <w:p w14:paraId="5367F0A3" w14:textId="77777777" w:rsidR="00B51828" w:rsidRPr="00F411CD"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5587704F" w14:textId="77777777" w:rsidR="00B51828" w:rsidRPr="005F49A4" w:rsidRDefault="00B51828" w:rsidP="002101D2">
            <w:pPr>
              <w:pStyle w:val="Tabletextboldleft"/>
              <w:spacing w:before="20" w:after="20"/>
              <w:jc w:val="right"/>
              <w:rPr>
                <w:b w:val="0"/>
              </w:rPr>
            </w:pPr>
            <w:r w:rsidRPr="005F49A4">
              <w:rPr>
                <w:b w:val="0"/>
                <w:color w:val="000000"/>
              </w:rPr>
              <w:t>733</w:t>
            </w:r>
          </w:p>
        </w:tc>
        <w:tc>
          <w:tcPr>
            <w:tcW w:w="964" w:type="dxa"/>
            <w:tcBorders>
              <w:top w:val="nil"/>
              <w:bottom w:val="nil"/>
            </w:tcBorders>
          </w:tcPr>
          <w:p w14:paraId="47EC7166" w14:textId="77777777" w:rsidR="00B51828" w:rsidRPr="005F49A4" w:rsidRDefault="00B51828" w:rsidP="002101D2">
            <w:pPr>
              <w:pStyle w:val="Tabletextboldleft"/>
              <w:spacing w:before="20" w:after="20"/>
              <w:jc w:val="right"/>
              <w:rPr>
                <w:b w:val="0"/>
              </w:rPr>
            </w:pPr>
            <w:r w:rsidRPr="005F49A4">
              <w:rPr>
                <w:b w:val="0"/>
                <w:color w:val="000000"/>
              </w:rPr>
              <w:t>741</w:t>
            </w:r>
          </w:p>
        </w:tc>
        <w:tc>
          <w:tcPr>
            <w:tcW w:w="964" w:type="dxa"/>
            <w:tcBorders>
              <w:top w:val="nil"/>
              <w:bottom w:val="nil"/>
            </w:tcBorders>
          </w:tcPr>
          <w:p w14:paraId="54C722B5" w14:textId="77777777" w:rsidR="00B51828" w:rsidRPr="005F49A4" w:rsidRDefault="00B51828" w:rsidP="002101D2">
            <w:pPr>
              <w:pStyle w:val="Tabletextboldleft"/>
              <w:spacing w:before="20" w:after="20"/>
              <w:jc w:val="right"/>
              <w:rPr>
                <w:b w:val="0"/>
              </w:rPr>
            </w:pPr>
            <w:r w:rsidRPr="005F49A4">
              <w:rPr>
                <w:b w:val="0"/>
                <w:color w:val="000000"/>
              </w:rPr>
              <w:t>749</w:t>
            </w:r>
          </w:p>
        </w:tc>
        <w:tc>
          <w:tcPr>
            <w:tcW w:w="964" w:type="dxa"/>
            <w:tcBorders>
              <w:top w:val="nil"/>
              <w:bottom w:val="nil"/>
            </w:tcBorders>
          </w:tcPr>
          <w:p w14:paraId="768B4C9F" w14:textId="77777777" w:rsidR="00B51828" w:rsidRPr="005F49A4" w:rsidRDefault="00B51828" w:rsidP="002101D2">
            <w:pPr>
              <w:pStyle w:val="Tabletextboldleft"/>
              <w:spacing w:before="20" w:after="20"/>
              <w:jc w:val="right"/>
              <w:rPr>
                <w:b w:val="0"/>
              </w:rPr>
            </w:pPr>
            <w:r w:rsidRPr="005F49A4">
              <w:rPr>
                <w:b w:val="0"/>
                <w:color w:val="000000"/>
              </w:rPr>
              <w:t>757</w:t>
            </w:r>
          </w:p>
        </w:tc>
        <w:tc>
          <w:tcPr>
            <w:tcW w:w="964" w:type="dxa"/>
            <w:tcBorders>
              <w:top w:val="nil"/>
              <w:bottom w:val="nil"/>
            </w:tcBorders>
          </w:tcPr>
          <w:p w14:paraId="59076BEB" w14:textId="77777777" w:rsidR="00B51828" w:rsidRPr="005F49A4" w:rsidRDefault="00B51828" w:rsidP="002101D2">
            <w:pPr>
              <w:pStyle w:val="Tabletextboldleft"/>
              <w:spacing w:before="20" w:after="20"/>
              <w:jc w:val="right"/>
              <w:rPr>
                <w:b w:val="0"/>
              </w:rPr>
            </w:pPr>
            <w:r w:rsidRPr="005F49A4">
              <w:rPr>
                <w:b w:val="0"/>
                <w:color w:val="000000"/>
              </w:rPr>
              <w:t>765</w:t>
            </w:r>
          </w:p>
        </w:tc>
      </w:tr>
      <w:tr w:rsidR="00B51828" w:rsidRPr="00F647C7" w14:paraId="361F6B03" w14:textId="77777777" w:rsidTr="00E61184">
        <w:trPr>
          <w:trHeight w:val="212"/>
        </w:trPr>
        <w:tc>
          <w:tcPr>
            <w:tcW w:w="3544" w:type="dxa"/>
            <w:tcBorders>
              <w:top w:val="nil"/>
              <w:bottom w:val="nil"/>
            </w:tcBorders>
          </w:tcPr>
          <w:p w14:paraId="53C65A95" w14:textId="77777777" w:rsidR="00B51828" w:rsidRPr="00F411CD"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7B8DE25D"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0D31FAA1"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5168BB3E"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39E421AD"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7FECAFC1"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3F458EE8" w14:textId="77777777" w:rsidTr="00E61184">
        <w:trPr>
          <w:trHeight w:val="212"/>
        </w:trPr>
        <w:tc>
          <w:tcPr>
            <w:tcW w:w="3544" w:type="dxa"/>
            <w:tcBorders>
              <w:top w:val="nil"/>
            </w:tcBorders>
          </w:tcPr>
          <w:p w14:paraId="6E591B24" w14:textId="77777777" w:rsidR="00B51828" w:rsidRPr="00F411CD" w:rsidRDefault="00B51828" w:rsidP="002101D2">
            <w:pPr>
              <w:pStyle w:val="Tabletextboldleft"/>
              <w:spacing w:before="20" w:after="20"/>
              <w:ind w:firstLine="317"/>
              <w:rPr>
                <w:b w:val="0"/>
              </w:rPr>
            </w:pPr>
            <w:r>
              <w:rPr>
                <w:b w:val="0"/>
              </w:rPr>
              <w:t>Bulk billing incentive (MBS 74996)</w:t>
            </w:r>
          </w:p>
        </w:tc>
        <w:tc>
          <w:tcPr>
            <w:tcW w:w="963" w:type="dxa"/>
            <w:tcBorders>
              <w:top w:val="nil"/>
            </w:tcBorders>
          </w:tcPr>
          <w:p w14:paraId="6B733819"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tcBorders>
          </w:tcPr>
          <w:p w14:paraId="3E3C1962"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tcBorders>
          </w:tcPr>
          <w:p w14:paraId="22A699A6"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tcBorders>
          </w:tcPr>
          <w:p w14:paraId="6C612EFF"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tcBorders>
          </w:tcPr>
          <w:p w14:paraId="6754E798"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13B0F6B8" w14:textId="77777777" w:rsidTr="00E61184">
        <w:trPr>
          <w:trHeight w:val="212"/>
        </w:trPr>
        <w:tc>
          <w:tcPr>
            <w:tcW w:w="3544" w:type="dxa"/>
          </w:tcPr>
          <w:p w14:paraId="6A882834" w14:textId="77777777" w:rsidR="00B51828" w:rsidRPr="00C26CDD" w:rsidRDefault="00B51828" w:rsidP="002101D2">
            <w:pPr>
              <w:pStyle w:val="Tabletextboldleft"/>
              <w:spacing w:before="20" w:after="20"/>
              <w:rPr>
                <w:b w:val="0"/>
                <w:i/>
              </w:rPr>
            </w:pPr>
            <w:r>
              <w:rPr>
                <w:b w:val="0"/>
                <w:i/>
              </w:rPr>
              <w:t>Sub-t</w:t>
            </w:r>
            <w:r w:rsidRPr="00C26CDD">
              <w:rPr>
                <w:b w:val="0"/>
                <w:i/>
              </w:rPr>
              <w:t>otal (excluding gynaecological cytology)</w:t>
            </w:r>
          </w:p>
        </w:tc>
        <w:tc>
          <w:tcPr>
            <w:tcW w:w="963" w:type="dxa"/>
          </w:tcPr>
          <w:p w14:paraId="047B4F80" w14:textId="77777777" w:rsidR="00B51828" w:rsidRPr="002A2456" w:rsidRDefault="00B51828" w:rsidP="002101D2">
            <w:pPr>
              <w:pStyle w:val="Tabletextboldleft"/>
              <w:spacing w:before="20" w:after="20"/>
              <w:jc w:val="right"/>
              <w:rPr>
                <w:b w:val="0"/>
                <w:i/>
              </w:rPr>
            </w:pPr>
            <w:r w:rsidRPr="002A2456">
              <w:rPr>
                <w:b w:val="0"/>
                <w:bCs/>
                <w:i/>
                <w:color w:val="000000"/>
              </w:rPr>
              <w:t>5,563</w:t>
            </w:r>
          </w:p>
        </w:tc>
        <w:tc>
          <w:tcPr>
            <w:tcW w:w="964" w:type="dxa"/>
          </w:tcPr>
          <w:p w14:paraId="09A5979A" w14:textId="77777777" w:rsidR="00B51828" w:rsidRPr="002A2456" w:rsidRDefault="00B51828" w:rsidP="002101D2">
            <w:pPr>
              <w:pStyle w:val="Tabletextboldleft"/>
              <w:spacing w:before="20" w:after="20"/>
              <w:jc w:val="right"/>
              <w:rPr>
                <w:b w:val="0"/>
                <w:i/>
              </w:rPr>
            </w:pPr>
            <w:r w:rsidRPr="002A2456">
              <w:rPr>
                <w:b w:val="0"/>
                <w:bCs/>
                <w:i/>
                <w:color w:val="000000"/>
              </w:rPr>
              <w:t>5,764</w:t>
            </w:r>
          </w:p>
        </w:tc>
        <w:tc>
          <w:tcPr>
            <w:tcW w:w="964" w:type="dxa"/>
          </w:tcPr>
          <w:p w14:paraId="30B5A7F8" w14:textId="77777777" w:rsidR="00B51828" w:rsidRPr="002A2456" w:rsidRDefault="00B51828" w:rsidP="002101D2">
            <w:pPr>
              <w:pStyle w:val="Tabletextboldleft"/>
              <w:spacing w:before="20" w:after="20"/>
              <w:jc w:val="right"/>
              <w:rPr>
                <w:b w:val="0"/>
                <w:i/>
              </w:rPr>
            </w:pPr>
            <w:r w:rsidRPr="002A2456">
              <w:rPr>
                <w:b w:val="0"/>
                <w:bCs/>
                <w:i/>
                <w:color w:val="000000"/>
              </w:rPr>
              <w:t>5,965</w:t>
            </w:r>
          </w:p>
        </w:tc>
        <w:tc>
          <w:tcPr>
            <w:tcW w:w="964" w:type="dxa"/>
          </w:tcPr>
          <w:p w14:paraId="43F99156" w14:textId="77777777" w:rsidR="00B51828" w:rsidRPr="002A2456" w:rsidRDefault="00B51828" w:rsidP="002101D2">
            <w:pPr>
              <w:pStyle w:val="Tabletextboldleft"/>
              <w:spacing w:before="20" w:after="20"/>
              <w:jc w:val="right"/>
              <w:rPr>
                <w:b w:val="0"/>
                <w:i/>
              </w:rPr>
            </w:pPr>
            <w:r w:rsidRPr="002A2456">
              <w:rPr>
                <w:b w:val="0"/>
                <w:bCs/>
                <w:i/>
                <w:color w:val="000000"/>
              </w:rPr>
              <w:t>6,165</w:t>
            </w:r>
          </w:p>
        </w:tc>
        <w:tc>
          <w:tcPr>
            <w:tcW w:w="964" w:type="dxa"/>
          </w:tcPr>
          <w:p w14:paraId="58496B94" w14:textId="77777777" w:rsidR="00B51828" w:rsidRPr="002A2456" w:rsidRDefault="00B51828" w:rsidP="002101D2">
            <w:pPr>
              <w:pStyle w:val="Tabletextboldleft"/>
              <w:spacing w:before="20" w:after="20"/>
              <w:jc w:val="right"/>
              <w:rPr>
                <w:b w:val="0"/>
                <w:i/>
              </w:rPr>
            </w:pPr>
            <w:r w:rsidRPr="002A2456">
              <w:rPr>
                <w:b w:val="0"/>
                <w:bCs/>
                <w:i/>
                <w:color w:val="000000"/>
              </w:rPr>
              <w:t>6,366</w:t>
            </w:r>
          </w:p>
        </w:tc>
      </w:tr>
      <w:tr w:rsidR="00B51828" w:rsidRPr="00F647C7" w14:paraId="39472797" w14:textId="77777777" w:rsidTr="00E61184">
        <w:trPr>
          <w:trHeight w:val="212"/>
        </w:trPr>
        <w:tc>
          <w:tcPr>
            <w:tcW w:w="3544" w:type="dxa"/>
          </w:tcPr>
          <w:p w14:paraId="06F59E2E" w14:textId="77777777" w:rsidR="00B51828" w:rsidRPr="00C26CDD" w:rsidRDefault="00B51828" w:rsidP="002101D2">
            <w:pPr>
              <w:pStyle w:val="Tabletextboldleft"/>
              <w:spacing w:before="20" w:after="20"/>
              <w:rPr>
                <w:b w:val="0"/>
                <w:i/>
              </w:rPr>
            </w:pPr>
            <w:r>
              <w:rPr>
                <w:b w:val="0"/>
                <w:i/>
              </w:rPr>
              <w:t>Sub-t</w:t>
            </w:r>
            <w:r w:rsidRPr="00C26CDD">
              <w:rPr>
                <w:b w:val="0"/>
                <w:i/>
              </w:rPr>
              <w:t>otal (including all cytology)</w:t>
            </w:r>
          </w:p>
        </w:tc>
        <w:tc>
          <w:tcPr>
            <w:tcW w:w="963" w:type="dxa"/>
          </w:tcPr>
          <w:p w14:paraId="17C1FA12" w14:textId="77777777" w:rsidR="00B51828" w:rsidRPr="002A2456" w:rsidRDefault="00B51828" w:rsidP="002101D2">
            <w:pPr>
              <w:pStyle w:val="Tabletextboldleft"/>
              <w:spacing w:before="20" w:after="20"/>
              <w:jc w:val="right"/>
              <w:rPr>
                <w:b w:val="0"/>
                <w:i/>
              </w:rPr>
            </w:pPr>
            <w:r w:rsidRPr="002A2456">
              <w:rPr>
                <w:b w:val="0"/>
                <w:bCs/>
                <w:i/>
                <w:color w:val="000000"/>
              </w:rPr>
              <w:t>6,204</w:t>
            </w:r>
          </w:p>
        </w:tc>
        <w:tc>
          <w:tcPr>
            <w:tcW w:w="964" w:type="dxa"/>
          </w:tcPr>
          <w:p w14:paraId="07A3303A" w14:textId="77777777" w:rsidR="00B51828" w:rsidRPr="002A2456" w:rsidRDefault="00B51828" w:rsidP="002101D2">
            <w:pPr>
              <w:pStyle w:val="Tabletextboldleft"/>
              <w:spacing w:before="20" w:after="20"/>
              <w:jc w:val="right"/>
              <w:rPr>
                <w:b w:val="0"/>
                <w:i/>
              </w:rPr>
            </w:pPr>
            <w:r w:rsidRPr="002A2456">
              <w:rPr>
                <w:b w:val="0"/>
                <w:bCs/>
                <w:i/>
                <w:color w:val="000000"/>
              </w:rPr>
              <w:t>6,410</w:t>
            </w:r>
          </w:p>
        </w:tc>
        <w:tc>
          <w:tcPr>
            <w:tcW w:w="964" w:type="dxa"/>
          </w:tcPr>
          <w:p w14:paraId="1A7DD094" w14:textId="77777777" w:rsidR="00B51828" w:rsidRPr="002A2456" w:rsidRDefault="00B51828" w:rsidP="002101D2">
            <w:pPr>
              <w:pStyle w:val="Tabletextboldleft"/>
              <w:spacing w:before="20" w:after="20"/>
              <w:jc w:val="right"/>
              <w:rPr>
                <w:b w:val="0"/>
                <w:i/>
              </w:rPr>
            </w:pPr>
            <w:r w:rsidRPr="002A2456">
              <w:rPr>
                <w:b w:val="0"/>
                <w:bCs/>
                <w:i/>
                <w:color w:val="000000"/>
              </w:rPr>
              <w:t>6,616</w:t>
            </w:r>
          </w:p>
        </w:tc>
        <w:tc>
          <w:tcPr>
            <w:tcW w:w="964" w:type="dxa"/>
          </w:tcPr>
          <w:p w14:paraId="67B77762" w14:textId="77777777" w:rsidR="00B51828" w:rsidRPr="002A2456" w:rsidRDefault="00B51828" w:rsidP="002101D2">
            <w:pPr>
              <w:pStyle w:val="Tabletextboldleft"/>
              <w:spacing w:before="20" w:after="20"/>
              <w:jc w:val="right"/>
              <w:rPr>
                <w:b w:val="0"/>
                <w:i/>
              </w:rPr>
            </w:pPr>
            <w:r w:rsidRPr="002A2456">
              <w:rPr>
                <w:b w:val="0"/>
                <w:bCs/>
                <w:i/>
                <w:color w:val="000000"/>
              </w:rPr>
              <w:t>6,822</w:t>
            </w:r>
          </w:p>
        </w:tc>
        <w:tc>
          <w:tcPr>
            <w:tcW w:w="964" w:type="dxa"/>
          </w:tcPr>
          <w:p w14:paraId="046BDE98" w14:textId="77777777" w:rsidR="00B51828" w:rsidRPr="002A2456" w:rsidRDefault="00B51828" w:rsidP="002101D2">
            <w:pPr>
              <w:pStyle w:val="Tabletextboldleft"/>
              <w:spacing w:before="20" w:after="20"/>
              <w:jc w:val="right"/>
              <w:rPr>
                <w:b w:val="0"/>
                <w:i/>
              </w:rPr>
            </w:pPr>
            <w:r w:rsidRPr="002A2456">
              <w:rPr>
                <w:b w:val="0"/>
                <w:bCs/>
                <w:i/>
                <w:color w:val="000000"/>
              </w:rPr>
              <w:t>7,029</w:t>
            </w:r>
          </w:p>
        </w:tc>
      </w:tr>
      <w:tr w:rsidR="00B51828" w:rsidRPr="00F647C7" w14:paraId="5D473A88" w14:textId="77777777" w:rsidTr="00E61184">
        <w:trPr>
          <w:trHeight w:val="212"/>
        </w:trPr>
        <w:tc>
          <w:tcPr>
            <w:tcW w:w="3544" w:type="dxa"/>
            <w:tcBorders>
              <w:bottom w:val="single" w:sz="4" w:space="0" w:color="auto"/>
            </w:tcBorders>
            <w:shd w:val="clear" w:color="auto" w:fill="D0CECE" w:themeFill="background2" w:themeFillShade="E6"/>
          </w:tcPr>
          <w:p w14:paraId="79C6926F" w14:textId="77777777" w:rsidR="00B51828" w:rsidRPr="009D63D8" w:rsidRDefault="00B51828" w:rsidP="002101D2">
            <w:pPr>
              <w:pStyle w:val="Tabletextboldleft"/>
              <w:spacing w:before="20" w:after="20"/>
            </w:pPr>
            <w:r w:rsidRPr="009D63D8">
              <w:rPr>
                <w:i/>
              </w:rPr>
              <w:t>Scenario 2</w:t>
            </w:r>
          </w:p>
        </w:tc>
        <w:tc>
          <w:tcPr>
            <w:tcW w:w="963" w:type="dxa"/>
            <w:tcBorders>
              <w:bottom w:val="single" w:sz="4" w:space="0" w:color="auto"/>
            </w:tcBorders>
            <w:shd w:val="clear" w:color="auto" w:fill="D0CECE" w:themeFill="background2" w:themeFillShade="E6"/>
          </w:tcPr>
          <w:p w14:paraId="51ECB092" w14:textId="77777777" w:rsidR="00B51828" w:rsidRPr="005F49A4" w:rsidRDefault="00B51828" w:rsidP="002101D2">
            <w:pPr>
              <w:pStyle w:val="Tabletextboldleft"/>
              <w:spacing w:before="20" w:after="20"/>
              <w:jc w:val="right"/>
              <w:rPr>
                <w:b w:val="0"/>
              </w:rPr>
            </w:pPr>
            <w:r w:rsidRPr="005F49A4">
              <w:rPr>
                <w:b w:val="0"/>
              </w:rPr>
              <w:t>-</w:t>
            </w:r>
          </w:p>
        </w:tc>
        <w:tc>
          <w:tcPr>
            <w:tcW w:w="964" w:type="dxa"/>
            <w:tcBorders>
              <w:bottom w:val="single" w:sz="4" w:space="0" w:color="auto"/>
            </w:tcBorders>
            <w:shd w:val="clear" w:color="auto" w:fill="D0CECE" w:themeFill="background2" w:themeFillShade="E6"/>
          </w:tcPr>
          <w:p w14:paraId="003EC1CF" w14:textId="77777777" w:rsidR="00B51828" w:rsidRPr="005F49A4" w:rsidRDefault="00B51828" w:rsidP="002101D2">
            <w:pPr>
              <w:pStyle w:val="Tabletextboldleft"/>
              <w:spacing w:before="20" w:after="20"/>
              <w:jc w:val="right"/>
              <w:rPr>
                <w:b w:val="0"/>
              </w:rPr>
            </w:pPr>
            <w:r w:rsidRPr="005F49A4">
              <w:rPr>
                <w:b w:val="0"/>
              </w:rPr>
              <w:t>-</w:t>
            </w:r>
          </w:p>
        </w:tc>
        <w:tc>
          <w:tcPr>
            <w:tcW w:w="964" w:type="dxa"/>
            <w:tcBorders>
              <w:bottom w:val="single" w:sz="4" w:space="0" w:color="auto"/>
            </w:tcBorders>
            <w:shd w:val="clear" w:color="auto" w:fill="D0CECE" w:themeFill="background2" w:themeFillShade="E6"/>
          </w:tcPr>
          <w:p w14:paraId="029DE3D7" w14:textId="77777777" w:rsidR="00B51828" w:rsidRPr="005F49A4" w:rsidRDefault="00B51828" w:rsidP="002101D2">
            <w:pPr>
              <w:pStyle w:val="Tabletextboldleft"/>
              <w:spacing w:before="20" w:after="20"/>
              <w:jc w:val="right"/>
              <w:rPr>
                <w:b w:val="0"/>
              </w:rPr>
            </w:pPr>
            <w:r w:rsidRPr="005F49A4">
              <w:rPr>
                <w:b w:val="0"/>
              </w:rPr>
              <w:t>-</w:t>
            </w:r>
          </w:p>
        </w:tc>
        <w:tc>
          <w:tcPr>
            <w:tcW w:w="964" w:type="dxa"/>
            <w:tcBorders>
              <w:bottom w:val="single" w:sz="4" w:space="0" w:color="auto"/>
            </w:tcBorders>
            <w:shd w:val="clear" w:color="auto" w:fill="D0CECE" w:themeFill="background2" w:themeFillShade="E6"/>
          </w:tcPr>
          <w:p w14:paraId="7E3A6713" w14:textId="77777777" w:rsidR="00B51828" w:rsidRPr="005F49A4" w:rsidRDefault="00B51828" w:rsidP="002101D2">
            <w:pPr>
              <w:pStyle w:val="Tabletextboldleft"/>
              <w:spacing w:before="20" w:after="20"/>
              <w:jc w:val="right"/>
              <w:rPr>
                <w:b w:val="0"/>
              </w:rPr>
            </w:pPr>
            <w:r w:rsidRPr="005F49A4">
              <w:rPr>
                <w:b w:val="0"/>
              </w:rPr>
              <w:t>-</w:t>
            </w:r>
          </w:p>
        </w:tc>
        <w:tc>
          <w:tcPr>
            <w:tcW w:w="964" w:type="dxa"/>
            <w:tcBorders>
              <w:bottom w:val="single" w:sz="4" w:space="0" w:color="auto"/>
            </w:tcBorders>
            <w:shd w:val="clear" w:color="auto" w:fill="D0CECE" w:themeFill="background2" w:themeFillShade="E6"/>
          </w:tcPr>
          <w:p w14:paraId="2191466B" w14:textId="77777777" w:rsidR="00B51828" w:rsidRPr="005F49A4" w:rsidRDefault="00B51828" w:rsidP="002101D2">
            <w:pPr>
              <w:pStyle w:val="Tabletextboldleft"/>
              <w:spacing w:before="20" w:after="20"/>
              <w:jc w:val="right"/>
              <w:rPr>
                <w:b w:val="0"/>
              </w:rPr>
            </w:pPr>
            <w:r w:rsidRPr="005F49A4">
              <w:rPr>
                <w:b w:val="0"/>
              </w:rPr>
              <w:t>-</w:t>
            </w:r>
          </w:p>
        </w:tc>
      </w:tr>
      <w:tr w:rsidR="00B51828" w:rsidRPr="00F647C7" w14:paraId="3992052C" w14:textId="77777777" w:rsidTr="00E61184">
        <w:trPr>
          <w:trHeight w:val="212"/>
        </w:trPr>
        <w:tc>
          <w:tcPr>
            <w:tcW w:w="3544" w:type="dxa"/>
            <w:tcBorders>
              <w:bottom w:val="nil"/>
            </w:tcBorders>
          </w:tcPr>
          <w:p w14:paraId="109D4E13" w14:textId="77777777" w:rsidR="00B51828" w:rsidRPr="00F411CD"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963" w:type="dxa"/>
            <w:tcBorders>
              <w:bottom w:val="nil"/>
            </w:tcBorders>
          </w:tcPr>
          <w:p w14:paraId="7DC8DA22" w14:textId="77777777" w:rsidR="00B51828" w:rsidRPr="005F49A4" w:rsidRDefault="00B51828" w:rsidP="002101D2">
            <w:pPr>
              <w:pStyle w:val="Tabletextboldleft"/>
              <w:spacing w:before="20" w:after="20"/>
              <w:jc w:val="right"/>
              <w:rPr>
                <w:b w:val="0"/>
              </w:rPr>
            </w:pPr>
            <w:r w:rsidRPr="005F49A4">
              <w:rPr>
                <w:b w:val="0"/>
                <w:color w:val="000000"/>
              </w:rPr>
              <w:t>2,339</w:t>
            </w:r>
          </w:p>
        </w:tc>
        <w:tc>
          <w:tcPr>
            <w:tcW w:w="964" w:type="dxa"/>
            <w:tcBorders>
              <w:bottom w:val="nil"/>
            </w:tcBorders>
          </w:tcPr>
          <w:p w14:paraId="1D654323" w14:textId="77777777" w:rsidR="00B51828" w:rsidRPr="005F49A4" w:rsidRDefault="00B51828" w:rsidP="002101D2">
            <w:pPr>
              <w:pStyle w:val="Tabletextboldleft"/>
              <w:spacing w:before="20" w:after="20"/>
              <w:jc w:val="right"/>
              <w:rPr>
                <w:b w:val="0"/>
              </w:rPr>
            </w:pPr>
            <w:r w:rsidRPr="005F49A4">
              <w:rPr>
                <w:b w:val="0"/>
                <w:color w:val="000000"/>
              </w:rPr>
              <w:t>2,424</w:t>
            </w:r>
          </w:p>
        </w:tc>
        <w:tc>
          <w:tcPr>
            <w:tcW w:w="964" w:type="dxa"/>
            <w:tcBorders>
              <w:bottom w:val="nil"/>
            </w:tcBorders>
          </w:tcPr>
          <w:p w14:paraId="50CD680F" w14:textId="77777777" w:rsidR="00B51828" w:rsidRPr="005F49A4" w:rsidRDefault="00B51828" w:rsidP="002101D2">
            <w:pPr>
              <w:pStyle w:val="Tabletextboldleft"/>
              <w:spacing w:before="20" w:after="20"/>
              <w:jc w:val="right"/>
              <w:rPr>
                <w:b w:val="0"/>
              </w:rPr>
            </w:pPr>
            <w:r w:rsidRPr="005F49A4">
              <w:rPr>
                <w:b w:val="0"/>
                <w:color w:val="000000"/>
              </w:rPr>
              <w:t>2,509</w:t>
            </w:r>
          </w:p>
        </w:tc>
        <w:tc>
          <w:tcPr>
            <w:tcW w:w="964" w:type="dxa"/>
            <w:tcBorders>
              <w:bottom w:val="nil"/>
            </w:tcBorders>
          </w:tcPr>
          <w:p w14:paraId="731DF930" w14:textId="77777777" w:rsidR="00B51828" w:rsidRPr="005F49A4" w:rsidRDefault="00B51828" w:rsidP="002101D2">
            <w:pPr>
              <w:pStyle w:val="Tabletextboldleft"/>
              <w:spacing w:before="20" w:after="20"/>
              <w:jc w:val="right"/>
              <w:rPr>
                <w:b w:val="0"/>
              </w:rPr>
            </w:pPr>
            <w:r w:rsidRPr="005F49A4">
              <w:rPr>
                <w:b w:val="0"/>
                <w:color w:val="000000"/>
              </w:rPr>
              <w:t>2,593</w:t>
            </w:r>
          </w:p>
        </w:tc>
        <w:tc>
          <w:tcPr>
            <w:tcW w:w="964" w:type="dxa"/>
            <w:tcBorders>
              <w:bottom w:val="nil"/>
            </w:tcBorders>
          </w:tcPr>
          <w:p w14:paraId="5FED9C4C" w14:textId="77777777" w:rsidR="00B51828" w:rsidRPr="005F49A4" w:rsidRDefault="00B51828" w:rsidP="002101D2">
            <w:pPr>
              <w:pStyle w:val="Tabletextboldleft"/>
              <w:spacing w:before="20" w:after="20"/>
              <w:jc w:val="right"/>
              <w:rPr>
                <w:b w:val="0"/>
              </w:rPr>
            </w:pPr>
            <w:r w:rsidRPr="005F49A4">
              <w:rPr>
                <w:b w:val="0"/>
                <w:color w:val="000000"/>
              </w:rPr>
              <w:t>2,678</w:t>
            </w:r>
          </w:p>
        </w:tc>
      </w:tr>
      <w:tr w:rsidR="00B51828" w:rsidRPr="00F647C7" w14:paraId="3B1ABE63" w14:textId="77777777" w:rsidTr="00E61184">
        <w:trPr>
          <w:trHeight w:val="212"/>
        </w:trPr>
        <w:tc>
          <w:tcPr>
            <w:tcW w:w="3544" w:type="dxa"/>
            <w:tcBorders>
              <w:top w:val="nil"/>
              <w:bottom w:val="nil"/>
            </w:tcBorders>
          </w:tcPr>
          <w:p w14:paraId="31DD429A" w14:textId="77777777" w:rsidR="00B51828" w:rsidRPr="00F411CD"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1050CAB7" w14:textId="77777777" w:rsidR="00B51828" w:rsidRPr="005F49A4" w:rsidRDefault="00B51828" w:rsidP="002101D2">
            <w:pPr>
              <w:pStyle w:val="Tabletextboldleft"/>
              <w:spacing w:before="20" w:after="20"/>
              <w:jc w:val="right"/>
              <w:rPr>
                <w:b w:val="0"/>
              </w:rPr>
            </w:pPr>
            <w:r w:rsidRPr="005F49A4">
              <w:rPr>
                <w:b w:val="0"/>
                <w:color w:val="000000"/>
              </w:rPr>
              <w:t>2,339</w:t>
            </w:r>
          </w:p>
        </w:tc>
        <w:tc>
          <w:tcPr>
            <w:tcW w:w="964" w:type="dxa"/>
            <w:tcBorders>
              <w:top w:val="nil"/>
              <w:bottom w:val="nil"/>
            </w:tcBorders>
          </w:tcPr>
          <w:p w14:paraId="067D8DE0" w14:textId="77777777" w:rsidR="00B51828" w:rsidRPr="005F49A4" w:rsidRDefault="00B51828" w:rsidP="002101D2">
            <w:pPr>
              <w:pStyle w:val="Tabletextboldleft"/>
              <w:spacing w:before="20" w:after="20"/>
              <w:jc w:val="right"/>
              <w:rPr>
                <w:b w:val="0"/>
              </w:rPr>
            </w:pPr>
            <w:r w:rsidRPr="005F49A4">
              <w:rPr>
                <w:b w:val="0"/>
                <w:color w:val="000000"/>
              </w:rPr>
              <w:t>2,424</w:t>
            </w:r>
          </w:p>
        </w:tc>
        <w:tc>
          <w:tcPr>
            <w:tcW w:w="964" w:type="dxa"/>
            <w:tcBorders>
              <w:top w:val="nil"/>
              <w:bottom w:val="nil"/>
            </w:tcBorders>
          </w:tcPr>
          <w:p w14:paraId="19B8711E" w14:textId="77777777" w:rsidR="00B51828" w:rsidRPr="005F49A4" w:rsidRDefault="00B51828" w:rsidP="002101D2">
            <w:pPr>
              <w:pStyle w:val="Tabletextboldleft"/>
              <w:spacing w:before="20" w:after="20"/>
              <w:jc w:val="right"/>
              <w:rPr>
                <w:b w:val="0"/>
              </w:rPr>
            </w:pPr>
            <w:r w:rsidRPr="005F49A4">
              <w:rPr>
                <w:b w:val="0"/>
                <w:color w:val="000000"/>
              </w:rPr>
              <w:t>2,509</w:t>
            </w:r>
          </w:p>
        </w:tc>
        <w:tc>
          <w:tcPr>
            <w:tcW w:w="964" w:type="dxa"/>
            <w:tcBorders>
              <w:top w:val="nil"/>
              <w:bottom w:val="nil"/>
            </w:tcBorders>
          </w:tcPr>
          <w:p w14:paraId="53D83BDA" w14:textId="77777777" w:rsidR="00B51828" w:rsidRPr="005F49A4" w:rsidRDefault="00B51828" w:rsidP="002101D2">
            <w:pPr>
              <w:pStyle w:val="Tabletextboldleft"/>
              <w:spacing w:before="20" w:after="20"/>
              <w:jc w:val="right"/>
              <w:rPr>
                <w:b w:val="0"/>
              </w:rPr>
            </w:pPr>
            <w:r w:rsidRPr="005F49A4">
              <w:rPr>
                <w:b w:val="0"/>
                <w:color w:val="000000"/>
              </w:rPr>
              <w:t>2,593</w:t>
            </w:r>
          </w:p>
        </w:tc>
        <w:tc>
          <w:tcPr>
            <w:tcW w:w="964" w:type="dxa"/>
            <w:tcBorders>
              <w:top w:val="nil"/>
              <w:bottom w:val="nil"/>
            </w:tcBorders>
          </w:tcPr>
          <w:p w14:paraId="297CFDA0" w14:textId="77777777" w:rsidR="00B51828" w:rsidRPr="005F49A4" w:rsidRDefault="00B51828" w:rsidP="002101D2">
            <w:pPr>
              <w:pStyle w:val="Tabletextboldleft"/>
              <w:spacing w:before="20" w:after="20"/>
              <w:jc w:val="right"/>
              <w:rPr>
                <w:b w:val="0"/>
              </w:rPr>
            </w:pPr>
            <w:r w:rsidRPr="005F49A4">
              <w:rPr>
                <w:b w:val="0"/>
                <w:color w:val="000000"/>
              </w:rPr>
              <w:t>2,678</w:t>
            </w:r>
          </w:p>
        </w:tc>
      </w:tr>
      <w:tr w:rsidR="00B51828" w:rsidRPr="00F647C7" w14:paraId="01AE764E" w14:textId="77777777" w:rsidTr="00E61184">
        <w:trPr>
          <w:trHeight w:val="212"/>
        </w:trPr>
        <w:tc>
          <w:tcPr>
            <w:tcW w:w="3544" w:type="dxa"/>
            <w:tcBorders>
              <w:top w:val="nil"/>
              <w:bottom w:val="nil"/>
            </w:tcBorders>
          </w:tcPr>
          <w:p w14:paraId="0C06BEF3" w14:textId="77777777" w:rsidR="00B51828" w:rsidRPr="00F411CD"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79D821BA"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7392D846"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637FF16F"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3E5E20D7"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3C1EB910"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4BFA6AB2" w14:textId="77777777" w:rsidTr="00E61184">
        <w:trPr>
          <w:trHeight w:val="212"/>
        </w:trPr>
        <w:tc>
          <w:tcPr>
            <w:tcW w:w="3544" w:type="dxa"/>
            <w:tcBorders>
              <w:top w:val="nil"/>
              <w:bottom w:val="single" w:sz="4" w:space="0" w:color="auto"/>
            </w:tcBorders>
          </w:tcPr>
          <w:p w14:paraId="1CFD397F" w14:textId="77777777" w:rsidR="00B51828" w:rsidRPr="00F411CD" w:rsidRDefault="00B51828" w:rsidP="002101D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tcPr>
          <w:p w14:paraId="39938898"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6BEBF653"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5655B674"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314553FD"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4BB3CE33"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795A069B" w14:textId="77777777" w:rsidTr="00E61184">
        <w:trPr>
          <w:trHeight w:val="212"/>
        </w:trPr>
        <w:tc>
          <w:tcPr>
            <w:tcW w:w="3544" w:type="dxa"/>
            <w:tcBorders>
              <w:bottom w:val="nil"/>
            </w:tcBorders>
          </w:tcPr>
          <w:p w14:paraId="60DC0548" w14:textId="77777777" w:rsidR="00B51828" w:rsidRPr="00F411CD" w:rsidRDefault="00B51828" w:rsidP="002101D2">
            <w:pPr>
              <w:pStyle w:val="Tabletextboldleft"/>
              <w:spacing w:before="20" w:after="20"/>
              <w:rPr>
                <w:b w:val="0"/>
              </w:rPr>
            </w:pPr>
            <w:r w:rsidRPr="00F411CD">
              <w:rPr>
                <w:b w:val="0"/>
              </w:rPr>
              <w:t>Non-gynaecological cytology</w:t>
            </w:r>
          </w:p>
        </w:tc>
        <w:tc>
          <w:tcPr>
            <w:tcW w:w="963" w:type="dxa"/>
            <w:tcBorders>
              <w:bottom w:val="nil"/>
            </w:tcBorders>
          </w:tcPr>
          <w:p w14:paraId="73C37418" w14:textId="77777777" w:rsidR="00B51828" w:rsidRPr="005F49A4" w:rsidRDefault="00B51828" w:rsidP="002101D2">
            <w:pPr>
              <w:pStyle w:val="Tabletextboldleft"/>
              <w:spacing w:before="20" w:after="20"/>
              <w:jc w:val="right"/>
              <w:rPr>
                <w:b w:val="0"/>
              </w:rPr>
            </w:pPr>
            <w:r w:rsidRPr="005F49A4">
              <w:rPr>
                <w:b w:val="0"/>
                <w:color w:val="000000"/>
              </w:rPr>
              <w:t>28</w:t>
            </w:r>
          </w:p>
        </w:tc>
        <w:tc>
          <w:tcPr>
            <w:tcW w:w="964" w:type="dxa"/>
            <w:tcBorders>
              <w:bottom w:val="nil"/>
            </w:tcBorders>
          </w:tcPr>
          <w:p w14:paraId="2C49ADDD" w14:textId="77777777" w:rsidR="00B51828" w:rsidRPr="005F49A4" w:rsidRDefault="00B51828" w:rsidP="002101D2">
            <w:pPr>
              <w:pStyle w:val="Tabletextboldleft"/>
              <w:spacing w:before="20" w:after="20"/>
              <w:jc w:val="right"/>
              <w:rPr>
                <w:b w:val="0"/>
              </w:rPr>
            </w:pPr>
            <w:r w:rsidRPr="005F49A4">
              <w:rPr>
                <w:b w:val="0"/>
                <w:color w:val="000000"/>
              </w:rPr>
              <w:t>29</w:t>
            </w:r>
          </w:p>
        </w:tc>
        <w:tc>
          <w:tcPr>
            <w:tcW w:w="964" w:type="dxa"/>
            <w:tcBorders>
              <w:bottom w:val="nil"/>
            </w:tcBorders>
          </w:tcPr>
          <w:p w14:paraId="219FB58E" w14:textId="77777777" w:rsidR="00B51828" w:rsidRPr="005F49A4" w:rsidRDefault="00B51828" w:rsidP="002101D2">
            <w:pPr>
              <w:pStyle w:val="Tabletextboldleft"/>
              <w:spacing w:before="20" w:after="20"/>
              <w:jc w:val="right"/>
              <w:rPr>
                <w:b w:val="0"/>
              </w:rPr>
            </w:pPr>
            <w:r w:rsidRPr="005F49A4">
              <w:rPr>
                <w:b w:val="0"/>
                <w:color w:val="000000"/>
              </w:rPr>
              <w:t>30</w:t>
            </w:r>
          </w:p>
        </w:tc>
        <w:tc>
          <w:tcPr>
            <w:tcW w:w="964" w:type="dxa"/>
            <w:tcBorders>
              <w:bottom w:val="nil"/>
            </w:tcBorders>
          </w:tcPr>
          <w:p w14:paraId="0704B9E4" w14:textId="77777777" w:rsidR="00B51828" w:rsidRPr="005F49A4" w:rsidRDefault="00B51828" w:rsidP="002101D2">
            <w:pPr>
              <w:pStyle w:val="Tabletextboldleft"/>
              <w:spacing w:before="20" w:after="20"/>
              <w:jc w:val="right"/>
              <w:rPr>
                <w:b w:val="0"/>
              </w:rPr>
            </w:pPr>
            <w:r w:rsidRPr="005F49A4">
              <w:rPr>
                <w:b w:val="0"/>
                <w:color w:val="000000"/>
              </w:rPr>
              <w:t>30</w:t>
            </w:r>
          </w:p>
        </w:tc>
        <w:tc>
          <w:tcPr>
            <w:tcW w:w="964" w:type="dxa"/>
            <w:tcBorders>
              <w:bottom w:val="nil"/>
            </w:tcBorders>
          </w:tcPr>
          <w:p w14:paraId="5B5C273C" w14:textId="77777777" w:rsidR="00B51828" w:rsidRPr="005F49A4" w:rsidRDefault="00B51828" w:rsidP="002101D2">
            <w:pPr>
              <w:pStyle w:val="Tabletextboldleft"/>
              <w:spacing w:before="20" w:after="20"/>
              <w:jc w:val="right"/>
              <w:rPr>
                <w:b w:val="0"/>
              </w:rPr>
            </w:pPr>
            <w:r w:rsidRPr="005F49A4">
              <w:rPr>
                <w:b w:val="0"/>
                <w:color w:val="000000"/>
              </w:rPr>
              <w:t>31</w:t>
            </w:r>
          </w:p>
        </w:tc>
      </w:tr>
      <w:tr w:rsidR="00B51828" w:rsidRPr="00F647C7" w14:paraId="5447C1AF" w14:textId="77777777" w:rsidTr="00E61184">
        <w:trPr>
          <w:trHeight w:val="212"/>
        </w:trPr>
        <w:tc>
          <w:tcPr>
            <w:tcW w:w="3544" w:type="dxa"/>
            <w:tcBorders>
              <w:top w:val="nil"/>
              <w:bottom w:val="nil"/>
            </w:tcBorders>
          </w:tcPr>
          <w:p w14:paraId="0DBC5209" w14:textId="77777777" w:rsidR="00B51828" w:rsidRPr="00F411CD"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0CA3E223" w14:textId="77777777" w:rsidR="00B51828" w:rsidRPr="005F49A4" w:rsidRDefault="00B51828" w:rsidP="002101D2">
            <w:pPr>
              <w:pStyle w:val="Tabletextboldleft"/>
              <w:spacing w:before="20" w:after="20"/>
              <w:jc w:val="right"/>
              <w:rPr>
                <w:b w:val="0"/>
              </w:rPr>
            </w:pPr>
            <w:r w:rsidRPr="005F49A4">
              <w:rPr>
                <w:b w:val="0"/>
                <w:color w:val="000000"/>
              </w:rPr>
              <w:t>28</w:t>
            </w:r>
          </w:p>
        </w:tc>
        <w:tc>
          <w:tcPr>
            <w:tcW w:w="964" w:type="dxa"/>
            <w:tcBorders>
              <w:top w:val="nil"/>
              <w:bottom w:val="nil"/>
            </w:tcBorders>
          </w:tcPr>
          <w:p w14:paraId="06271B68" w14:textId="77777777" w:rsidR="00B51828" w:rsidRPr="005F49A4" w:rsidRDefault="00B51828" w:rsidP="002101D2">
            <w:pPr>
              <w:pStyle w:val="Tabletextboldleft"/>
              <w:spacing w:before="20" w:after="20"/>
              <w:jc w:val="right"/>
              <w:rPr>
                <w:b w:val="0"/>
              </w:rPr>
            </w:pPr>
            <w:r w:rsidRPr="005F49A4">
              <w:rPr>
                <w:b w:val="0"/>
                <w:color w:val="000000"/>
              </w:rPr>
              <w:t>29</w:t>
            </w:r>
          </w:p>
        </w:tc>
        <w:tc>
          <w:tcPr>
            <w:tcW w:w="964" w:type="dxa"/>
            <w:tcBorders>
              <w:top w:val="nil"/>
              <w:bottom w:val="nil"/>
            </w:tcBorders>
          </w:tcPr>
          <w:p w14:paraId="25530B39" w14:textId="77777777" w:rsidR="00B51828" w:rsidRPr="005F49A4" w:rsidRDefault="00B51828" w:rsidP="002101D2">
            <w:pPr>
              <w:pStyle w:val="Tabletextboldleft"/>
              <w:spacing w:before="20" w:after="20"/>
              <w:jc w:val="right"/>
              <w:rPr>
                <w:b w:val="0"/>
              </w:rPr>
            </w:pPr>
            <w:r w:rsidRPr="005F49A4">
              <w:rPr>
                <w:b w:val="0"/>
                <w:color w:val="000000"/>
              </w:rPr>
              <w:t>30</w:t>
            </w:r>
          </w:p>
        </w:tc>
        <w:tc>
          <w:tcPr>
            <w:tcW w:w="964" w:type="dxa"/>
            <w:tcBorders>
              <w:top w:val="nil"/>
              <w:bottom w:val="nil"/>
            </w:tcBorders>
          </w:tcPr>
          <w:p w14:paraId="7DE24426" w14:textId="77777777" w:rsidR="00B51828" w:rsidRPr="005F49A4" w:rsidRDefault="00B51828" w:rsidP="002101D2">
            <w:pPr>
              <w:pStyle w:val="Tabletextboldleft"/>
              <w:spacing w:before="20" w:after="20"/>
              <w:jc w:val="right"/>
              <w:rPr>
                <w:b w:val="0"/>
              </w:rPr>
            </w:pPr>
            <w:r w:rsidRPr="005F49A4">
              <w:rPr>
                <w:b w:val="0"/>
                <w:color w:val="000000"/>
              </w:rPr>
              <w:t>30</w:t>
            </w:r>
          </w:p>
        </w:tc>
        <w:tc>
          <w:tcPr>
            <w:tcW w:w="964" w:type="dxa"/>
            <w:tcBorders>
              <w:top w:val="nil"/>
              <w:bottom w:val="nil"/>
            </w:tcBorders>
          </w:tcPr>
          <w:p w14:paraId="6C5D59B7" w14:textId="77777777" w:rsidR="00B51828" w:rsidRPr="005F49A4" w:rsidRDefault="00B51828" w:rsidP="002101D2">
            <w:pPr>
              <w:pStyle w:val="Tabletextboldleft"/>
              <w:spacing w:before="20" w:after="20"/>
              <w:jc w:val="right"/>
              <w:rPr>
                <w:b w:val="0"/>
              </w:rPr>
            </w:pPr>
            <w:r w:rsidRPr="005F49A4">
              <w:rPr>
                <w:b w:val="0"/>
                <w:color w:val="000000"/>
              </w:rPr>
              <w:t>31</w:t>
            </w:r>
          </w:p>
        </w:tc>
      </w:tr>
      <w:tr w:rsidR="00B51828" w:rsidRPr="00F647C7" w14:paraId="422CD1EA" w14:textId="77777777" w:rsidTr="00E61184">
        <w:trPr>
          <w:trHeight w:val="212"/>
        </w:trPr>
        <w:tc>
          <w:tcPr>
            <w:tcW w:w="3544" w:type="dxa"/>
            <w:tcBorders>
              <w:top w:val="nil"/>
              <w:bottom w:val="nil"/>
            </w:tcBorders>
          </w:tcPr>
          <w:p w14:paraId="5FDE2852" w14:textId="77777777" w:rsidR="00B51828" w:rsidRPr="00F411CD"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68BDB225"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506825E8"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468327C6"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30999F63"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1084653F"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34244E93" w14:textId="77777777" w:rsidTr="00E61184">
        <w:trPr>
          <w:trHeight w:val="212"/>
        </w:trPr>
        <w:tc>
          <w:tcPr>
            <w:tcW w:w="3544" w:type="dxa"/>
            <w:tcBorders>
              <w:top w:val="nil"/>
              <w:bottom w:val="single" w:sz="4" w:space="0" w:color="auto"/>
            </w:tcBorders>
          </w:tcPr>
          <w:p w14:paraId="4C7DE868" w14:textId="77777777" w:rsidR="00B51828" w:rsidRPr="00F411CD" w:rsidRDefault="00B51828" w:rsidP="002101D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tcPr>
          <w:p w14:paraId="1549B4ED"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47AEA517"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120037A7"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2D63C268"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single" w:sz="4" w:space="0" w:color="auto"/>
            </w:tcBorders>
          </w:tcPr>
          <w:p w14:paraId="6725E738"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37AB1FE4" w14:textId="77777777" w:rsidTr="00E61184">
        <w:trPr>
          <w:trHeight w:val="212"/>
        </w:trPr>
        <w:tc>
          <w:tcPr>
            <w:tcW w:w="3544" w:type="dxa"/>
            <w:tcBorders>
              <w:bottom w:val="nil"/>
            </w:tcBorders>
          </w:tcPr>
          <w:p w14:paraId="6FE72136" w14:textId="77777777" w:rsidR="00B51828" w:rsidRPr="00F411CD" w:rsidRDefault="00B51828" w:rsidP="002101D2">
            <w:pPr>
              <w:pStyle w:val="Tabletextboldleft"/>
              <w:spacing w:before="20" w:after="20"/>
              <w:rPr>
                <w:b w:val="0"/>
              </w:rPr>
            </w:pPr>
            <w:r>
              <w:rPr>
                <w:b w:val="0"/>
              </w:rPr>
              <w:t>All cytology</w:t>
            </w:r>
          </w:p>
        </w:tc>
        <w:tc>
          <w:tcPr>
            <w:tcW w:w="963" w:type="dxa"/>
            <w:tcBorders>
              <w:bottom w:val="nil"/>
            </w:tcBorders>
          </w:tcPr>
          <w:p w14:paraId="10F1FD38" w14:textId="77777777" w:rsidR="00B51828" w:rsidRPr="005F49A4" w:rsidRDefault="00B51828" w:rsidP="002101D2">
            <w:pPr>
              <w:pStyle w:val="Tabletextboldleft"/>
              <w:spacing w:before="20" w:after="20"/>
              <w:jc w:val="right"/>
              <w:rPr>
                <w:b w:val="0"/>
              </w:rPr>
            </w:pPr>
            <w:r w:rsidRPr="005F49A4">
              <w:rPr>
                <w:b w:val="0"/>
                <w:color w:val="000000"/>
              </w:rPr>
              <w:t>223</w:t>
            </w:r>
          </w:p>
        </w:tc>
        <w:tc>
          <w:tcPr>
            <w:tcW w:w="964" w:type="dxa"/>
            <w:tcBorders>
              <w:bottom w:val="nil"/>
            </w:tcBorders>
          </w:tcPr>
          <w:p w14:paraId="2E8C16B3" w14:textId="77777777" w:rsidR="00B51828" w:rsidRPr="005F49A4" w:rsidRDefault="00B51828" w:rsidP="002101D2">
            <w:pPr>
              <w:pStyle w:val="Tabletextboldleft"/>
              <w:spacing w:before="20" w:after="20"/>
              <w:jc w:val="right"/>
              <w:rPr>
                <w:b w:val="0"/>
              </w:rPr>
            </w:pPr>
            <w:r w:rsidRPr="005F49A4">
              <w:rPr>
                <w:b w:val="0"/>
                <w:color w:val="000000"/>
              </w:rPr>
              <w:t>225</w:t>
            </w:r>
          </w:p>
        </w:tc>
        <w:tc>
          <w:tcPr>
            <w:tcW w:w="964" w:type="dxa"/>
            <w:tcBorders>
              <w:bottom w:val="nil"/>
            </w:tcBorders>
          </w:tcPr>
          <w:p w14:paraId="4F4FA432" w14:textId="77777777" w:rsidR="00B51828" w:rsidRPr="005F49A4" w:rsidRDefault="00B51828" w:rsidP="002101D2">
            <w:pPr>
              <w:pStyle w:val="Tabletextboldleft"/>
              <w:spacing w:before="20" w:after="20"/>
              <w:jc w:val="right"/>
              <w:rPr>
                <w:b w:val="0"/>
              </w:rPr>
            </w:pPr>
            <w:r w:rsidRPr="005F49A4">
              <w:rPr>
                <w:b w:val="0"/>
                <w:color w:val="000000"/>
              </w:rPr>
              <w:t>228</w:t>
            </w:r>
          </w:p>
        </w:tc>
        <w:tc>
          <w:tcPr>
            <w:tcW w:w="964" w:type="dxa"/>
            <w:tcBorders>
              <w:bottom w:val="nil"/>
            </w:tcBorders>
          </w:tcPr>
          <w:p w14:paraId="3D5B03D5" w14:textId="77777777" w:rsidR="00B51828" w:rsidRPr="005F49A4" w:rsidRDefault="00B51828" w:rsidP="002101D2">
            <w:pPr>
              <w:pStyle w:val="Tabletextboldleft"/>
              <w:spacing w:before="20" w:after="20"/>
              <w:jc w:val="right"/>
              <w:rPr>
                <w:b w:val="0"/>
              </w:rPr>
            </w:pPr>
            <w:r w:rsidRPr="005F49A4">
              <w:rPr>
                <w:b w:val="0"/>
                <w:color w:val="000000"/>
              </w:rPr>
              <w:t>230</w:t>
            </w:r>
          </w:p>
        </w:tc>
        <w:tc>
          <w:tcPr>
            <w:tcW w:w="964" w:type="dxa"/>
            <w:tcBorders>
              <w:bottom w:val="nil"/>
            </w:tcBorders>
          </w:tcPr>
          <w:p w14:paraId="67AECAE8" w14:textId="77777777" w:rsidR="00B51828" w:rsidRPr="005F49A4" w:rsidRDefault="00B51828" w:rsidP="002101D2">
            <w:pPr>
              <w:pStyle w:val="Tabletextboldleft"/>
              <w:spacing w:before="20" w:after="20"/>
              <w:jc w:val="right"/>
              <w:rPr>
                <w:b w:val="0"/>
              </w:rPr>
            </w:pPr>
            <w:r w:rsidRPr="005F49A4">
              <w:rPr>
                <w:b w:val="0"/>
                <w:color w:val="000000"/>
              </w:rPr>
              <w:t>233</w:t>
            </w:r>
          </w:p>
        </w:tc>
      </w:tr>
      <w:tr w:rsidR="00B51828" w:rsidRPr="00F647C7" w14:paraId="08772859" w14:textId="77777777" w:rsidTr="00E61184">
        <w:trPr>
          <w:trHeight w:val="212"/>
        </w:trPr>
        <w:tc>
          <w:tcPr>
            <w:tcW w:w="3544" w:type="dxa"/>
            <w:tcBorders>
              <w:top w:val="nil"/>
              <w:bottom w:val="nil"/>
            </w:tcBorders>
          </w:tcPr>
          <w:p w14:paraId="3AF3401A" w14:textId="77777777" w:rsidR="00B51828" w:rsidRPr="00F411CD"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20EEE9DB" w14:textId="77777777" w:rsidR="00B51828" w:rsidRPr="005F49A4" w:rsidRDefault="00B51828" w:rsidP="002101D2">
            <w:pPr>
              <w:pStyle w:val="Tabletextboldleft"/>
              <w:spacing w:before="20" w:after="20"/>
              <w:jc w:val="right"/>
              <w:rPr>
                <w:b w:val="0"/>
              </w:rPr>
            </w:pPr>
            <w:r w:rsidRPr="005F49A4">
              <w:rPr>
                <w:b w:val="0"/>
                <w:color w:val="000000"/>
              </w:rPr>
              <w:t>223</w:t>
            </w:r>
          </w:p>
        </w:tc>
        <w:tc>
          <w:tcPr>
            <w:tcW w:w="964" w:type="dxa"/>
            <w:tcBorders>
              <w:top w:val="nil"/>
              <w:bottom w:val="nil"/>
            </w:tcBorders>
          </w:tcPr>
          <w:p w14:paraId="088E4A2F" w14:textId="77777777" w:rsidR="00B51828" w:rsidRPr="005F49A4" w:rsidRDefault="00B51828" w:rsidP="002101D2">
            <w:pPr>
              <w:pStyle w:val="Tabletextboldleft"/>
              <w:spacing w:before="20" w:after="20"/>
              <w:jc w:val="right"/>
              <w:rPr>
                <w:b w:val="0"/>
              </w:rPr>
            </w:pPr>
            <w:r w:rsidRPr="005F49A4">
              <w:rPr>
                <w:b w:val="0"/>
                <w:color w:val="000000"/>
              </w:rPr>
              <w:t>225</w:t>
            </w:r>
          </w:p>
        </w:tc>
        <w:tc>
          <w:tcPr>
            <w:tcW w:w="964" w:type="dxa"/>
            <w:tcBorders>
              <w:top w:val="nil"/>
              <w:bottom w:val="nil"/>
            </w:tcBorders>
          </w:tcPr>
          <w:p w14:paraId="55C09576" w14:textId="77777777" w:rsidR="00B51828" w:rsidRPr="005F49A4" w:rsidRDefault="00B51828" w:rsidP="002101D2">
            <w:pPr>
              <w:pStyle w:val="Tabletextboldleft"/>
              <w:spacing w:before="20" w:after="20"/>
              <w:jc w:val="right"/>
              <w:rPr>
                <w:b w:val="0"/>
              </w:rPr>
            </w:pPr>
            <w:r w:rsidRPr="005F49A4">
              <w:rPr>
                <w:b w:val="0"/>
                <w:color w:val="000000"/>
              </w:rPr>
              <w:t>228</w:t>
            </w:r>
          </w:p>
        </w:tc>
        <w:tc>
          <w:tcPr>
            <w:tcW w:w="964" w:type="dxa"/>
            <w:tcBorders>
              <w:top w:val="nil"/>
              <w:bottom w:val="nil"/>
            </w:tcBorders>
          </w:tcPr>
          <w:p w14:paraId="5832A609" w14:textId="77777777" w:rsidR="00B51828" w:rsidRPr="005F49A4" w:rsidRDefault="00B51828" w:rsidP="002101D2">
            <w:pPr>
              <w:pStyle w:val="Tabletextboldleft"/>
              <w:spacing w:before="20" w:after="20"/>
              <w:jc w:val="right"/>
              <w:rPr>
                <w:b w:val="0"/>
              </w:rPr>
            </w:pPr>
            <w:r w:rsidRPr="005F49A4">
              <w:rPr>
                <w:b w:val="0"/>
                <w:color w:val="000000"/>
              </w:rPr>
              <w:t>230</w:t>
            </w:r>
          </w:p>
        </w:tc>
        <w:tc>
          <w:tcPr>
            <w:tcW w:w="964" w:type="dxa"/>
            <w:tcBorders>
              <w:top w:val="nil"/>
              <w:bottom w:val="nil"/>
            </w:tcBorders>
          </w:tcPr>
          <w:p w14:paraId="2A187CC4" w14:textId="77777777" w:rsidR="00B51828" w:rsidRPr="005F49A4" w:rsidRDefault="00B51828" w:rsidP="002101D2">
            <w:pPr>
              <w:pStyle w:val="Tabletextboldleft"/>
              <w:spacing w:before="20" w:after="20"/>
              <w:jc w:val="right"/>
              <w:rPr>
                <w:b w:val="0"/>
              </w:rPr>
            </w:pPr>
            <w:r w:rsidRPr="005F49A4">
              <w:rPr>
                <w:b w:val="0"/>
                <w:color w:val="000000"/>
              </w:rPr>
              <w:t>233</w:t>
            </w:r>
          </w:p>
        </w:tc>
      </w:tr>
      <w:tr w:rsidR="00B51828" w:rsidRPr="00F647C7" w14:paraId="561386C2" w14:textId="77777777" w:rsidTr="00E61184">
        <w:trPr>
          <w:trHeight w:val="212"/>
        </w:trPr>
        <w:tc>
          <w:tcPr>
            <w:tcW w:w="3544" w:type="dxa"/>
            <w:tcBorders>
              <w:top w:val="nil"/>
              <w:bottom w:val="nil"/>
            </w:tcBorders>
          </w:tcPr>
          <w:p w14:paraId="5E539A33" w14:textId="77777777" w:rsidR="00B51828" w:rsidRPr="00F411CD"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484F7563"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2B572F28"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4AB8E35A"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31F6DB06"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bottom w:val="nil"/>
            </w:tcBorders>
          </w:tcPr>
          <w:p w14:paraId="663D3B29"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50D8CE25" w14:textId="77777777" w:rsidTr="00E61184">
        <w:trPr>
          <w:trHeight w:val="212"/>
        </w:trPr>
        <w:tc>
          <w:tcPr>
            <w:tcW w:w="3544" w:type="dxa"/>
            <w:tcBorders>
              <w:top w:val="nil"/>
            </w:tcBorders>
          </w:tcPr>
          <w:p w14:paraId="4625ABC6" w14:textId="77777777" w:rsidR="00B51828" w:rsidRPr="00F411CD" w:rsidRDefault="00B51828" w:rsidP="002101D2">
            <w:pPr>
              <w:pStyle w:val="Tabletextboldleft"/>
              <w:spacing w:before="20" w:after="20"/>
              <w:ind w:firstLine="317"/>
              <w:rPr>
                <w:b w:val="0"/>
              </w:rPr>
            </w:pPr>
            <w:r>
              <w:rPr>
                <w:b w:val="0"/>
              </w:rPr>
              <w:t>Bulk billing incentive (MBS 74996)</w:t>
            </w:r>
          </w:p>
        </w:tc>
        <w:tc>
          <w:tcPr>
            <w:tcW w:w="963" w:type="dxa"/>
            <w:tcBorders>
              <w:top w:val="nil"/>
            </w:tcBorders>
          </w:tcPr>
          <w:p w14:paraId="2E3BA8F7"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tcBorders>
          </w:tcPr>
          <w:p w14:paraId="41CDE3FF"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tcBorders>
          </w:tcPr>
          <w:p w14:paraId="12B0866E"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tcBorders>
          </w:tcPr>
          <w:p w14:paraId="1921E6CE" w14:textId="77777777" w:rsidR="00B51828" w:rsidRPr="005F49A4" w:rsidRDefault="00B51828" w:rsidP="002101D2">
            <w:pPr>
              <w:pStyle w:val="Tabletextboldleft"/>
              <w:spacing w:before="20" w:after="20"/>
              <w:jc w:val="right"/>
              <w:rPr>
                <w:b w:val="0"/>
              </w:rPr>
            </w:pPr>
            <w:r w:rsidRPr="005F49A4">
              <w:rPr>
                <w:b w:val="0"/>
                <w:color w:val="000000"/>
              </w:rPr>
              <w:t>0</w:t>
            </w:r>
          </w:p>
        </w:tc>
        <w:tc>
          <w:tcPr>
            <w:tcW w:w="964" w:type="dxa"/>
            <w:tcBorders>
              <w:top w:val="nil"/>
            </w:tcBorders>
          </w:tcPr>
          <w:p w14:paraId="44A03332" w14:textId="77777777" w:rsidR="00B51828" w:rsidRPr="005F49A4" w:rsidRDefault="00B51828" w:rsidP="002101D2">
            <w:pPr>
              <w:pStyle w:val="Tabletextboldleft"/>
              <w:spacing w:before="20" w:after="20"/>
              <w:jc w:val="right"/>
              <w:rPr>
                <w:b w:val="0"/>
              </w:rPr>
            </w:pPr>
            <w:r w:rsidRPr="005F49A4">
              <w:rPr>
                <w:b w:val="0"/>
                <w:color w:val="000000"/>
              </w:rPr>
              <w:t>0</w:t>
            </w:r>
          </w:p>
        </w:tc>
      </w:tr>
      <w:tr w:rsidR="00B51828" w:rsidRPr="00F647C7" w14:paraId="1944CBCB" w14:textId="77777777" w:rsidTr="00E61184">
        <w:trPr>
          <w:trHeight w:val="212"/>
        </w:trPr>
        <w:tc>
          <w:tcPr>
            <w:tcW w:w="3544" w:type="dxa"/>
          </w:tcPr>
          <w:p w14:paraId="28693823" w14:textId="77777777" w:rsidR="00B51828" w:rsidRPr="00C26CDD" w:rsidRDefault="00B51828" w:rsidP="002101D2">
            <w:pPr>
              <w:pStyle w:val="Tabletextboldleft"/>
              <w:spacing w:before="20" w:after="20"/>
              <w:rPr>
                <w:b w:val="0"/>
                <w:i/>
              </w:rPr>
            </w:pPr>
            <w:r>
              <w:rPr>
                <w:b w:val="0"/>
                <w:i/>
              </w:rPr>
              <w:t>Sub-t</w:t>
            </w:r>
            <w:r w:rsidRPr="00C26CDD">
              <w:rPr>
                <w:b w:val="0"/>
                <w:i/>
              </w:rPr>
              <w:t>otal (excluding gynaecological cytology)</w:t>
            </w:r>
          </w:p>
        </w:tc>
        <w:tc>
          <w:tcPr>
            <w:tcW w:w="963" w:type="dxa"/>
          </w:tcPr>
          <w:p w14:paraId="679B5042" w14:textId="77777777" w:rsidR="00B51828" w:rsidRPr="002A2456" w:rsidRDefault="00B51828" w:rsidP="002101D2">
            <w:pPr>
              <w:pStyle w:val="Tabletextboldleft"/>
              <w:spacing w:before="20" w:after="20"/>
              <w:jc w:val="right"/>
              <w:rPr>
                <w:b w:val="0"/>
                <w:i/>
              </w:rPr>
            </w:pPr>
            <w:r w:rsidRPr="002A2456">
              <w:rPr>
                <w:b w:val="0"/>
                <w:bCs/>
                <w:i/>
                <w:color w:val="000000"/>
              </w:rPr>
              <w:t>2,367</w:t>
            </w:r>
          </w:p>
        </w:tc>
        <w:tc>
          <w:tcPr>
            <w:tcW w:w="964" w:type="dxa"/>
          </w:tcPr>
          <w:p w14:paraId="4C62E0FF" w14:textId="77777777" w:rsidR="00B51828" w:rsidRPr="002A2456" w:rsidRDefault="00B51828" w:rsidP="002101D2">
            <w:pPr>
              <w:pStyle w:val="Tabletextboldleft"/>
              <w:spacing w:before="20" w:after="20"/>
              <w:jc w:val="right"/>
              <w:rPr>
                <w:b w:val="0"/>
                <w:i/>
              </w:rPr>
            </w:pPr>
            <w:r w:rsidRPr="002A2456">
              <w:rPr>
                <w:b w:val="0"/>
                <w:bCs/>
                <w:i/>
                <w:color w:val="000000"/>
              </w:rPr>
              <w:t>2,453</w:t>
            </w:r>
          </w:p>
        </w:tc>
        <w:tc>
          <w:tcPr>
            <w:tcW w:w="964" w:type="dxa"/>
          </w:tcPr>
          <w:p w14:paraId="085E7B7E" w14:textId="77777777" w:rsidR="00B51828" w:rsidRPr="002A2456" w:rsidRDefault="00B51828" w:rsidP="002101D2">
            <w:pPr>
              <w:pStyle w:val="Tabletextboldleft"/>
              <w:spacing w:before="20" w:after="20"/>
              <w:jc w:val="right"/>
              <w:rPr>
                <w:b w:val="0"/>
                <w:i/>
              </w:rPr>
            </w:pPr>
            <w:r w:rsidRPr="002A2456">
              <w:rPr>
                <w:b w:val="0"/>
                <w:bCs/>
                <w:i/>
                <w:color w:val="000000"/>
              </w:rPr>
              <w:t>2,538</w:t>
            </w:r>
          </w:p>
        </w:tc>
        <w:tc>
          <w:tcPr>
            <w:tcW w:w="964" w:type="dxa"/>
          </w:tcPr>
          <w:p w14:paraId="2BB456FC" w14:textId="77777777" w:rsidR="00B51828" w:rsidRPr="002A2456" w:rsidRDefault="00B51828" w:rsidP="002101D2">
            <w:pPr>
              <w:pStyle w:val="Tabletextboldleft"/>
              <w:spacing w:before="20" w:after="20"/>
              <w:jc w:val="right"/>
              <w:rPr>
                <w:b w:val="0"/>
                <w:i/>
              </w:rPr>
            </w:pPr>
            <w:r w:rsidRPr="002A2456">
              <w:rPr>
                <w:b w:val="0"/>
                <w:bCs/>
                <w:i/>
                <w:color w:val="000000"/>
              </w:rPr>
              <w:t>2,624</w:t>
            </w:r>
          </w:p>
        </w:tc>
        <w:tc>
          <w:tcPr>
            <w:tcW w:w="964" w:type="dxa"/>
          </w:tcPr>
          <w:p w14:paraId="4079BC97" w14:textId="77777777" w:rsidR="00B51828" w:rsidRPr="002A2456" w:rsidRDefault="00B51828" w:rsidP="002101D2">
            <w:pPr>
              <w:pStyle w:val="Tabletextboldleft"/>
              <w:spacing w:before="20" w:after="20"/>
              <w:jc w:val="right"/>
              <w:rPr>
                <w:b w:val="0"/>
                <w:i/>
              </w:rPr>
            </w:pPr>
            <w:r w:rsidRPr="002A2456">
              <w:rPr>
                <w:b w:val="0"/>
                <w:bCs/>
                <w:i/>
                <w:color w:val="000000"/>
              </w:rPr>
              <w:t>2,709</w:t>
            </w:r>
          </w:p>
        </w:tc>
      </w:tr>
      <w:tr w:rsidR="00B51828" w:rsidRPr="00F647C7" w14:paraId="7AFC7E59" w14:textId="77777777" w:rsidTr="00E61184">
        <w:trPr>
          <w:trHeight w:val="212"/>
        </w:trPr>
        <w:tc>
          <w:tcPr>
            <w:tcW w:w="3544" w:type="dxa"/>
          </w:tcPr>
          <w:p w14:paraId="7F4AE38A" w14:textId="77777777" w:rsidR="00B51828" w:rsidRPr="00C26CDD" w:rsidRDefault="00B51828" w:rsidP="002101D2">
            <w:pPr>
              <w:pStyle w:val="Tabletextboldleft"/>
              <w:spacing w:before="20" w:after="20"/>
              <w:rPr>
                <w:b w:val="0"/>
                <w:i/>
              </w:rPr>
            </w:pPr>
            <w:r>
              <w:rPr>
                <w:b w:val="0"/>
                <w:i/>
              </w:rPr>
              <w:t>Sub-t</w:t>
            </w:r>
            <w:r w:rsidRPr="00C26CDD">
              <w:rPr>
                <w:b w:val="0"/>
                <w:i/>
              </w:rPr>
              <w:t>otal (including all cytology)</w:t>
            </w:r>
          </w:p>
        </w:tc>
        <w:tc>
          <w:tcPr>
            <w:tcW w:w="963" w:type="dxa"/>
          </w:tcPr>
          <w:p w14:paraId="77081932" w14:textId="77777777" w:rsidR="00B51828" w:rsidRPr="002A2456" w:rsidRDefault="00B51828" w:rsidP="002101D2">
            <w:pPr>
              <w:pStyle w:val="Tabletextboldleft"/>
              <w:spacing w:before="20" w:after="20"/>
              <w:jc w:val="right"/>
              <w:rPr>
                <w:b w:val="0"/>
                <w:i/>
              </w:rPr>
            </w:pPr>
            <w:r w:rsidRPr="002A2456">
              <w:rPr>
                <w:b w:val="0"/>
                <w:bCs/>
                <w:i/>
                <w:color w:val="000000"/>
              </w:rPr>
              <w:t>2,562</w:t>
            </w:r>
          </w:p>
        </w:tc>
        <w:tc>
          <w:tcPr>
            <w:tcW w:w="964" w:type="dxa"/>
          </w:tcPr>
          <w:p w14:paraId="0CBB7AF1" w14:textId="77777777" w:rsidR="00B51828" w:rsidRPr="002A2456" w:rsidRDefault="00B51828" w:rsidP="002101D2">
            <w:pPr>
              <w:pStyle w:val="Tabletextboldleft"/>
              <w:spacing w:before="20" w:after="20"/>
              <w:jc w:val="right"/>
              <w:rPr>
                <w:b w:val="0"/>
                <w:i/>
              </w:rPr>
            </w:pPr>
            <w:r w:rsidRPr="002A2456">
              <w:rPr>
                <w:b w:val="0"/>
                <w:bCs/>
                <w:i/>
                <w:color w:val="000000"/>
              </w:rPr>
              <w:t>2,649</w:t>
            </w:r>
          </w:p>
        </w:tc>
        <w:tc>
          <w:tcPr>
            <w:tcW w:w="964" w:type="dxa"/>
          </w:tcPr>
          <w:p w14:paraId="0F68390F" w14:textId="77777777" w:rsidR="00B51828" w:rsidRPr="002A2456" w:rsidRDefault="00B51828" w:rsidP="002101D2">
            <w:pPr>
              <w:pStyle w:val="Tabletextboldleft"/>
              <w:spacing w:before="20" w:after="20"/>
              <w:jc w:val="right"/>
              <w:rPr>
                <w:b w:val="0"/>
                <w:i/>
              </w:rPr>
            </w:pPr>
            <w:r w:rsidRPr="002A2456">
              <w:rPr>
                <w:b w:val="0"/>
                <w:bCs/>
                <w:i/>
                <w:color w:val="000000"/>
              </w:rPr>
              <w:t>2,736</w:t>
            </w:r>
          </w:p>
        </w:tc>
        <w:tc>
          <w:tcPr>
            <w:tcW w:w="964" w:type="dxa"/>
          </w:tcPr>
          <w:p w14:paraId="2C61AF32" w14:textId="77777777" w:rsidR="00B51828" w:rsidRPr="002A2456" w:rsidRDefault="00B51828" w:rsidP="002101D2">
            <w:pPr>
              <w:pStyle w:val="Tabletextboldleft"/>
              <w:spacing w:before="20" w:after="20"/>
              <w:jc w:val="right"/>
              <w:rPr>
                <w:b w:val="0"/>
                <w:i/>
              </w:rPr>
            </w:pPr>
            <w:r w:rsidRPr="002A2456">
              <w:rPr>
                <w:b w:val="0"/>
                <w:bCs/>
                <w:i/>
                <w:color w:val="000000"/>
              </w:rPr>
              <w:t>2,824</w:t>
            </w:r>
          </w:p>
        </w:tc>
        <w:tc>
          <w:tcPr>
            <w:tcW w:w="964" w:type="dxa"/>
          </w:tcPr>
          <w:p w14:paraId="3A8AD43A" w14:textId="77777777" w:rsidR="00B51828" w:rsidRPr="002A2456" w:rsidRDefault="00B51828" w:rsidP="002101D2">
            <w:pPr>
              <w:pStyle w:val="Tabletextboldleft"/>
              <w:spacing w:before="20" w:after="20"/>
              <w:jc w:val="right"/>
              <w:rPr>
                <w:b w:val="0"/>
                <w:i/>
              </w:rPr>
            </w:pPr>
            <w:r w:rsidRPr="002A2456">
              <w:rPr>
                <w:b w:val="0"/>
                <w:bCs/>
                <w:i/>
                <w:color w:val="000000"/>
              </w:rPr>
              <w:t>2,911</w:t>
            </w:r>
          </w:p>
        </w:tc>
      </w:tr>
      <w:tr w:rsidR="00B51828" w:rsidRPr="00F647C7" w14:paraId="3858A74C" w14:textId="77777777" w:rsidTr="00E61184">
        <w:trPr>
          <w:trHeight w:val="212"/>
        </w:trPr>
        <w:tc>
          <w:tcPr>
            <w:tcW w:w="3544" w:type="dxa"/>
            <w:shd w:val="clear" w:color="auto" w:fill="D0CECE" w:themeFill="background2" w:themeFillShade="E6"/>
          </w:tcPr>
          <w:p w14:paraId="43880EE6" w14:textId="77777777" w:rsidR="00B51828" w:rsidRDefault="00B51828" w:rsidP="002101D2">
            <w:pPr>
              <w:pStyle w:val="Tabletextboldleft"/>
              <w:spacing w:before="20" w:after="20"/>
            </w:pPr>
            <w:r w:rsidRPr="00F411CD">
              <w:t xml:space="preserve">TOTAL </w:t>
            </w:r>
          </w:p>
          <w:p w14:paraId="55B05D0D" w14:textId="77777777" w:rsidR="00B51828" w:rsidRPr="009D63D8" w:rsidRDefault="00B51828" w:rsidP="002101D2">
            <w:pPr>
              <w:pStyle w:val="Tabletextboldleft"/>
              <w:spacing w:before="20" w:after="20"/>
              <w:rPr>
                <w:b w:val="0"/>
              </w:rPr>
            </w:pPr>
            <w:r w:rsidRPr="009D63D8">
              <w:rPr>
                <w:b w:val="0"/>
              </w:rPr>
              <w:t>(</w:t>
            </w:r>
            <w:r w:rsidRPr="009D63D8">
              <w:rPr>
                <w:b w:val="0"/>
                <w:i/>
              </w:rPr>
              <w:t>S1</w:t>
            </w:r>
            <w:r w:rsidRPr="009D63D8">
              <w:rPr>
                <w:b w:val="0"/>
              </w:rPr>
              <w:t xml:space="preserve"> and S</w:t>
            </w:r>
            <w:r w:rsidRPr="009D63D8">
              <w:rPr>
                <w:b w:val="0"/>
                <w:i/>
              </w:rPr>
              <w:t>2</w:t>
            </w:r>
            <w:r w:rsidRPr="009D63D8">
              <w:rPr>
                <w:b w:val="0"/>
              </w:rPr>
              <w:t xml:space="preserve"> – excluding gynaecological cytology)</w:t>
            </w:r>
          </w:p>
        </w:tc>
        <w:tc>
          <w:tcPr>
            <w:tcW w:w="963" w:type="dxa"/>
            <w:shd w:val="clear" w:color="auto" w:fill="D0CECE" w:themeFill="background2" w:themeFillShade="E6"/>
          </w:tcPr>
          <w:p w14:paraId="69EEB135" w14:textId="77777777" w:rsidR="00B51828" w:rsidRPr="005F49A4" w:rsidRDefault="00B51828" w:rsidP="002101D2">
            <w:pPr>
              <w:pStyle w:val="Tabletextboldleft"/>
              <w:spacing w:before="20" w:after="20"/>
              <w:jc w:val="right"/>
            </w:pPr>
            <w:r w:rsidRPr="005F49A4">
              <w:rPr>
                <w:color w:val="000000"/>
              </w:rPr>
              <w:t>7,930</w:t>
            </w:r>
          </w:p>
        </w:tc>
        <w:tc>
          <w:tcPr>
            <w:tcW w:w="964" w:type="dxa"/>
            <w:shd w:val="clear" w:color="auto" w:fill="D0CECE" w:themeFill="background2" w:themeFillShade="E6"/>
          </w:tcPr>
          <w:p w14:paraId="05113744" w14:textId="77777777" w:rsidR="00B51828" w:rsidRPr="005F49A4" w:rsidRDefault="00B51828" w:rsidP="002101D2">
            <w:pPr>
              <w:pStyle w:val="Tabletextboldleft"/>
              <w:spacing w:before="20" w:after="20"/>
              <w:jc w:val="right"/>
            </w:pPr>
            <w:r w:rsidRPr="005F49A4">
              <w:rPr>
                <w:color w:val="000000"/>
              </w:rPr>
              <w:t>8,216</w:t>
            </w:r>
          </w:p>
        </w:tc>
        <w:tc>
          <w:tcPr>
            <w:tcW w:w="964" w:type="dxa"/>
            <w:shd w:val="clear" w:color="auto" w:fill="D0CECE" w:themeFill="background2" w:themeFillShade="E6"/>
          </w:tcPr>
          <w:p w14:paraId="0081EC98" w14:textId="77777777" w:rsidR="00B51828" w:rsidRPr="005F49A4" w:rsidRDefault="00B51828" w:rsidP="002101D2">
            <w:pPr>
              <w:pStyle w:val="Tabletextboldleft"/>
              <w:spacing w:before="20" w:after="20"/>
              <w:jc w:val="right"/>
            </w:pPr>
            <w:r w:rsidRPr="005F49A4">
              <w:rPr>
                <w:color w:val="000000"/>
              </w:rPr>
              <w:t>8,503</w:t>
            </w:r>
          </w:p>
        </w:tc>
        <w:tc>
          <w:tcPr>
            <w:tcW w:w="964" w:type="dxa"/>
            <w:shd w:val="clear" w:color="auto" w:fill="D0CECE" w:themeFill="background2" w:themeFillShade="E6"/>
          </w:tcPr>
          <w:p w14:paraId="135E423D" w14:textId="77777777" w:rsidR="00B51828" w:rsidRPr="005F49A4" w:rsidRDefault="00B51828" w:rsidP="002101D2">
            <w:pPr>
              <w:pStyle w:val="Tabletextboldleft"/>
              <w:spacing w:before="20" w:after="20"/>
              <w:jc w:val="right"/>
            </w:pPr>
            <w:r w:rsidRPr="005F49A4">
              <w:rPr>
                <w:color w:val="000000"/>
              </w:rPr>
              <w:t>8,789</w:t>
            </w:r>
          </w:p>
        </w:tc>
        <w:tc>
          <w:tcPr>
            <w:tcW w:w="964" w:type="dxa"/>
            <w:shd w:val="clear" w:color="auto" w:fill="D0CECE" w:themeFill="background2" w:themeFillShade="E6"/>
          </w:tcPr>
          <w:p w14:paraId="221FC86C" w14:textId="77777777" w:rsidR="00B51828" w:rsidRPr="005F49A4" w:rsidRDefault="00B51828" w:rsidP="002101D2">
            <w:pPr>
              <w:pStyle w:val="Tabletextboldleft"/>
              <w:spacing w:before="20" w:after="20"/>
              <w:jc w:val="right"/>
            </w:pPr>
            <w:r w:rsidRPr="005F49A4">
              <w:rPr>
                <w:color w:val="000000"/>
              </w:rPr>
              <w:t>9,076</w:t>
            </w:r>
          </w:p>
        </w:tc>
      </w:tr>
      <w:tr w:rsidR="00B51828" w:rsidRPr="00F647C7" w14:paraId="66EFA4AD" w14:textId="77777777" w:rsidTr="00E61184">
        <w:trPr>
          <w:trHeight w:val="212"/>
        </w:trPr>
        <w:tc>
          <w:tcPr>
            <w:tcW w:w="3544" w:type="dxa"/>
            <w:shd w:val="clear" w:color="auto" w:fill="D0CECE" w:themeFill="background2" w:themeFillShade="E6"/>
          </w:tcPr>
          <w:p w14:paraId="3C16D874" w14:textId="77777777" w:rsidR="00B51828" w:rsidRDefault="00B51828" w:rsidP="002101D2">
            <w:pPr>
              <w:pStyle w:val="Tabletextboldleft"/>
              <w:spacing w:before="20" w:after="20"/>
            </w:pPr>
            <w:r w:rsidRPr="00F411CD">
              <w:t xml:space="preserve">TOTAL </w:t>
            </w:r>
          </w:p>
          <w:p w14:paraId="537AA106" w14:textId="77777777" w:rsidR="00B51828" w:rsidRPr="009D63D8" w:rsidRDefault="00B51828" w:rsidP="002101D2">
            <w:pPr>
              <w:pStyle w:val="Tabletextboldleft"/>
              <w:spacing w:before="20" w:after="20"/>
              <w:rPr>
                <w:b w:val="0"/>
              </w:rPr>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963" w:type="dxa"/>
            <w:shd w:val="clear" w:color="auto" w:fill="D0CECE" w:themeFill="background2" w:themeFillShade="E6"/>
          </w:tcPr>
          <w:p w14:paraId="22803694" w14:textId="77777777" w:rsidR="00B51828" w:rsidRPr="005F49A4" w:rsidRDefault="00B51828" w:rsidP="002101D2">
            <w:pPr>
              <w:pStyle w:val="Tabletextboldleft"/>
              <w:spacing w:before="20" w:after="20"/>
              <w:jc w:val="right"/>
            </w:pPr>
            <w:r w:rsidRPr="005F49A4">
              <w:rPr>
                <w:color w:val="000000"/>
              </w:rPr>
              <w:t>8,766</w:t>
            </w:r>
          </w:p>
        </w:tc>
        <w:tc>
          <w:tcPr>
            <w:tcW w:w="964" w:type="dxa"/>
            <w:shd w:val="clear" w:color="auto" w:fill="D0CECE" w:themeFill="background2" w:themeFillShade="E6"/>
          </w:tcPr>
          <w:p w14:paraId="2BBA859D" w14:textId="77777777" w:rsidR="00B51828" w:rsidRPr="005F49A4" w:rsidRDefault="00B51828" w:rsidP="002101D2">
            <w:pPr>
              <w:pStyle w:val="Tabletextboldleft"/>
              <w:spacing w:before="20" w:after="20"/>
              <w:jc w:val="right"/>
            </w:pPr>
            <w:r w:rsidRPr="005F49A4">
              <w:rPr>
                <w:color w:val="000000"/>
              </w:rPr>
              <w:t>9,059</w:t>
            </w:r>
          </w:p>
        </w:tc>
        <w:tc>
          <w:tcPr>
            <w:tcW w:w="964" w:type="dxa"/>
            <w:shd w:val="clear" w:color="auto" w:fill="D0CECE" w:themeFill="background2" w:themeFillShade="E6"/>
          </w:tcPr>
          <w:p w14:paraId="2DA49434" w14:textId="77777777" w:rsidR="00B51828" w:rsidRPr="005F49A4" w:rsidRDefault="00B51828" w:rsidP="002101D2">
            <w:pPr>
              <w:pStyle w:val="Tabletextboldleft"/>
              <w:spacing w:before="20" w:after="20"/>
              <w:jc w:val="right"/>
            </w:pPr>
            <w:r w:rsidRPr="005F49A4">
              <w:rPr>
                <w:color w:val="000000"/>
              </w:rPr>
              <w:t>9,353</w:t>
            </w:r>
          </w:p>
        </w:tc>
        <w:tc>
          <w:tcPr>
            <w:tcW w:w="964" w:type="dxa"/>
            <w:shd w:val="clear" w:color="auto" w:fill="D0CECE" w:themeFill="background2" w:themeFillShade="E6"/>
          </w:tcPr>
          <w:p w14:paraId="1DD66343" w14:textId="77777777" w:rsidR="00B51828" w:rsidRPr="005F49A4" w:rsidRDefault="00B51828" w:rsidP="002101D2">
            <w:pPr>
              <w:pStyle w:val="Tabletextboldleft"/>
              <w:spacing w:before="20" w:after="20"/>
              <w:jc w:val="right"/>
            </w:pPr>
            <w:r w:rsidRPr="005F49A4">
              <w:rPr>
                <w:color w:val="000000"/>
              </w:rPr>
              <w:t>9,646</w:t>
            </w:r>
          </w:p>
        </w:tc>
        <w:tc>
          <w:tcPr>
            <w:tcW w:w="964" w:type="dxa"/>
            <w:shd w:val="clear" w:color="auto" w:fill="D0CECE" w:themeFill="background2" w:themeFillShade="E6"/>
          </w:tcPr>
          <w:p w14:paraId="44AAC90C" w14:textId="77777777" w:rsidR="00B51828" w:rsidRPr="005F49A4" w:rsidRDefault="00B51828" w:rsidP="002101D2">
            <w:pPr>
              <w:pStyle w:val="Tabletextboldleft"/>
              <w:spacing w:before="20" w:after="20"/>
              <w:jc w:val="right"/>
            </w:pPr>
            <w:r w:rsidRPr="005F49A4">
              <w:rPr>
                <w:color w:val="000000"/>
              </w:rPr>
              <w:t>9,939</w:t>
            </w:r>
          </w:p>
        </w:tc>
      </w:tr>
    </w:tbl>
    <w:p w14:paraId="128D8074"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&lt;MBS services (associated items)&gt;</w:t>
      </w:r>
      <w:r w:rsidRPr="00FA76DF">
        <w:rPr>
          <w:rFonts w:ascii="Arial Narrow" w:hAnsi="Arial Narrow"/>
          <w:sz w:val="18"/>
          <w:szCs w:val="18"/>
        </w:rPr>
        <w:t xml:space="preserve"> </w:t>
      </w:r>
      <w:r>
        <w:rPr>
          <w:rFonts w:ascii="Arial Narrow" w:hAnsi="Arial Narrow"/>
          <w:sz w:val="18"/>
          <w:szCs w:val="18"/>
        </w:rPr>
        <w:t>, &lt;Total MBS services&gt;</w:t>
      </w:r>
    </w:p>
    <w:p w14:paraId="5985A26E" w14:textId="77777777" w:rsidR="00B51828" w:rsidRPr="001D2CEB" w:rsidRDefault="00B51828" w:rsidP="002101D2">
      <w:pPr>
        <w:spacing w:before="20"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76B529F4" w14:textId="77777777" w:rsidR="00B51828" w:rsidRDefault="00B51828" w:rsidP="002101D2">
      <w:pPr>
        <w:ind w:left="0" w:firstLine="720"/>
        <w:rPr>
          <w:rFonts w:ascii="Arial Narrow" w:hAnsi="Arial Narrow"/>
          <w:sz w:val="18"/>
          <w:szCs w:val="18"/>
        </w:rPr>
      </w:pPr>
      <w:r w:rsidRPr="00DB0F9B">
        <w:rPr>
          <w:rFonts w:ascii="Arial Narrow" w:hAnsi="Arial Narrow"/>
          <w:sz w:val="18"/>
          <w:szCs w:val="18"/>
          <w:vertAlign w:val="superscript"/>
        </w:rPr>
        <w:t>a</w:t>
      </w:r>
      <w:r>
        <w:rPr>
          <w:rFonts w:ascii="Arial Narrow" w:hAnsi="Arial Narrow"/>
          <w:sz w:val="18"/>
          <w:szCs w:val="18"/>
        </w:rPr>
        <w:t xml:space="preserve"> Includes bone marrow items</w:t>
      </w:r>
    </w:p>
    <w:p w14:paraId="1F17673C" w14:textId="77777777" w:rsidR="00B51828" w:rsidRPr="00EB4272" w:rsidRDefault="00B51828" w:rsidP="002101D2">
      <w:pPr>
        <w:keepNext/>
      </w:pPr>
      <w:r>
        <w:lastRenderedPageBreak/>
        <w:fldChar w:fldCharType="begin"/>
      </w:r>
      <w:r>
        <w:instrText xml:space="preserve"> REF _Ref394928504 \h </w:instrText>
      </w:r>
      <w:r>
        <w:fldChar w:fldCharType="separate"/>
      </w:r>
      <w:r w:rsidR="0044620B">
        <w:t xml:space="preserve">Table </w:t>
      </w:r>
      <w:r w:rsidR="0044620B">
        <w:rPr>
          <w:noProof/>
        </w:rPr>
        <w:t>E.3</w:t>
      </w:r>
      <w:r w:rsidR="0044620B">
        <w:noBreakHyphen/>
      </w:r>
      <w:r w:rsidR="0044620B">
        <w:rPr>
          <w:noProof/>
        </w:rPr>
        <w:t>3</w:t>
      </w:r>
      <w:r>
        <w:fldChar w:fldCharType="end"/>
      </w:r>
      <w:r>
        <w:t xml:space="preserve"> shows the incremental difference in service utilisation of ancillary items and other MBS items associated with second, expert opinion. </w:t>
      </w:r>
    </w:p>
    <w:p w14:paraId="5FE02A5C" w14:textId="77777777" w:rsidR="00B51828" w:rsidRDefault="00B51828" w:rsidP="002101D2">
      <w:pPr>
        <w:pStyle w:val="Caption"/>
      </w:pPr>
      <w:bookmarkStart w:id="292" w:name="_Ref394928504"/>
      <w:bookmarkStart w:id="293" w:name="_Toc396211782"/>
      <w:r>
        <w:t xml:space="preserve">Table </w:t>
      </w:r>
      <w:fldSimple w:instr=" STYLEREF 2 \s ">
        <w:r w:rsidR="0044620B">
          <w:rPr>
            <w:noProof/>
          </w:rPr>
          <w:t>E.3</w:t>
        </w:r>
      </w:fldSimple>
      <w:r>
        <w:noBreakHyphen/>
      </w:r>
      <w:fldSimple w:instr=" SEQ Table \* ARABIC \s 2 ">
        <w:r w:rsidR="0044620B">
          <w:rPr>
            <w:noProof/>
          </w:rPr>
          <w:t>3</w:t>
        </w:r>
      </w:fldSimple>
      <w:bookmarkEnd w:id="292"/>
      <w:r>
        <w:tab/>
        <w:t>Incremental number of services for other associated MBS items, over the first five years of the proposed MBS listing</w:t>
      </w:r>
      <w:bookmarkEnd w:id="293"/>
    </w:p>
    <w:tbl>
      <w:tblPr>
        <w:tblStyle w:val="TableGrid"/>
        <w:tblW w:w="8363" w:type="dxa"/>
        <w:tblInd w:w="704" w:type="dxa"/>
        <w:tblLayout w:type="fixed"/>
        <w:tblLook w:val="04A0" w:firstRow="1" w:lastRow="0" w:firstColumn="1" w:lastColumn="0" w:noHBand="0" w:noVBand="1"/>
        <w:tblCaption w:val="Incremental number of services for other associated MBS items"/>
        <w:tblDescription w:val="Incremental number of services for other associated MBS items, over the first five years of the proposed MBS listing"/>
      </w:tblPr>
      <w:tblGrid>
        <w:gridCol w:w="3544"/>
        <w:gridCol w:w="963"/>
        <w:gridCol w:w="964"/>
        <w:gridCol w:w="964"/>
        <w:gridCol w:w="964"/>
        <w:gridCol w:w="964"/>
      </w:tblGrid>
      <w:tr w:rsidR="00B51828" w14:paraId="38CB0391" w14:textId="77777777" w:rsidTr="00E61184">
        <w:trPr>
          <w:trHeight w:val="212"/>
          <w:tblHeader/>
        </w:trPr>
        <w:tc>
          <w:tcPr>
            <w:tcW w:w="3544" w:type="dxa"/>
          </w:tcPr>
          <w:p w14:paraId="35C5E2CA" w14:textId="77777777" w:rsidR="00B51828" w:rsidRDefault="00B51828" w:rsidP="002101D2">
            <w:pPr>
              <w:pStyle w:val="Tabletextboldleft"/>
              <w:spacing w:before="20" w:after="20"/>
            </w:pPr>
          </w:p>
        </w:tc>
        <w:tc>
          <w:tcPr>
            <w:tcW w:w="963" w:type="dxa"/>
          </w:tcPr>
          <w:p w14:paraId="039A3149" w14:textId="77777777" w:rsidR="00B51828" w:rsidRDefault="00B51828" w:rsidP="002101D2">
            <w:pPr>
              <w:pStyle w:val="Tabletextboldleft"/>
              <w:spacing w:before="20" w:after="20"/>
              <w:jc w:val="right"/>
            </w:pPr>
            <w:r>
              <w:t>Year 1</w:t>
            </w:r>
          </w:p>
          <w:p w14:paraId="4D615F16" w14:textId="77777777" w:rsidR="00B51828" w:rsidRDefault="00B51828" w:rsidP="002101D2">
            <w:pPr>
              <w:pStyle w:val="Tabletextboldleft"/>
              <w:spacing w:before="20" w:after="20"/>
              <w:jc w:val="right"/>
            </w:pPr>
            <w:r>
              <w:t>(2015-16)</w:t>
            </w:r>
          </w:p>
        </w:tc>
        <w:tc>
          <w:tcPr>
            <w:tcW w:w="964" w:type="dxa"/>
          </w:tcPr>
          <w:p w14:paraId="2B89B738" w14:textId="77777777" w:rsidR="00B51828" w:rsidRDefault="00B51828" w:rsidP="002101D2">
            <w:pPr>
              <w:pStyle w:val="Tabletextboldleft"/>
              <w:spacing w:before="20" w:after="20"/>
              <w:jc w:val="right"/>
            </w:pPr>
            <w:r>
              <w:t>Year 2</w:t>
            </w:r>
          </w:p>
          <w:p w14:paraId="5D46AC38" w14:textId="77777777" w:rsidR="00B51828" w:rsidRDefault="00B51828" w:rsidP="002101D2">
            <w:pPr>
              <w:pStyle w:val="Tabletextboldleft"/>
              <w:spacing w:before="20" w:after="20"/>
              <w:jc w:val="right"/>
            </w:pPr>
            <w:r>
              <w:t>(2016-17)</w:t>
            </w:r>
          </w:p>
        </w:tc>
        <w:tc>
          <w:tcPr>
            <w:tcW w:w="964" w:type="dxa"/>
          </w:tcPr>
          <w:p w14:paraId="7B49C81E" w14:textId="77777777" w:rsidR="00B51828" w:rsidRDefault="00B51828" w:rsidP="002101D2">
            <w:pPr>
              <w:pStyle w:val="Tabletextboldleft"/>
              <w:spacing w:before="20" w:after="20"/>
              <w:jc w:val="right"/>
            </w:pPr>
            <w:r>
              <w:t>Year 3</w:t>
            </w:r>
          </w:p>
          <w:p w14:paraId="588F16B1" w14:textId="77777777" w:rsidR="00B51828" w:rsidRDefault="00B51828" w:rsidP="002101D2">
            <w:pPr>
              <w:pStyle w:val="Tabletextboldleft"/>
              <w:spacing w:before="20" w:after="20"/>
              <w:jc w:val="right"/>
            </w:pPr>
            <w:r>
              <w:t>(2017-18)</w:t>
            </w:r>
          </w:p>
        </w:tc>
        <w:tc>
          <w:tcPr>
            <w:tcW w:w="964" w:type="dxa"/>
          </w:tcPr>
          <w:p w14:paraId="04665E72" w14:textId="77777777" w:rsidR="00B51828" w:rsidRDefault="00B51828" w:rsidP="002101D2">
            <w:pPr>
              <w:pStyle w:val="Tabletextboldleft"/>
              <w:spacing w:before="20" w:after="20"/>
              <w:jc w:val="right"/>
            </w:pPr>
            <w:r>
              <w:t>Year 4</w:t>
            </w:r>
          </w:p>
          <w:p w14:paraId="6641DC3B" w14:textId="77777777" w:rsidR="00B51828" w:rsidRDefault="00B51828" w:rsidP="002101D2">
            <w:pPr>
              <w:pStyle w:val="Tabletextboldleft"/>
              <w:spacing w:before="20" w:after="20"/>
              <w:jc w:val="right"/>
            </w:pPr>
            <w:r>
              <w:t>(2018-19)</w:t>
            </w:r>
          </w:p>
        </w:tc>
        <w:tc>
          <w:tcPr>
            <w:tcW w:w="964" w:type="dxa"/>
          </w:tcPr>
          <w:p w14:paraId="07AAB2B5" w14:textId="77777777" w:rsidR="00B51828" w:rsidRDefault="00B51828" w:rsidP="002101D2">
            <w:pPr>
              <w:pStyle w:val="Tabletextboldleft"/>
              <w:spacing w:before="20" w:after="20"/>
              <w:jc w:val="right"/>
            </w:pPr>
            <w:r>
              <w:t>Year 5</w:t>
            </w:r>
          </w:p>
          <w:p w14:paraId="3A96731D" w14:textId="77777777" w:rsidR="00B51828" w:rsidRDefault="00B51828" w:rsidP="002101D2">
            <w:pPr>
              <w:pStyle w:val="Tabletextboldleft"/>
              <w:spacing w:before="20" w:after="20"/>
              <w:jc w:val="right"/>
            </w:pPr>
            <w:r>
              <w:t>(2019-20)</w:t>
            </w:r>
          </w:p>
        </w:tc>
      </w:tr>
      <w:tr w:rsidR="00B51828" w:rsidRPr="00F647C7" w14:paraId="15DF1FD3" w14:textId="77777777" w:rsidTr="00E61184">
        <w:trPr>
          <w:trHeight w:val="212"/>
        </w:trPr>
        <w:tc>
          <w:tcPr>
            <w:tcW w:w="3544" w:type="dxa"/>
            <w:tcBorders>
              <w:bottom w:val="single" w:sz="4" w:space="0" w:color="auto"/>
            </w:tcBorders>
            <w:shd w:val="clear" w:color="auto" w:fill="D0CECE" w:themeFill="background2" w:themeFillShade="E6"/>
          </w:tcPr>
          <w:p w14:paraId="5F5497F5" w14:textId="77777777" w:rsidR="00B51828" w:rsidRPr="0076472C" w:rsidRDefault="00B51828" w:rsidP="002101D2">
            <w:pPr>
              <w:pStyle w:val="Tabletextboldleft"/>
              <w:spacing w:before="20" w:after="20"/>
              <w:rPr>
                <w:i/>
              </w:rPr>
            </w:pPr>
            <w:r>
              <w:rPr>
                <w:i/>
              </w:rPr>
              <w:t>Scenario 1</w:t>
            </w:r>
          </w:p>
        </w:tc>
        <w:tc>
          <w:tcPr>
            <w:tcW w:w="963" w:type="dxa"/>
            <w:tcBorders>
              <w:bottom w:val="single" w:sz="4" w:space="0" w:color="auto"/>
            </w:tcBorders>
            <w:shd w:val="clear" w:color="auto" w:fill="D0CECE" w:themeFill="background2" w:themeFillShade="E6"/>
          </w:tcPr>
          <w:p w14:paraId="4B567A61"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4FA1B60D"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09D1F043"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55FADE28" w14:textId="77777777" w:rsidR="00B51828" w:rsidRPr="002D0B57" w:rsidRDefault="00B51828" w:rsidP="002101D2">
            <w:pPr>
              <w:pStyle w:val="Tabletextboldleft"/>
              <w:spacing w:before="20" w:after="20"/>
              <w:jc w:val="right"/>
              <w:rPr>
                <w:b w:val="0"/>
              </w:rPr>
            </w:pPr>
            <w:r>
              <w:rPr>
                <w:b w:val="0"/>
              </w:rPr>
              <w:t>-</w:t>
            </w:r>
          </w:p>
        </w:tc>
        <w:tc>
          <w:tcPr>
            <w:tcW w:w="964" w:type="dxa"/>
            <w:tcBorders>
              <w:bottom w:val="single" w:sz="4" w:space="0" w:color="auto"/>
            </w:tcBorders>
            <w:shd w:val="clear" w:color="auto" w:fill="D0CECE" w:themeFill="background2" w:themeFillShade="E6"/>
          </w:tcPr>
          <w:p w14:paraId="142977A1" w14:textId="77777777" w:rsidR="00B51828" w:rsidRPr="002D0B57" w:rsidRDefault="00B51828" w:rsidP="002101D2">
            <w:pPr>
              <w:pStyle w:val="Tabletextboldleft"/>
              <w:spacing w:before="20" w:after="20"/>
              <w:jc w:val="right"/>
              <w:rPr>
                <w:b w:val="0"/>
              </w:rPr>
            </w:pPr>
            <w:r>
              <w:rPr>
                <w:b w:val="0"/>
              </w:rPr>
              <w:t>-</w:t>
            </w:r>
          </w:p>
        </w:tc>
      </w:tr>
      <w:tr w:rsidR="00B51828" w:rsidRPr="00F647C7" w14:paraId="7E219C83" w14:textId="77777777" w:rsidTr="00E61184">
        <w:trPr>
          <w:trHeight w:val="212"/>
        </w:trPr>
        <w:tc>
          <w:tcPr>
            <w:tcW w:w="3544" w:type="dxa"/>
            <w:tcBorders>
              <w:bottom w:val="nil"/>
            </w:tcBorders>
          </w:tcPr>
          <w:p w14:paraId="2BD4AE4E" w14:textId="77777777" w:rsidR="00B51828" w:rsidRPr="00386763"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963" w:type="dxa"/>
            <w:tcBorders>
              <w:bottom w:val="nil"/>
            </w:tcBorders>
          </w:tcPr>
          <w:p w14:paraId="192FB936" w14:textId="77777777" w:rsidR="00B51828" w:rsidRPr="00BA0884" w:rsidRDefault="00B51828" w:rsidP="002101D2">
            <w:pPr>
              <w:pStyle w:val="Tabletextboldleft"/>
              <w:spacing w:before="20" w:after="20"/>
              <w:jc w:val="right"/>
              <w:rPr>
                <w:b w:val="0"/>
              </w:rPr>
            </w:pPr>
            <w:r w:rsidRPr="00BA0884">
              <w:rPr>
                <w:b w:val="0"/>
                <w:color w:val="000000"/>
              </w:rPr>
              <w:t>75,226</w:t>
            </w:r>
          </w:p>
        </w:tc>
        <w:tc>
          <w:tcPr>
            <w:tcW w:w="964" w:type="dxa"/>
            <w:tcBorders>
              <w:bottom w:val="nil"/>
            </w:tcBorders>
          </w:tcPr>
          <w:p w14:paraId="56E0FC0C" w14:textId="77777777" w:rsidR="00B51828" w:rsidRPr="00BA0884" w:rsidRDefault="00B51828" w:rsidP="002101D2">
            <w:pPr>
              <w:pStyle w:val="Tabletextboldleft"/>
              <w:spacing w:before="20" w:after="20"/>
              <w:jc w:val="right"/>
              <w:rPr>
                <w:b w:val="0"/>
              </w:rPr>
            </w:pPr>
            <w:r w:rsidRPr="00BA0884">
              <w:rPr>
                <w:b w:val="0"/>
                <w:color w:val="000000"/>
              </w:rPr>
              <w:t>77,951</w:t>
            </w:r>
          </w:p>
        </w:tc>
        <w:tc>
          <w:tcPr>
            <w:tcW w:w="964" w:type="dxa"/>
            <w:tcBorders>
              <w:bottom w:val="nil"/>
            </w:tcBorders>
          </w:tcPr>
          <w:p w14:paraId="10323161" w14:textId="77777777" w:rsidR="00B51828" w:rsidRPr="00BA0884" w:rsidRDefault="00B51828" w:rsidP="002101D2">
            <w:pPr>
              <w:pStyle w:val="Tabletextboldleft"/>
              <w:spacing w:before="20" w:after="20"/>
              <w:jc w:val="right"/>
              <w:rPr>
                <w:b w:val="0"/>
              </w:rPr>
            </w:pPr>
            <w:r w:rsidRPr="00BA0884">
              <w:rPr>
                <w:b w:val="0"/>
                <w:color w:val="000000"/>
              </w:rPr>
              <w:t>80,677</w:t>
            </w:r>
          </w:p>
        </w:tc>
        <w:tc>
          <w:tcPr>
            <w:tcW w:w="964" w:type="dxa"/>
            <w:tcBorders>
              <w:bottom w:val="nil"/>
            </w:tcBorders>
          </w:tcPr>
          <w:p w14:paraId="709D019E" w14:textId="77777777" w:rsidR="00B51828" w:rsidRPr="00BA0884" w:rsidRDefault="00B51828" w:rsidP="002101D2">
            <w:pPr>
              <w:pStyle w:val="Tabletextboldleft"/>
              <w:spacing w:before="20" w:after="20"/>
              <w:jc w:val="right"/>
              <w:rPr>
                <w:b w:val="0"/>
              </w:rPr>
            </w:pPr>
            <w:r w:rsidRPr="00BA0884">
              <w:rPr>
                <w:b w:val="0"/>
                <w:color w:val="000000"/>
              </w:rPr>
              <w:t>83,403</w:t>
            </w:r>
          </w:p>
        </w:tc>
        <w:tc>
          <w:tcPr>
            <w:tcW w:w="964" w:type="dxa"/>
            <w:tcBorders>
              <w:bottom w:val="nil"/>
            </w:tcBorders>
          </w:tcPr>
          <w:p w14:paraId="5254111E" w14:textId="77777777" w:rsidR="00B51828" w:rsidRPr="00BA0884" w:rsidRDefault="00B51828" w:rsidP="002101D2">
            <w:pPr>
              <w:pStyle w:val="Tabletextboldleft"/>
              <w:spacing w:before="20" w:after="20"/>
              <w:jc w:val="right"/>
              <w:rPr>
                <w:b w:val="0"/>
              </w:rPr>
            </w:pPr>
            <w:r w:rsidRPr="00BA0884">
              <w:rPr>
                <w:b w:val="0"/>
                <w:color w:val="000000"/>
              </w:rPr>
              <w:t>86,128</w:t>
            </w:r>
          </w:p>
        </w:tc>
      </w:tr>
      <w:tr w:rsidR="00B51828" w:rsidRPr="00F647C7" w14:paraId="5025C13C" w14:textId="77777777" w:rsidTr="00E61184">
        <w:trPr>
          <w:trHeight w:val="212"/>
        </w:trPr>
        <w:tc>
          <w:tcPr>
            <w:tcW w:w="3544" w:type="dxa"/>
            <w:tcBorders>
              <w:top w:val="nil"/>
              <w:bottom w:val="nil"/>
            </w:tcBorders>
          </w:tcPr>
          <w:p w14:paraId="6A7E4E04" w14:textId="77777777" w:rsidR="00B51828" w:rsidRPr="00386763"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0A83D62F" w14:textId="77777777" w:rsidR="00B51828" w:rsidRPr="00BA0884" w:rsidRDefault="00B51828" w:rsidP="002101D2">
            <w:pPr>
              <w:pStyle w:val="Tabletextboldleft"/>
              <w:spacing w:before="20" w:after="20"/>
              <w:jc w:val="right"/>
              <w:rPr>
                <w:b w:val="0"/>
              </w:rPr>
            </w:pPr>
            <w:r w:rsidRPr="00BA0884">
              <w:rPr>
                <w:b w:val="0"/>
                <w:color w:val="000000"/>
              </w:rPr>
              <w:t>9,238</w:t>
            </w:r>
          </w:p>
        </w:tc>
        <w:tc>
          <w:tcPr>
            <w:tcW w:w="964" w:type="dxa"/>
            <w:tcBorders>
              <w:top w:val="nil"/>
              <w:bottom w:val="nil"/>
            </w:tcBorders>
          </w:tcPr>
          <w:p w14:paraId="7EBC7DAC" w14:textId="77777777" w:rsidR="00B51828" w:rsidRPr="00BA0884" w:rsidRDefault="00B51828" w:rsidP="002101D2">
            <w:pPr>
              <w:pStyle w:val="Tabletextboldleft"/>
              <w:spacing w:before="20" w:after="20"/>
              <w:jc w:val="right"/>
              <w:rPr>
                <w:b w:val="0"/>
              </w:rPr>
            </w:pPr>
            <w:r w:rsidRPr="00BA0884">
              <w:rPr>
                <w:b w:val="0"/>
                <w:color w:val="000000"/>
              </w:rPr>
              <w:t>9,572</w:t>
            </w:r>
          </w:p>
        </w:tc>
        <w:tc>
          <w:tcPr>
            <w:tcW w:w="964" w:type="dxa"/>
            <w:tcBorders>
              <w:top w:val="nil"/>
              <w:bottom w:val="nil"/>
            </w:tcBorders>
          </w:tcPr>
          <w:p w14:paraId="202E1CF5" w14:textId="77777777" w:rsidR="00B51828" w:rsidRPr="00BA0884" w:rsidRDefault="00B51828" w:rsidP="002101D2">
            <w:pPr>
              <w:pStyle w:val="Tabletextboldleft"/>
              <w:spacing w:before="20" w:after="20"/>
              <w:jc w:val="right"/>
              <w:rPr>
                <w:b w:val="0"/>
              </w:rPr>
            </w:pPr>
            <w:r w:rsidRPr="00BA0884">
              <w:rPr>
                <w:b w:val="0"/>
                <w:color w:val="000000"/>
              </w:rPr>
              <w:t>9,907</w:t>
            </w:r>
          </w:p>
        </w:tc>
        <w:tc>
          <w:tcPr>
            <w:tcW w:w="964" w:type="dxa"/>
            <w:tcBorders>
              <w:top w:val="nil"/>
              <w:bottom w:val="nil"/>
            </w:tcBorders>
          </w:tcPr>
          <w:p w14:paraId="2419A505" w14:textId="77777777" w:rsidR="00B51828" w:rsidRPr="00BA0884" w:rsidRDefault="00B51828" w:rsidP="002101D2">
            <w:pPr>
              <w:pStyle w:val="Tabletextboldleft"/>
              <w:spacing w:before="20" w:after="20"/>
              <w:jc w:val="right"/>
              <w:rPr>
                <w:b w:val="0"/>
              </w:rPr>
            </w:pPr>
            <w:r w:rsidRPr="00BA0884">
              <w:rPr>
                <w:b w:val="0"/>
                <w:color w:val="000000"/>
              </w:rPr>
              <w:t>10,242</w:t>
            </w:r>
          </w:p>
        </w:tc>
        <w:tc>
          <w:tcPr>
            <w:tcW w:w="964" w:type="dxa"/>
            <w:tcBorders>
              <w:top w:val="nil"/>
              <w:bottom w:val="nil"/>
            </w:tcBorders>
          </w:tcPr>
          <w:p w14:paraId="06DC6545" w14:textId="77777777" w:rsidR="00B51828" w:rsidRPr="00BA0884" w:rsidRDefault="00B51828" w:rsidP="002101D2">
            <w:pPr>
              <w:pStyle w:val="Tabletextboldleft"/>
              <w:spacing w:before="20" w:after="20"/>
              <w:jc w:val="right"/>
              <w:rPr>
                <w:b w:val="0"/>
              </w:rPr>
            </w:pPr>
            <w:r w:rsidRPr="00BA0884">
              <w:rPr>
                <w:b w:val="0"/>
                <w:color w:val="000000"/>
              </w:rPr>
              <w:t>10,576</w:t>
            </w:r>
          </w:p>
        </w:tc>
      </w:tr>
      <w:tr w:rsidR="00B51828" w:rsidRPr="00F647C7" w14:paraId="515914BA" w14:textId="77777777" w:rsidTr="00E61184">
        <w:trPr>
          <w:trHeight w:val="212"/>
        </w:trPr>
        <w:tc>
          <w:tcPr>
            <w:tcW w:w="3544" w:type="dxa"/>
            <w:tcBorders>
              <w:top w:val="nil"/>
              <w:bottom w:val="nil"/>
            </w:tcBorders>
          </w:tcPr>
          <w:p w14:paraId="53730B57" w14:textId="77777777" w:rsidR="00B51828" w:rsidRPr="00386763"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7F86DBB3" w14:textId="77777777" w:rsidR="00B51828" w:rsidRPr="00BA0884" w:rsidRDefault="00B51828" w:rsidP="002101D2">
            <w:pPr>
              <w:pStyle w:val="Tabletextboldleft"/>
              <w:spacing w:before="20" w:after="20"/>
              <w:jc w:val="right"/>
              <w:rPr>
                <w:b w:val="0"/>
              </w:rPr>
            </w:pPr>
            <w:r w:rsidRPr="00BA0884">
              <w:rPr>
                <w:b w:val="0"/>
                <w:color w:val="000000"/>
              </w:rPr>
              <w:t>32,994</w:t>
            </w:r>
          </w:p>
        </w:tc>
        <w:tc>
          <w:tcPr>
            <w:tcW w:w="964" w:type="dxa"/>
            <w:tcBorders>
              <w:top w:val="nil"/>
              <w:bottom w:val="nil"/>
            </w:tcBorders>
          </w:tcPr>
          <w:p w14:paraId="73A74CB9" w14:textId="77777777" w:rsidR="00B51828" w:rsidRPr="00BA0884" w:rsidRDefault="00B51828" w:rsidP="002101D2">
            <w:pPr>
              <w:pStyle w:val="Tabletextboldleft"/>
              <w:spacing w:before="20" w:after="20"/>
              <w:jc w:val="right"/>
              <w:rPr>
                <w:b w:val="0"/>
              </w:rPr>
            </w:pPr>
            <w:r w:rsidRPr="00BA0884">
              <w:rPr>
                <w:b w:val="0"/>
                <w:color w:val="000000"/>
              </w:rPr>
              <w:t>34,190</w:t>
            </w:r>
          </w:p>
        </w:tc>
        <w:tc>
          <w:tcPr>
            <w:tcW w:w="964" w:type="dxa"/>
            <w:tcBorders>
              <w:top w:val="nil"/>
              <w:bottom w:val="nil"/>
            </w:tcBorders>
          </w:tcPr>
          <w:p w14:paraId="74374838" w14:textId="77777777" w:rsidR="00B51828" w:rsidRPr="00BA0884" w:rsidRDefault="00B51828" w:rsidP="002101D2">
            <w:pPr>
              <w:pStyle w:val="Tabletextboldleft"/>
              <w:spacing w:before="20" w:after="20"/>
              <w:jc w:val="right"/>
              <w:rPr>
                <w:b w:val="0"/>
              </w:rPr>
            </w:pPr>
            <w:r w:rsidRPr="00BA0884">
              <w:rPr>
                <w:b w:val="0"/>
                <w:color w:val="000000"/>
              </w:rPr>
              <w:t>35,385</w:t>
            </w:r>
          </w:p>
        </w:tc>
        <w:tc>
          <w:tcPr>
            <w:tcW w:w="964" w:type="dxa"/>
            <w:tcBorders>
              <w:top w:val="nil"/>
              <w:bottom w:val="nil"/>
            </w:tcBorders>
          </w:tcPr>
          <w:p w14:paraId="07DA85A8" w14:textId="77777777" w:rsidR="00B51828" w:rsidRPr="00BA0884" w:rsidRDefault="00B51828" w:rsidP="002101D2">
            <w:pPr>
              <w:pStyle w:val="Tabletextboldleft"/>
              <w:spacing w:before="20" w:after="20"/>
              <w:jc w:val="right"/>
              <w:rPr>
                <w:b w:val="0"/>
              </w:rPr>
            </w:pPr>
            <w:r w:rsidRPr="00BA0884">
              <w:rPr>
                <w:b w:val="0"/>
                <w:color w:val="000000"/>
              </w:rPr>
              <w:t>36,580</w:t>
            </w:r>
          </w:p>
        </w:tc>
        <w:tc>
          <w:tcPr>
            <w:tcW w:w="964" w:type="dxa"/>
            <w:tcBorders>
              <w:top w:val="nil"/>
              <w:bottom w:val="nil"/>
            </w:tcBorders>
          </w:tcPr>
          <w:p w14:paraId="65463481" w14:textId="77777777" w:rsidR="00B51828" w:rsidRPr="00BA0884" w:rsidRDefault="00B51828" w:rsidP="002101D2">
            <w:pPr>
              <w:pStyle w:val="Tabletextboldleft"/>
              <w:spacing w:before="20" w:after="20"/>
              <w:jc w:val="right"/>
              <w:rPr>
                <w:b w:val="0"/>
              </w:rPr>
            </w:pPr>
            <w:r w:rsidRPr="00BA0884">
              <w:rPr>
                <w:b w:val="0"/>
                <w:color w:val="000000"/>
              </w:rPr>
              <w:t>37,776</w:t>
            </w:r>
          </w:p>
        </w:tc>
      </w:tr>
      <w:tr w:rsidR="00B51828" w:rsidRPr="00F647C7" w14:paraId="1BAB7F19" w14:textId="77777777" w:rsidTr="00E61184">
        <w:trPr>
          <w:trHeight w:val="212"/>
        </w:trPr>
        <w:tc>
          <w:tcPr>
            <w:tcW w:w="3544" w:type="dxa"/>
            <w:tcBorders>
              <w:top w:val="nil"/>
              <w:bottom w:val="single" w:sz="4" w:space="0" w:color="auto"/>
            </w:tcBorders>
          </w:tcPr>
          <w:p w14:paraId="617CF192" w14:textId="77777777" w:rsidR="00B51828" w:rsidRPr="00386763" w:rsidRDefault="00B51828" w:rsidP="002101D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tcPr>
          <w:p w14:paraId="114C4B41" w14:textId="77777777" w:rsidR="00B51828" w:rsidRPr="00BA0884" w:rsidRDefault="00B51828" w:rsidP="002101D2">
            <w:pPr>
              <w:pStyle w:val="Tabletextboldleft"/>
              <w:spacing w:before="20" w:after="20"/>
              <w:jc w:val="right"/>
              <w:rPr>
                <w:b w:val="0"/>
              </w:rPr>
            </w:pPr>
            <w:r w:rsidRPr="00BA0884">
              <w:rPr>
                <w:b w:val="0"/>
                <w:color w:val="000000"/>
              </w:rPr>
              <w:t>32,994</w:t>
            </w:r>
          </w:p>
        </w:tc>
        <w:tc>
          <w:tcPr>
            <w:tcW w:w="964" w:type="dxa"/>
            <w:tcBorders>
              <w:top w:val="nil"/>
              <w:bottom w:val="single" w:sz="4" w:space="0" w:color="auto"/>
            </w:tcBorders>
          </w:tcPr>
          <w:p w14:paraId="36EFAE97" w14:textId="77777777" w:rsidR="00B51828" w:rsidRPr="00BA0884" w:rsidRDefault="00B51828" w:rsidP="002101D2">
            <w:pPr>
              <w:pStyle w:val="Tabletextboldleft"/>
              <w:spacing w:before="20" w:after="20"/>
              <w:jc w:val="right"/>
              <w:rPr>
                <w:b w:val="0"/>
              </w:rPr>
            </w:pPr>
            <w:r w:rsidRPr="00BA0884">
              <w:rPr>
                <w:b w:val="0"/>
                <w:color w:val="000000"/>
              </w:rPr>
              <w:t>34,190</w:t>
            </w:r>
          </w:p>
        </w:tc>
        <w:tc>
          <w:tcPr>
            <w:tcW w:w="964" w:type="dxa"/>
            <w:tcBorders>
              <w:top w:val="nil"/>
              <w:bottom w:val="single" w:sz="4" w:space="0" w:color="auto"/>
            </w:tcBorders>
          </w:tcPr>
          <w:p w14:paraId="2409B69E" w14:textId="77777777" w:rsidR="00B51828" w:rsidRPr="00BA0884" w:rsidRDefault="00B51828" w:rsidP="002101D2">
            <w:pPr>
              <w:pStyle w:val="Tabletextboldleft"/>
              <w:spacing w:before="20" w:after="20"/>
              <w:jc w:val="right"/>
              <w:rPr>
                <w:b w:val="0"/>
              </w:rPr>
            </w:pPr>
            <w:r w:rsidRPr="00BA0884">
              <w:rPr>
                <w:b w:val="0"/>
                <w:color w:val="000000"/>
              </w:rPr>
              <w:t>35,385</w:t>
            </w:r>
          </w:p>
        </w:tc>
        <w:tc>
          <w:tcPr>
            <w:tcW w:w="964" w:type="dxa"/>
            <w:tcBorders>
              <w:top w:val="nil"/>
              <w:bottom w:val="single" w:sz="4" w:space="0" w:color="auto"/>
            </w:tcBorders>
          </w:tcPr>
          <w:p w14:paraId="23AF841F" w14:textId="77777777" w:rsidR="00B51828" w:rsidRPr="00BA0884" w:rsidRDefault="00B51828" w:rsidP="002101D2">
            <w:pPr>
              <w:pStyle w:val="Tabletextboldleft"/>
              <w:spacing w:before="20" w:after="20"/>
              <w:jc w:val="right"/>
              <w:rPr>
                <w:b w:val="0"/>
              </w:rPr>
            </w:pPr>
            <w:r w:rsidRPr="00BA0884">
              <w:rPr>
                <w:b w:val="0"/>
                <w:color w:val="000000"/>
              </w:rPr>
              <w:t>36,580</w:t>
            </w:r>
          </w:p>
        </w:tc>
        <w:tc>
          <w:tcPr>
            <w:tcW w:w="964" w:type="dxa"/>
            <w:tcBorders>
              <w:top w:val="nil"/>
              <w:bottom w:val="single" w:sz="4" w:space="0" w:color="auto"/>
            </w:tcBorders>
          </w:tcPr>
          <w:p w14:paraId="1F6C5FFF" w14:textId="77777777" w:rsidR="00B51828" w:rsidRPr="00BA0884" w:rsidRDefault="00B51828" w:rsidP="002101D2">
            <w:pPr>
              <w:pStyle w:val="Tabletextboldleft"/>
              <w:spacing w:before="20" w:after="20"/>
              <w:jc w:val="right"/>
              <w:rPr>
                <w:b w:val="0"/>
              </w:rPr>
            </w:pPr>
            <w:r w:rsidRPr="00BA0884">
              <w:rPr>
                <w:b w:val="0"/>
                <w:color w:val="000000"/>
              </w:rPr>
              <w:t>37,776</w:t>
            </w:r>
          </w:p>
        </w:tc>
      </w:tr>
      <w:tr w:rsidR="00BA0884" w:rsidRPr="00F647C7" w14:paraId="17DE3155" w14:textId="77777777" w:rsidTr="00E61184">
        <w:trPr>
          <w:trHeight w:val="212"/>
        </w:trPr>
        <w:tc>
          <w:tcPr>
            <w:tcW w:w="3544" w:type="dxa"/>
            <w:tcBorders>
              <w:bottom w:val="nil"/>
            </w:tcBorders>
          </w:tcPr>
          <w:p w14:paraId="1D37A42C" w14:textId="77777777" w:rsidR="00BA0884" w:rsidRPr="00F411CD" w:rsidRDefault="00BA0884" w:rsidP="00BA0884">
            <w:pPr>
              <w:pStyle w:val="Tabletextboldleft"/>
              <w:spacing w:before="20" w:after="20"/>
              <w:rPr>
                <w:b w:val="0"/>
              </w:rPr>
            </w:pPr>
            <w:r w:rsidRPr="00F411CD">
              <w:rPr>
                <w:b w:val="0"/>
              </w:rPr>
              <w:t>Non-gynaecological cytology</w:t>
            </w:r>
          </w:p>
        </w:tc>
        <w:tc>
          <w:tcPr>
            <w:tcW w:w="963" w:type="dxa"/>
            <w:tcBorders>
              <w:bottom w:val="nil"/>
            </w:tcBorders>
            <w:vAlign w:val="bottom"/>
          </w:tcPr>
          <w:p w14:paraId="7AA1E766" w14:textId="0A12A9A4" w:rsidR="00BA0884" w:rsidRPr="00BA0884" w:rsidRDefault="00BA0884" w:rsidP="00BA0884">
            <w:pPr>
              <w:pStyle w:val="Tabletextboldleft"/>
              <w:spacing w:before="20" w:after="20"/>
              <w:jc w:val="right"/>
              <w:rPr>
                <w:b w:val="0"/>
              </w:rPr>
            </w:pPr>
            <w:r w:rsidRPr="00BA0884">
              <w:rPr>
                <w:b w:val="0"/>
                <w:color w:val="000000"/>
              </w:rPr>
              <w:t>3,827</w:t>
            </w:r>
          </w:p>
        </w:tc>
        <w:tc>
          <w:tcPr>
            <w:tcW w:w="964" w:type="dxa"/>
            <w:tcBorders>
              <w:bottom w:val="nil"/>
            </w:tcBorders>
            <w:vAlign w:val="bottom"/>
          </w:tcPr>
          <w:p w14:paraId="303735D5" w14:textId="499783D7" w:rsidR="00BA0884" w:rsidRPr="00BA0884" w:rsidRDefault="00BA0884" w:rsidP="00BA0884">
            <w:pPr>
              <w:pStyle w:val="Tabletextboldleft"/>
              <w:spacing w:before="20" w:after="20"/>
              <w:jc w:val="right"/>
              <w:rPr>
                <w:b w:val="0"/>
              </w:rPr>
            </w:pPr>
            <w:r w:rsidRPr="00BA0884">
              <w:rPr>
                <w:b w:val="0"/>
                <w:color w:val="000000"/>
              </w:rPr>
              <w:t>3,938</w:t>
            </w:r>
          </w:p>
        </w:tc>
        <w:tc>
          <w:tcPr>
            <w:tcW w:w="964" w:type="dxa"/>
            <w:tcBorders>
              <w:bottom w:val="nil"/>
            </w:tcBorders>
            <w:vAlign w:val="bottom"/>
          </w:tcPr>
          <w:p w14:paraId="5118F6EF" w14:textId="0BAC1EA0" w:rsidR="00BA0884" w:rsidRPr="00BA0884" w:rsidRDefault="00BA0884" w:rsidP="00BA0884">
            <w:pPr>
              <w:pStyle w:val="Tabletextboldleft"/>
              <w:spacing w:before="20" w:after="20"/>
              <w:jc w:val="right"/>
              <w:rPr>
                <w:b w:val="0"/>
              </w:rPr>
            </w:pPr>
            <w:r w:rsidRPr="00BA0884">
              <w:rPr>
                <w:b w:val="0"/>
                <w:color w:val="000000"/>
              </w:rPr>
              <w:t>4,049</w:t>
            </w:r>
          </w:p>
        </w:tc>
        <w:tc>
          <w:tcPr>
            <w:tcW w:w="964" w:type="dxa"/>
            <w:tcBorders>
              <w:bottom w:val="nil"/>
            </w:tcBorders>
            <w:vAlign w:val="bottom"/>
          </w:tcPr>
          <w:p w14:paraId="45C5FE66" w14:textId="068E16B5" w:rsidR="00BA0884" w:rsidRPr="00BA0884" w:rsidRDefault="00BA0884" w:rsidP="00BA0884">
            <w:pPr>
              <w:pStyle w:val="Tabletextboldleft"/>
              <w:spacing w:before="20" w:after="20"/>
              <w:jc w:val="right"/>
              <w:rPr>
                <w:b w:val="0"/>
              </w:rPr>
            </w:pPr>
            <w:r w:rsidRPr="00BA0884">
              <w:rPr>
                <w:b w:val="0"/>
                <w:color w:val="000000"/>
              </w:rPr>
              <w:t>4,160</w:t>
            </w:r>
          </w:p>
        </w:tc>
        <w:tc>
          <w:tcPr>
            <w:tcW w:w="964" w:type="dxa"/>
            <w:tcBorders>
              <w:bottom w:val="nil"/>
            </w:tcBorders>
            <w:vAlign w:val="bottom"/>
          </w:tcPr>
          <w:p w14:paraId="57BD6525" w14:textId="59C8FDCA" w:rsidR="00BA0884" w:rsidRPr="00BA0884" w:rsidRDefault="00BA0884" w:rsidP="00BA0884">
            <w:pPr>
              <w:pStyle w:val="Tabletextboldleft"/>
              <w:spacing w:before="20" w:after="20"/>
              <w:jc w:val="right"/>
              <w:rPr>
                <w:b w:val="0"/>
              </w:rPr>
            </w:pPr>
            <w:r w:rsidRPr="00BA0884">
              <w:rPr>
                <w:b w:val="0"/>
                <w:color w:val="000000"/>
              </w:rPr>
              <w:t>4,271</w:t>
            </w:r>
          </w:p>
        </w:tc>
      </w:tr>
      <w:tr w:rsidR="00B934E9" w:rsidRPr="00F647C7" w14:paraId="5D25F26C" w14:textId="77777777" w:rsidTr="00E61184">
        <w:trPr>
          <w:trHeight w:val="212"/>
        </w:trPr>
        <w:tc>
          <w:tcPr>
            <w:tcW w:w="3544" w:type="dxa"/>
            <w:tcBorders>
              <w:top w:val="nil"/>
              <w:bottom w:val="nil"/>
            </w:tcBorders>
          </w:tcPr>
          <w:p w14:paraId="42174B24" w14:textId="77777777" w:rsidR="00B934E9" w:rsidRPr="00F411CD" w:rsidRDefault="00B934E9" w:rsidP="00B934E9">
            <w:pPr>
              <w:pStyle w:val="Tabletextboldleft"/>
              <w:spacing w:before="20" w:after="20"/>
              <w:ind w:firstLine="317"/>
              <w:rPr>
                <w:b w:val="0"/>
              </w:rPr>
            </w:pPr>
            <w:r>
              <w:rPr>
                <w:b w:val="0"/>
              </w:rPr>
              <w:t>Ancillary tests</w:t>
            </w:r>
          </w:p>
        </w:tc>
        <w:tc>
          <w:tcPr>
            <w:tcW w:w="963" w:type="dxa"/>
            <w:tcBorders>
              <w:top w:val="nil"/>
              <w:bottom w:val="nil"/>
            </w:tcBorders>
            <w:vAlign w:val="bottom"/>
          </w:tcPr>
          <w:p w14:paraId="12AA85F0" w14:textId="662E048D" w:rsidR="00B934E9" w:rsidRPr="00BA0884" w:rsidRDefault="00B934E9" w:rsidP="00B934E9">
            <w:pPr>
              <w:pStyle w:val="Tabletextboldleft"/>
              <w:spacing w:before="20" w:after="20"/>
              <w:jc w:val="right"/>
              <w:rPr>
                <w:b w:val="0"/>
              </w:rPr>
            </w:pPr>
            <w:r w:rsidRPr="00BA0884">
              <w:rPr>
                <w:b w:val="0"/>
                <w:color w:val="000000"/>
              </w:rPr>
              <w:t>188</w:t>
            </w:r>
          </w:p>
        </w:tc>
        <w:tc>
          <w:tcPr>
            <w:tcW w:w="964" w:type="dxa"/>
            <w:tcBorders>
              <w:top w:val="nil"/>
              <w:bottom w:val="nil"/>
            </w:tcBorders>
            <w:vAlign w:val="bottom"/>
          </w:tcPr>
          <w:p w14:paraId="32E10435" w14:textId="310C26FE" w:rsidR="00B934E9" w:rsidRPr="00BA0884" w:rsidRDefault="00B934E9" w:rsidP="00B934E9">
            <w:pPr>
              <w:pStyle w:val="Tabletextboldleft"/>
              <w:spacing w:before="20" w:after="20"/>
              <w:jc w:val="right"/>
              <w:rPr>
                <w:b w:val="0"/>
              </w:rPr>
            </w:pPr>
            <w:r w:rsidRPr="00BA0884">
              <w:rPr>
                <w:b w:val="0"/>
                <w:color w:val="000000"/>
              </w:rPr>
              <w:t>193</w:t>
            </w:r>
          </w:p>
        </w:tc>
        <w:tc>
          <w:tcPr>
            <w:tcW w:w="964" w:type="dxa"/>
            <w:tcBorders>
              <w:top w:val="nil"/>
              <w:bottom w:val="nil"/>
            </w:tcBorders>
            <w:vAlign w:val="bottom"/>
          </w:tcPr>
          <w:p w14:paraId="7D6B2BAF" w14:textId="60655C63" w:rsidR="00B934E9" w:rsidRPr="00BA0884" w:rsidRDefault="00B934E9" w:rsidP="00B934E9">
            <w:pPr>
              <w:pStyle w:val="Tabletextboldleft"/>
              <w:spacing w:before="20" w:after="20"/>
              <w:jc w:val="right"/>
              <w:rPr>
                <w:b w:val="0"/>
              </w:rPr>
            </w:pPr>
            <w:r w:rsidRPr="00BA0884">
              <w:rPr>
                <w:b w:val="0"/>
                <w:color w:val="000000"/>
              </w:rPr>
              <w:t>199</w:t>
            </w:r>
          </w:p>
        </w:tc>
        <w:tc>
          <w:tcPr>
            <w:tcW w:w="964" w:type="dxa"/>
            <w:tcBorders>
              <w:top w:val="nil"/>
              <w:bottom w:val="nil"/>
            </w:tcBorders>
            <w:vAlign w:val="bottom"/>
          </w:tcPr>
          <w:p w14:paraId="1377CEE4" w14:textId="3998954B" w:rsidR="00B934E9" w:rsidRPr="00BA0884" w:rsidRDefault="00B934E9" w:rsidP="00B934E9">
            <w:pPr>
              <w:pStyle w:val="Tabletextboldleft"/>
              <w:spacing w:before="20" w:after="20"/>
              <w:jc w:val="right"/>
              <w:rPr>
                <w:b w:val="0"/>
              </w:rPr>
            </w:pPr>
            <w:r w:rsidRPr="00BA0884">
              <w:rPr>
                <w:b w:val="0"/>
                <w:color w:val="000000"/>
              </w:rPr>
              <w:t>204</w:t>
            </w:r>
          </w:p>
        </w:tc>
        <w:tc>
          <w:tcPr>
            <w:tcW w:w="964" w:type="dxa"/>
            <w:tcBorders>
              <w:top w:val="nil"/>
              <w:bottom w:val="nil"/>
            </w:tcBorders>
            <w:vAlign w:val="bottom"/>
          </w:tcPr>
          <w:p w14:paraId="7648AD1C" w14:textId="0D2B76A5" w:rsidR="00B934E9" w:rsidRPr="00BA0884" w:rsidRDefault="00B934E9" w:rsidP="00B934E9">
            <w:pPr>
              <w:pStyle w:val="Tabletextboldleft"/>
              <w:spacing w:before="20" w:after="20"/>
              <w:jc w:val="right"/>
              <w:rPr>
                <w:b w:val="0"/>
              </w:rPr>
            </w:pPr>
            <w:r w:rsidRPr="00BA0884">
              <w:rPr>
                <w:b w:val="0"/>
                <w:color w:val="000000"/>
              </w:rPr>
              <w:t>210</w:t>
            </w:r>
          </w:p>
        </w:tc>
      </w:tr>
      <w:tr w:rsidR="00B934E9" w:rsidRPr="00F647C7" w14:paraId="21A39D67" w14:textId="77777777" w:rsidTr="00E61184">
        <w:trPr>
          <w:trHeight w:val="212"/>
        </w:trPr>
        <w:tc>
          <w:tcPr>
            <w:tcW w:w="3544" w:type="dxa"/>
            <w:tcBorders>
              <w:top w:val="nil"/>
              <w:bottom w:val="nil"/>
            </w:tcBorders>
          </w:tcPr>
          <w:p w14:paraId="13D1FEC4" w14:textId="77777777" w:rsidR="00B934E9" w:rsidRPr="00F411CD" w:rsidRDefault="00B934E9" w:rsidP="00B934E9">
            <w:pPr>
              <w:pStyle w:val="Tabletextboldleft"/>
              <w:spacing w:before="20" w:after="20"/>
              <w:ind w:firstLine="317"/>
              <w:rPr>
                <w:b w:val="0"/>
              </w:rPr>
            </w:pPr>
            <w:r>
              <w:rPr>
                <w:b w:val="0"/>
              </w:rPr>
              <w:t>Specimen referred fee (MBS 73940)</w:t>
            </w:r>
          </w:p>
        </w:tc>
        <w:tc>
          <w:tcPr>
            <w:tcW w:w="963" w:type="dxa"/>
            <w:tcBorders>
              <w:top w:val="nil"/>
              <w:bottom w:val="nil"/>
            </w:tcBorders>
            <w:vAlign w:val="bottom"/>
          </w:tcPr>
          <w:p w14:paraId="7A275D65" w14:textId="7094AE0A" w:rsidR="00B934E9" w:rsidRPr="00BA0884" w:rsidRDefault="00B934E9" w:rsidP="00B934E9">
            <w:pPr>
              <w:pStyle w:val="Tabletextboldleft"/>
              <w:spacing w:before="20" w:after="20"/>
              <w:jc w:val="right"/>
              <w:rPr>
                <w:b w:val="0"/>
              </w:rPr>
            </w:pPr>
            <w:r w:rsidRPr="00BA0884">
              <w:rPr>
                <w:b w:val="0"/>
              </w:rPr>
              <w:t>1,820</w:t>
            </w:r>
          </w:p>
        </w:tc>
        <w:tc>
          <w:tcPr>
            <w:tcW w:w="964" w:type="dxa"/>
            <w:tcBorders>
              <w:top w:val="nil"/>
              <w:bottom w:val="nil"/>
            </w:tcBorders>
            <w:vAlign w:val="bottom"/>
          </w:tcPr>
          <w:p w14:paraId="5336F4BC" w14:textId="10C2CCF9" w:rsidR="00B934E9" w:rsidRPr="00BA0884" w:rsidRDefault="00B934E9" w:rsidP="00B934E9">
            <w:pPr>
              <w:pStyle w:val="Tabletextboldleft"/>
              <w:spacing w:before="20" w:after="20"/>
              <w:jc w:val="right"/>
              <w:rPr>
                <w:b w:val="0"/>
              </w:rPr>
            </w:pPr>
            <w:r w:rsidRPr="00BA0884">
              <w:rPr>
                <w:b w:val="0"/>
              </w:rPr>
              <w:t>1,872</w:t>
            </w:r>
          </w:p>
        </w:tc>
        <w:tc>
          <w:tcPr>
            <w:tcW w:w="964" w:type="dxa"/>
            <w:tcBorders>
              <w:top w:val="nil"/>
              <w:bottom w:val="nil"/>
            </w:tcBorders>
            <w:vAlign w:val="bottom"/>
          </w:tcPr>
          <w:p w14:paraId="7E57B2AD" w14:textId="18476F62" w:rsidR="00B934E9" w:rsidRPr="00BA0884" w:rsidRDefault="00B934E9" w:rsidP="00B934E9">
            <w:pPr>
              <w:pStyle w:val="Tabletextboldleft"/>
              <w:spacing w:before="20" w:after="20"/>
              <w:jc w:val="right"/>
              <w:rPr>
                <w:b w:val="0"/>
              </w:rPr>
            </w:pPr>
            <w:r w:rsidRPr="00BA0884">
              <w:rPr>
                <w:b w:val="0"/>
              </w:rPr>
              <w:t>1,925</w:t>
            </w:r>
          </w:p>
        </w:tc>
        <w:tc>
          <w:tcPr>
            <w:tcW w:w="964" w:type="dxa"/>
            <w:tcBorders>
              <w:top w:val="nil"/>
              <w:bottom w:val="nil"/>
            </w:tcBorders>
            <w:vAlign w:val="bottom"/>
          </w:tcPr>
          <w:p w14:paraId="056E83A6" w14:textId="264D25F1" w:rsidR="00B934E9" w:rsidRPr="00BA0884" w:rsidRDefault="00B934E9" w:rsidP="00B934E9">
            <w:pPr>
              <w:pStyle w:val="Tabletextboldleft"/>
              <w:spacing w:before="20" w:after="20"/>
              <w:jc w:val="right"/>
              <w:rPr>
                <w:b w:val="0"/>
              </w:rPr>
            </w:pPr>
            <w:r w:rsidRPr="00BA0884">
              <w:rPr>
                <w:b w:val="0"/>
              </w:rPr>
              <w:t>1,978</w:t>
            </w:r>
          </w:p>
        </w:tc>
        <w:tc>
          <w:tcPr>
            <w:tcW w:w="964" w:type="dxa"/>
            <w:tcBorders>
              <w:top w:val="nil"/>
              <w:bottom w:val="nil"/>
            </w:tcBorders>
            <w:vAlign w:val="bottom"/>
          </w:tcPr>
          <w:p w14:paraId="7BBD20E3" w14:textId="6213BA44" w:rsidR="00B934E9" w:rsidRPr="00BA0884" w:rsidRDefault="00B934E9" w:rsidP="00B934E9">
            <w:pPr>
              <w:pStyle w:val="Tabletextboldleft"/>
              <w:spacing w:before="20" w:after="20"/>
              <w:jc w:val="right"/>
              <w:rPr>
                <w:b w:val="0"/>
              </w:rPr>
            </w:pPr>
            <w:r w:rsidRPr="00BA0884">
              <w:rPr>
                <w:b w:val="0"/>
              </w:rPr>
              <w:t>2,031</w:t>
            </w:r>
          </w:p>
        </w:tc>
      </w:tr>
      <w:tr w:rsidR="00B934E9" w:rsidRPr="00F647C7" w14:paraId="5D32BF67" w14:textId="77777777" w:rsidTr="00E61184">
        <w:trPr>
          <w:trHeight w:val="212"/>
        </w:trPr>
        <w:tc>
          <w:tcPr>
            <w:tcW w:w="3544" w:type="dxa"/>
            <w:tcBorders>
              <w:top w:val="nil"/>
              <w:bottom w:val="single" w:sz="4" w:space="0" w:color="auto"/>
            </w:tcBorders>
          </w:tcPr>
          <w:p w14:paraId="1CDA327D" w14:textId="77777777" w:rsidR="00B934E9" w:rsidRPr="00F411CD" w:rsidRDefault="00B934E9" w:rsidP="00B934E9">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vAlign w:val="bottom"/>
          </w:tcPr>
          <w:p w14:paraId="79CFB67B" w14:textId="38DEEEBC" w:rsidR="00B934E9" w:rsidRPr="00BA0884" w:rsidRDefault="00B934E9" w:rsidP="00B934E9">
            <w:pPr>
              <w:pStyle w:val="Tabletextboldleft"/>
              <w:spacing w:before="20" w:after="20"/>
              <w:jc w:val="right"/>
              <w:rPr>
                <w:b w:val="0"/>
              </w:rPr>
            </w:pPr>
            <w:r w:rsidRPr="00BA0884">
              <w:rPr>
                <w:b w:val="0"/>
              </w:rPr>
              <w:t>1,820</w:t>
            </w:r>
          </w:p>
        </w:tc>
        <w:tc>
          <w:tcPr>
            <w:tcW w:w="964" w:type="dxa"/>
            <w:tcBorders>
              <w:top w:val="nil"/>
              <w:bottom w:val="single" w:sz="4" w:space="0" w:color="auto"/>
            </w:tcBorders>
            <w:vAlign w:val="bottom"/>
          </w:tcPr>
          <w:p w14:paraId="30987B0E" w14:textId="5C0CB9DF" w:rsidR="00B934E9" w:rsidRPr="00BA0884" w:rsidRDefault="00B934E9" w:rsidP="00B934E9">
            <w:pPr>
              <w:pStyle w:val="Tabletextboldleft"/>
              <w:spacing w:before="20" w:after="20"/>
              <w:jc w:val="right"/>
              <w:rPr>
                <w:b w:val="0"/>
              </w:rPr>
            </w:pPr>
            <w:r w:rsidRPr="00BA0884">
              <w:rPr>
                <w:b w:val="0"/>
              </w:rPr>
              <w:t>1,872</w:t>
            </w:r>
          </w:p>
        </w:tc>
        <w:tc>
          <w:tcPr>
            <w:tcW w:w="964" w:type="dxa"/>
            <w:tcBorders>
              <w:top w:val="nil"/>
              <w:bottom w:val="single" w:sz="4" w:space="0" w:color="auto"/>
            </w:tcBorders>
            <w:vAlign w:val="bottom"/>
          </w:tcPr>
          <w:p w14:paraId="64B590FD" w14:textId="0D69920E" w:rsidR="00B934E9" w:rsidRPr="00BA0884" w:rsidRDefault="00B934E9" w:rsidP="00B934E9">
            <w:pPr>
              <w:pStyle w:val="Tabletextboldleft"/>
              <w:spacing w:before="20" w:after="20"/>
              <w:jc w:val="right"/>
              <w:rPr>
                <w:b w:val="0"/>
              </w:rPr>
            </w:pPr>
            <w:r w:rsidRPr="00BA0884">
              <w:rPr>
                <w:b w:val="0"/>
              </w:rPr>
              <w:t>1,925</w:t>
            </w:r>
          </w:p>
        </w:tc>
        <w:tc>
          <w:tcPr>
            <w:tcW w:w="964" w:type="dxa"/>
            <w:tcBorders>
              <w:top w:val="nil"/>
              <w:bottom w:val="single" w:sz="4" w:space="0" w:color="auto"/>
            </w:tcBorders>
            <w:vAlign w:val="bottom"/>
          </w:tcPr>
          <w:p w14:paraId="24883000" w14:textId="0BB3FEBE" w:rsidR="00B934E9" w:rsidRPr="00BA0884" w:rsidRDefault="00B934E9" w:rsidP="00B934E9">
            <w:pPr>
              <w:pStyle w:val="Tabletextboldleft"/>
              <w:spacing w:before="20" w:after="20"/>
              <w:jc w:val="right"/>
              <w:rPr>
                <w:b w:val="0"/>
              </w:rPr>
            </w:pPr>
            <w:r w:rsidRPr="00BA0884">
              <w:rPr>
                <w:b w:val="0"/>
              </w:rPr>
              <w:t>1,978</w:t>
            </w:r>
          </w:p>
        </w:tc>
        <w:tc>
          <w:tcPr>
            <w:tcW w:w="964" w:type="dxa"/>
            <w:tcBorders>
              <w:top w:val="nil"/>
              <w:bottom w:val="single" w:sz="4" w:space="0" w:color="auto"/>
            </w:tcBorders>
            <w:vAlign w:val="bottom"/>
          </w:tcPr>
          <w:p w14:paraId="17A62DAB" w14:textId="2AC026D0" w:rsidR="00B934E9" w:rsidRPr="00BA0884" w:rsidRDefault="00B934E9" w:rsidP="00B934E9">
            <w:pPr>
              <w:pStyle w:val="Tabletextboldleft"/>
              <w:spacing w:before="20" w:after="20"/>
              <w:jc w:val="right"/>
              <w:rPr>
                <w:b w:val="0"/>
              </w:rPr>
            </w:pPr>
            <w:r w:rsidRPr="00BA0884">
              <w:rPr>
                <w:b w:val="0"/>
              </w:rPr>
              <w:t>2,031</w:t>
            </w:r>
          </w:p>
        </w:tc>
      </w:tr>
      <w:tr w:rsidR="00BA0884" w:rsidRPr="00F647C7" w14:paraId="083A18A9" w14:textId="77777777" w:rsidTr="00E61184">
        <w:trPr>
          <w:trHeight w:val="212"/>
        </w:trPr>
        <w:tc>
          <w:tcPr>
            <w:tcW w:w="3544" w:type="dxa"/>
            <w:tcBorders>
              <w:bottom w:val="nil"/>
            </w:tcBorders>
          </w:tcPr>
          <w:p w14:paraId="7EE5BACA" w14:textId="77777777" w:rsidR="00BA0884" w:rsidRPr="00F411CD" w:rsidRDefault="00BA0884" w:rsidP="00BA0884">
            <w:pPr>
              <w:pStyle w:val="Tabletextboldleft"/>
              <w:spacing w:before="20" w:after="20"/>
              <w:rPr>
                <w:b w:val="0"/>
              </w:rPr>
            </w:pPr>
            <w:r>
              <w:rPr>
                <w:b w:val="0"/>
              </w:rPr>
              <w:t>All cytology</w:t>
            </w:r>
          </w:p>
        </w:tc>
        <w:tc>
          <w:tcPr>
            <w:tcW w:w="963" w:type="dxa"/>
            <w:tcBorders>
              <w:bottom w:val="nil"/>
            </w:tcBorders>
            <w:vAlign w:val="bottom"/>
          </w:tcPr>
          <w:p w14:paraId="4E3BD88F" w14:textId="4CA2CDED" w:rsidR="00BA0884" w:rsidRPr="00BA0884" w:rsidRDefault="00BA0884" w:rsidP="00BA0884">
            <w:pPr>
              <w:pStyle w:val="Tabletextboldleft"/>
              <w:spacing w:before="20" w:after="20"/>
              <w:jc w:val="right"/>
              <w:rPr>
                <w:b w:val="0"/>
              </w:rPr>
            </w:pPr>
            <w:r w:rsidRPr="00BA0884">
              <w:rPr>
                <w:b w:val="0"/>
                <w:color w:val="000000"/>
              </w:rPr>
              <w:t>30,444</w:t>
            </w:r>
          </w:p>
        </w:tc>
        <w:tc>
          <w:tcPr>
            <w:tcW w:w="964" w:type="dxa"/>
            <w:tcBorders>
              <w:bottom w:val="nil"/>
            </w:tcBorders>
            <w:vAlign w:val="bottom"/>
          </w:tcPr>
          <w:p w14:paraId="68EFC57B" w14:textId="7A719EB5" w:rsidR="00BA0884" w:rsidRPr="00BA0884" w:rsidRDefault="00BA0884" w:rsidP="00BA0884">
            <w:pPr>
              <w:pStyle w:val="Tabletextboldleft"/>
              <w:spacing w:before="20" w:after="20"/>
              <w:jc w:val="right"/>
              <w:rPr>
                <w:b w:val="0"/>
              </w:rPr>
            </w:pPr>
            <w:r w:rsidRPr="00BA0884">
              <w:rPr>
                <w:b w:val="0"/>
                <w:color w:val="000000"/>
              </w:rPr>
              <w:t>30,777</w:t>
            </w:r>
          </w:p>
        </w:tc>
        <w:tc>
          <w:tcPr>
            <w:tcW w:w="964" w:type="dxa"/>
            <w:tcBorders>
              <w:bottom w:val="nil"/>
            </w:tcBorders>
            <w:vAlign w:val="bottom"/>
          </w:tcPr>
          <w:p w14:paraId="5177F03A" w14:textId="557EAB10" w:rsidR="00BA0884" w:rsidRPr="00BA0884" w:rsidRDefault="00BA0884" w:rsidP="00BA0884">
            <w:pPr>
              <w:pStyle w:val="Tabletextboldleft"/>
              <w:spacing w:before="20" w:after="20"/>
              <w:jc w:val="right"/>
              <w:rPr>
                <w:b w:val="0"/>
              </w:rPr>
            </w:pPr>
            <w:r w:rsidRPr="00BA0884">
              <w:rPr>
                <w:b w:val="0"/>
                <w:color w:val="000000"/>
              </w:rPr>
              <w:t>31,110</w:t>
            </w:r>
          </w:p>
        </w:tc>
        <w:tc>
          <w:tcPr>
            <w:tcW w:w="964" w:type="dxa"/>
            <w:tcBorders>
              <w:bottom w:val="nil"/>
            </w:tcBorders>
            <w:vAlign w:val="bottom"/>
          </w:tcPr>
          <w:p w14:paraId="0147B42C" w14:textId="6BE2882B" w:rsidR="00BA0884" w:rsidRPr="00BA0884" w:rsidRDefault="00BA0884" w:rsidP="00BA0884">
            <w:pPr>
              <w:pStyle w:val="Tabletextboldleft"/>
              <w:spacing w:before="20" w:after="20"/>
              <w:jc w:val="right"/>
              <w:rPr>
                <w:b w:val="0"/>
              </w:rPr>
            </w:pPr>
            <w:r w:rsidRPr="00BA0884">
              <w:rPr>
                <w:b w:val="0"/>
                <w:color w:val="000000"/>
              </w:rPr>
              <w:t>31,443</w:t>
            </w:r>
          </w:p>
        </w:tc>
        <w:tc>
          <w:tcPr>
            <w:tcW w:w="964" w:type="dxa"/>
            <w:tcBorders>
              <w:bottom w:val="nil"/>
            </w:tcBorders>
            <w:vAlign w:val="bottom"/>
          </w:tcPr>
          <w:p w14:paraId="36D799F5" w14:textId="3A6D7D45" w:rsidR="00BA0884" w:rsidRPr="00BA0884" w:rsidRDefault="00BA0884" w:rsidP="00BA0884">
            <w:pPr>
              <w:pStyle w:val="Tabletextboldleft"/>
              <w:spacing w:before="20" w:after="20"/>
              <w:jc w:val="right"/>
              <w:rPr>
                <w:b w:val="0"/>
              </w:rPr>
            </w:pPr>
            <w:r w:rsidRPr="00BA0884">
              <w:rPr>
                <w:b w:val="0"/>
                <w:color w:val="000000"/>
              </w:rPr>
              <w:t>31,775</w:t>
            </w:r>
          </w:p>
        </w:tc>
      </w:tr>
      <w:tr w:rsidR="00B934E9" w:rsidRPr="00F647C7" w14:paraId="7102E570" w14:textId="77777777" w:rsidTr="00E61184">
        <w:trPr>
          <w:trHeight w:val="212"/>
        </w:trPr>
        <w:tc>
          <w:tcPr>
            <w:tcW w:w="3544" w:type="dxa"/>
            <w:tcBorders>
              <w:top w:val="nil"/>
              <w:bottom w:val="nil"/>
            </w:tcBorders>
          </w:tcPr>
          <w:p w14:paraId="37D0C35E" w14:textId="77777777" w:rsidR="00B934E9" w:rsidRPr="00F411CD" w:rsidRDefault="00B934E9" w:rsidP="00B934E9">
            <w:pPr>
              <w:pStyle w:val="Tabletextboldleft"/>
              <w:spacing w:before="20" w:after="20"/>
              <w:ind w:firstLine="317"/>
              <w:rPr>
                <w:b w:val="0"/>
              </w:rPr>
            </w:pPr>
            <w:r>
              <w:rPr>
                <w:b w:val="0"/>
              </w:rPr>
              <w:t>Ancillary tests</w:t>
            </w:r>
          </w:p>
        </w:tc>
        <w:tc>
          <w:tcPr>
            <w:tcW w:w="963" w:type="dxa"/>
            <w:tcBorders>
              <w:top w:val="nil"/>
              <w:bottom w:val="nil"/>
            </w:tcBorders>
            <w:vAlign w:val="bottom"/>
          </w:tcPr>
          <w:p w14:paraId="5EE3BAEC" w14:textId="240EDBCC" w:rsidR="00B934E9" w:rsidRPr="00BA0884" w:rsidRDefault="00B934E9" w:rsidP="00B934E9">
            <w:pPr>
              <w:pStyle w:val="Tabletextboldleft"/>
              <w:spacing w:before="20" w:after="20"/>
              <w:jc w:val="right"/>
              <w:rPr>
                <w:b w:val="0"/>
              </w:rPr>
            </w:pPr>
            <w:r w:rsidRPr="00BA0884">
              <w:rPr>
                <w:b w:val="0"/>
                <w:color w:val="000000"/>
              </w:rPr>
              <w:t>1,495</w:t>
            </w:r>
          </w:p>
        </w:tc>
        <w:tc>
          <w:tcPr>
            <w:tcW w:w="964" w:type="dxa"/>
            <w:tcBorders>
              <w:top w:val="nil"/>
              <w:bottom w:val="nil"/>
            </w:tcBorders>
            <w:vAlign w:val="bottom"/>
          </w:tcPr>
          <w:p w14:paraId="6186DE67" w14:textId="1685C139" w:rsidR="00B934E9" w:rsidRPr="00BA0884" w:rsidRDefault="00B934E9" w:rsidP="00B934E9">
            <w:pPr>
              <w:pStyle w:val="Tabletextboldleft"/>
              <w:spacing w:before="20" w:after="20"/>
              <w:jc w:val="right"/>
              <w:rPr>
                <w:b w:val="0"/>
              </w:rPr>
            </w:pPr>
            <w:r w:rsidRPr="00BA0884">
              <w:rPr>
                <w:b w:val="0"/>
                <w:color w:val="000000"/>
              </w:rPr>
              <w:t>1,511</w:t>
            </w:r>
          </w:p>
        </w:tc>
        <w:tc>
          <w:tcPr>
            <w:tcW w:w="964" w:type="dxa"/>
            <w:tcBorders>
              <w:top w:val="nil"/>
              <w:bottom w:val="nil"/>
            </w:tcBorders>
            <w:vAlign w:val="bottom"/>
          </w:tcPr>
          <w:p w14:paraId="0E0EFA20" w14:textId="06784C23" w:rsidR="00B934E9" w:rsidRPr="00BA0884" w:rsidRDefault="00B934E9" w:rsidP="00B934E9">
            <w:pPr>
              <w:pStyle w:val="Tabletextboldleft"/>
              <w:spacing w:before="20" w:after="20"/>
              <w:jc w:val="right"/>
              <w:rPr>
                <w:b w:val="0"/>
              </w:rPr>
            </w:pPr>
            <w:r w:rsidRPr="00BA0884">
              <w:rPr>
                <w:b w:val="0"/>
                <w:color w:val="000000"/>
              </w:rPr>
              <w:t>1,528</w:t>
            </w:r>
          </w:p>
        </w:tc>
        <w:tc>
          <w:tcPr>
            <w:tcW w:w="964" w:type="dxa"/>
            <w:tcBorders>
              <w:top w:val="nil"/>
              <w:bottom w:val="nil"/>
            </w:tcBorders>
            <w:vAlign w:val="bottom"/>
          </w:tcPr>
          <w:p w14:paraId="6F9E55E5" w14:textId="34DDCAE9" w:rsidR="00B934E9" w:rsidRPr="00BA0884" w:rsidRDefault="00B934E9" w:rsidP="00B934E9">
            <w:pPr>
              <w:pStyle w:val="Tabletextboldleft"/>
              <w:spacing w:before="20" w:after="20"/>
              <w:jc w:val="right"/>
              <w:rPr>
                <w:b w:val="0"/>
              </w:rPr>
            </w:pPr>
            <w:r w:rsidRPr="00BA0884">
              <w:rPr>
                <w:b w:val="0"/>
                <w:color w:val="000000"/>
              </w:rPr>
              <w:t>1,544</w:t>
            </w:r>
          </w:p>
        </w:tc>
        <w:tc>
          <w:tcPr>
            <w:tcW w:w="964" w:type="dxa"/>
            <w:tcBorders>
              <w:top w:val="nil"/>
              <w:bottom w:val="nil"/>
            </w:tcBorders>
            <w:vAlign w:val="bottom"/>
          </w:tcPr>
          <w:p w14:paraId="28521BD8" w14:textId="08501ACD" w:rsidR="00B934E9" w:rsidRPr="00BA0884" w:rsidRDefault="00B934E9" w:rsidP="00B934E9">
            <w:pPr>
              <w:pStyle w:val="Tabletextboldleft"/>
              <w:spacing w:before="20" w:after="20"/>
              <w:jc w:val="right"/>
              <w:rPr>
                <w:b w:val="0"/>
              </w:rPr>
            </w:pPr>
            <w:r w:rsidRPr="00BA0884">
              <w:rPr>
                <w:b w:val="0"/>
                <w:color w:val="000000"/>
              </w:rPr>
              <w:t>1,560</w:t>
            </w:r>
          </w:p>
        </w:tc>
      </w:tr>
      <w:tr w:rsidR="00B934E9" w:rsidRPr="00F647C7" w14:paraId="66105C88" w14:textId="77777777" w:rsidTr="00E61184">
        <w:trPr>
          <w:trHeight w:val="212"/>
        </w:trPr>
        <w:tc>
          <w:tcPr>
            <w:tcW w:w="3544" w:type="dxa"/>
            <w:tcBorders>
              <w:top w:val="nil"/>
              <w:bottom w:val="nil"/>
            </w:tcBorders>
          </w:tcPr>
          <w:p w14:paraId="1728EDD4" w14:textId="77777777" w:rsidR="00B934E9" w:rsidRPr="00F411CD" w:rsidRDefault="00B934E9" w:rsidP="00B934E9">
            <w:pPr>
              <w:pStyle w:val="Tabletextboldleft"/>
              <w:spacing w:before="20" w:after="20"/>
              <w:ind w:firstLine="317"/>
              <w:rPr>
                <w:b w:val="0"/>
              </w:rPr>
            </w:pPr>
            <w:r>
              <w:rPr>
                <w:b w:val="0"/>
              </w:rPr>
              <w:t>Specimen referred fee (MBS 73940)</w:t>
            </w:r>
          </w:p>
        </w:tc>
        <w:tc>
          <w:tcPr>
            <w:tcW w:w="963" w:type="dxa"/>
            <w:tcBorders>
              <w:top w:val="nil"/>
              <w:bottom w:val="nil"/>
            </w:tcBorders>
            <w:vAlign w:val="bottom"/>
          </w:tcPr>
          <w:p w14:paraId="1838A679" w14:textId="36C8CB56" w:rsidR="00B934E9" w:rsidRPr="00BA0884" w:rsidRDefault="00B934E9" w:rsidP="00B934E9">
            <w:pPr>
              <w:pStyle w:val="Tabletextboldleft"/>
              <w:spacing w:before="20" w:after="20"/>
              <w:jc w:val="right"/>
              <w:rPr>
                <w:b w:val="0"/>
              </w:rPr>
            </w:pPr>
            <w:r w:rsidRPr="00BA0884">
              <w:rPr>
                <w:b w:val="0"/>
              </w:rPr>
              <w:t>14,475</w:t>
            </w:r>
          </w:p>
        </w:tc>
        <w:tc>
          <w:tcPr>
            <w:tcW w:w="964" w:type="dxa"/>
            <w:tcBorders>
              <w:top w:val="nil"/>
              <w:bottom w:val="nil"/>
            </w:tcBorders>
            <w:vAlign w:val="bottom"/>
          </w:tcPr>
          <w:p w14:paraId="50573C3C" w14:textId="790FC50D" w:rsidR="00B934E9" w:rsidRPr="00BA0884" w:rsidRDefault="00B934E9" w:rsidP="00B934E9">
            <w:pPr>
              <w:pStyle w:val="Tabletextboldleft"/>
              <w:spacing w:before="20" w:after="20"/>
              <w:jc w:val="right"/>
              <w:rPr>
                <w:b w:val="0"/>
              </w:rPr>
            </w:pPr>
            <w:r w:rsidRPr="00BA0884">
              <w:rPr>
                <w:b w:val="0"/>
              </w:rPr>
              <w:t>14,633</w:t>
            </w:r>
          </w:p>
        </w:tc>
        <w:tc>
          <w:tcPr>
            <w:tcW w:w="964" w:type="dxa"/>
            <w:tcBorders>
              <w:top w:val="nil"/>
              <w:bottom w:val="nil"/>
            </w:tcBorders>
            <w:vAlign w:val="bottom"/>
          </w:tcPr>
          <w:p w14:paraId="3DAEA031" w14:textId="54824B16" w:rsidR="00B934E9" w:rsidRPr="00BA0884" w:rsidRDefault="00B934E9" w:rsidP="00B934E9">
            <w:pPr>
              <w:pStyle w:val="Tabletextboldleft"/>
              <w:spacing w:before="20" w:after="20"/>
              <w:jc w:val="right"/>
              <w:rPr>
                <w:b w:val="0"/>
              </w:rPr>
            </w:pPr>
            <w:r w:rsidRPr="00BA0884">
              <w:rPr>
                <w:b w:val="0"/>
              </w:rPr>
              <w:t>14,791</w:t>
            </w:r>
          </w:p>
        </w:tc>
        <w:tc>
          <w:tcPr>
            <w:tcW w:w="964" w:type="dxa"/>
            <w:tcBorders>
              <w:top w:val="nil"/>
              <w:bottom w:val="nil"/>
            </w:tcBorders>
            <w:vAlign w:val="bottom"/>
          </w:tcPr>
          <w:p w14:paraId="6F443BD5" w14:textId="599DE9BC" w:rsidR="00B934E9" w:rsidRPr="00BA0884" w:rsidRDefault="00B934E9" w:rsidP="00B934E9">
            <w:pPr>
              <w:pStyle w:val="Tabletextboldleft"/>
              <w:spacing w:before="20" w:after="20"/>
              <w:jc w:val="right"/>
              <w:rPr>
                <w:b w:val="0"/>
              </w:rPr>
            </w:pPr>
            <w:r w:rsidRPr="00BA0884">
              <w:rPr>
                <w:b w:val="0"/>
              </w:rPr>
              <w:t>14,949</w:t>
            </w:r>
          </w:p>
        </w:tc>
        <w:tc>
          <w:tcPr>
            <w:tcW w:w="964" w:type="dxa"/>
            <w:tcBorders>
              <w:top w:val="nil"/>
              <w:bottom w:val="nil"/>
            </w:tcBorders>
            <w:vAlign w:val="bottom"/>
          </w:tcPr>
          <w:p w14:paraId="27B857E3" w14:textId="5AC6D966" w:rsidR="00B934E9" w:rsidRPr="00BA0884" w:rsidRDefault="00B934E9" w:rsidP="00B934E9">
            <w:pPr>
              <w:pStyle w:val="Tabletextboldleft"/>
              <w:spacing w:before="20" w:after="20"/>
              <w:jc w:val="right"/>
              <w:rPr>
                <w:b w:val="0"/>
              </w:rPr>
            </w:pPr>
            <w:r w:rsidRPr="00BA0884">
              <w:rPr>
                <w:b w:val="0"/>
              </w:rPr>
              <w:t>15,107</w:t>
            </w:r>
          </w:p>
        </w:tc>
      </w:tr>
      <w:tr w:rsidR="00B934E9" w:rsidRPr="00F647C7" w14:paraId="5C35D055" w14:textId="77777777" w:rsidTr="00E61184">
        <w:trPr>
          <w:trHeight w:val="212"/>
        </w:trPr>
        <w:tc>
          <w:tcPr>
            <w:tcW w:w="3544" w:type="dxa"/>
            <w:tcBorders>
              <w:top w:val="nil"/>
            </w:tcBorders>
          </w:tcPr>
          <w:p w14:paraId="1CBAA8AC" w14:textId="77777777" w:rsidR="00B934E9" w:rsidRPr="00F411CD" w:rsidRDefault="00B934E9" w:rsidP="00B934E9">
            <w:pPr>
              <w:pStyle w:val="Tabletextboldleft"/>
              <w:spacing w:before="20" w:after="20"/>
              <w:ind w:firstLine="317"/>
              <w:rPr>
                <w:b w:val="0"/>
              </w:rPr>
            </w:pPr>
            <w:r>
              <w:rPr>
                <w:b w:val="0"/>
              </w:rPr>
              <w:t>Bulk billing incentive (MBS 74996)</w:t>
            </w:r>
          </w:p>
        </w:tc>
        <w:tc>
          <w:tcPr>
            <w:tcW w:w="963" w:type="dxa"/>
            <w:tcBorders>
              <w:top w:val="nil"/>
            </w:tcBorders>
            <w:vAlign w:val="bottom"/>
          </w:tcPr>
          <w:p w14:paraId="3FE58B1A" w14:textId="20F62DC2" w:rsidR="00B934E9" w:rsidRPr="00BA0884" w:rsidRDefault="00B934E9" w:rsidP="00B934E9">
            <w:pPr>
              <w:pStyle w:val="Tabletextboldleft"/>
              <w:spacing w:before="20" w:after="20"/>
              <w:jc w:val="right"/>
              <w:rPr>
                <w:b w:val="0"/>
              </w:rPr>
            </w:pPr>
            <w:r w:rsidRPr="00BA0884">
              <w:rPr>
                <w:b w:val="0"/>
              </w:rPr>
              <w:t>14,475</w:t>
            </w:r>
          </w:p>
        </w:tc>
        <w:tc>
          <w:tcPr>
            <w:tcW w:w="964" w:type="dxa"/>
            <w:tcBorders>
              <w:top w:val="nil"/>
            </w:tcBorders>
            <w:vAlign w:val="bottom"/>
          </w:tcPr>
          <w:p w14:paraId="64163C42" w14:textId="60468680" w:rsidR="00B934E9" w:rsidRPr="00BA0884" w:rsidRDefault="00B934E9" w:rsidP="00B934E9">
            <w:pPr>
              <w:pStyle w:val="Tabletextboldleft"/>
              <w:spacing w:before="20" w:after="20"/>
              <w:jc w:val="right"/>
              <w:rPr>
                <w:b w:val="0"/>
              </w:rPr>
            </w:pPr>
            <w:r w:rsidRPr="00BA0884">
              <w:rPr>
                <w:b w:val="0"/>
              </w:rPr>
              <w:t>14,633</w:t>
            </w:r>
          </w:p>
        </w:tc>
        <w:tc>
          <w:tcPr>
            <w:tcW w:w="964" w:type="dxa"/>
            <w:tcBorders>
              <w:top w:val="nil"/>
            </w:tcBorders>
            <w:vAlign w:val="bottom"/>
          </w:tcPr>
          <w:p w14:paraId="4412ABAF" w14:textId="5C02D934" w:rsidR="00B934E9" w:rsidRPr="00BA0884" w:rsidRDefault="00B934E9" w:rsidP="00B934E9">
            <w:pPr>
              <w:pStyle w:val="Tabletextboldleft"/>
              <w:spacing w:before="20" w:after="20"/>
              <w:jc w:val="right"/>
              <w:rPr>
                <w:b w:val="0"/>
              </w:rPr>
            </w:pPr>
            <w:r w:rsidRPr="00BA0884">
              <w:rPr>
                <w:b w:val="0"/>
              </w:rPr>
              <w:t>14,791</w:t>
            </w:r>
          </w:p>
        </w:tc>
        <w:tc>
          <w:tcPr>
            <w:tcW w:w="964" w:type="dxa"/>
            <w:tcBorders>
              <w:top w:val="nil"/>
            </w:tcBorders>
            <w:vAlign w:val="bottom"/>
          </w:tcPr>
          <w:p w14:paraId="1B512E25" w14:textId="43717596" w:rsidR="00B934E9" w:rsidRPr="00BA0884" w:rsidRDefault="00B934E9" w:rsidP="00B934E9">
            <w:pPr>
              <w:pStyle w:val="Tabletextboldleft"/>
              <w:spacing w:before="20" w:after="20"/>
              <w:jc w:val="right"/>
              <w:rPr>
                <w:b w:val="0"/>
              </w:rPr>
            </w:pPr>
            <w:r w:rsidRPr="00BA0884">
              <w:rPr>
                <w:b w:val="0"/>
              </w:rPr>
              <w:t>14,949</w:t>
            </w:r>
          </w:p>
        </w:tc>
        <w:tc>
          <w:tcPr>
            <w:tcW w:w="964" w:type="dxa"/>
            <w:tcBorders>
              <w:top w:val="nil"/>
            </w:tcBorders>
            <w:vAlign w:val="bottom"/>
          </w:tcPr>
          <w:p w14:paraId="1464058E" w14:textId="37197859" w:rsidR="00B934E9" w:rsidRPr="00BA0884" w:rsidRDefault="00B934E9" w:rsidP="00B934E9">
            <w:pPr>
              <w:pStyle w:val="Tabletextboldleft"/>
              <w:spacing w:before="20" w:after="20"/>
              <w:jc w:val="right"/>
              <w:rPr>
                <w:b w:val="0"/>
              </w:rPr>
            </w:pPr>
            <w:r w:rsidRPr="00BA0884">
              <w:rPr>
                <w:b w:val="0"/>
              </w:rPr>
              <w:t>15,107</w:t>
            </w:r>
          </w:p>
        </w:tc>
      </w:tr>
      <w:tr w:rsidR="00BA0884" w:rsidRPr="00F647C7" w14:paraId="52D05B56" w14:textId="77777777" w:rsidTr="00E61184">
        <w:trPr>
          <w:trHeight w:val="212"/>
        </w:trPr>
        <w:tc>
          <w:tcPr>
            <w:tcW w:w="3544" w:type="dxa"/>
          </w:tcPr>
          <w:p w14:paraId="17862C1E" w14:textId="77777777" w:rsidR="00BA0884" w:rsidRPr="00C26CDD" w:rsidRDefault="00BA0884" w:rsidP="00BA0884">
            <w:pPr>
              <w:pStyle w:val="Tabletextboldleft"/>
              <w:spacing w:before="20" w:after="20"/>
              <w:rPr>
                <w:b w:val="0"/>
                <w:i/>
              </w:rPr>
            </w:pPr>
            <w:r>
              <w:rPr>
                <w:b w:val="0"/>
                <w:i/>
              </w:rPr>
              <w:t>Sub-t</w:t>
            </w:r>
            <w:r w:rsidRPr="00C26CDD">
              <w:rPr>
                <w:b w:val="0"/>
                <w:i/>
              </w:rPr>
              <w:t>otal (excluding gynaecological cytology)</w:t>
            </w:r>
          </w:p>
        </w:tc>
        <w:tc>
          <w:tcPr>
            <w:tcW w:w="963" w:type="dxa"/>
            <w:vAlign w:val="bottom"/>
          </w:tcPr>
          <w:p w14:paraId="11572935" w14:textId="7CD1C1C9" w:rsidR="00BA0884" w:rsidRPr="00C932DC" w:rsidRDefault="00BA0884" w:rsidP="00BA0884">
            <w:pPr>
              <w:pStyle w:val="Tabletextboldleft"/>
              <w:spacing w:before="20" w:after="20"/>
              <w:jc w:val="right"/>
              <w:rPr>
                <w:b w:val="0"/>
                <w:i/>
              </w:rPr>
            </w:pPr>
            <w:r w:rsidRPr="00C932DC">
              <w:rPr>
                <w:b w:val="0"/>
                <w:i/>
                <w:color w:val="000000"/>
              </w:rPr>
              <w:t>79,053</w:t>
            </w:r>
          </w:p>
        </w:tc>
        <w:tc>
          <w:tcPr>
            <w:tcW w:w="964" w:type="dxa"/>
            <w:vAlign w:val="bottom"/>
          </w:tcPr>
          <w:p w14:paraId="57D49378" w14:textId="3ADAB037" w:rsidR="00BA0884" w:rsidRPr="00C932DC" w:rsidRDefault="00BA0884" w:rsidP="00BA0884">
            <w:pPr>
              <w:pStyle w:val="Tabletextboldleft"/>
              <w:spacing w:before="20" w:after="20"/>
              <w:jc w:val="right"/>
              <w:rPr>
                <w:b w:val="0"/>
                <w:i/>
              </w:rPr>
            </w:pPr>
            <w:r w:rsidRPr="00C932DC">
              <w:rPr>
                <w:b w:val="0"/>
                <w:i/>
                <w:color w:val="000000"/>
              </w:rPr>
              <w:t>81,890</w:t>
            </w:r>
          </w:p>
        </w:tc>
        <w:tc>
          <w:tcPr>
            <w:tcW w:w="964" w:type="dxa"/>
            <w:vAlign w:val="bottom"/>
          </w:tcPr>
          <w:p w14:paraId="112A4BCC" w14:textId="0AAD8E71" w:rsidR="00BA0884" w:rsidRPr="00C932DC" w:rsidRDefault="00BA0884" w:rsidP="00BA0884">
            <w:pPr>
              <w:pStyle w:val="Tabletextboldleft"/>
              <w:spacing w:before="20" w:after="20"/>
              <w:jc w:val="right"/>
              <w:rPr>
                <w:b w:val="0"/>
                <w:i/>
              </w:rPr>
            </w:pPr>
            <w:r w:rsidRPr="00C932DC">
              <w:rPr>
                <w:b w:val="0"/>
                <w:i/>
                <w:color w:val="000000"/>
              </w:rPr>
              <w:t>84,726</w:t>
            </w:r>
          </w:p>
        </w:tc>
        <w:tc>
          <w:tcPr>
            <w:tcW w:w="964" w:type="dxa"/>
            <w:vAlign w:val="bottom"/>
          </w:tcPr>
          <w:p w14:paraId="1EAA857D" w14:textId="51EB9AA0" w:rsidR="00BA0884" w:rsidRPr="00C932DC" w:rsidRDefault="00BA0884" w:rsidP="00BA0884">
            <w:pPr>
              <w:pStyle w:val="Tabletextboldleft"/>
              <w:spacing w:before="20" w:after="20"/>
              <w:jc w:val="right"/>
              <w:rPr>
                <w:b w:val="0"/>
                <w:i/>
              </w:rPr>
            </w:pPr>
            <w:r w:rsidRPr="00C932DC">
              <w:rPr>
                <w:b w:val="0"/>
                <w:i/>
                <w:color w:val="000000"/>
              </w:rPr>
              <w:t>87,563</w:t>
            </w:r>
          </w:p>
        </w:tc>
        <w:tc>
          <w:tcPr>
            <w:tcW w:w="964" w:type="dxa"/>
            <w:vAlign w:val="bottom"/>
          </w:tcPr>
          <w:p w14:paraId="0ECFBE9E" w14:textId="1B133E0E" w:rsidR="00BA0884" w:rsidRPr="00C932DC" w:rsidRDefault="00BA0884" w:rsidP="00BA0884">
            <w:pPr>
              <w:pStyle w:val="Tabletextboldleft"/>
              <w:spacing w:before="20" w:after="20"/>
              <w:jc w:val="right"/>
              <w:rPr>
                <w:b w:val="0"/>
                <w:i/>
              </w:rPr>
            </w:pPr>
            <w:r w:rsidRPr="00C932DC">
              <w:rPr>
                <w:b w:val="0"/>
                <w:i/>
                <w:color w:val="000000"/>
              </w:rPr>
              <w:t>90,400</w:t>
            </w:r>
          </w:p>
        </w:tc>
      </w:tr>
      <w:tr w:rsidR="00BA0884" w:rsidRPr="00F647C7" w14:paraId="5BCAB40E" w14:textId="77777777" w:rsidTr="00E61184">
        <w:trPr>
          <w:trHeight w:val="212"/>
        </w:trPr>
        <w:tc>
          <w:tcPr>
            <w:tcW w:w="3544" w:type="dxa"/>
          </w:tcPr>
          <w:p w14:paraId="1E4CC4F7" w14:textId="77777777" w:rsidR="00BA0884" w:rsidRPr="00C26CDD" w:rsidRDefault="00BA0884" w:rsidP="00BA0884">
            <w:pPr>
              <w:pStyle w:val="Tabletextboldleft"/>
              <w:spacing w:before="20" w:after="20"/>
              <w:rPr>
                <w:b w:val="0"/>
                <w:i/>
              </w:rPr>
            </w:pPr>
            <w:r>
              <w:rPr>
                <w:b w:val="0"/>
                <w:i/>
              </w:rPr>
              <w:t>Sub-t</w:t>
            </w:r>
            <w:r w:rsidRPr="00C26CDD">
              <w:rPr>
                <w:b w:val="0"/>
                <w:i/>
              </w:rPr>
              <w:t>otal (including all cytology)</w:t>
            </w:r>
          </w:p>
        </w:tc>
        <w:tc>
          <w:tcPr>
            <w:tcW w:w="963" w:type="dxa"/>
            <w:vAlign w:val="bottom"/>
          </w:tcPr>
          <w:p w14:paraId="022CFF97" w14:textId="5D63D0B0" w:rsidR="00BA0884" w:rsidRPr="00C932DC" w:rsidRDefault="00BA0884" w:rsidP="00BA0884">
            <w:pPr>
              <w:pStyle w:val="Tabletextboldleft"/>
              <w:spacing w:before="20" w:after="20"/>
              <w:jc w:val="right"/>
              <w:rPr>
                <w:b w:val="0"/>
                <w:i/>
              </w:rPr>
            </w:pPr>
            <w:r w:rsidRPr="00C932DC">
              <w:rPr>
                <w:b w:val="0"/>
                <w:i/>
                <w:color w:val="000000"/>
              </w:rPr>
              <w:t>105,670</w:t>
            </w:r>
          </w:p>
        </w:tc>
        <w:tc>
          <w:tcPr>
            <w:tcW w:w="964" w:type="dxa"/>
            <w:vAlign w:val="bottom"/>
          </w:tcPr>
          <w:p w14:paraId="1355FEC1" w14:textId="7EC3297B" w:rsidR="00BA0884" w:rsidRPr="00C932DC" w:rsidRDefault="00BA0884" w:rsidP="00BA0884">
            <w:pPr>
              <w:pStyle w:val="Tabletextboldleft"/>
              <w:spacing w:before="20" w:after="20"/>
              <w:jc w:val="right"/>
              <w:rPr>
                <w:b w:val="0"/>
                <w:i/>
              </w:rPr>
            </w:pPr>
            <w:r w:rsidRPr="00C932DC">
              <w:rPr>
                <w:b w:val="0"/>
                <w:i/>
                <w:color w:val="000000"/>
              </w:rPr>
              <w:t>108,728</w:t>
            </w:r>
          </w:p>
        </w:tc>
        <w:tc>
          <w:tcPr>
            <w:tcW w:w="964" w:type="dxa"/>
            <w:vAlign w:val="bottom"/>
          </w:tcPr>
          <w:p w14:paraId="651ADCBF" w14:textId="501563C0" w:rsidR="00BA0884" w:rsidRPr="00C932DC" w:rsidRDefault="00BA0884" w:rsidP="00BA0884">
            <w:pPr>
              <w:pStyle w:val="Tabletextboldleft"/>
              <w:spacing w:before="20" w:after="20"/>
              <w:jc w:val="right"/>
              <w:rPr>
                <w:b w:val="0"/>
                <w:i/>
              </w:rPr>
            </w:pPr>
            <w:r w:rsidRPr="00C932DC">
              <w:rPr>
                <w:b w:val="0"/>
                <w:i/>
                <w:color w:val="000000"/>
              </w:rPr>
              <w:t>111,787</w:t>
            </w:r>
          </w:p>
        </w:tc>
        <w:tc>
          <w:tcPr>
            <w:tcW w:w="964" w:type="dxa"/>
            <w:vAlign w:val="bottom"/>
          </w:tcPr>
          <w:p w14:paraId="529389CA" w14:textId="2FC94480" w:rsidR="00BA0884" w:rsidRPr="00C932DC" w:rsidRDefault="00BA0884" w:rsidP="00BA0884">
            <w:pPr>
              <w:pStyle w:val="Tabletextboldleft"/>
              <w:spacing w:before="20" w:after="20"/>
              <w:jc w:val="right"/>
              <w:rPr>
                <w:b w:val="0"/>
                <w:i/>
              </w:rPr>
            </w:pPr>
            <w:r w:rsidRPr="00C932DC">
              <w:rPr>
                <w:b w:val="0"/>
                <w:i/>
                <w:color w:val="000000"/>
              </w:rPr>
              <w:t>114,845</w:t>
            </w:r>
          </w:p>
        </w:tc>
        <w:tc>
          <w:tcPr>
            <w:tcW w:w="964" w:type="dxa"/>
            <w:vAlign w:val="bottom"/>
          </w:tcPr>
          <w:p w14:paraId="0119F4A3" w14:textId="0F244769" w:rsidR="00BA0884" w:rsidRPr="00C932DC" w:rsidRDefault="00BA0884" w:rsidP="00BA0884">
            <w:pPr>
              <w:pStyle w:val="Tabletextboldleft"/>
              <w:spacing w:before="20" w:after="20"/>
              <w:jc w:val="right"/>
              <w:rPr>
                <w:b w:val="0"/>
                <w:i/>
              </w:rPr>
            </w:pPr>
            <w:r w:rsidRPr="00C932DC">
              <w:rPr>
                <w:b w:val="0"/>
                <w:i/>
                <w:color w:val="000000"/>
              </w:rPr>
              <w:t>117,903</w:t>
            </w:r>
          </w:p>
        </w:tc>
      </w:tr>
      <w:tr w:rsidR="00B51828" w:rsidRPr="00F647C7" w14:paraId="534AF6AE" w14:textId="77777777" w:rsidTr="00E61184">
        <w:trPr>
          <w:trHeight w:val="212"/>
        </w:trPr>
        <w:tc>
          <w:tcPr>
            <w:tcW w:w="3544" w:type="dxa"/>
            <w:tcBorders>
              <w:bottom w:val="single" w:sz="4" w:space="0" w:color="auto"/>
            </w:tcBorders>
            <w:shd w:val="clear" w:color="auto" w:fill="D0CECE" w:themeFill="background2" w:themeFillShade="E6"/>
          </w:tcPr>
          <w:p w14:paraId="0A6A68B0" w14:textId="77777777" w:rsidR="00B51828" w:rsidRPr="009D63D8" w:rsidRDefault="00B51828" w:rsidP="002101D2">
            <w:pPr>
              <w:pStyle w:val="Tabletextboldleft"/>
              <w:spacing w:before="20" w:after="20"/>
            </w:pPr>
            <w:r w:rsidRPr="009D63D8">
              <w:rPr>
                <w:i/>
              </w:rPr>
              <w:t>Scenario 2</w:t>
            </w:r>
          </w:p>
        </w:tc>
        <w:tc>
          <w:tcPr>
            <w:tcW w:w="963" w:type="dxa"/>
            <w:tcBorders>
              <w:bottom w:val="single" w:sz="4" w:space="0" w:color="auto"/>
            </w:tcBorders>
            <w:shd w:val="clear" w:color="auto" w:fill="D0CECE" w:themeFill="background2" w:themeFillShade="E6"/>
          </w:tcPr>
          <w:p w14:paraId="2F3EE096" w14:textId="77777777" w:rsidR="00B51828" w:rsidRPr="00546160" w:rsidRDefault="00B51828" w:rsidP="002101D2">
            <w:pPr>
              <w:pStyle w:val="Tabletextboldleft"/>
              <w:spacing w:before="20" w:after="20"/>
              <w:jc w:val="right"/>
              <w:rPr>
                <w:b w:val="0"/>
              </w:rPr>
            </w:pPr>
            <w:r w:rsidRPr="00546160">
              <w:rPr>
                <w:b w:val="0"/>
              </w:rPr>
              <w:t>-</w:t>
            </w:r>
          </w:p>
        </w:tc>
        <w:tc>
          <w:tcPr>
            <w:tcW w:w="964" w:type="dxa"/>
            <w:tcBorders>
              <w:bottom w:val="single" w:sz="4" w:space="0" w:color="auto"/>
            </w:tcBorders>
            <w:shd w:val="clear" w:color="auto" w:fill="D0CECE" w:themeFill="background2" w:themeFillShade="E6"/>
          </w:tcPr>
          <w:p w14:paraId="1A3A9A42" w14:textId="77777777" w:rsidR="00B51828" w:rsidRPr="00546160" w:rsidRDefault="00B51828" w:rsidP="002101D2">
            <w:pPr>
              <w:pStyle w:val="Tabletextboldleft"/>
              <w:spacing w:before="20" w:after="20"/>
              <w:jc w:val="right"/>
              <w:rPr>
                <w:b w:val="0"/>
              </w:rPr>
            </w:pPr>
            <w:r w:rsidRPr="00546160">
              <w:rPr>
                <w:b w:val="0"/>
              </w:rPr>
              <w:t>-</w:t>
            </w:r>
          </w:p>
        </w:tc>
        <w:tc>
          <w:tcPr>
            <w:tcW w:w="964" w:type="dxa"/>
            <w:tcBorders>
              <w:bottom w:val="single" w:sz="4" w:space="0" w:color="auto"/>
            </w:tcBorders>
            <w:shd w:val="clear" w:color="auto" w:fill="D0CECE" w:themeFill="background2" w:themeFillShade="E6"/>
          </w:tcPr>
          <w:p w14:paraId="553C9F8E" w14:textId="77777777" w:rsidR="00B51828" w:rsidRPr="00546160" w:rsidRDefault="00B51828" w:rsidP="002101D2">
            <w:pPr>
              <w:pStyle w:val="Tabletextboldleft"/>
              <w:spacing w:before="20" w:after="20"/>
              <w:jc w:val="right"/>
              <w:rPr>
                <w:b w:val="0"/>
              </w:rPr>
            </w:pPr>
            <w:r w:rsidRPr="00546160">
              <w:rPr>
                <w:b w:val="0"/>
              </w:rPr>
              <w:t>-</w:t>
            </w:r>
          </w:p>
        </w:tc>
        <w:tc>
          <w:tcPr>
            <w:tcW w:w="964" w:type="dxa"/>
            <w:tcBorders>
              <w:bottom w:val="single" w:sz="4" w:space="0" w:color="auto"/>
            </w:tcBorders>
            <w:shd w:val="clear" w:color="auto" w:fill="D0CECE" w:themeFill="background2" w:themeFillShade="E6"/>
          </w:tcPr>
          <w:p w14:paraId="11C1F2AA" w14:textId="77777777" w:rsidR="00B51828" w:rsidRPr="00546160" w:rsidRDefault="00B51828" w:rsidP="002101D2">
            <w:pPr>
              <w:pStyle w:val="Tabletextboldleft"/>
              <w:spacing w:before="20" w:after="20"/>
              <w:jc w:val="right"/>
              <w:rPr>
                <w:b w:val="0"/>
              </w:rPr>
            </w:pPr>
            <w:r w:rsidRPr="00546160">
              <w:rPr>
                <w:b w:val="0"/>
              </w:rPr>
              <w:t>-</w:t>
            </w:r>
          </w:p>
        </w:tc>
        <w:tc>
          <w:tcPr>
            <w:tcW w:w="964" w:type="dxa"/>
            <w:tcBorders>
              <w:bottom w:val="single" w:sz="4" w:space="0" w:color="auto"/>
            </w:tcBorders>
            <w:shd w:val="clear" w:color="auto" w:fill="D0CECE" w:themeFill="background2" w:themeFillShade="E6"/>
          </w:tcPr>
          <w:p w14:paraId="588722B2" w14:textId="77777777" w:rsidR="00B51828" w:rsidRPr="00546160" w:rsidRDefault="00B51828" w:rsidP="002101D2">
            <w:pPr>
              <w:pStyle w:val="Tabletextboldleft"/>
              <w:spacing w:before="20" w:after="20"/>
              <w:jc w:val="right"/>
              <w:rPr>
                <w:b w:val="0"/>
              </w:rPr>
            </w:pPr>
            <w:r w:rsidRPr="00546160">
              <w:rPr>
                <w:b w:val="0"/>
              </w:rPr>
              <w:t>-</w:t>
            </w:r>
          </w:p>
        </w:tc>
      </w:tr>
      <w:tr w:rsidR="00B51828" w:rsidRPr="00F647C7" w14:paraId="049D2FC0" w14:textId="77777777" w:rsidTr="00E61184">
        <w:trPr>
          <w:trHeight w:val="212"/>
        </w:trPr>
        <w:tc>
          <w:tcPr>
            <w:tcW w:w="3544" w:type="dxa"/>
            <w:tcBorders>
              <w:bottom w:val="nil"/>
            </w:tcBorders>
          </w:tcPr>
          <w:p w14:paraId="7DE66040" w14:textId="77777777" w:rsidR="00B51828" w:rsidRPr="00F411CD"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963" w:type="dxa"/>
            <w:tcBorders>
              <w:bottom w:val="nil"/>
            </w:tcBorders>
          </w:tcPr>
          <w:p w14:paraId="0A077ECD" w14:textId="77777777" w:rsidR="00B51828" w:rsidRPr="00BA0884" w:rsidRDefault="00B51828" w:rsidP="002101D2">
            <w:pPr>
              <w:pStyle w:val="Tabletextboldleft"/>
              <w:spacing w:before="20" w:after="20"/>
              <w:jc w:val="right"/>
              <w:rPr>
                <w:b w:val="0"/>
              </w:rPr>
            </w:pPr>
            <w:r w:rsidRPr="00BA0884">
              <w:rPr>
                <w:b w:val="0"/>
                <w:color w:val="000000"/>
              </w:rPr>
              <w:t>24,418</w:t>
            </w:r>
          </w:p>
        </w:tc>
        <w:tc>
          <w:tcPr>
            <w:tcW w:w="964" w:type="dxa"/>
            <w:tcBorders>
              <w:bottom w:val="nil"/>
            </w:tcBorders>
          </w:tcPr>
          <w:p w14:paraId="5C982236" w14:textId="77777777" w:rsidR="00B51828" w:rsidRPr="00BA0884" w:rsidRDefault="00B51828" w:rsidP="002101D2">
            <w:pPr>
              <w:pStyle w:val="Tabletextboldleft"/>
              <w:spacing w:before="20" w:after="20"/>
              <w:jc w:val="right"/>
              <w:rPr>
                <w:b w:val="0"/>
              </w:rPr>
            </w:pPr>
            <w:r w:rsidRPr="00BA0884">
              <w:rPr>
                <w:b w:val="0"/>
                <w:color w:val="000000"/>
              </w:rPr>
              <w:t>25,302</w:t>
            </w:r>
          </w:p>
        </w:tc>
        <w:tc>
          <w:tcPr>
            <w:tcW w:w="964" w:type="dxa"/>
            <w:tcBorders>
              <w:bottom w:val="nil"/>
            </w:tcBorders>
          </w:tcPr>
          <w:p w14:paraId="5365641B" w14:textId="77777777" w:rsidR="00B51828" w:rsidRPr="00BA0884" w:rsidRDefault="00B51828" w:rsidP="002101D2">
            <w:pPr>
              <w:pStyle w:val="Tabletextboldleft"/>
              <w:spacing w:before="20" w:after="20"/>
              <w:jc w:val="right"/>
              <w:rPr>
                <w:b w:val="0"/>
              </w:rPr>
            </w:pPr>
            <w:r w:rsidRPr="00BA0884">
              <w:rPr>
                <w:b w:val="0"/>
                <w:color w:val="000000"/>
              </w:rPr>
              <w:t>26,187</w:t>
            </w:r>
          </w:p>
        </w:tc>
        <w:tc>
          <w:tcPr>
            <w:tcW w:w="964" w:type="dxa"/>
            <w:tcBorders>
              <w:bottom w:val="nil"/>
            </w:tcBorders>
          </w:tcPr>
          <w:p w14:paraId="73BE4EA0" w14:textId="77777777" w:rsidR="00B51828" w:rsidRPr="00BA0884" w:rsidRDefault="00B51828" w:rsidP="002101D2">
            <w:pPr>
              <w:pStyle w:val="Tabletextboldleft"/>
              <w:spacing w:before="20" w:after="20"/>
              <w:jc w:val="right"/>
              <w:rPr>
                <w:b w:val="0"/>
              </w:rPr>
            </w:pPr>
            <w:r w:rsidRPr="00BA0884">
              <w:rPr>
                <w:b w:val="0"/>
                <w:color w:val="000000"/>
              </w:rPr>
              <w:t>27,072</w:t>
            </w:r>
          </w:p>
        </w:tc>
        <w:tc>
          <w:tcPr>
            <w:tcW w:w="964" w:type="dxa"/>
            <w:tcBorders>
              <w:bottom w:val="nil"/>
            </w:tcBorders>
          </w:tcPr>
          <w:p w14:paraId="66DB42C3" w14:textId="77777777" w:rsidR="00B51828" w:rsidRPr="00BA0884" w:rsidRDefault="00B51828" w:rsidP="002101D2">
            <w:pPr>
              <w:pStyle w:val="Tabletextboldleft"/>
              <w:spacing w:before="20" w:after="20"/>
              <w:jc w:val="right"/>
              <w:rPr>
                <w:b w:val="0"/>
              </w:rPr>
            </w:pPr>
            <w:r w:rsidRPr="00BA0884">
              <w:rPr>
                <w:b w:val="0"/>
                <w:color w:val="000000"/>
              </w:rPr>
              <w:t>27,957</w:t>
            </w:r>
          </w:p>
        </w:tc>
      </w:tr>
      <w:tr w:rsidR="00B51828" w:rsidRPr="00F647C7" w14:paraId="1F69C96F" w14:textId="77777777" w:rsidTr="00E61184">
        <w:trPr>
          <w:trHeight w:val="212"/>
        </w:trPr>
        <w:tc>
          <w:tcPr>
            <w:tcW w:w="3544" w:type="dxa"/>
            <w:tcBorders>
              <w:top w:val="nil"/>
              <w:bottom w:val="nil"/>
            </w:tcBorders>
          </w:tcPr>
          <w:p w14:paraId="1D3D845C" w14:textId="77777777" w:rsidR="00B51828" w:rsidRPr="00F411CD" w:rsidRDefault="00B51828" w:rsidP="002101D2">
            <w:pPr>
              <w:pStyle w:val="Tabletextboldleft"/>
              <w:spacing w:before="20" w:after="20"/>
              <w:ind w:firstLine="317"/>
              <w:rPr>
                <w:b w:val="0"/>
              </w:rPr>
            </w:pPr>
            <w:r>
              <w:rPr>
                <w:b w:val="0"/>
              </w:rPr>
              <w:t>Ancillary tests</w:t>
            </w:r>
          </w:p>
        </w:tc>
        <w:tc>
          <w:tcPr>
            <w:tcW w:w="963" w:type="dxa"/>
            <w:tcBorders>
              <w:top w:val="nil"/>
              <w:bottom w:val="nil"/>
            </w:tcBorders>
          </w:tcPr>
          <w:p w14:paraId="5C0B8C52" w14:textId="77777777" w:rsidR="00B51828" w:rsidRPr="00BA0884" w:rsidRDefault="00B51828" w:rsidP="002101D2">
            <w:pPr>
              <w:pStyle w:val="Tabletextboldleft"/>
              <w:spacing w:before="20" w:after="20"/>
              <w:jc w:val="right"/>
              <w:rPr>
                <w:b w:val="0"/>
              </w:rPr>
            </w:pPr>
            <w:r w:rsidRPr="00BA0884">
              <w:rPr>
                <w:b w:val="0"/>
                <w:color w:val="000000"/>
              </w:rPr>
              <w:t>1,682</w:t>
            </w:r>
          </w:p>
        </w:tc>
        <w:tc>
          <w:tcPr>
            <w:tcW w:w="964" w:type="dxa"/>
            <w:tcBorders>
              <w:top w:val="nil"/>
              <w:bottom w:val="nil"/>
            </w:tcBorders>
          </w:tcPr>
          <w:p w14:paraId="421309E5" w14:textId="77777777" w:rsidR="00B51828" w:rsidRPr="00BA0884" w:rsidRDefault="00B51828" w:rsidP="002101D2">
            <w:pPr>
              <w:pStyle w:val="Tabletextboldleft"/>
              <w:spacing w:before="20" w:after="20"/>
              <w:jc w:val="right"/>
              <w:rPr>
                <w:b w:val="0"/>
              </w:rPr>
            </w:pPr>
            <w:r w:rsidRPr="00BA0884">
              <w:rPr>
                <w:b w:val="0"/>
                <w:color w:val="000000"/>
              </w:rPr>
              <w:t>1,743</w:t>
            </w:r>
          </w:p>
        </w:tc>
        <w:tc>
          <w:tcPr>
            <w:tcW w:w="964" w:type="dxa"/>
            <w:tcBorders>
              <w:top w:val="nil"/>
              <w:bottom w:val="nil"/>
            </w:tcBorders>
          </w:tcPr>
          <w:p w14:paraId="6F6F6371" w14:textId="77777777" w:rsidR="00B51828" w:rsidRPr="00BA0884" w:rsidRDefault="00B51828" w:rsidP="002101D2">
            <w:pPr>
              <w:pStyle w:val="Tabletextboldleft"/>
              <w:spacing w:before="20" w:after="20"/>
              <w:jc w:val="right"/>
              <w:rPr>
                <w:b w:val="0"/>
              </w:rPr>
            </w:pPr>
            <w:r w:rsidRPr="00BA0884">
              <w:rPr>
                <w:b w:val="0"/>
                <w:color w:val="000000"/>
              </w:rPr>
              <w:t>1,804</w:t>
            </w:r>
          </w:p>
        </w:tc>
        <w:tc>
          <w:tcPr>
            <w:tcW w:w="964" w:type="dxa"/>
            <w:tcBorders>
              <w:top w:val="nil"/>
              <w:bottom w:val="nil"/>
            </w:tcBorders>
          </w:tcPr>
          <w:p w14:paraId="1F46CA4F" w14:textId="77777777" w:rsidR="00B51828" w:rsidRPr="00BA0884" w:rsidRDefault="00B51828" w:rsidP="002101D2">
            <w:pPr>
              <w:pStyle w:val="Tabletextboldleft"/>
              <w:spacing w:before="20" w:after="20"/>
              <w:jc w:val="right"/>
              <w:rPr>
                <w:b w:val="0"/>
              </w:rPr>
            </w:pPr>
            <w:r w:rsidRPr="00BA0884">
              <w:rPr>
                <w:b w:val="0"/>
                <w:color w:val="000000"/>
              </w:rPr>
              <w:t>1,865</w:t>
            </w:r>
          </w:p>
        </w:tc>
        <w:tc>
          <w:tcPr>
            <w:tcW w:w="964" w:type="dxa"/>
            <w:tcBorders>
              <w:top w:val="nil"/>
              <w:bottom w:val="nil"/>
            </w:tcBorders>
          </w:tcPr>
          <w:p w14:paraId="79CBEDAC" w14:textId="77777777" w:rsidR="00B51828" w:rsidRPr="00BA0884" w:rsidRDefault="00B51828" w:rsidP="002101D2">
            <w:pPr>
              <w:pStyle w:val="Tabletextboldleft"/>
              <w:spacing w:before="20" w:after="20"/>
              <w:jc w:val="right"/>
              <w:rPr>
                <w:b w:val="0"/>
              </w:rPr>
            </w:pPr>
            <w:r w:rsidRPr="00BA0884">
              <w:rPr>
                <w:b w:val="0"/>
                <w:color w:val="000000"/>
              </w:rPr>
              <w:t>1,926</w:t>
            </w:r>
          </w:p>
        </w:tc>
      </w:tr>
      <w:tr w:rsidR="00B51828" w:rsidRPr="00F647C7" w14:paraId="02A0D013" w14:textId="77777777" w:rsidTr="00E61184">
        <w:trPr>
          <w:trHeight w:val="212"/>
        </w:trPr>
        <w:tc>
          <w:tcPr>
            <w:tcW w:w="3544" w:type="dxa"/>
            <w:tcBorders>
              <w:top w:val="nil"/>
              <w:bottom w:val="nil"/>
            </w:tcBorders>
          </w:tcPr>
          <w:p w14:paraId="38617B2B" w14:textId="77777777" w:rsidR="00B51828" w:rsidRPr="00F411CD" w:rsidRDefault="00B51828" w:rsidP="002101D2">
            <w:pPr>
              <w:pStyle w:val="Tabletextboldleft"/>
              <w:spacing w:before="20" w:after="20"/>
              <w:ind w:firstLine="317"/>
              <w:rPr>
                <w:b w:val="0"/>
              </w:rPr>
            </w:pPr>
            <w:r>
              <w:rPr>
                <w:b w:val="0"/>
              </w:rPr>
              <w:t>Specimen referred fee (MBS 73940)</w:t>
            </w:r>
          </w:p>
        </w:tc>
        <w:tc>
          <w:tcPr>
            <w:tcW w:w="963" w:type="dxa"/>
            <w:tcBorders>
              <w:top w:val="nil"/>
              <w:bottom w:val="nil"/>
            </w:tcBorders>
          </w:tcPr>
          <w:p w14:paraId="0EBF0447" w14:textId="77777777" w:rsidR="00B51828" w:rsidRPr="00BA0884" w:rsidRDefault="00B51828" w:rsidP="002101D2">
            <w:pPr>
              <w:pStyle w:val="Tabletextboldleft"/>
              <w:spacing w:before="20" w:after="20"/>
              <w:jc w:val="right"/>
              <w:rPr>
                <w:b w:val="0"/>
              </w:rPr>
            </w:pPr>
            <w:r w:rsidRPr="00BA0884">
              <w:rPr>
                <w:b w:val="0"/>
                <w:color w:val="000000"/>
              </w:rPr>
              <w:t>11,368</w:t>
            </w:r>
          </w:p>
        </w:tc>
        <w:tc>
          <w:tcPr>
            <w:tcW w:w="964" w:type="dxa"/>
            <w:tcBorders>
              <w:top w:val="nil"/>
              <w:bottom w:val="nil"/>
            </w:tcBorders>
          </w:tcPr>
          <w:p w14:paraId="5113E199" w14:textId="77777777" w:rsidR="00B51828" w:rsidRPr="00BA0884" w:rsidRDefault="00B51828" w:rsidP="002101D2">
            <w:pPr>
              <w:pStyle w:val="Tabletextboldleft"/>
              <w:spacing w:before="20" w:after="20"/>
              <w:jc w:val="right"/>
              <w:rPr>
                <w:b w:val="0"/>
              </w:rPr>
            </w:pPr>
            <w:r w:rsidRPr="00BA0884">
              <w:rPr>
                <w:b w:val="0"/>
                <w:color w:val="000000"/>
              </w:rPr>
              <w:t>11,780</w:t>
            </w:r>
          </w:p>
        </w:tc>
        <w:tc>
          <w:tcPr>
            <w:tcW w:w="964" w:type="dxa"/>
            <w:tcBorders>
              <w:top w:val="nil"/>
              <w:bottom w:val="nil"/>
            </w:tcBorders>
          </w:tcPr>
          <w:p w14:paraId="02C28134" w14:textId="77777777" w:rsidR="00B51828" w:rsidRPr="00BA0884" w:rsidRDefault="00B51828" w:rsidP="002101D2">
            <w:pPr>
              <w:pStyle w:val="Tabletextboldleft"/>
              <w:spacing w:before="20" w:after="20"/>
              <w:jc w:val="right"/>
              <w:rPr>
                <w:b w:val="0"/>
              </w:rPr>
            </w:pPr>
            <w:r w:rsidRPr="00BA0884">
              <w:rPr>
                <w:b w:val="0"/>
                <w:color w:val="000000"/>
              </w:rPr>
              <w:t>12,191</w:t>
            </w:r>
          </w:p>
        </w:tc>
        <w:tc>
          <w:tcPr>
            <w:tcW w:w="964" w:type="dxa"/>
            <w:tcBorders>
              <w:top w:val="nil"/>
              <w:bottom w:val="nil"/>
            </w:tcBorders>
          </w:tcPr>
          <w:p w14:paraId="7AE35A77" w14:textId="77777777" w:rsidR="00B51828" w:rsidRPr="00BA0884" w:rsidRDefault="00B51828" w:rsidP="002101D2">
            <w:pPr>
              <w:pStyle w:val="Tabletextboldleft"/>
              <w:spacing w:before="20" w:after="20"/>
              <w:jc w:val="right"/>
              <w:rPr>
                <w:b w:val="0"/>
              </w:rPr>
            </w:pPr>
            <w:r w:rsidRPr="00BA0884">
              <w:rPr>
                <w:b w:val="0"/>
                <w:color w:val="000000"/>
              </w:rPr>
              <w:t>12,603</w:t>
            </w:r>
          </w:p>
        </w:tc>
        <w:tc>
          <w:tcPr>
            <w:tcW w:w="964" w:type="dxa"/>
            <w:tcBorders>
              <w:top w:val="nil"/>
              <w:bottom w:val="nil"/>
            </w:tcBorders>
          </w:tcPr>
          <w:p w14:paraId="7F12785F" w14:textId="77777777" w:rsidR="00B51828" w:rsidRPr="00BA0884" w:rsidRDefault="00B51828" w:rsidP="002101D2">
            <w:pPr>
              <w:pStyle w:val="Tabletextboldleft"/>
              <w:spacing w:before="20" w:after="20"/>
              <w:jc w:val="right"/>
              <w:rPr>
                <w:b w:val="0"/>
              </w:rPr>
            </w:pPr>
            <w:r w:rsidRPr="00BA0884">
              <w:rPr>
                <w:b w:val="0"/>
                <w:color w:val="000000"/>
              </w:rPr>
              <w:t>13,015</w:t>
            </w:r>
          </w:p>
        </w:tc>
      </w:tr>
      <w:tr w:rsidR="00B51828" w:rsidRPr="00F647C7" w14:paraId="2412217E" w14:textId="77777777" w:rsidTr="00E61184">
        <w:trPr>
          <w:trHeight w:val="212"/>
        </w:trPr>
        <w:tc>
          <w:tcPr>
            <w:tcW w:w="3544" w:type="dxa"/>
            <w:tcBorders>
              <w:top w:val="nil"/>
              <w:bottom w:val="single" w:sz="4" w:space="0" w:color="auto"/>
            </w:tcBorders>
          </w:tcPr>
          <w:p w14:paraId="6E5B0A3E" w14:textId="77777777" w:rsidR="00B51828" w:rsidRPr="00F411CD" w:rsidRDefault="00B51828" w:rsidP="002101D2">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tcPr>
          <w:p w14:paraId="35A4E636" w14:textId="77777777" w:rsidR="00B51828" w:rsidRPr="00BA0884" w:rsidRDefault="00B51828" w:rsidP="002101D2">
            <w:pPr>
              <w:pStyle w:val="Tabletextboldleft"/>
              <w:spacing w:before="20" w:after="20"/>
              <w:jc w:val="right"/>
              <w:rPr>
                <w:b w:val="0"/>
              </w:rPr>
            </w:pPr>
            <w:r w:rsidRPr="00BA0884">
              <w:rPr>
                <w:b w:val="0"/>
                <w:color w:val="000000"/>
              </w:rPr>
              <w:t>11,368</w:t>
            </w:r>
          </w:p>
        </w:tc>
        <w:tc>
          <w:tcPr>
            <w:tcW w:w="964" w:type="dxa"/>
            <w:tcBorders>
              <w:top w:val="nil"/>
              <w:bottom w:val="single" w:sz="4" w:space="0" w:color="auto"/>
            </w:tcBorders>
          </w:tcPr>
          <w:p w14:paraId="12206F93" w14:textId="77777777" w:rsidR="00B51828" w:rsidRPr="00BA0884" w:rsidRDefault="00B51828" w:rsidP="002101D2">
            <w:pPr>
              <w:pStyle w:val="Tabletextboldleft"/>
              <w:spacing w:before="20" w:after="20"/>
              <w:jc w:val="right"/>
              <w:rPr>
                <w:b w:val="0"/>
              </w:rPr>
            </w:pPr>
            <w:r w:rsidRPr="00BA0884">
              <w:rPr>
                <w:b w:val="0"/>
                <w:color w:val="000000"/>
              </w:rPr>
              <w:t>11,780</w:t>
            </w:r>
          </w:p>
        </w:tc>
        <w:tc>
          <w:tcPr>
            <w:tcW w:w="964" w:type="dxa"/>
            <w:tcBorders>
              <w:top w:val="nil"/>
              <w:bottom w:val="single" w:sz="4" w:space="0" w:color="auto"/>
            </w:tcBorders>
          </w:tcPr>
          <w:p w14:paraId="01651899" w14:textId="77777777" w:rsidR="00B51828" w:rsidRPr="00BA0884" w:rsidRDefault="00B51828" w:rsidP="002101D2">
            <w:pPr>
              <w:pStyle w:val="Tabletextboldleft"/>
              <w:spacing w:before="20" w:after="20"/>
              <w:jc w:val="right"/>
              <w:rPr>
                <w:b w:val="0"/>
              </w:rPr>
            </w:pPr>
            <w:r w:rsidRPr="00BA0884">
              <w:rPr>
                <w:b w:val="0"/>
                <w:color w:val="000000"/>
              </w:rPr>
              <w:t>12,191</w:t>
            </w:r>
          </w:p>
        </w:tc>
        <w:tc>
          <w:tcPr>
            <w:tcW w:w="964" w:type="dxa"/>
            <w:tcBorders>
              <w:top w:val="nil"/>
              <w:bottom w:val="single" w:sz="4" w:space="0" w:color="auto"/>
            </w:tcBorders>
          </w:tcPr>
          <w:p w14:paraId="1E6D4FEB" w14:textId="77777777" w:rsidR="00B51828" w:rsidRPr="00BA0884" w:rsidRDefault="00B51828" w:rsidP="002101D2">
            <w:pPr>
              <w:pStyle w:val="Tabletextboldleft"/>
              <w:spacing w:before="20" w:after="20"/>
              <w:jc w:val="right"/>
              <w:rPr>
                <w:b w:val="0"/>
              </w:rPr>
            </w:pPr>
            <w:r w:rsidRPr="00BA0884">
              <w:rPr>
                <w:b w:val="0"/>
                <w:color w:val="000000"/>
              </w:rPr>
              <w:t>12,603</w:t>
            </w:r>
          </w:p>
        </w:tc>
        <w:tc>
          <w:tcPr>
            <w:tcW w:w="964" w:type="dxa"/>
            <w:tcBorders>
              <w:top w:val="nil"/>
              <w:bottom w:val="single" w:sz="4" w:space="0" w:color="auto"/>
            </w:tcBorders>
          </w:tcPr>
          <w:p w14:paraId="629FB5E6" w14:textId="77777777" w:rsidR="00B51828" w:rsidRPr="00BA0884" w:rsidRDefault="00B51828" w:rsidP="002101D2">
            <w:pPr>
              <w:pStyle w:val="Tabletextboldleft"/>
              <w:spacing w:before="20" w:after="20"/>
              <w:jc w:val="right"/>
              <w:rPr>
                <w:b w:val="0"/>
              </w:rPr>
            </w:pPr>
            <w:r w:rsidRPr="00BA0884">
              <w:rPr>
                <w:b w:val="0"/>
                <w:color w:val="000000"/>
              </w:rPr>
              <w:t>13,015</w:t>
            </w:r>
          </w:p>
        </w:tc>
      </w:tr>
      <w:tr w:rsidR="00BA0884" w:rsidRPr="00F647C7" w14:paraId="54F9D6C6" w14:textId="77777777" w:rsidTr="00E61184">
        <w:trPr>
          <w:trHeight w:val="212"/>
        </w:trPr>
        <w:tc>
          <w:tcPr>
            <w:tcW w:w="3544" w:type="dxa"/>
            <w:tcBorders>
              <w:bottom w:val="nil"/>
            </w:tcBorders>
          </w:tcPr>
          <w:p w14:paraId="669BB457" w14:textId="77777777" w:rsidR="00BA0884" w:rsidRPr="00F411CD" w:rsidRDefault="00BA0884" w:rsidP="00BA0884">
            <w:pPr>
              <w:pStyle w:val="Tabletextboldleft"/>
              <w:spacing w:before="20" w:after="20"/>
              <w:rPr>
                <w:b w:val="0"/>
              </w:rPr>
            </w:pPr>
            <w:r w:rsidRPr="00F411CD">
              <w:rPr>
                <w:b w:val="0"/>
              </w:rPr>
              <w:t>Non-gynaecological cytology</w:t>
            </w:r>
          </w:p>
        </w:tc>
        <w:tc>
          <w:tcPr>
            <w:tcW w:w="963" w:type="dxa"/>
            <w:tcBorders>
              <w:bottom w:val="nil"/>
            </w:tcBorders>
            <w:vAlign w:val="bottom"/>
          </w:tcPr>
          <w:p w14:paraId="7E625813" w14:textId="47BC3776" w:rsidR="00BA0884" w:rsidRPr="00BA0884" w:rsidRDefault="00BA0884" w:rsidP="00BA0884">
            <w:pPr>
              <w:pStyle w:val="Tabletextboldleft"/>
              <w:spacing w:before="20" w:after="20"/>
              <w:jc w:val="right"/>
              <w:rPr>
                <w:b w:val="0"/>
              </w:rPr>
            </w:pPr>
            <w:r w:rsidRPr="00BA0884">
              <w:rPr>
                <w:b w:val="0"/>
                <w:color w:val="000000"/>
              </w:rPr>
              <w:t>2,639</w:t>
            </w:r>
          </w:p>
        </w:tc>
        <w:tc>
          <w:tcPr>
            <w:tcW w:w="964" w:type="dxa"/>
            <w:tcBorders>
              <w:bottom w:val="nil"/>
            </w:tcBorders>
            <w:vAlign w:val="bottom"/>
          </w:tcPr>
          <w:p w14:paraId="1DD9D561" w14:textId="4EA91EBA" w:rsidR="00BA0884" w:rsidRPr="00BA0884" w:rsidRDefault="00BA0884" w:rsidP="00BA0884">
            <w:pPr>
              <w:pStyle w:val="Tabletextboldleft"/>
              <w:spacing w:before="20" w:after="20"/>
              <w:jc w:val="right"/>
              <w:rPr>
                <w:b w:val="0"/>
              </w:rPr>
            </w:pPr>
            <w:r w:rsidRPr="00BA0884">
              <w:rPr>
                <w:b w:val="0"/>
                <w:color w:val="000000"/>
              </w:rPr>
              <w:t>2,716</w:t>
            </w:r>
          </w:p>
        </w:tc>
        <w:tc>
          <w:tcPr>
            <w:tcW w:w="964" w:type="dxa"/>
            <w:tcBorders>
              <w:bottom w:val="nil"/>
            </w:tcBorders>
            <w:vAlign w:val="bottom"/>
          </w:tcPr>
          <w:p w14:paraId="48DBA31C" w14:textId="03E7B559" w:rsidR="00BA0884" w:rsidRPr="00BA0884" w:rsidRDefault="00BA0884" w:rsidP="00BA0884">
            <w:pPr>
              <w:pStyle w:val="Tabletextboldleft"/>
              <w:spacing w:before="20" w:after="20"/>
              <w:jc w:val="right"/>
              <w:rPr>
                <w:b w:val="0"/>
              </w:rPr>
            </w:pPr>
            <w:r w:rsidRPr="00BA0884">
              <w:rPr>
                <w:b w:val="0"/>
                <w:color w:val="000000"/>
              </w:rPr>
              <w:t>2,792</w:t>
            </w:r>
          </w:p>
        </w:tc>
        <w:tc>
          <w:tcPr>
            <w:tcW w:w="964" w:type="dxa"/>
            <w:tcBorders>
              <w:bottom w:val="nil"/>
            </w:tcBorders>
            <w:vAlign w:val="bottom"/>
          </w:tcPr>
          <w:p w14:paraId="2D0D3DD8" w14:textId="7C12698D" w:rsidR="00BA0884" w:rsidRPr="00BA0884" w:rsidRDefault="00BA0884" w:rsidP="00BA0884">
            <w:pPr>
              <w:pStyle w:val="Tabletextboldleft"/>
              <w:spacing w:before="20" w:after="20"/>
              <w:jc w:val="right"/>
              <w:rPr>
                <w:b w:val="0"/>
              </w:rPr>
            </w:pPr>
            <w:r w:rsidRPr="00BA0884">
              <w:rPr>
                <w:b w:val="0"/>
                <w:color w:val="000000"/>
              </w:rPr>
              <w:t>2,869</w:t>
            </w:r>
          </w:p>
        </w:tc>
        <w:tc>
          <w:tcPr>
            <w:tcW w:w="964" w:type="dxa"/>
            <w:tcBorders>
              <w:bottom w:val="nil"/>
            </w:tcBorders>
            <w:vAlign w:val="bottom"/>
          </w:tcPr>
          <w:p w14:paraId="700A44AF" w14:textId="5F825F6E" w:rsidR="00BA0884" w:rsidRPr="00BA0884" w:rsidRDefault="00BA0884" w:rsidP="00BA0884">
            <w:pPr>
              <w:pStyle w:val="Tabletextboldleft"/>
              <w:spacing w:before="20" w:after="20"/>
              <w:jc w:val="right"/>
              <w:rPr>
                <w:b w:val="0"/>
              </w:rPr>
            </w:pPr>
            <w:r w:rsidRPr="00BA0884">
              <w:rPr>
                <w:b w:val="0"/>
                <w:color w:val="000000"/>
              </w:rPr>
              <w:t>2,945</w:t>
            </w:r>
          </w:p>
        </w:tc>
      </w:tr>
      <w:tr w:rsidR="00B934E9" w:rsidRPr="00F647C7" w14:paraId="3184B857" w14:textId="77777777" w:rsidTr="00E61184">
        <w:trPr>
          <w:trHeight w:val="212"/>
        </w:trPr>
        <w:tc>
          <w:tcPr>
            <w:tcW w:w="3544" w:type="dxa"/>
            <w:tcBorders>
              <w:top w:val="nil"/>
              <w:bottom w:val="nil"/>
            </w:tcBorders>
          </w:tcPr>
          <w:p w14:paraId="0FB144AC" w14:textId="77777777" w:rsidR="00B934E9" w:rsidRPr="00F411CD" w:rsidRDefault="00B934E9" w:rsidP="00B934E9">
            <w:pPr>
              <w:pStyle w:val="Tabletextboldleft"/>
              <w:spacing w:before="20" w:after="20"/>
              <w:ind w:firstLine="317"/>
              <w:rPr>
                <w:b w:val="0"/>
              </w:rPr>
            </w:pPr>
            <w:r>
              <w:rPr>
                <w:b w:val="0"/>
              </w:rPr>
              <w:t>Ancillary tests</w:t>
            </w:r>
          </w:p>
        </w:tc>
        <w:tc>
          <w:tcPr>
            <w:tcW w:w="963" w:type="dxa"/>
            <w:tcBorders>
              <w:top w:val="nil"/>
              <w:bottom w:val="nil"/>
            </w:tcBorders>
            <w:vAlign w:val="bottom"/>
          </w:tcPr>
          <w:p w14:paraId="1EA42CB0" w14:textId="152EA675" w:rsidR="00B934E9" w:rsidRPr="00BA0884" w:rsidRDefault="00B934E9" w:rsidP="00B934E9">
            <w:pPr>
              <w:pStyle w:val="Tabletextboldleft"/>
              <w:spacing w:before="20" w:after="20"/>
              <w:jc w:val="right"/>
              <w:rPr>
                <w:b w:val="0"/>
              </w:rPr>
            </w:pPr>
            <w:r w:rsidRPr="00BA0884">
              <w:rPr>
                <w:b w:val="0"/>
                <w:color w:val="000000"/>
              </w:rPr>
              <w:t>162</w:t>
            </w:r>
          </w:p>
        </w:tc>
        <w:tc>
          <w:tcPr>
            <w:tcW w:w="964" w:type="dxa"/>
            <w:tcBorders>
              <w:top w:val="nil"/>
              <w:bottom w:val="nil"/>
            </w:tcBorders>
            <w:vAlign w:val="bottom"/>
          </w:tcPr>
          <w:p w14:paraId="1B532A3D" w14:textId="5CCB031D" w:rsidR="00B934E9" w:rsidRPr="00BA0884" w:rsidRDefault="00B934E9" w:rsidP="00B934E9">
            <w:pPr>
              <w:pStyle w:val="Tabletextboldleft"/>
              <w:spacing w:before="20" w:after="20"/>
              <w:jc w:val="right"/>
              <w:rPr>
                <w:b w:val="0"/>
              </w:rPr>
            </w:pPr>
            <w:r w:rsidRPr="00BA0884">
              <w:rPr>
                <w:b w:val="0"/>
                <w:color w:val="000000"/>
              </w:rPr>
              <w:t>167</w:t>
            </w:r>
          </w:p>
        </w:tc>
        <w:tc>
          <w:tcPr>
            <w:tcW w:w="964" w:type="dxa"/>
            <w:tcBorders>
              <w:top w:val="nil"/>
              <w:bottom w:val="nil"/>
            </w:tcBorders>
            <w:vAlign w:val="bottom"/>
          </w:tcPr>
          <w:p w14:paraId="608838E1" w14:textId="7B340D93" w:rsidR="00B934E9" w:rsidRPr="00BA0884" w:rsidRDefault="00B934E9" w:rsidP="00B934E9">
            <w:pPr>
              <w:pStyle w:val="Tabletextboldleft"/>
              <w:spacing w:before="20" w:after="20"/>
              <w:jc w:val="right"/>
              <w:rPr>
                <w:b w:val="0"/>
              </w:rPr>
            </w:pPr>
            <w:r w:rsidRPr="00BA0884">
              <w:rPr>
                <w:b w:val="0"/>
                <w:color w:val="000000"/>
              </w:rPr>
              <w:t>171</w:t>
            </w:r>
          </w:p>
        </w:tc>
        <w:tc>
          <w:tcPr>
            <w:tcW w:w="964" w:type="dxa"/>
            <w:tcBorders>
              <w:top w:val="nil"/>
              <w:bottom w:val="nil"/>
            </w:tcBorders>
            <w:vAlign w:val="bottom"/>
          </w:tcPr>
          <w:p w14:paraId="64FAFDF5" w14:textId="0350EF3C" w:rsidR="00B934E9" w:rsidRPr="00BA0884" w:rsidRDefault="00B934E9" w:rsidP="00B934E9">
            <w:pPr>
              <w:pStyle w:val="Tabletextboldleft"/>
              <w:spacing w:before="20" w:after="20"/>
              <w:jc w:val="right"/>
              <w:rPr>
                <w:b w:val="0"/>
              </w:rPr>
            </w:pPr>
            <w:r w:rsidRPr="00BA0884">
              <w:rPr>
                <w:b w:val="0"/>
                <w:color w:val="000000"/>
              </w:rPr>
              <w:t>176</w:t>
            </w:r>
          </w:p>
        </w:tc>
        <w:tc>
          <w:tcPr>
            <w:tcW w:w="964" w:type="dxa"/>
            <w:tcBorders>
              <w:top w:val="nil"/>
              <w:bottom w:val="nil"/>
            </w:tcBorders>
            <w:vAlign w:val="bottom"/>
          </w:tcPr>
          <w:p w14:paraId="0BED8144" w14:textId="5879495E" w:rsidR="00B934E9" w:rsidRPr="00BA0884" w:rsidRDefault="00B934E9" w:rsidP="00B934E9">
            <w:pPr>
              <w:pStyle w:val="Tabletextboldleft"/>
              <w:spacing w:before="20" w:after="20"/>
              <w:jc w:val="right"/>
              <w:rPr>
                <w:b w:val="0"/>
              </w:rPr>
            </w:pPr>
            <w:r w:rsidRPr="00BA0884">
              <w:rPr>
                <w:b w:val="0"/>
                <w:color w:val="000000"/>
              </w:rPr>
              <w:t>181</w:t>
            </w:r>
          </w:p>
        </w:tc>
      </w:tr>
      <w:tr w:rsidR="00B934E9" w:rsidRPr="00F647C7" w14:paraId="43D5E366" w14:textId="77777777" w:rsidTr="00E61184">
        <w:trPr>
          <w:trHeight w:val="212"/>
        </w:trPr>
        <w:tc>
          <w:tcPr>
            <w:tcW w:w="3544" w:type="dxa"/>
            <w:tcBorders>
              <w:top w:val="nil"/>
              <w:bottom w:val="nil"/>
            </w:tcBorders>
          </w:tcPr>
          <w:p w14:paraId="4BA0A2A5" w14:textId="77777777" w:rsidR="00B934E9" w:rsidRPr="00F411CD" w:rsidRDefault="00B934E9" w:rsidP="00B934E9">
            <w:pPr>
              <w:pStyle w:val="Tabletextboldleft"/>
              <w:spacing w:before="20" w:after="20"/>
              <w:ind w:firstLine="317"/>
              <w:rPr>
                <w:b w:val="0"/>
              </w:rPr>
            </w:pPr>
            <w:r>
              <w:rPr>
                <w:b w:val="0"/>
              </w:rPr>
              <w:t>Specimen referred fee (MBS 73940)</w:t>
            </w:r>
          </w:p>
        </w:tc>
        <w:tc>
          <w:tcPr>
            <w:tcW w:w="963" w:type="dxa"/>
            <w:tcBorders>
              <w:top w:val="nil"/>
              <w:bottom w:val="nil"/>
            </w:tcBorders>
            <w:vAlign w:val="bottom"/>
          </w:tcPr>
          <w:p w14:paraId="6C8C60E4" w14:textId="1EDC3B36" w:rsidR="00B934E9" w:rsidRPr="00BA0884" w:rsidRDefault="00B934E9" w:rsidP="00B934E9">
            <w:pPr>
              <w:pStyle w:val="Tabletextboldleft"/>
              <w:spacing w:before="20" w:after="20"/>
              <w:jc w:val="right"/>
              <w:rPr>
                <w:b w:val="0"/>
              </w:rPr>
            </w:pPr>
            <w:r w:rsidRPr="00BA0884">
              <w:rPr>
                <w:b w:val="0"/>
              </w:rPr>
              <w:t>1,239</w:t>
            </w:r>
          </w:p>
        </w:tc>
        <w:tc>
          <w:tcPr>
            <w:tcW w:w="964" w:type="dxa"/>
            <w:tcBorders>
              <w:top w:val="nil"/>
              <w:bottom w:val="nil"/>
            </w:tcBorders>
            <w:vAlign w:val="bottom"/>
          </w:tcPr>
          <w:p w14:paraId="606DF992" w14:textId="5EA6E2FC" w:rsidR="00B934E9" w:rsidRPr="00BA0884" w:rsidRDefault="00B934E9" w:rsidP="00B934E9">
            <w:pPr>
              <w:pStyle w:val="Tabletextboldleft"/>
              <w:spacing w:before="20" w:after="20"/>
              <w:jc w:val="right"/>
              <w:rPr>
                <w:b w:val="0"/>
              </w:rPr>
            </w:pPr>
            <w:r w:rsidRPr="00BA0884">
              <w:rPr>
                <w:b w:val="0"/>
              </w:rPr>
              <w:t>1,275</w:t>
            </w:r>
          </w:p>
        </w:tc>
        <w:tc>
          <w:tcPr>
            <w:tcW w:w="964" w:type="dxa"/>
            <w:tcBorders>
              <w:top w:val="nil"/>
              <w:bottom w:val="nil"/>
            </w:tcBorders>
            <w:vAlign w:val="bottom"/>
          </w:tcPr>
          <w:p w14:paraId="760C41DC" w14:textId="265D3ABC" w:rsidR="00B934E9" w:rsidRPr="00BA0884" w:rsidRDefault="00B934E9" w:rsidP="00B934E9">
            <w:pPr>
              <w:pStyle w:val="Tabletextboldleft"/>
              <w:spacing w:before="20" w:after="20"/>
              <w:jc w:val="right"/>
              <w:rPr>
                <w:b w:val="0"/>
              </w:rPr>
            </w:pPr>
            <w:r w:rsidRPr="00BA0884">
              <w:rPr>
                <w:b w:val="0"/>
              </w:rPr>
              <w:t>1,310</w:t>
            </w:r>
          </w:p>
        </w:tc>
        <w:tc>
          <w:tcPr>
            <w:tcW w:w="964" w:type="dxa"/>
            <w:tcBorders>
              <w:top w:val="nil"/>
              <w:bottom w:val="nil"/>
            </w:tcBorders>
            <w:vAlign w:val="bottom"/>
          </w:tcPr>
          <w:p w14:paraId="4F477D5F" w14:textId="4395056E" w:rsidR="00B934E9" w:rsidRPr="00BA0884" w:rsidRDefault="00B934E9" w:rsidP="00B934E9">
            <w:pPr>
              <w:pStyle w:val="Tabletextboldleft"/>
              <w:spacing w:before="20" w:after="20"/>
              <w:jc w:val="right"/>
              <w:rPr>
                <w:b w:val="0"/>
              </w:rPr>
            </w:pPr>
            <w:r w:rsidRPr="00BA0884">
              <w:rPr>
                <w:b w:val="0"/>
              </w:rPr>
              <w:t>1,346</w:t>
            </w:r>
          </w:p>
        </w:tc>
        <w:tc>
          <w:tcPr>
            <w:tcW w:w="964" w:type="dxa"/>
            <w:tcBorders>
              <w:top w:val="nil"/>
              <w:bottom w:val="nil"/>
            </w:tcBorders>
            <w:vAlign w:val="bottom"/>
          </w:tcPr>
          <w:p w14:paraId="04A18772" w14:textId="1D5D2C95" w:rsidR="00B934E9" w:rsidRPr="00BA0884" w:rsidRDefault="00B934E9" w:rsidP="00B934E9">
            <w:pPr>
              <w:pStyle w:val="Tabletextboldleft"/>
              <w:spacing w:before="20" w:after="20"/>
              <w:jc w:val="right"/>
              <w:rPr>
                <w:b w:val="0"/>
              </w:rPr>
            </w:pPr>
            <w:r w:rsidRPr="00BA0884">
              <w:rPr>
                <w:b w:val="0"/>
              </w:rPr>
              <w:t>1,382</w:t>
            </w:r>
          </w:p>
        </w:tc>
      </w:tr>
      <w:tr w:rsidR="00B934E9" w:rsidRPr="00F647C7" w14:paraId="0E8ABE32" w14:textId="77777777" w:rsidTr="00E61184">
        <w:trPr>
          <w:trHeight w:val="212"/>
        </w:trPr>
        <w:tc>
          <w:tcPr>
            <w:tcW w:w="3544" w:type="dxa"/>
            <w:tcBorders>
              <w:top w:val="nil"/>
              <w:bottom w:val="single" w:sz="4" w:space="0" w:color="auto"/>
            </w:tcBorders>
          </w:tcPr>
          <w:p w14:paraId="7F81A8BA" w14:textId="77777777" w:rsidR="00B934E9" w:rsidRPr="00F411CD" w:rsidRDefault="00B934E9" w:rsidP="00B934E9">
            <w:pPr>
              <w:pStyle w:val="Tabletextboldleft"/>
              <w:spacing w:before="20" w:after="20"/>
              <w:ind w:firstLine="317"/>
              <w:rPr>
                <w:b w:val="0"/>
              </w:rPr>
            </w:pPr>
            <w:r>
              <w:rPr>
                <w:b w:val="0"/>
              </w:rPr>
              <w:t>Bulk billing incentive (MBS 74996)</w:t>
            </w:r>
          </w:p>
        </w:tc>
        <w:tc>
          <w:tcPr>
            <w:tcW w:w="963" w:type="dxa"/>
            <w:tcBorders>
              <w:top w:val="nil"/>
              <w:bottom w:val="single" w:sz="4" w:space="0" w:color="auto"/>
            </w:tcBorders>
            <w:vAlign w:val="bottom"/>
          </w:tcPr>
          <w:p w14:paraId="2C32DE42" w14:textId="5551A591" w:rsidR="00B934E9" w:rsidRPr="00BA0884" w:rsidRDefault="00B934E9" w:rsidP="00B934E9">
            <w:pPr>
              <w:pStyle w:val="Tabletextboldleft"/>
              <w:spacing w:before="20" w:after="20"/>
              <w:jc w:val="right"/>
              <w:rPr>
                <w:b w:val="0"/>
              </w:rPr>
            </w:pPr>
            <w:r w:rsidRPr="00BA0884">
              <w:rPr>
                <w:b w:val="0"/>
              </w:rPr>
              <w:t>1,239</w:t>
            </w:r>
          </w:p>
        </w:tc>
        <w:tc>
          <w:tcPr>
            <w:tcW w:w="964" w:type="dxa"/>
            <w:tcBorders>
              <w:top w:val="nil"/>
              <w:bottom w:val="single" w:sz="4" w:space="0" w:color="auto"/>
            </w:tcBorders>
            <w:vAlign w:val="bottom"/>
          </w:tcPr>
          <w:p w14:paraId="36855907" w14:textId="785D2192" w:rsidR="00B934E9" w:rsidRPr="00BA0884" w:rsidRDefault="00B934E9" w:rsidP="00B934E9">
            <w:pPr>
              <w:pStyle w:val="Tabletextboldleft"/>
              <w:spacing w:before="20" w:after="20"/>
              <w:jc w:val="right"/>
              <w:rPr>
                <w:b w:val="0"/>
              </w:rPr>
            </w:pPr>
            <w:r w:rsidRPr="00BA0884">
              <w:rPr>
                <w:b w:val="0"/>
              </w:rPr>
              <w:t>1,275</w:t>
            </w:r>
          </w:p>
        </w:tc>
        <w:tc>
          <w:tcPr>
            <w:tcW w:w="964" w:type="dxa"/>
            <w:tcBorders>
              <w:top w:val="nil"/>
              <w:bottom w:val="single" w:sz="4" w:space="0" w:color="auto"/>
            </w:tcBorders>
            <w:vAlign w:val="bottom"/>
          </w:tcPr>
          <w:p w14:paraId="34B52D39" w14:textId="0295E573" w:rsidR="00B934E9" w:rsidRPr="00BA0884" w:rsidRDefault="00B934E9" w:rsidP="00B934E9">
            <w:pPr>
              <w:pStyle w:val="Tabletextboldleft"/>
              <w:spacing w:before="20" w:after="20"/>
              <w:jc w:val="right"/>
              <w:rPr>
                <w:b w:val="0"/>
              </w:rPr>
            </w:pPr>
            <w:r w:rsidRPr="00BA0884">
              <w:rPr>
                <w:b w:val="0"/>
              </w:rPr>
              <w:t>1,310</w:t>
            </w:r>
          </w:p>
        </w:tc>
        <w:tc>
          <w:tcPr>
            <w:tcW w:w="964" w:type="dxa"/>
            <w:tcBorders>
              <w:top w:val="nil"/>
              <w:bottom w:val="single" w:sz="4" w:space="0" w:color="auto"/>
            </w:tcBorders>
            <w:vAlign w:val="bottom"/>
          </w:tcPr>
          <w:p w14:paraId="2594A8B8" w14:textId="756E358C" w:rsidR="00B934E9" w:rsidRPr="00BA0884" w:rsidRDefault="00B934E9" w:rsidP="00B934E9">
            <w:pPr>
              <w:pStyle w:val="Tabletextboldleft"/>
              <w:spacing w:before="20" w:after="20"/>
              <w:jc w:val="right"/>
              <w:rPr>
                <w:b w:val="0"/>
              </w:rPr>
            </w:pPr>
            <w:r w:rsidRPr="00BA0884">
              <w:rPr>
                <w:b w:val="0"/>
              </w:rPr>
              <w:t>1,346</w:t>
            </w:r>
          </w:p>
        </w:tc>
        <w:tc>
          <w:tcPr>
            <w:tcW w:w="964" w:type="dxa"/>
            <w:tcBorders>
              <w:top w:val="nil"/>
              <w:bottom w:val="single" w:sz="4" w:space="0" w:color="auto"/>
            </w:tcBorders>
            <w:vAlign w:val="bottom"/>
          </w:tcPr>
          <w:p w14:paraId="5319597C" w14:textId="1E887598" w:rsidR="00B934E9" w:rsidRPr="00BA0884" w:rsidRDefault="00B934E9" w:rsidP="00B934E9">
            <w:pPr>
              <w:pStyle w:val="Tabletextboldleft"/>
              <w:spacing w:before="20" w:after="20"/>
              <w:jc w:val="right"/>
              <w:rPr>
                <w:b w:val="0"/>
              </w:rPr>
            </w:pPr>
            <w:r w:rsidRPr="00BA0884">
              <w:rPr>
                <w:b w:val="0"/>
              </w:rPr>
              <w:t>1,382</w:t>
            </w:r>
          </w:p>
        </w:tc>
      </w:tr>
      <w:tr w:rsidR="00BA0884" w:rsidRPr="00F647C7" w14:paraId="683ECD63" w14:textId="77777777" w:rsidTr="00E61184">
        <w:trPr>
          <w:trHeight w:val="212"/>
        </w:trPr>
        <w:tc>
          <w:tcPr>
            <w:tcW w:w="3544" w:type="dxa"/>
            <w:tcBorders>
              <w:bottom w:val="nil"/>
            </w:tcBorders>
          </w:tcPr>
          <w:p w14:paraId="7BAF36F6" w14:textId="77777777" w:rsidR="00BA0884" w:rsidRPr="00F411CD" w:rsidRDefault="00BA0884" w:rsidP="00BA0884">
            <w:pPr>
              <w:pStyle w:val="Tabletextboldleft"/>
              <w:spacing w:before="20" w:after="20"/>
              <w:rPr>
                <w:b w:val="0"/>
              </w:rPr>
            </w:pPr>
            <w:r>
              <w:rPr>
                <w:b w:val="0"/>
              </w:rPr>
              <w:t>All cytology</w:t>
            </w:r>
          </w:p>
        </w:tc>
        <w:tc>
          <w:tcPr>
            <w:tcW w:w="963" w:type="dxa"/>
            <w:tcBorders>
              <w:bottom w:val="nil"/>
            </w:tcBorders>
            <w:vAlign w:val="bottom"/>
          </w:tcPr>
          <w:p w14:paraId="0BDC816B" w14:textId="1B625A3B" w:rsidR="00BA0884" w:rsidRPr="00BA0884" w:rsidRDefault="00BA0884" w:rsidP="00BA0884">
            <w:pPr>
              <w:pStyle w:val="Tabletextboldleft"/>
              <w:spacing w:before="20" w:after="20"/>
              <w:jc w:val="right"/>
              <w:rPr>
                <w:b w:val="0"/>
              </w:rPr>
            </w:pPr>
            <w:r w:rsidRPr="00BA0884">
              <w:rPr>
                <w:b w:val="0"/>
                <w:color w:val="000000"/>
              </w:rPr>
              <w:t>20,994</w:t>
            </w:r>
          </w:p>
        </w:tc>
        <w:tc>
          <w:tcPr>
            <w:tcW w:w="964" w:type="dxa"/>
            <w:tcBorders>
              <w:bottom w:val="nil"/>
            </w:tcBorders>
            <w:vAlign w:val="bottom"/>
          </w:tcPr>
          <w:p w14:paraId="255D97B3" w14:textId="6BA474B7" w:rsidR="00BA0884" w:rsidRPr="00BA0884" w:rsidRDefault="00BA0884" w:rsidP="00BA0884">
            <w:pPr>
              <w:pStyle w:val="Tabletextboldleft"/>
              <w:spacing w:before="20" w:after="20"/>
              <w:jc w:val="right"/>
              <w:rPr>
                <w:b w:val="0"/>
              </w:rPr>
            </w:pPr>
            <w:r w:rsidRPr="00BA0884">
              <w:rPr>
                <w:b w:val="0"/>
                <w:color w:val="000000"/>
              </w:rPr>
              <w:t>21,223</w:t>
            </w:r>
          </w:p>
        </w:tc>
        <w:tc>
          <w:tcPr>
            <w:tcW w:w="964" w:type="dxa"/>
            <w:tcBorders>
              <w:bottom w:val="nil"/>
            </w:tcBorders>
            <w:vAlign w:val="bottom"/>
          </w:tcPr>
          <w:p w14:paraId="12917FDA" w14:textId="6D9C750D" w:rsidR="00BA0884" w:rsidRPr="00BA0884" w:rsidRDefault="00BA0884" w:rsidP="00BA0884">
            <w:pPr>
              <w:pStyle w:val="Tabletextboldleft"/>
              <w:spacing w:before="20" w:after="20"/>
              <w:jc w:val="right"/>
              <w:rPr>
                <w:b w:val="0"/>
              </w:rPr>
            </w:pPr>
            <w:r w:rsidRPr="00BA0884">
              <w:rPr>
                <w:b w:val="0"/>
                <w:color w:val="000000"/>
              </w:rPr>
              <w:t>21,453</w:t>
            </w:r>
          </w:p>
        </w:tc>
        <w:tc>
          <w:tcPr>
            <w:tcW w:w="964" w:type="dxa"/>
            <w:tcBorders>
              <w:bottom w:val="nil"/>
            </w:tcBorders>
            <w:vAlign w:val="bottom"/>
          </w:tcPr>
          <w:p w14:paraId="72E28F28" w14:textId="04CBBC89" w:rsidR="00BA0884" w:rsidRPr="00BA0884" w:rsidRDefault="00BA0884" w:rsidP="00BA0884">
            <w:pPr>
              <w:pStyle w:val="Tabletextboldleft"/>
              <w:spacing w:before="20" w:after="20"/>
              <w:jc w:val="right"/>
              <w:rPr>
                <w:b w:val="0"/>
              </w:rPr>
            </w:pPr>
            <w:r w:rsidRPr="00BA0884">
              <w:rPr>
                <w:b w:val="0"/>
                <w:color w:val="000000"/>
              </w:rPr>
              <w:t>21,682</w:t>
            </w:r>
          </w:p>
        </w:tc>
        <w:tc>
          <w:tcPr>
            <w:tcW w:w="964" w:type="dxa"/>
            <w:tcBorders>
              <w:bottom w:val="nil"/>
            </w:tcBorders>
            <w:vAlign w:val="bottom"/>
          </w:tcPr>
          <w:p w14:paraId="789ADDE0" w14:textId="56D86B9E" w:rsidR="00BA0884" w:rsidRPr="00BA0884" w:rsidRDefault="00BA0884" w:rsidP="00BA0884">
            <w:pPr>
              <w:pStyle w:val="Tabletextboldleft"/>
              <w:spacing w:before="20" w:after="20"/>
              <w:jc w:val="right"/>
              <w:rPr>
                <w:b w:val="0"/>
              </w:rPr>
            </w:pPr>
            <w:r w:rsidRPr="00BA0884">
              <w:rPr>
                <w:b w:val="0"/>
                <w:color w:val="000000"/>
              </w:rPr>
              <w:t>21,912</w:t>
            </w:r>
          </w:p>
        </w:tc>
      </w:tr>
      <w:tr w:rsidR="00B934E9" w:rsidRPr="00F647C7" w14:paraId="2ADC852F" w14:textId="77777777" w:rsidTr="00E61184">
        <w:trPr>
          <w:trHeight w:val="212"/>
        </w:trPr>
        <w:tc>
          <w:tcPr>
            <w:tcW w:w="3544" w:type="dxa"/>
            <w:tcBorders>
              <w:top w:val="nil"/>
              <w:bottom w:val="nil"/>
            </w:tcBorders>
          </w:tcPr>
          <w:p w14:paraId="4C5A4846" w14:textId="77777777" w:rsidR="00B934E9" w:rsidRPr="00F411CD" w:rsidRDefault="00B934E9" w:rsidP="00B934E9">
            <w:pPr>
              <w:pStyle w:val="Tabletextboldleft"/>
              <w:spacing w:before="20" w:after="20"/>
              <w:ind w:firstLine="317"/>
              <w:rPr>
                <w:b w:val="0"/>
              </w:rPr>
            </w:pPr>
            <w:r>
              <w:rPr>
                <w:b w:val="0"/>
              </w:rPr>
              <w:t>Ancillary tests</w:t>
            </w:r>
          </w:p>
        </w:tc>
        <w:tc>
          <w:tcPr>
            <w:tcW w:w="963" w:type="dxa"/>
            <w:tcBorders>
              <w:top w:val="nil"/>
              <w:bottom w:val="nil"/>
            </w:tcBorders>
            <w:vAlign w:val="bottom"/>
          </w:tcPr>
          <w:p w14:paraId="3E938231" w14:textId="4F3F7A13" w:rsidR="00B934E9" w:rsidRPr="00BA0884" w:rsidRDefault="00B934E9" w:rsidP="00B934E9">
            <w:pPr>
              <w:pStyle w:val="Tabletextboldleft"/>
              <w:spacing w:before="20" w:after="20"/>
              <w:jc w:val="right"/>
              <w:rPr>
                <w:b w:val="0"/>
              </w:rPr>
            </w:pPr>
            <w:r w:rsidRPr="00BA0884">
              <w:rPr>
                <w:b w:val="0"/>
                <w:color w:val="000000"/>
              </w:rPr>
              <w:t>1,289</w:t>
            </w:r>
          </w:p>
        </w:tc>
        <w:tc>
          <w:tcPr>
            <w:tcW w:w="964" w:type="dxa"/>
            <w:tcBorders>
              <w:top w:val="nil"/>
              <w:bottom w:val="nil"/>
            </w:tcBorders>
            <w:vAlign w:val="bottom"/>
          </w:tcPr>
          <w:p w14:paraId="3BF666B2" w14:textId="62DDDFEA" w:rsidR="00B934E9" w:rsidRPr="00BA0884" w:rsidRDefault="00B934E9" w:rsidP="00B934E9">
            <w:pPr>
              <w:pStyle w:val="Tabletextboldleft"/>
              <w:spacing w:before="20" w:after="20"/>
              <w:jc w:val="right"/>
              <w:rPr>
                <w:b w:val="0"/>
              </w:rPr>
            </w:pPr>
            <w:r w:rsidRPr="00BA0884">
              <w:rPr>
                <w:b w:val="0"/>
                <w:color w:val="000000"/>
              </w:rPr>
              <w:t>1,303</w:t>
            </w:r>
          </w:p>
        </w:tc>
        <w:tc>
          <w:tcPr>
            <w:tcW w:w="964" w:type="dxa"/>
            <w:tcBorders>
              <w:top w:val="nil"/>
              <w:bottom w:val="nil"/>
            </w:tcBorders>
            <w:vAlign w:val="bottom"/>
          </w:tcPr>
          <w:p w14:paraId="76CE8CC8" w14:textId="69955391" w:rsidR="00B934E9" w:rsidRPr="00BA0884" w:rsidRDefault="00B934E9" w:rsidP="00B934E9">
            <w:pPr>
              <w:pStyle w:val="Tabletextboldleft"/>
              <w:spacing w:before="20" w:after="20"/>
              <w:jc w:val="right"/>
              <w:rPr>
                <w:b w:val="0"/>
              </w:rPr>
            </w:pPr>
            <w:r w:rsidRPr="00BA0884">
              <w:rPr>
                <w:b w:val="0"/>
                <w:color w:val="000000"/>
              </w:rPr>
              <w:t>1,317</w:t>
            </w:r>
          </w:p>
        </w:tc>
        <w:tc>
          <w:tcPr>
            <w:tcW w:w="964" w:type="dxa"/>
            <w:tcBorders>
              <w:top w:val="nil"/>
              <w:bottom w:val="nil"/>
            </w:tcBorders>
            <w:vAlign w:val="bottom"/>
          </w:tcPr>
          <w:p w14:paraId="6CFBD7DA" w14:textId="2EB6D461" w:rsidR="00B934E9" w:rsidRPr="00BA0884" w:rsidRDefault="00B934E9" w:rsidP="00B934E9">
            <w:pPr>
              <w:pStyle w:val="Tabletextboldleft"/>
              <w:spacing w:before="20" w:after="20"/>
              <w:jc w:val="right"/>
              <w:rPr>
                <w:b w:val="0"/>
              </w:rPr>
            </w:pPr>
            <w:r w:rsidRPr="00BA0884">
              <w:rPr>
                <w:b w:val="0"/>
                <w:color w:val="000000"/>
              </w:rPr>
              <w:t>1,331</w:t>
            </w:r>
          </w:p>
        </w:tc>
        <w:tc>
          <w:tcPr>
            <w:tcW w:w="964" w:type="dxa"/>
            <w:tcBorders>
              <w:top w:val="nil"/>
              <w:bottom w:val="nil"/>
            </w:tcBorders>
            <w:vAlign w:val="bottom"/>
          </w:tcPr>
          <w:p w14:paraId="1494C880" w14:textId="56699718" w:rsidR="00B934E9" w:rsidRPr="00BA0884" w:rsidRDefault="00B934E9" w:rsidP="00B934E9">
            <w:pPr>
              <w:pStyle w:val="Tabletextboldleft"/>
              <w:spacing w:before="20" w:after="20"/>
              <w:jc w:val="right"/>
              <w:rPr>
                <w:b w:val="0"/>
              </w:rPr>
            </w:pPr>
            <w:r w:rsidRPr="00BA0884">
              <w:rPr>
                <w:b w:val="0"/>
                <w:color w:val="000000"/>
              </w:rPr>
              <w:t>1,345</w:t>
            </w:r>
          </w:p>
        </w:tc>
      </w:tr>
      <w:tr w:rsidR="00B934E9" w:rsidRPr="00F647C7" w14:paraId="2FB069D6" w14:textId="77777777" w:rsidTr="00E61184">
        <w:trPr>
          <w:trHeight w:val="212"/>
        </w:trPr>
        <w:tc>
          <w:tcPr>
            <w:tcW w:w="3544" w:type="dxa"/>
            <w:tcBorders>
              <w:top w:val="nil"/>
              <w:bottom w:val="nil"/>
            </w:tcBorders>
          </w:tcPr>
          <w:p w14:paraId="68EE15C4" w14:textId="77777777" w:rsidR="00B934E9" w:rsidRPr="00F411CD" w:rsidRDefault="00B934E9" w:rsidP="00B934E9">
            <w:pPr>
              <w:pStyle w:val="Tabletextboldleft"/>
              <w:spacing w:before="20" w:after="20"/>
              <w:ind w:firstLine="317"/>
              <w:rPr>
                <w:b w:val="0"/>
              </w:rPr>
            </w:pPr>
            <w:r>
              <w:rPr>
                <w:b w:val="0"/>
              </w:rPr>
              <w:t>Specimen referred fee (MBS 73940)</w:t>
            </w:r>
          </w:p>
        </w:tc>
        <w:tc>
          <w:tcPr>
            <w:tcW w:w="963" w:type="dxa"/>
            <w:tcBorders>
              <w:top w:val="nil"/>
              <w:bottom w:val="nil"/>
            </w:tcBorders>
            <w:vAlign w:val="bottom"/>
          </w:tcPr>
          <w:p w14:paraId="10C5FB2A" w14:textId="26446FA5" w:rsidR="00B934E9" w:rsidRPr="00BA0884" w:rsidRDefault="00B934E9" w:rsidP="00B934E9">
            <w:pPr>
              <w:pStyle w:val="Tabletextboldleft"/>
              <w:spacing w:before="20" w:after="20"/>
              <w:jc w:val="right"/>
              <w:rPr>
                <w:b w:val="0"/>
              </w:rPr>
            </w:pPr>
            <w:r w:rsidRPr="00BA0884">
              <w:rPr>
                <w:b w:val="0"/>
              </w:rPr>
              <w:t>9,853</w:t>
            </w:r>
          </w:p>
        </w:tc>
        <w:tc>
          <w:tcPr>
            <w:tcW w:w="964" w:type="dxa"/>
            <w:tcBorders>
              <w:top w:val="nil"/>
              <w:bottom w:val="nil"/>
            </w:tcBorders>
            <w:vAlign w:val="bottom"/>
          </w:tcPr>
          <w:p w14:paraId="16413082" w14:textId="68BF9879" w:rsidR="00B934E9" w:rsidRPr="00BA0884" w:rsidRDefault="00B934E9" w:rsidP="00B934E9">
            <w:pPr>
              <w:pStyle w:val="Tabletextboldleft"/>
              <w:spacing w:before="20" w:after="20"/>
              <w:jc w:val="right"/>
              <w:rPr>
                <w:b w:val="0"/>
              </w:rPr>
            </w:pPr>
            <w:r w:rsidRPr="00BA0884">
              <w:rPr>
                <w:b w:val="0"/>
              </w:rPr>
              <w:t>9,960</w:t>
            </w:r>
          </w:p>
        </w:tc>
        <w:tc>
          <w:tcPr>
            <w:tcW w:w="964" w:type="dxa"/>
            <w:tcBorders>
              <w:top w:val="nil"/>
              <w:bottom w:val="nil"/>
            </w:tcBorders>
            <w:vAlign w:val="bottom"/>
          </w:tcPr>
          <w:p w14:paraId="5DEEB22F" w14:textId="29E198F0" w:rsidR="00B934E9" w:rsidRPr="00BA0884" w:rsidRDefault="00B934E9" w:rsidP="00B934E9">
            <w:pPr>
              <w:pStyle w:val="Tabletextboldleft"/>
              <w:spacing w:before="20" w:after="20"/>
              <w:jc w:val="right"/>
              <w:rPr>
                <w:b w:val="0"/>
              </w:rPr>
            </w:pPr>
            <w:r w:rsidRPr="00BA0884">
              <w:rPr>
                <w:b w:val="0"/>
              </w:rPr>
              <w:t>10,068</w:t>
            </w:r>
          </w:p>
        </w:tc>
        <w:tc>
          <w:tcPr>
            <w:tcW w:w="964" w:type="dxa"/>
            <w:tcBorders>
              <w:top w:val="nil"/>
              <w:bottom w:val="nil"/>
            </w:tcBorders>
            <w:vAlign w:val="bottom"/>
          </w:tcPr>
          <w:p w14:paraId="29368F71" w14:textId="0D59DA92" w:rsidR="00B934E9" w:rsidRPr="00BA0884" w:rsidRDefault="00B934E9" w:rsidP="00B934E9">
            <w:pPr>
              <w:pStyle w:val="Tabletextboldleft"/>
              <w:spacing w:before="20" w:after="20"/>
              <w:jc w:val="right"/>
              <w:rPr>
                <w:b w:val="0"/>
              </w:rPr>
            </w:pPr>
            <w:r w:rsidRPr="00BA0884">
              <w:rPr>
                <w:b w:val="0"/>
              </w:rPr>
              <w:t>10,176</w:t>
            </w:r>
          </w:p>
        </w:tc>
        <w:tc>
          <w:tcPr>
            <w:tcW w:w="964" w:type="dxa"/>
            <w:tcBorders>
              <w:top w:val="nil"/>
              <w:bottom w:val="nil"/>
            </w:tcBorders>
            <w:vAlign w:val="bottom"/>
          </w:tcPr>
          <w:p w14:paraId="2D2997C7" w14:textId="0FF2C9F5" w:rsidR="00B934E9" w:rsidRPr="00BA0884" w:rsidRDefault="00B934E9" w:rsidP="00B934E9">
            <w:pPr>
              <w:pStyle w:val="Tabletextboldleft"/>
              <w:spacing w:before="20" w:after="20"/>
              <w:jc w:val="right"/>
              <w:rPr>
                <w:b w:val="0"/>
              </w:rPr>
            </w:pPr>
            <w:r w:rsidRPr="00BA0884">
              <w:rPr>
                <w:b w:val="0"/>
              </w:rPr>
              <w:t>10,283</w:t>
            </w:r>
          </w:p>
        </w:tc>
      </w:tr>
      <w:tr w:rsidR="00B934E9" w:rsidRPr="00F647C7" w14:paraId="1B2DA444" w14:textId="77777777" w:rsidTr="00E61184">
        <w:trPr>
          <w:trHeight w:val="212"/>
        </w:trPr>
        <w:tc>
          <w:tcPr>
            <w:tcW w:w="3544" w:type="dxa"/>
            <w:tcBorders>
              <w:top w:val="nil"/>
            </w:tcBorders>
          </w:tcPr>
          <w:p w14:paraId="1DD90798" w14:textId="77777777" w:rsidR="00B934E9" w:rsidRPr="00F411CD" w:rsidRDefault="00B934E9" w:rsidP="00B934E9">
            <w:pPr>
              <w:pStyle w:val="Tabletextboldleft"/>
              <w:spacing w:before="20" w:after="20"/>
              <w:ind w:firstLine="317"/>
              <w:rPr>
                <w:b w:val="0"/>
              </w:rPr>
            </w:pPr>
            <w:r>
              <w:rPr>
                <w:b w:val="0"/>
              </w:rPr>
              <w:t>Bulk billing incentive (MBS 74996)</w:t>
            </w:r>
          </w:p>
        </w:tc>
        <w:tc>
          <w:tcPr>
            <w:tcW w:w="963" w:type="dxa"/>
            <w:tcBorders>
              <w:top w:val="nil"/>
            </w:tcBorders>
            <w:vAlign w:val="bottom"/>
          </w:tcPr>
          <w:p w14:paraId="2A050552" w14:textId="0C609888" w:rsidR="00B934E9" w:rsidRPr="00BA0884" w:rsidRDefault="00B934E9" w:rsidP="00B934E9">
            <w:pPr>
              <w:pStyle w:val="Tabletextboldleft"/>
              <w:spacing w:before="20" w:after="20"/>
              <w:jc w:val="right"/>
              <w:rPr>
                <w:b w:val="0"/>
              </w:rPr>
            </w:pPr>
            <w:r w:rsidRPr="00BA0884">
              <w:rPr>
                <w:b w:val="0"/>
              </w:rPr>
              <w:t>9,853</w:t>
            </w:r>
          </w:p>
        </w:tc>
        <w:tc>
          <w:tcPr>
            <w:tcW w:w="964" w:type="dxa"/>
            <w:tcBorders>
              <w:top w:val="nil"/>
            </w:tcBorders>
            <w:vAlign w:val="bottom"/>
          </w:tcPr>
          <w:p w14:paraId="1DA9EFFC" w14:textId="50E3B8A2" w:rsidR="00B934E9" w:rsidRPr="00BA0884" w:rsidRDefault="00B934E9" w:rsidP="00B934E9">
            <w:pPr>
              <w:pStyle w:val="Tabletextboldleft"/>
              <w:spacing w:before="20" w:after="20"/>
              <w:jc w:val="right"/>
              <w:rPr>
                <w:b w:val="0"/>
              </w:rPr>
            </w:pPr>
            <w:r w:rsidRPr="00BA0884">
              <w:rPr>
                <w:b w:val="0"/>
              </w:rPr>
              <w:t>9,960</w:t>
            </w:r>
          </w:p>
        </w:tc>
        <w:tc>
          <w:tcPr>
            <w:tcW w:w="964" w:type="dxa"/>
            <w:tcBorders>
              <w:top w:val="nil"/>
            </w:tcBorders>
            <w:vAlign w:val="bottom"/>
          </w:tcPr>
          <w:p w14:paraId="1B685E2E" w14:textId="649169C3" w:rsidR="00B934E9" w:rsidRPr="00BA0884" w:rsidRDefault="00B934E9" w:rsidP="00B934E9">
            <w:pPr>
              <w:pStyle w:val="Tabletextboldleft"/>
              <w:spacing w:before="20" w:after="20"/>
              <w:jc w:val="right"/>
              <w:rPr>
                <w:b w:val="0"/>
              </w:rPr>
            </w:pPr>
            <w:r w:rsidRPr="00BA0884">
              <w:rPr>
                <w:b w:val="0"/>
              </w:rPr>
              <w:t>10,068</w:t>
            </w:r>
          </w:p>
        </w:tc>
        <w:tc>
          <w:tcPr>
            <w:tcW w:w="964" w:type="dxa"/>
            <w:tcBorders>
              <w:top w:val="nil"/>
            </w:tcBorders>
            <w:vAlign w:val="bottom"/>
          </w:tcPr>
          <w:p w14:paraId="0DF1D711" w14:textId="649468CA" w:rsidR="00B934E9" w:rsidRPr="00BA0884" w:rsidRDefault="00B934E9" w:rsidP="00B934E9">
            <w:pPr>
              <w:pStyle w:val="Tabletextboldleft"/>
              <w:spacing w:before="20" w:after="20"/>
              <w:jc w:val="right"/>
              <w:rPr>
                <w:b w:val="0"/>
              </w:rPr>
            </w:pPr>
            <w:r w:rsidRPr="00BA0884">
              <w:rPr>
                <w:b w:val="0"/>
              </w:rPr>
              <w:t>10,176</w:t>
            </w:r>
          </w:p>
        </w:tc>
        <w:tc>
          <w:tcPr>
            <w:tcW w:w="964" w:type="dxa"/>
            <w:tcBorders>
              <w:top w:val="nil"/>
            </w:tcBorders>
            <w:vAlign w:val="bottom"/>
          </w:tcPr>
          <w:p w14:paraId="11D45E2D" w14:textId="02F4B862" w:rsidR="00B934E9" w:rsidRPr="00BA0884" w:rsidRDefault="00B934E9" w:rsidP="00B934E9">
            <w:pPr>
              <w:pStyle w:val="Tabletextboldleft"/>
              <w:spacing w:before="20" w:after="20"/>
              <w:jc w:val="right"/>
              <w:rPr>
                <w:b w:val="0"/>
              </w:rPr>
            </w:pPr>
            <w:r w:rsidRPr="00BA0884">
              <w:rPr>
                <w:b w:val="0"/>
              </w:rPr>
              <w:t>10,283</w:t>
            </w:r>
          </w:p>
        </w:tc>
      </w:tr>
      <w:tr w:rsidR="00BA0884" w:rsidRPr="00F647C7" w14:paraId="0731DFF4" w14:textId="77777777" w:rsidTr="00E61184">
        <w:trPr>
          <w:trHeight w:val="212"/>
        </w:trPr>
        <w:tc>
          <w:tcPr>
            <w:tcW w:w="3544" w:type="dxa"/>
          </w:tcPr>
          <w:p w14:paraId="410375DB" w14:textId="77777777" w:rsidR="00BA0884" w:rsidRPr="00C26CDD" w:rsidRDefault="00BA0884" w:rsidP="00BA0884">
            <w:pPr>
              <w:pStyle w:val="Tabletextboldleft"/>
              <w:spacing w:before="20" w:after="20"/>
              <w:rPr>
                <w:b w:val="0"/>
                <w:i/>
              </w:rPr>
            </w:pPr>
            <w:r>
              <w:rPr>
                <w:b w:val="0"/>
                <w:i/>
              </w:rPr>
              <w:t>Sub-t</w:t>
            </w:r>
            <w:r w:rsidRPr="00C26CDD">
              <w:rPr>
                <w:b w:val="0"/>
                <w:i/>
              </w:rPr>
              <w:t>otal (excluding gynaecological cytology)</w:t>
            </w:r>
          </w:p>
        </w:tc>
        <w:tc>
          <w:tcPr>
            <w:tcW w:w="963" w:type="dxa"/>
            <w:vAlign w:val="bottom"/>
          </w:tcPr>
          <w:p w14:paraId="3CCD3264" w14:textId="433C456A" w:rsidR="00BA0884" w:rsidRPr="00C932DC" w:rsidRDefault="00BA0884" w:rsidP="00BA0884">
            <w:pPr>
              <w:pStyle w:val="Tabletextboldleft"/>
              <w:spacing w:before="20" w:after="20"/>
              <w:jc w:val="right"/>
              <w:rPr>
                <w:b w:val="0"/>
                <w:i/>
              </w:rPr>
            </w:pPr>
            <w:r w:rsidRPr="00C932DC">
              <w:rPr>
                <w:b w:val="0"/>
                <w:i/>
                <w:color w:val="000000"/>
              </w:rPr>
              <w:t>27,057</w:t>
            </w:r>
          </w:p>
        </w:tc>
        <w:tc>
          <w:tcPr>
            <w:tcW w:w="964" w:type="dxa"/>
            <w:vAlign w:val="bottom"/>
          </w:tcPr>
          <w:p w14:paraId="27130C62" w14:textId="79C482E2" w:rsidR="00BA0884" w:rsidRPr="00C932DC" w:rsidRDefault="00BA0884" w:rsidP="00BA0884">
            <w:pPr>
              <w:pStyle w:val="Tabletextboldleft"/>
              <w:spacing w:before="20" w:after="20"/>
              <w:jc w:val="right"/>
              <w:rPr>
                <w:b w:val="0"/>
                <w:i/>
              </w:rPr>
            </w:pPr>
            <w:r w:rsidRPr="00C932DC">
              <w:rPr>
                <w:b w:val="0"/>
                <w:i/>
                <w:color w:val="000000"/>
              </w:rPr>
              <w:t>28,018</w:t>
            </w:r>
          </w:p>
        </w:tc>
        <w:tc>
          <w:tcPr>
            <w:tcW w:w="964" w:type="dxa"/>
            <w:vAlign w:val="bottom"/>
          </w:tcPr>
          <w:p w14:paraId="20CECE37" w14:textId="1E1AB14A" w:rsidR="00BA0884" w:rsidRPr="00C932DC" w:rsidRDefault="00BA0884" w:rsidP="00BA0884">
            <w:pPr>
              <w:pStyle w:val="Tabletextboldleft"/>
              <w:spacing w:before="20" w:after="20"/>
              <w:jc w:val="right"/>
              <w:rPr>
                <w:b w:val="0"/>
                <w:i/>
              </w:rPr>
            </w:pPr>
            <w:r w:rsidRPr="00C932DC">
              <w:rPr>
                <w:b w:val="0"/>
                <w:i/>
                <w:color w:val="000000"/>
              </w:rPr>
              <w:t>28,979</w:t>
            </w:r>
          </w:p>
        </w:tc>
        <w:tc>
          <w:tcPr>
            <w:tcW w:w="964" w:type="dxa"/>
            <w:vAlign w:val="bottom"/>
          </w:tcPr>
          <w:p w14:paraId="38C9D9D0" w14:textId="665673CE" w:rsidR="00BA0884" w:rsidRPr="00C932DC" w:rsidRDefault="00BA0884" w:rsidP="00BA0884">
            <w:pPr>
              <w:pStyle w:val="Tabletextboldleft"/>
              <w:spacing w:before="20" w:after="20"/>
              <w:jc w:val="right"/>
              <w:rPr>
                <w:b w:val="0"/>
                <w:i/>
              </w:rPr>
            </w:pPr>
            <w:r w:rsidRPr="00C932DC">
              <w:rPr>
                <w:b w:val="0"/>
                <w:i/>
                <w:color w:val="000000"/>
              </w:rPr>
              <w:t>29,941</w:t>
            </w:r>
          </w:p>
        </w:tc>
        <w:tc>
          <w:tcPr>
            <w:tcW w:w="964" w:type="dxa"/>
            <w:vAlign w:val="bottom"/>
          </w:tcPr>
          <w:p w14:paraId="32B5E57E" w14:textId="7211621E" w:rsidR="00BA0884" w:rsidRPr="00C932DC" w:rsidRDefault="00BA0884" w:rsidP="00BA0884">
            <w:pPr>
              <w:pStyle w:val="Tabletextboldleft"/>
              <w:spacing w:before="20" w:after="20"/>
              <w:jc w:val="right"/>
              <w:rPr>
                <w:b w:val="0"/>
                <w:i/>
              </w:rPr>
            </w:pPr>
            <w:r w:rsidRPr="00C932DC">
              <w:rPr>
                <w:b w:val="0"/>
                <w:i/>
                <w:color w:val="000000"/>
              </w:rPr>
              <w:t>30,902</w:t>
            </w:r>
          </w:p>
        </w:tc>
      </w:tr>
      <w:tr w:rsidR="00BA0884" w:rsidRPr="00F647C7" w14:paraId="3F33E148" w14:textId="77777777" w:rsidTr="00E61184">
        <w:trPr>
          <w:trHeight w:val="212"/>
        </w:trPr>
        <w:tc>
          <w:tcPr>
            <w:tcW w:w="3544" w:type="dxa"/>
          </w:tcPr>
          <w:p w14:paraId="1F694A91" w14:textId="77777777" w:rsidR="00BA0884" w:rsidRPr="00C26CDD" w:rsidRDefault="00BA0884" w:rsidP="00BA0884">
            <w:pPr>
              <w:pStyle w:val="Tabletextboldleft"/>
              <w:spacing w:before="20" w:after="20"/>
              <w:rPr>
                <w:b w:val="0"/>
                <w:i/>
              </w:rPr>
            </w:pPr>
            <w:r>
              <w:rPr>
                <w:b w:val="0"/>
                <w:i/>
              </w:rPr>
              <w:t>Sub-t</w:t>
            </w:r>
            <w:r w:rsidRPr="00C26CDD">
              <w:rPr>
                <w:b w:val="0"/>
                <w:i/>
              </w:rPr>
              <w:t>otal (including all cytology)</w:t>
            </w:r>
          </w:p>
        </w:tc>
        <w:tc>
          <w:tcPr>
            <w:tcW w:w="963" w:type="dxa"/>
            <w:vAlign w:val="bottom"/>
          </w:tcPr>
          <w:p w14:paraId="255E55A0" w14:textId="0ADE7C70" w:rsidR="00BA0884" w:rsidRPr="00C932DC" w:rsidRDefault="00BA0884" w:rsidP="00BA0884">
            <w:pPr>
              <w:pStyle w:val="Tabletextboldleft"/>
              <w:spacing w:before="20" w:after="20"/>
              <w:jc w:val="right"/>
              <w:rPr>
                <w:b w:val="0"/>
                <w:i/>
              </w:rPr>
            </w:pPr>
            <w:r w:rsidRPr="00C932DC">
              <w:rPr>
                <w:b w:val="0"/>
                <w:i/>
                <w:color w:val="000000"/>
              </w:rPr>
              <w:t>45,412</w:t>
            </w:r>
          </w:p>
        </w:tc>
        <w:tc>
          <w:tcPr>
            <w:tcW w:w="964" w:type="dxa"/>
            <w:vAlign w:val="bottom"/>
          </w:tcPr>
          <w:p w14:paraId="2F079066" w14:textId="2227B38C" w:rsidR="00BA0884" w:rsidRPr="00C932DC" w:rsidRDefault="00BA0884" w:rsidP="00BA0884">
            <w:pPr>
              <w:pStyle w:val="Tabletextboldleft"/>
              <w:spacing w:before="20" w:after="20"/>
              <w:jc w:val="right"/>
              <w:rPr>
                <w:b w:val="0"/>
                <w:i/>
              </w:rPr>
            </w:pPr>
            <w:r w:rsidRPr="00C932DC">
              <w:rPr>
                <w:b w:val="0"/>
                <w:i/>
                <w:color w:val="000000"/>
              </w:rPr>
              <w:t>46,526</w:t>
            </w:r>
          </w:p>
        </w:tc>
        <w:tc>
          <w:tcPr>
            <w:tcW w:w="964" w:type="dxa"/>
            <w:vAlign w:val="bottom"/>
          </w:tcPr>
          <w:p w14:paraId="503B7883" w14:textId="24374D83" w:rsidR="00BA0884" w:rsidRPr="00C932DC" w:rsidRDefault="00BA0884" w:rsidP="00BA0884">
            <w:pPr>
              <w:pStyle w:val="Tabletextboldleft"/>
              <w:spacing w:before="20" w:after="20"/>
              <w:jc w:val="right"/>
              <w:rPr>
                <w:b w:val="0"/>
                <w:i/>
              </w:rPr>
            </w:pPr>
            <w:r w:rsidRPr="00C932DC">
              <w:rPr>
                <w:b w:val="0"/>
                <w:i/>
                <w:color w:val="000000"/>
              </w:rPr>
              <w:t>47,640</w:t>
            </w:r>
          </w:p>
        </w:tc>
        <w:tc>
          <w:tcPr>
            <w:tcW w:w="964" w:type="dxa"/>
            <w:vAlign w:val="bottom"/>
          </w:tcPr>
          <w:p w14:paraId="148B232B" w14:textId="78B95375" w:rsidR="00BA0884" w:rsidRPr="00C932DC" w:rsidRDefault="00BA0884" w:rsidP="00BA0884">
            <w:pPr>
              <w:pStyle w:val="Tabletextboldleft"/>
              <w:spacing w:before="20" w:after="20"/>
              <w:jc w:val="right"/>
              <w:rPr>
                <w:b w:val="0"/>
                <w:i/>
              </w:rPr>
            </w:pPr>
            <w:r w:rsidRPr="00C932DC">
              <w:rPr>
                <w:b w:val="0"/>
                <w:i/>
                <w:color w:val="000000"/>
              </w:rPr>
              <w:t>48,754</w:t>
            </w:r>
          </w:p>
        </w:tc>
        <w:tc>
          <w:tcPr>
            <w:tcW w:w="964" w:type="dxa"/>
            <w:vAlign w:val="bottom"/>
          </w:tcPr>
          <w:p w14:paraId="38D0D97A" w14:textId="044FDA7D" w:rsidR="00BA0884" w:rsidRPr="00C932DC" w:rsidRDefault="00BA0884" w:rsidP="00BA0884">
            <w:pPr>
              <w:pStyle w:val="Tabletextboldleft"/>
              <w:spacing w:before="20" w:after="20"/>
              <w:jc w:val="right"/>
              <w:rPr>
                <w:b w:val="0"/>
                <w:i/>
              </w:rPr>
            </w:pPr>
            <w:r w:rsidRPr="00C932DC">
              <w:rPr>
                <w:b w:val="0"/>
                <w:i/>
                <w:color w:val="000000"/>
              </w:rPr>
              <w:t>49,868</w:t>
            </w:r>
          </w:p>
        </w:tc>
      </w:tr>
      <w:tr w:rsidR="00BA0884" w:rsidRPr="00F647C7" w14:paraId="208EB03F" w14:textId="77777777" w:rsidTr="00E61184">
        <w:trPr>
          <w:trHeight w:val="212"/>
        </w:trPr>
        <w:tc>
          <w:tcPr>
            <w:tcW w:w="3544" w:type="dxa"/>
            <w:shd w:val="clear" w:color="auto" w:fill="D0CECE" w:themeFill="background2" w:themeFillShade="E6"/>
          </w:tcPr>
          <w:p w14:paraId="44565754" w14:textId="77777777" w:rsidR="00BA0884" w:rsidRDefault="00BA0884" w:rsidP="00BA0884">
            <w:pPr>
              <w:pStyle w:val="Tabletextboldleft"/>
              <w:spacing w:before="20" w:after="20"/>
            </w:pPr>
            <w:r w:rsidRPr="00F411CD">
              <w:t xml:space="preserve">TOTAL </w:t>
            </w:r>
          </w:p>
          <w:p w14:paraId="3F6118FE" w14:textId="77777777" w:rsidR="00BA0884" w:rsidRPr="009D63D8" w:rsidRDefault="00BA0884" w:rsidP="00BA0884">
            <w:pPr>
              <w:pStyle w:val="Tabletextboldleft"/>
              <w:spacing w:before="20" w:after="20"/>
              <w:rPr>
                <w:b w:val="0"/>
              </w:rPr>
            </w:pPr>
            <w:r w:rsidRPr="009D63D8">
              <w:rPr>
                <w:b w:val="0"/>
              </w:rPr>
              <w:t>(</w:t>
            </w:r>
            <w:r w:rsidRPr="009D63D8">
              <w:rPr>
                <w:b w:val="0"/>
                <w:i/>
              </w:rPr>
              <w:t>S1</w:t>
            </w:r>
            <w:r w:rsidRPr="009D63D8">
              <w:rPr>
                <w:b w:val="0"/>
              </w:rPr>
              <w:t xml:space="preserve"> and S</w:t>
            </w:r>
            <w:r w:rsidRPr="009D63D8">
              <w:rPr>
                <w:b w:val="0"/>
                <w:i/>
              </w:rPr>
              <w:t>2</w:t>
            </w:r>
            <w:r w:rsidRPr="009D63D8">
              <w:rPr>
                <w:b w:val="0"/>
              </w:rPr>
              <w:t xml:space="preserve"> – excluding gynaecological cytology)</w:t>
            </w:r>
          </w:p>
        </w:tc>
        <w:tc>
          <w:tcPr>
            <w:tcW w:w="963" w:type="dxa"/>
            <w:shd w:val="clear" w:color="auto" w:fill="D0CECE" w:themeFill="background2" w:themeFillShade="E6"/>
          </w:tcPr>
          <w:p w14:paraId="0B089C32" w14:textId="3703D644" w:rsidR="00BA0884" w:rsidRPr="00BA0884" w:rsidRDefault="00BA0884" w:rsidP="00BA0884">
            <w:pPr>
              <w:pStyle w:val="Tabletextboldleft"/>
              <w:spacing w:before="20" w:after="20"/>
              <w:jc w:val="right"/>
            </w:pPr>
            <w:r w:rsidRPr="00BA0884">
              <w:rPr>
                <w:color w:val="000000"/>
              </w:rPr>
              <w:t>106,110</w:t>
            </w:r>
          </w:p>
        </w:tc>
        <w:tc>
          <w:tcPr>
            <w:tcW w:w="964" w:type="dxa"/>
            <w:shd w:val="clear" w:color="auto" w:fill="D0CECE" w:themeFill="background2" w:themeFillShade="E6"/>
          </w:tcPr>
          <w:p w14:paraId="645CEE6C" w14:textId="0CB8A84C" w:rsidR="00BA0884" w:rsidRPr="00BA0884" w:rsidRDefault="00BA0884" w:rsidP="00BA0884">
            <w:pPr>
              <w:pStyle w:val="Tabletextboldleft"/>
              <w:spacing w:before="20" w:after="20"/>
              <w:jc w:val="right"/>
            </w:pPr>
            <w:r w:rsidRPr="00BA0884">
              <w:rPr>
                <w:color w:val="000000"/>
              </w:rPr>
              <w:t>109,908</w:t>
            </w:r>
          </w:p>
        </w:tc>
        <w:tc>
          <w:tcPr>
            <w:tcW w:w="964" w:type="dxa"/>
            <w:shd w:val="clear" w:color="auto" w:fill="D0CECE" w:themeFill="background2" w:themeFillShade="E6"/>
          </w:tcPr>
          <w:p w14:paraId="5C339148" w14:textId="2D72755C" w:rsidR="00BA0884" w:rsidRPr="00BA0884" w:rsidRDefault="00BA0884" w:rsidP="00BA0884">
            <w:pPr>
              <w:pStyle w:val="Tabletextboldleft"/>
              <w:spacing w:before="20" w:after="20"/>
              <w:jc w:val="right"/>
            </w:pPr>
            <w:r w:rsidRPr="00BA0884">
              <w:rPr>
                <w:color w:val="000000"/>
              </w:rPr>
              <w:t>113,706</w:t>
            </w:r>
          </w:p>
        </w:tc>
        <w:tc>
          <w:tcPr>
            <w:tcW w:w="964" w:type="dxa"/>
            <w:shd w:val="clear" w:color="auto" w:fill="D0CECE" w:themeFill="background2" w:themeFillShade="E6"/>
          </w:tcPr>
          <w:p w14:paraId="41594E26" w14:textId="5D77E696" w:rsidR="00BA0884" w:rsidRPr="00BA0884" w:rsidRDefault="00BA0884" w:rsidP="00BA0884">
            <w:pPr>
              <w:pStyle w:val="Tabletextboldleft"/>
              <w:spacing w:before="20" w:after="20"/>
              <w:jc w:val="right"/>
            </w:pPr>
            <w:r w:rsidRPr="00BA0884">
              <w:rPr>
                <w:color w:val="000000"/>
              </w:rPr>
              <w:t>117,504</w:t>
            </w:r>
          </w:p>
        </w:tc>
        <w:tc>
          <w:tcPr>
            <w:tcW w:w="964" w:type="dxa"/>
            <w:shd w:val="clear" w:color="auto" w:fill="D0CECE" w:themeFill="background2" w:themeFillShade="E6"/>
          </w:tcPr>
          <w:p w14:paraId="1A17DD3A" w14:textId="39301358" w:rsidR="00BA0884" w:rsidRPr="00BA0884" w:rsidRDefault="00BA0884" w:rsidP="00BA0884">
            <w:pPr>
              <w:pStyle w:val="Tabletextboldleft"/>
              <w:spacing w:before="20" w:after="20"/>
              <w:jc w:val="right"/>
            </w:pPr>
            <w:r w:rsidRPr="00BA0884">
              <w:rPr>
                <w:color w:val="000000"/>
              </w:rPr>
              <w:t>121,302</w:t>
            </w:r>
          </w:p>
        </w:tc>
      </w:tr>
      <w:tr w:rsidR="00BA0884" w:rsidRPr="00F647C7" w14:paraId="3F6156A0" w14:textId="77777777" w:rsidTr="00E61184">
        <w:trPr>
          <w:trHeight w:val="212"/>
        </w:trPr>
        <w:tc>
          <w:tcPr>
            <w:tcW w:w="3544" w:type="dxa"/>
            <w:shd w:val="clear" w:color="auto" w:fill="D0CECE" w:themeFill="background2" w:themeFillShade="E6"/>
          </w:tcPr>
          <w:p w14:paraId="1D0C20E1" w14:textId="77777777" w:rsidR="00BA0884" w:rsidRDefault="00BA0884" w:rsidP="00BA0884">
            <w:pPr>
              <w:pStyle w:val="Tabletextboldleft"/>
              <w:spacing w:before="20" w:after="20"/>
            </w:pPr>
            <w:r w:rsidRPr="00F411CD">
              <w:t xml:space="preserve">TOTAL </w:t>
            </w:r>
          </w:p>
          <w:p w14:paraId="75560FDB" w14:textId="77777777" w:rsidR="00BA0884" w:rsidRPr="009D63D8" w:rsidRDefault="00BA0884" w:rsidP="00BA0884">
            <w:pPr>
              <w:pStyle w:val="Tabletextboldleft"/>
              <w:spacing w:before="20" w:after="20"/>
              <w:rPr>
                <w:b w:val="0"/>
              </w:rPr>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963" w:type="dxa"/>
            <w:shd w:val="clear" w:color="auto" w:fill="D0CECE" w:themeFill="background2" w:themeFillShade="E6"/>
          </w:tcPr>
          <w:p w14:paraId="01AB46A3" w14:textId="5F1F7083" w:rsidR="00BA0884" w:rsidRPr="00BA0884" w:rsidRDefault="00BA0884" w:rsidP="00BA0884">
            <w:pPr>
              <w:pStyle w:val="Tabletextboldleft"/>
              <w:spacing w:before="20" w:after="20"/>
              <w:jc w:val="right"/>
            </w:pPr>
            <w:r w:rsidRPr="00BA0884">
              <w:rPr>
                <w:color w:val="000000"/>
              </w:rPr>
              <w:t>151,082</w:t>
            </w:r>
          </w:p>
        </w:tc>
        <w:tc>
          <w:tcPr>
            <w:tcW w:w="964" w:type="dxa"/>
            <w:shd w:val="clear" w:color="auto" w:fill="D0CECE" w:themeFill="background2" w:themeFillShade="E6"/>
          </w:tcPr>
          <w:p w14:paraId="22C19B48" w14:textId="40DDC65A" w:rsidR="00BA0884" w:rsidRPr="00BA0884" w:rsidRDefault="00BA0884" w:rsidP="00BA0884">
            <w:pPr>
              <w:pStyle w:val="Tabletextboldleft"/>
              <w:spacing w:before="20" w:after="20"/>
              <w:jc w:val="right"/>
            </w:pPr>
            <w:r w:rsidRPr="00BA0884">
              <w:rPr>
                <w:color w:val="000000"/>
              </w:rPr>
              <w:t>155,254</w:t>
            </w:r>
          </w:p>
        </w:tc>
        <w:tc>
          <w:tcPr>
            <w:tcW w:w="964" w:type="dxa"/>
            <w:shd w:val="clear" w:color="auto" w:fill="D0CECE" w:themeFill="background2" w:themeFillShade="E6"/>
          </w:tcPr>
          <w:p w14:paraId="786ED83F" w14:textId="40DEC0C5" w:rsidR="00BA0884" w:rsidRPr="00BA0884" w:rsidRDefault="00BA0884" w:rsidP="00BA0884">
            <w:pPr>
              <w:pStyle w:val="Tabletextboldleft"/>
              <w:spacing w:before="20" w:after="20"/>
              <w:jc w:val="right"/>
            </w:pPr>
            <w:r w:rsidRPr="00BA0884">
              <w:rPr>
                <w:color w:val="000000"/>
              </w:rPr>
              <w:t>159,427</w:t>
            </w:r>
          </w:p>
        </w:tc>
        <w:tc>
          <w:tcPr>
            <w:tcW w:w="964" w:type="dxa"/>
            <w:shd w:val="clear" w:color="auto" w:fill="D0CECE" w:themeFill="background2" w:themeFillShade="E6"/>
          </w:tcPr>
          <w:p w14:paraId="4F6AD77B" w14:textId="63264E25" w:rsidR="00BA0884" w:rsidRPr="00BA0884" w:rsidRDefault="00BA0884" w:rsidP="00BA0884">
            <w:pPr>
              <w:pStyle w:val="Tabletextboldleft"/>
              <w:spacing w:before="20" w:after="20"/>
              <w:jc w:val="right"/>
            </w:pPr>
            <w:r w:rsidRPr="00BA0884">
              <w:rPr>
                <w:color w:val="000000"/>
              </w:rPr>
              <w:t>163,599</w:t>
            </w:r>
          </w:p>
        </w:tc>
        <w:tc>
          <w:tcPr>
            <w:tcW w:w="964" w:type="dxa"/>
            <w:shd w:val="clear" w:color="auto" w:fill="D0CECE" w:themeFill="background2" w:themeFillShade="E6"/>
          </w:tcPr>
          <w:p w14:paraId="50D9676B" w14:textId="0216A0AC" w:rsidR="00BA0884" w:rsidRPr="00BA0884" w:rsidRDefault="00BA0884" w:rsidP="00BA0884">
            <w:pPr>
              <w:pStyle w:val="Tabletextboldleft"/>
              <w:spacing w:before="20" w:after="20"/>
              <w:jc w:val="right"/>
            </w:pPr>
            <w:r w:rsidRPr="00BA0884">
              <w:rPr>
                <w:color w:val="000000"/>
              </w:rPr>
              <w:t>167,772</w:t>
            </w:r>
          </w:p>
        </w:tc>
      </w:tr>
    </w:tbl>
    <w:p w14:paraId="14452167" w14:textId="015228F3"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&lt;Incremental services (assoc.)&gt;</w:t>
      </w:r>
      <w:r w:rsidR="00B934E9">
        <w:rPr>
          <w:rFonts w:ascii="Arial Narrow" w:hAnsi="Arial Narrow"/>
          <w:sz w:val="18"/>
          <w:szCs w:val="18"/>
        </w:rPr>
        <w:t xml:space="preserve"> &amp; &lt;Incremental services (all items)</w:t>
      </w:r>
    </w:p>
    <w:p w14:paraId="3B1F27C3" w14:textId="77777777" w:rsidR="00B51828" w:rsidRPr="001D2CEB" w:rsidRDefault="00B51828" w:rsidP="002101D2">
      <w:pPr>
        <w:spacing w:before="20"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35453849" w14:textId="77777777" w:rsidR="00B51828" w:rsidRPr="00EB4272" w:rsidRDefault="00B51828" w:rsidP="002101D2">
      <w:pPr>
        <w:ind w:left="0" w:firstLine="720"/>
        <w:rPr>
          <w:rFonts w:ascii="Arial Narrow" w:hAnsi="Arial Narrow"/>
          <w:sz w:val="18"/>
          <w:szCs w:val="18"/>
        </w:rPr>
      </w:pPr>
      <w:r w:rsidRPr="00DB0F9B">
        <w:rPr>
          <w:rFonts w:ascii="Arial Narrow" w:hAnsi="Arial Narrow"/>
          <w:sz w:val="18"/>
          <w:szCs w:val="18"/>
          <w:vertAlign w:val="superscript"/>
        </w:rPr>
        <w:t>a</w:t>
      </w:r>
      <w:r>
        <w:rPr>
          <w:rFonts w:ascii="Arial Narrow" w:hAnsi="Arial Narrow"/>
          <w:sz w:val="18"/>
          <w:szCs w:val="18"/>
        </w:rPr>
        <w:t xml:space="preserve"> Includes bone marrow items</w:t>
      </w:r>
    </w:p>
    <w:p w14:paraId="3B8D1732" w14:textId="77777777" w:rsidR="00B51828" w:rsidRDefault="00B51828">
      <w:pPr>
        <w:spacing w:after="160" w:line="259" w:lineRule="auto"/>
        <w:ind w:left="0"/>
      </w:pPr>
      <w:r>
        <w:br w:type="page"/>
      </w:r>
    </w:p>
    <w:p w14:paraId="2EBFA85D" w14:textId="77777777" w:rsidR="00B51828" w:rsidRDefault="00B51828" w:rsidP="002101D2">
      <w:pPr>
        <w:keepNext/>
      </w:pPr>
      <w:r>
        <w:lastRenderedPageBreak/>
        <w:fldChar w:fldCharType="begin"/>
      </w:r>
      <w:r>
        <w:instrText xml:space="preserve"> REF _Ref394929611 \h </w:instrText>
      </w:r>
      <w:r>
        <w:fldChar w:fldCharType="separate"/>
      </w:r>
      <w:r w:rsidR="0044620B">
        <w:t xml:space="preserve">Table </w:t>
      </w:r>
      <w:r w:rsidR="0044620B">
        <w:rPr>
          <w:noProof/>
        </w:rPr>
        <w:t>E.3</w:t>
      </w:r>
      <w:r w:rsidR="0044620B">
        <w:noBreakHyphen/>
      </w:r>
      <w:r w:rsidR="0044620B">
        <w:rPr>
          <w:noProof/>
        </w:rPr>
        <w:t>4</w:t>
      </w:r>
      <w:r>
        <w:fldChar w:fldCharType="end"/>
      </w:r>
      <w:r>
        <w:t xml:space="preserve"> </w:t>
      </w:r>
      <w:r w:rsidRPr="002A2456">
        <w:t xml:space="preserve">presents the </w:t>
      </w:r>
      <w:r>
        <w:t xml:space="preserve">approximate </w:t>
      </w:r>
      <w:r w:rsidRPr="002A2456">
        <w:t>cost</w:t>
      </w:r>
      <w:r>
        <w:t xml:space="preserve"> to the MBS of the associated services shown in </w:t>
      </w:r>
      <w:r>
        <w:fldChar w:fldCharType="begin"/>
      </w:r>
      <w:r>
        <w:instrText xml:space="preserve"> REF _Ref394928504 \h </w:instrText>
      </w:r>
      <w:r>
        <w:fldChar w:fldCharType="separate"/>
      </w:r>
      <w:r w:rsidR="0044620B">
        <w:t xml:space="preserve">Table </w:t>
      </w:r>
      <w:r w:rsidR="0044620B">
        <w:rPr>
          <w:noProof/>
        </w:rPr>
        <w:t>E.3</w:t>
      </w:r>
      <w:r w:rsidR="0044620B">
        <w:noBreakHyphen/>
      </w:r>
      <w:r w:rsidR="0044620B">
        <w:rPr>
          <w:noProof/>
        </w:rPr>
        <w:t>3</w:t>
      </w:r>
      <w:r>
        <w:fldChar w:fldCharType="end"/>
      </w:r>
      <w:r>
        <w:t xml:space="preserve">. As discussed in Section </w:t>
      </w:r>
      <w:r>
        <w:fldChar w:fldCharType="begin"/>
      </w:r>
      <w:r>
        <w:instrText xml:space="preserve"> REF _Ref394917702 \w \h </w:instrText>
      </w:r>
      <w:r>
        <w:fldChar w:fldCharType="separate"/>
      </w:r>
      <w:r w:rsidR="0044620B">
        <w:t>E.1.4</w:t>
      </w:r>
      <w:r>
        <w:fldChar w:fldCharType="end"/>
      </w:r>
      <w:r>
        <w:t xml:space="preserve">, the financial analysis adopted two different fees for ancillary tests under the proposed funding arrangements, which represent the current average cost of ancillary tests within Group P5 (tissue pathology) and Group P6 (cytology) of the MBS. The costs to the MBS of ancillary tests, the specimen referred fee and bulk billing incentive were all assumed to be $0 under current funding arrangements. </w:t>
      </w:r>
    </w:p>
    <w:p w14:paraId="09AAD167" w14:textId="77777777" w:rsidR="00B51828" w:rsidRDefault="00B51828" w:rsidP="002101D2">
      <w:pPr>
        <w:pStyle w:val="Caption"/>
      </w:pPr>
      <w:bookmarkStart w:id="294" w:name="_Ref394929611"/>
      <w:bookmarkStart w:id="295" w:name="_Toc396211783"/>
      <w:r>
        <w:t xml:space="preserve">Table </w:t>
      </w:r>
      <w:fldSimple w:instr=" STYLEREF 2 \s ">
        <w:r w:rsidR="0044620B">
          <w:rPr>
            <w:noProof/>
          </w:rPr>
          <w:t>E.3</w:t>
        </w:r>
      </w:fldSimple>
      <w:r>
        <w:noBreakHyphen/>
      </w:r>
      <w:fldSimple w:instr=" SEQ Table \* ARABIC \s 2 ">
        <w:r w:rsidR="0044620B">
          <w:rPr>
            <w:noProof/>
          </w:rPr>
          <w:t>4</w:t>
        </w:r>
      </w:fldSimple>
      <w:bookmarkEnd w:id="294"/>
      <w:r>
        <w:tab/>
        <w:t>Estimated cost of other associated MBS items, over the first five years of the proposed MBS listing – Proposed funding arrangements</w:t>
      </w:r>
      <w:bookmarkEnd w:id="295"/>
    </w:p>
    <w:tbl>
      <w:tblPr>
        <w:tblStyle w:val="TableGrid"/>
        <w:tblW w:w="8363" w:type="dxa"/>
        <w:tblInd w:w="704" w:type="dxa"/>
        <w:tblLayout w:type="fixed"/>
        <w:tblLook w:val="04A0" w:firstRow="1" w:lastRow="0" w:firstColumn="1" w:lastColumn="0" w:noHBand="0" w:noVBand="1"/>
        <w:tblCaption w:val="Cost of other associated MBS items"/>
        <w:tblDescription w:val="The estimated cost of other associated MBS items, over the first five years of the proposed MBS listing – Proposed funding arrangements"/>
      </w:tblPr>
      <w:tblGrid>
        <w:gridCol w:w="2835"/>
        <w:gridCol w:w="1105"/>
        <w:gridCol w:w="1106"/>
        <w:gridCol w:w="1105"/>
        <w:gridCol w:w="1106"/>
        <w:gridCol w:w="1106"/>
      </w:tblGrid>
      <w:tr w:rsidR="00B51828" w14:paraId="28796B39" w14:textId="77777777" w:rsidTr="00E61184">
        <w:trPr>
          <w:trHeight w:val="212"/>
          <w:tblHeader/>
        </w:trPr>
        <w:tc>
          <w:tcPr>
            <w:tcW w:w="2835" w:type="dxa"/>
          </w:tcPr>
          <w:p w14:paraId="7930192F" w14:textId="77777777" w:rsidR="00B51828" w:rsidRDefault="00B51828" w:rsidP="002101D2">
            <w:pPr>
              <w:pStyle w:val="Tabletextboldleft"/>
              <w:spacing w:before="20" w:after="20"/>
            </w:pPr>
          </w:p>
        </w:tc>
        <w:tc>
          <w:tcPr>
            <w:tcW w:w="1105" w:type="dxa"/>
          </w:tcPr>
          <w:p w14:paraId="454305D4" w14:textId="77777777" w:rsidR="00B51828" w:rsidRDefault="00B51828" w:rsidP="002101D2">
            <w:pPr>
              <w:pStyle w:val="Tabletextboldleft"/>
              <w:spacing w:before="20" w:after="20"/>
              <w:jc w:val="right"/>
            </w:pPr>
            <w:r>
              <w:t>Year 1</w:t>
            </w:r>
          </w:p>
          <w:p w14:paraId="37436344" w14:textId="77777777" w:rsidR="00B51828" w:rsidRDefault="00B51828" w:rsidP="002101D2">
            <w:pPr>
              <w:pStyle w:val="Tabletextboldleft"/>
              <w:spacing w:before="20" w:after="20"/>
              <w:jc w:val="right"/>
            </w:pPr>
            <w:r>
              <w:t>(2015-16)</w:t>
            </w:r>
          </w:p>
        </w:tc>
        <w:tc>
          <w:tcPr>
            <w:tcW w:w="1106" w:type="dxa"/>
          </w:tcPr>
          <w:p w14:paraId="2F440BF5" w14:textId="77777777" w:rsidR="00B51828" w:rsidRDefault="00B51828" w:rsidP="002101D2">
            <w:pPr>
              <w:pStyle w:val="Tabletextboldleft"/>
              <w:spacing w:before="20" w:after="20"/>
              <w:jc w:val="right"/>
            </w:pPr>
            <w:r>
              <w:t>Year 2</w:t>
            </w:r>
          </w:p>
          <w:p w14:paraId="608B9131" w14:textId="77777777" w:rsidR="00B51828" w:rsidRDefault="00B51828" w:rsidP="002101D2">
            <w:pPr>
              <w:pStyle w:val="Tabletextboldleft"/>
              <w:spacing w:before="20" w:after="20"/>
              <w:jc w:val="right"/>
            </w:pPr>
            <w:r>
              <w:t>(2016-17)</w:t>
            </w:r>
          </w:p>
        </w:tc>
        <w:tc>
          <w:tcPr>
            <w:tcW w:w="1105" w:type="dxa"/>
          </w:tcPr>
          <w:p w14:paraId="654DE0D0" w14:textId="77777777" w:rsidR="00B51828" w:rsidRDefault="00B51828" w:rsidP="002101D2">
            <w:pPr>
              <w:pStyle w:val="Tabletextboldleft"/>
              <w:spacing w:before="20" w:after="20"/>
              <w:jc w:val="right"/>
            </w:pPr>
            <w:r>
              <w:t>Year 3</w:t>
            </w:r>
          </w:p>
          <w:p w14:paraId="77B6677F" w14:textId="77777777" w:rsidR="00B51828" w:rsidRDefault="00B51828" w:rsidP="002101D2">
            <w:pPr>
              <w:pStyle w:val="Tabletextboldleft"/>
              <w:spacing w:before="20" w:after="20"/>
              <w:jc w:val="right"/>
            </w:pPr>
            <w:r>
              <w:t>(2017-18)</w:t>
            </w:r>
          </w:p>
        </w:tc>
        <w:tc>
          <w:tcPr>
            <w:tcW w:w="1106" w:type="dxa"/>
          </w:tcPr>
          <w:p w14:paraId="2BAD6E78" w14:textId="77777777" w:rsidR="00B51828" w:rsidRDefault="00B51828" w:rsidP="002101D2">
            <w:pPr>
              <w:pStyle w:val="Tabletextboldleft"/>
              <w:spacing w:before="20" w:after="20"/>
              <w:jc w:val="right"/>
            </w:pPr>
            <w:r>
              <w:t>Year 4</w:t>
            </w:r>
          </w:p>
          <w:p w14:paraId="3773CAD6" w14:textId="77777777" w:rsidR="00B51828" w:rsidRDefault="00B51828" w:rsidP="002101D2">
            <w:pPr>
              <w:pStyle w:val="Tabletextboldleft"/>
              <w:spacing w:before="20" w:after="20"/>
              <w:jc w:val="right"/>
            </w:pPr>
            <w:r>
              <w:t>(2018-19)</w:t>
            </w:r>
          </w:p>
        </w:tc>
        <w:tc>
          <w:tcPr>
            <w:tcW w:w="1106" w:type="dxa"/>
          </w:tcPr>
          <w:p w14:paraId="70393407" w14:textId="77777777" w:rsidR="00B51828" w:rsidRDefault="00B51828" w:rsidP="002101D2">
            <w:pPr>
              <w:pStyle w:val="Tabletextboldleft"/>
              <w:spacing w:before="20" w:after="20"/>
              <w:jc w:val="right"/>
            </w:pPr>
            <w:r>
              <w:t>Year 5</w:t>
            </w:r>
          </w:p>
          <w:p w14:paraId="5D8DEAE6" w14:textId="77777777" w:rsidR="00B51828" w:rsidRDefault="00B51828" w:rsidP="002101D2">
            <w:pPr>
              <w:pStyle w:val="Tabletextboldleft"/>
              <w:spacing w:before="20" w:after="20"/>
              <w:jc w:val="right"/>
            </w:pPr>
            <w:r>
              <w:t>(2019-20)</w:t>
            </w:r>
          </w:p>
        </w:tc>
      </w:tr>
      <w:tr w:rsidR="00B51828" w:rsidRPr="00F647C7" w14:paraId="27DF6721" w14:textId="77777777" w:rsidTr="00E61184">
        <w:trPr>
          <w:trHeight w:val="212"/>
        </w:trPr>
        <w:tc>
          <w:tcPr>
            <w:tcW w:w="2835" w:type="dxa"/>
            <w:tcBorders>
              <w:bottom w:val="single" w:sz="4" w:space="0" w:color="auto"/>
            </w:tcBorders>
            <w:shd w:val="clear" w:color="auto" w:fill="D0CECE" w:themeFill="background2" w:themeFillShade="E6"/>
          </w:tcPr>
          <w:p w14:paraId="5513323D" w14:textId="77777777" w:rsidR="00B51828" w:rsidRPr="0076472C" w:rsidRDefault="00B51828" w:rsidP="002101D2">
            <w:pPr>
              <w:pStyle w:val="Tabletextboldleft"/>
              <w:spacing w:before="20" w:after="20"/>
              <w:rPr>
                <w:i/>
              </w:rPr>
            </w:pPr>
            <w:r>
              <w:rPr>
                <w:i/>
              </w:rPr>
              <w:t>Scenario 1</w:t>
            </w:r>
          </w:p>
        </w:tc>
        <w:tc>
          <w:tcPr>
            <w:tcW w:w="1105" w:type="dxa"/>
            <w:tcBorders>
              <w:bottom w:val="single" w:sz="4" w:space="0" w:color="auto"/>
            </w:tcBorders>
            <w:shd w:val="clear" w:color="auto" w:fill="D0CECE" w:themeFill="background2" w:themeFillShade="E6"/>
          </w:tcPr>
          <w:p w14:paraId="5C7B2167" w14:textId="77777777" w:rsidR="00B51828" w:rsidRPr="002D0B57" w:rsidRDefault="00B51828" w:rsidP="002101D2">
            <w:pPr>
              <w:pStyle w:val="Tabletextboldleft"/>
              <w:spacing w:before="20" w:after="20"/>
              <w:jc w:val="right"/>
              <w:rPr>
                <w:b w:val="0"/>
              </w:rPr>
            </w:pPr>
            <w:r>
              <w:rPr>
                <w:b w:val="0"/>
              </w:rPr>
              <w:t>-</w:t>
            </w:r>
          </w:p>
        </w:tc>
        <w:tc>
          <w:tcPr>
            <w:tcW w:w="1106" w:type="dxa"/>
            <w:tcBorders>
              <w:bottom w:val="single" w:sz="4" w:space="0" w:color="auto"/>
            </w:tcBorders>
            <w:shd w:val="clear" w:color="auto" w:fill="D0CECE" w:themeFill="background2" w:themeFillShade="E6"/>
          </w:tcPr>
          <w:p w14:paraId="7ABD650D" w14:textId="77777777" w:rsidR="00B51828" w:rsidRPr="002D0B57" w:rsidRDefault="00B51828" w:rsidP="002101D2">
            <w:pPr>
              <w:pStyle w:val="Tabletextboldleft"/>
              <w:spacing w:before="20" w:after="20"/>
              <w:jc w:val="right"/>
              <w:rPr>
                <w:b w:val="0"/>
              </w:rPr>
            </w:pPr>
            <w:r>
              <w:rPr>
                <w:b w:val="0"/>
              </w:rPr>
              <w:t>-</w:t>
            </w:r>
          </w:p>
        </w:tc>
        <w:tc>
          <w:tcPr>
            <w:tcW w:w="1105" w:type="dxa"/>
            <w:tcBorders>
              <w:bottom w:val="single" w:sz="4" w:space="0" w:color="auto"/>
            </w:tcBorders>
            <w:shd w:val="clear" w:color="auto" w:fill="D0CECE" w:themeFill="background2" w:themeFillShade="E6"/>
          </w:tcPr>
          <w:p w14:paraId="4EDA8E7F" w14:textId="77777777" w:rsidR="00B51828" w:rsidRPr="002D0B57" w:rsidRDefault="00B51828" w:rsidP="002101D2">
            <w:pPr>
              <w:pStyle w:val="Tabletextboldleft"/>
              <w:spacing w:before="20" w:after="20"/>
              <w:jc w:val="right"/>
              <w:rPr>
                <w:b w:val="0"/>
              </w:rPr>
            </w:pPr>
            <w:r>
              <w:rPr>
                <w:b w:val="0"/>
              </w:rPr>
              <w:t>-</w:t>
            </w:r>
          </w:p>
        </w:tc>
        <w:tc>
          <w:tcPr>
            <w:tcW w:w="1106" w:type="dxa"/>
            <w:tcBorders>
              <w:bottom w:val="single" w:sz="4" w:space="0" w:color="auto"/>
            </w:tcBorders>
            <w:shd w:val="clear" w:color="auto" w:fill="D0CECE" w:themeFill="background2" w:themeFillShade="E6"/>
          </w:tcPr>
          <w:p w14:paraId="319971D5" w14:textId="77777777" w:rsidR="00B51828" w:rsidRPr="002D0B57" w:rsidRDefault="00B51828" w:rsidP="002101D2">
            <w:pPr>
              <w:pStyle w:val="Tabletextboldleft"/>
              <w:spacing w:before="20" w:after="20"/>
              <w:jc w:val="right"/>
              <w:rPr>
                <w:b w:val="0"/>
              </w:rPr>
            </w:pPr>
            <w:r>
              <w:rPr>
                <w:b w:val="0"/>
              </w:rPr>
              <w:t>-</w:t>
            </w:r>
          </w:p>
        </w:tc>
        <w:tc>
          <w:tcPr>
            <w:tcW w:w="1106" w:type="dxa"/>
            <w:tcBorders>
              <w:bottom w:val="single" w:sz="4" w:space="0" w:color="auto"/>
            </w:tcBorders>
            <w:shd w:val="clear" w:color="auto" w:fill="D0CECE" w:themeFill="background2" w:themeFillShade="E6"/>
          </w:tcPr>
          <w:p w14:paraId="66B0CE18" w14:textId="77777777" w:rsidR="00B51828" w:rsidRPr="002D0B57" w:rsidRDefault="00B51828" w:rsidP="002101D2">
            <w:pPr>
              <w:pStyle w:val="Tabletextboldleft"/>
              <w:spacing w:before="20" w:after="20"/>
              <w:jc w:val="right"/>
              <w:rPr>
                <w:b w:val="0"/>
              </w:rPr>
            </w:pPr>
            <w:r>
              <w:rPr>
                <w:b w:val="0"/>
              </w:rPr>
              <w:t>-</w:t>
            </w:r>
          </w:p>
        </w:tc>
      </w:tr>
      <w:tr w:rsidR="00B51828" w:rsidRPr="00F647C7" w14:paraId="5620DAC3" w14:textId="77777777" w:rsidTr="00E61184">
        <w:trPr>
          <w:trHeight w:val="212"/>
        </w:trPr>
        <w:tc>
          <w:tcPr>
            <w:tcW w:w="2835" w:type="dxa"/>
            <w:tcBorders>
              <w:bottom w:val="nil"/>
            </w:tcBorders>
          </w:tcPr>
          <w:p w14:paraId="408432DB" w14:textId="77777777" w:rsidR="00B51828" w:rsidRPr="00386763"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1105" w:type="dxa"/>
            <w:tcBorders>
              <w:bottom w:val="nil"/>
            </w:tcBorders>
          </w:tcPr>
          <w:p w14:paraId="2A9FDB8B" w14:textId="77777777" w:rsidR="00B51828" w:rsidRPr="00F50E45" w:rsidRDefault="00B51828" w:rsidP="002101D2">
            <w:pPr>
              <w:pStyle w:val="Tabletextboldleft"/>
              <w:spacing w:before="20" w:after="20"/>
              <w:jc w:val="right"/>
              <w:rPr>
                <w:b w:val="0"/>
              </w:rPr>
            </w:pPr>
            <w:r w:rsidRPr="00F50E45">
              <w:rPr>
                <w:b w:val="0"/>
                <w:color w:val="000000"/>
              </w:rPr>
              <w:t>$1,301,060</w:t>
            </w:r>
          </w:p>
        </w:tc>
        <w:tc>
          <w:tcPr>
            <w:tcW w:w="1106" w:type="dxa"/>
            <w:tcBorders>
              <w:bottom w:val="nil"/>
            </w:tcBorders>
          </w:tcPr>
          <w:p w14:paraId="51B6311F" w14:textId="77777777" w:rsidR="00B51828" w:rsidRPr="00F50E45" w:rsidRDefault="00B51828" w:rsidP="002101D2">
            <w:pPr>
              <w:pStyle w:val="Tabletextboldleft"/>
              <w:spacing w:before="20" w:after="20"/>
              <w:jc w:val="right"/>
              <w:rPr>
                <w:b w:val="0"/>
              </w:rPr>
            </w:pPr>
            <w:r w:rsidRPr="00F50E45">
              <w:rPr>
                <w:b w:val="0"/>
                <w:color w:val="000000"/>
              </w:rPr>
              <w:t>$1,348,200</w:t>
            </w:r>
          </w:p>
        </w:tc>
        <w:tc>
          <w:tcPr>
            <w:tcW w:w="1105" w:type="dxa"/>
            <w:tcBorders>
              <w:bottom w:val="nil"/>
            </w:tcBorders>
          </w:tcPr>
          <w:p w14:paraId="558752FE" w14:textId="77777777" w:rsidR="00B51828" w:rsidRPr="00F50E45" w:rsidRDefault="00B51828" w:rsidP="002101D2">
            <w:pPr>
              <w:pStyle w:val="Tabletextboldleft"/>
              <w:spacing w:before="20" w:after="20"/>
              <w:jc w:val="right"/>
              <w:rPr>
                <w:b w:val="0"/>
              </w:rPr>
            </w:pPr>
            <w:r w:rsidRPr="00F50E45">
              <w:rPr>
                <w:b w:val="0"/>
                <w:color w:val="000000"/>
              </w:rPr>
              <w:t>$1,395,342</w:t>
            </w:r>
          </w:p>
        </w:tc>
        <w:tc>
          <w:tcPr>
            <w:tcW w:w="1106" w:type="dxa"/>
            <w:tcBorders>
              <w:bottom w:val="nil"/>
            </w:tcBorders>
          </w:tcPr>
          <w:p w14:paraId="4387C738" w14:textId="77777777" w:rsidR="00B51828" w:rsidRPr="00F50E45" w:rsidRDefault="00B51828" w:rsidP="002101D2">
            <w:pPr>
              <w:pStyle w:val="Tabletextboldleft"/>
              <w:spacing w:before="20" w:after="20"/>
              <w:jc w:val="right"/>
              <w:rPr>
                <w:b w:val="0"/>
              </w:rPr>
            </w:pPr>
            <w:r w:rsidRPr="00F50E45">
              <w:rPr>
                <w:b w:val="0"/>
                <w:color w:val="000000"/>
              </w:rPr>
              <w:t>$1,442,483</w:t>
            </w:r>
          </w:p>
        </w:tc>
        <w:tc>
          <w:tcPr>
            <w:tcW w:w="1106" w:type="dxa"/>
            <w:tcBorders>
              <w:bottom w:val="nil"/>
            </w:tcBorders>
          </w:tcPr>
          <w:p w14:paraId="4AF28D3B" w14:textId="77777777" w:rsidR="00B51828" w:rsidRPr="00F50E45" w:rsidRDefault="00B51828" w:rsidP="002101D2">
            <w:pPr>
              <w:pStyle w:val="Tabletextboldleft"/>
              <w:spacing w:before="20" w:after="20"/>
              <w:jc w:val="right"/>
              <w:rPr>
                <w:b w:val="0"/>
              </w:rPr>
            </w:pPr>
            <w:r w:rsidRPr="00F50E45">
              <w:rPr>
                <w:b w:val="0"/>
                <w:color w:val="000000"/>
              </w:rPr>
              <w:t>$1,489,624</w:t>
            </w:r>
          </w:p>
        </w:tc>
      </w:tr>
      <w:tr w:rsidR="00B51828" w:rsidRPr="00F647C7" w14:paraId="3A422C11" w14:textId="77777777" w:rsidTr="00E61184">
        <w:trPr>
          <w:trHeight w:val="212"/>
        </w:trPr>
        <w:tc>
          <w:tcPr>
            <w:tcW w:w="2835" w:type="dxa"/>
            <w:tcBorders>
              <w:top w:val="nil"/>
              <w:bottom w:val="nil"/>
            </w:tcBorders>
          </w:tcPr>
          <w:p w14:paraId="45754BDF" w14:textId="77777777" w:rsidR="00B51828" w:rsidRPr="00386763" w:rsidRDefault="00B51828" w:rsidP="002101D2">
            <w:pPr>
              <w:pStyle w:val="Tabletextboldleft"/>
              <w:spacing w:before="20" w:after="20"/>
              <w:ind w:firstLine="317"/>
              <w:rPr>
                <w:b w:val="0"/>
              </w:rPr>
            </w:pPr>
            <w:r>
              <w:rPr>
                <w:b w:val="0"/>
              </w:rPr>
              <w:t>Ancillary tests</w:t>
            </w:r>
          </w:p>
        </w:tc>
        <w:tc>
          <w:tcPr>
            <w:tcW w:w="1105" w:type="dxa"/>
            <w:tcBorders>
              <w:top w:val="nil"/>
              <w:bottom w:val="nil"/>
            </w:tcBorders>
          </w:tcPr>
          <w:p w14:paraId="3FEC8C78" w14:textId="77777777" w:rsidR="00B51828" w:rsidRPr="00F50E45" w:rsidRDefault="00B51828" w:rsidP="002101D2">
            <w:pPr>
              <w:pStyle w:val="Tabletextboldleft"/>
              <w:spacing w:before="20" w:after="20"/>
              <w:jc w:val="right"/>
              <w:rPr>
                <w:b w:val="0"/>
              </w:rPr>
            </w:pPr>
            <w:r w:rsidRPr="00F50E45">
              <w:rPr>
                <w:b w:val="0"/>
                <w:color w:val="000000"/>
              </w:rPr>
              <w:t>$908,430</w:t>
            </w:r>
          </w:p>
        </w:tc>
        <w:tc>
          <w:tcPr>
            <w:tcW w:w="1106" w:type="dxa"/>
            <w:tcBorders>
              <w:top w:val="nil"/>
              <w:bottom w:val="nil"/>
            </w:tcBorders>
          </w:tcPr>
          <w:p w14:paraId="70D5A4FE" w14:textId="77777777" w:rsidR="00B51828" w:rsidRPr="00F50E45" w:rsidRDefault="00B51828" w:rsidP="002101D2">
            <w:pPr>
              <w:pStyle w:val="Tabletextboldleft"/>
              <w:spacing w:before="20" w:after="20"/>
              <w:jc w:val="right"/>
              <w:rPr>
                <w:b w:val="0"/>
              </w:rPr>
            </w:pPr>
            <w:r w:rsidRPr="00F50E45">
              <w:rPr>
                <w:b w:val="0"/>
                <w:color w:val="000000"/>
              </w:rPr>
              <w:t>$941,345</w:t>
            </w:r>
          </w:p>
        </w:tc>
        <w:tc>
          <w:tcPr>
            <w:tcW w:w="1105" w:type="dxa"/>
            <w:tcBorders>
              <w:top w:val="nil"/>
              <w:bottom w:val="nil"/>
            </w:tcBorders>
          </w:tcPr>
          <w:p w14:paraId="4F279677" w14:textId="77777777" w:rsidR="00B51828" w:rsidRPr="00F50E45" w:rsidRDefault="00B51828" w:rsidP="002101D2">
            <w:pPr>
              <w:pStyle w:val="Tabletextboldleft"/>
              <w:spacing w:before="20" w:after="20"/>
              <w:jc w:val="right"/>
              <w:rPr>
                <w:b w:val="0"/>
              </w:rPr>
            </w:pPr>
            <w:r w:rsidRPr="00F50E45">
              <w:rPr>
                <w:b w:val="0"/>
                <w:color w:val="000000"/>
              </w:rPr>
              <w:t>$974,260</w:t>
            </w:r>
          </w:p>
        </w:tc>
        <w:tc>
          <w:tcPr>
            <w:tcW w:w="1106" w:type="dxa"/>
            <w:tcBorders>
              <w:top w:val="nil"/>
              <w:bottom w:val="nil"/>
            </w:tcBorders>
          </w:tcPr>
          <w:p w14:paraId="3CC4262D" w14:textId="77777777" w:rsidR="00B51828" w:rsidRPr="00F50E45" w:rsidRDefault="00B51828" w:rsidP="002101D2">
            <w:pPr>
              <w:pStyle w:val="Tabletextboldleft"/>
              <w:spacing w:before="20" w:after="20"/>
              <w:jc w:val="right"/>
              <w:rPr>
                <w:b w:val="0"/>
              </w:rPr>
            </w:pPr>
            <w:r w:rsidRPr="00F50E45">
              <w:rPr>
                <w:b w:val="0"/>
                <w:color w:val="000000"/>
              </w:rPr>
              <w:t>$1,007,175</w:t>
            </w:r>
          </w:p>
        </w:tc>
        <w:tc>
          <w:tcPr>
            <w:tcW w:w="1106" w:type="dxa"/>
            <w:tcBorders>
              <w:top w:val="nil"/>
              <w:bottom w:val="nil"/>
            </w:tcBorders>
          </w:tcPr>
          <w:p w14:paraId="4BF9691C" w14:textId="77777777" w:rsidR="00B51828" w:rsidRPr="00F50E45" w:rsidRDefault="00B51828" w:rsidP="002101D2">
            <w:pPr>
              <w:pStyle w:val="Tabletextboldleft"/>
              <w:spacing w:before="20" w:after="20"/>
              <w:jc w:val="right"/>
              <w:rPr>
                <w:b w:val="0"/>
              </w:rPr>
            </w:pPr>
            <w:r w:rsidRPr="00F50E45">
              <w:rPr>
                <w:b w:val="0"/>
                <w:color w:val="000000"/>
              </w:rPr>
              <w:t>$1,040,090</w:t>
            </w:r>
          </w:p>
        </w:tc>
      </w:tr>
      <w:tr w:rsidR="00B51828" w:rsidRPr="00F647C7" w14:paraId="30F38ABA" w14:textId="77777777" w:rsidTr="00E61184">
        <w:trPr>
          <w:trHeight w:val="212"/>
        </w:trPr>
        <w:tc>
          <w:tcPr>
            <w:tcW w:w="2835" w:type="dxa"/>
            <w:tcBorders>
              <w:top w:val="nil"/>
              <w:bottom w:val="nil"/>
            </w:tcBorders>
          </w:tcPr>
          <w:p w14:paraId="17A15A4D" w14:textId="77777777" w:rsidR="00B51828" w:rsidRPr="00F50E45" w:rsidRDefault="00B51828" w:rsidP="002101D2">
            <w:pPr>
              <w:pStyle w:val="Tabletextboldleft"/>
              <w:spacing w:before="20" w:after="20"/>
              <w:ind w:firstLine="317"/>
              <w:rPr>
                <w:b w:val="0"/>
                <w:vertAlign w:val="superscript"/>
              </w:rPr>
            </w:pPr>
            <w:r>
              <w:rPr>
                <w:b w:val="0"/>
              </w:rPr>
              <w:t>Specimen referred fee</w:t>
            </w:r>
            <w:r>
              <w:rPr>
                <w:b w:val="0"/>
                <w:vertAlign w:val="superscript"/>
              </w:rPr>
              <w:t>b</w:t>
            </w:r>
          </w:p>
        </w:tc>
        <w:tc>
          <w:tcPr>
            <w:tcW w:w="1105" w:type="dxa"/>
            <w:tcBorders>
              <w:top w:val="nil"/>
              <w:bottom w:val="nil"/>
            </w:tcBorders>
          </w:tcPr>
          <w:p w14:paraId="2411F273" w14:textId="77777777" w:rsidR="00B51828" w:rsidRPr="00F50E45" w:rsidRDefault="00B51828" w:rsidP="002101D2">
            <w:pPr>
              <w:pStyle w:val="Tabletextboldleft"/>
              <w:spacing w:before="20" w:after="20"/>
              <w:jc w:val="right"/>
              <w:rPr>
                <w:b w:val="0"/>
              </w:rPr>
            </w:pPr>
            <w:r w:rsidRPr="00F50E45">
              <w:rPr>
                <w:b w:val="0"/>
                <w:color w:val="000000"/>
              </w:rPr>
              <w:t>$288,698</w:t>
            </w:r>
          </w:p>
        </w:tc>
        <w:tc>
          <w:tcPr>
            <w:tcW w:w="1106" w:type="dxa"/>
            <w:tcBorders>
              <w:top w:val="nil"/>
              <w:bottom w:val="nil"/>
            </w:tcBorders>
          </w:tcPr>
          <w:p w14:paraId="5F8EDB46" w14:textId="77777777" w:rsidR="00B51828" w:rsidRPr="00F50E45" w:rsidRDefault="00B51828" w:rsidP="002101D2">
            <w:pPr>
              <w:pStyle w:val="Tabletextboldleft"/>
              <w:spacing w:before="20" w:after="20"/>
              <w:jc w:val="right"/>
              <w:rPr>
                <w:b w:val="0"/>
              </w:rPr>
            </w:pPr>
            <w:r w:rsidRPr="00F50E45">
              <w:rPr>
                <w:b w:val="0"/>
                <w:color w:val="000000"/>
              </w:rPr>
              <w:t>$299,158</w:t>
            </w:r>
          </w:p>
        </w:tc>
        <w:tc>
          <w:tcPr>
            <w:tcW w:w="1105" w:type="dxa"/>
            <w:tcBorders>
              <w:top w:val="nil"/>
              <w:bottom w:val="nil"/>
            </w:tcBorders>
          </w:tcPr>
          <w:p w14:paraId="067F00CC" w14:textId="77777777" w:rsidR="00B51828" w:rsidRPr="00F50E45" w:rsidRDefault="00B51828" w:rsidP="002101D2">
            <w:pPr>
              <w:pStyle w:val="Tabletextboldleft"/>
              <w:spacing w:before="20" w:after="20"/>
              <w:jc w:val="right"/>
              <w:rPr>
                <w:b w:val="0"/>
              </w:rPr>
            </w:pPr>
            <w:r w:rsidRPr="00F50E45">
              <w:rPr>
                <w:b w:val="0"/>
                <w:color w:val="000000"/>
              </w:rPr>
              <w:t>$309,619</w:t>
            </w:r>
          </w:p>
        </w:tc>
        <w:tc>
          <w:tcPr>
            <w:tcW w:w="1106" w:type="dxa"/>
            <w:tcBorders>
              <w:top w:val="nil"/>
              <w:bottom w:val="nil"/>
            </w:tcBorders>
          </w:tcPr>
          <w:p w14:paraId="514E48F5" w14:textId="77777777" w:rsidR="00B51828" w:rsidRPr="00F50E45" w:rsidRDefault="00B51828" w:rsidP="002101D2">
            <w:pPr>
              <w:pStyle w:val="Tabletextboldleft"/>
              <w:spacing w:before="20" w:after="20"/>
              <w:jc w:val="right"/>
              <w:rPr>
                <w:b w:val="0"/>
              </w:rPr>
            </w:pPr>
            <w:r w:rsidRPr="00F50E45">
              <w:rPr>
                <w:b w:val="0"/>
                <w:color w:val="000000"/>
              </w:rPr>
              <w:t>$320,079</w:t>
            </w:r>
          </w:p>
        </w:tc>
        <w:tc>
          <w:tcPr>
            <w:tcW w:w="1106" w:type="dxa"/>
            <w:tcBorders>
              <w:top w:val="nil"/>
              <w:bottom w:val="nil"/>
            </w:tcBorders>
          </w:tcPr>
          <w:p w14:paraId="4351B758" w14:textId="77777777" w:rsidR="00B51828" w:rsidRPr="00F50E45" w:rsidRDefault="00B51828" w:rsidP="002101D2">
            <w:pPr>
              <w:pStyle w:val="Tabletextboldleft"/>
              <w:spacing w:before="20" w:after="20"/>
              <w:jc w:val="right"/>
              <w:rPr>
                <w:b w:val="0"/>
              </w:rPr>
            </w:pPr>
            <w:r w:rsidRPr="00F50E45">
              <w:rPr>
                <w:b w:val="0"/>
                <w:color w:val="000000"/>
              </w:rPr>
              <w:t>$330,540</w:t>
            </w:r>
          </w:p>
        </w:tc>
      </w:tr>
      <w:tr w:rsidR="00B51828" w:rsidRPr="00F647C7" w14:paraId="3C3C5050" w14:textId="77777777" w:rsidTr="00E61184">
        <w:trPr>
          <w:trHeight w:val="212"/>
        </w:trPr>
        <w:tc>
          <w:tcPr>
            <w:tcW w:w="2835" w:type="dxa"/>
            <w:tcBorders>
              <w:top w:val="nil"/>
              <w:bottom w:val="single" w:sz="4" w:space="0" w:color="auto"/>
            </w:tcBorders>
          </w:tcPr>
          <w:p w14:paraId="0A1DE0A8" w14:textId="77777777" w:rsidR="00B51828" w:rsidRPr="00F50E45" w:rsidRDefault="00B51828" w:rsidP="002101D2">
            <w:pPr>
              <w:pStyle w:val="Tabletextboldleft"/>
              <w:spacing w:before="20" w:after="20"/>
              <w:ind w:firstLine="317"/>
              <w:rPr>
                <w:b w:val="0"/>
                <w:vertAlign w:val="superscript"/>
              </w:rPr>
            </w:pPr>
            <w:r>
              <w:rPr>
                <w:b w:val="0"/>
              </w:rPr>
              <w:t>Bulk billing incentive</w:t>
            </w:r>
            <w:r>
              <w:rPr>
                <w:b w:val="0"/>
                <w:vertAlign w:val="superscript"/>
              </w:rPr>
              <w:t>c</w:t>
            </w:r>
          </w:p>
        </w:tc>
        <w:tc>
          <w:tcPr>
            <w:tcW w:w="1105" w:type="dxa"/>
            <w:tcBorders>
              <w:top w:val="nil"/>
              <w:bottom w:val="single" w:sz="4" w:space="0" w:color="auto"/>
            </w:tcBorders>
          </w:tcPr>
          <w:p w14:paraId="374053C4" w14:textId="77777777" w:rsidR="00B51828" w:rsidRPr="00F50E45" w:rsidRDefault="00B51828" w:rsidP="002101D2">
            <w:pPr>
              <w:pStyle w:val="Tabletextboldleft"/>
              <w:spacing w:before="20" w:after="20"/>
              <w:jc w:val="right"/>
              <w:rPr>
                <w:b w:val="0"/>
              </w:rPr>
            </w:pPr>
            <w:r w:rsidRPr="00F50E45">
              <w:rPr>
                <w:b w:val="0"/>
                <w:color w:val="000000"/>
              </w:rPr>
              <w:t>$103,931</w:t>
            </w:r>
          </w:p>
        </w:tc>
        <w:tc>
          <w:tcPr>
            <w:tcW w:w="1106" w:type="dxa"/>
            <w:tcBorders>
              <w:top w:val="nil"/>
              <w:bottom w:val="single" w:sz="4" w:space="0" w:color="auto"/>
            </w:tcBorders>
          </w:tcPr>
          <w:p w14:paraId="39DA4BAA" w14:textId="77777777" w:rsidR="00B51828" w:rsidRPr="00F50E45" w:rsidRDefault="00B51828" w:rsidP="002101D2">
            <w:pPr>
              <w:pStyle w:val="Tabletextboldleft"/>
              <w:spacing w:before="20" w:after="20"/>
              <w:jc w:val="right"/>
              <w:rPr>
                <w:b w:val="0"/>
              </w:rPr>
            </w:pPr>
            <w:r w:rsidRPr="00F50E45">
              <w:rPr>
                <w:b w:val="0"/>
                <w:color w:val="000000"/>
              </w:rPr>
              <w:t>$107,697</w:t>
            </w:r>
          </w:p>
        </w:tc>
        <w:tc>
          <w:tcPr>
            <w:tcW w:w="1105" w:type="dxa"/>
            <w:tcBorders>
              <w:top w:val="nil"/>
              <w:bottom w:val="single" w:sz="4" w:space="0" w:color="auto"/>
            </w:tcBorders>
          </w:tcPr>
          <w:p w14:paraId="06957AD9" w14:textId="77777777" w:rsidR="00B51828" w:rsidRPr="00F50E45" w:rsidRDefault="00B51828" w:rsidP="002101D2">
            <w:pPr>
              <w:pStyle w:val="Tabletextboldleft"/>
              <w:spacing w:before="20" w:after="20"/>
              <w:jc w:val="right"/>
              <w:rPr>
                <w:b w:val="0"/>
              </w:rPr>
            </w:pPr>
            <w:r w:rsidRPr="00F50E45">
              <w:rPr>
                <w:b w:val="0"/>
                <w:color w:val="000000"/>
              </w:rPr>
              <w:t>$111,463</w:t>
            </w:r>
          </w:p>
        </w:tc>
        <w:tc>
          <w:tcPr>
            <w:tcW w:w="1106" w:type="dxa"/>
            <w:tcBorders>
              <w:top w:val="nil"/>
              <w:bottom w:val="single" w:sz="4" w:space="0" w:color="auto"/>
            </w:tcBorders>
          </w:tcPr>
          <w:p w14:paraId="2F969240" w14:textId="77777777" w:rsidR="00B51828" w:rsidRPr="00F50E45" w:rsidRDefault="00B51828" w:rsidP="002101D2">
            <w:pPr>
              <w:pStyle w:val="Tabletextboldleft"/>
              <w:spacing w:before="20" w:after="20"/>
              <w:jc w:val="right"/>
              <w:rPr>
                <w:b w:val="0"/>
              </w:rPr>
            </w:pPr>
            <w:r w:rsidRPr="00F50E45">
              <w:rPr>
                <w:b w:val="0"/>
                <w:color w:val="000000"/>
              </w:rPr>
              <w:t>$115,229</w:t>
            </w:r>
          </w:p>
        </w:tc>
        <w:tc>
          <w:tcPr>
            <w:tcW w:w="1106" w:type="dxa"/>
            <w:tcBorders>
              <w:top w:val="nil"/>
              <w:bottom w:val="single" w:sz="4" w:space="0" w:color="auto"/>
            </w:tcBorders>
          </w:tcPr>
          <w:p w14:paraId="3E757CAA" w14:textId="77777777" w:rsidR="00B51828" w:rsidRPr="00F50E45" w:rsidRDefault="00B51828" w:rsidP="002101D2">
            <w:pPr>
              <w:pStyle w:val="Tabletextboldleft"/>
              <w:spacing w:before="20" w:after="20"/>
              <w:jc w:val="right"/>
              <w:rPr>
                <w:b w:val="0"/>
              </w:rPr>
            </w:pPr>
            <w:r w:rsidRPr="00F50E45">
              <w:rPr>
                <w:b w:val="0"/>
                <w:color w:val="000000"/>
              </w:rPr>
              <w:t>$118,994</w:t>
            </w:r>
          </w:p>
        </w:tc>
      </w:tr>
      <w:tr w:rsidR="00C932DC" w:rsidRPr="00F647C7" w14:paraId="70074703" w14:textId="77777777" w:rsidTr="00E61184">
        <w:trPr>
          <w:trHeight w:val="212"/>
        </w:trPr>
        <w:tc>
          <w:tcPr>
            <w:tcW w:w="2835" w:type="dxa"/>
            <w:tcBorders>
              <w:bottom w:val="nil"/>
            </w:tcBorders>
          </w:tcPr>
          <w:p w14:paraId="70E1DCA2" w14:textId="77777777" w:rsidR="00C932DC" w:rsidRPr="00F411CD" w:rsidRDefault="00C932DC" w:rsidP="00C932DC">
            <w:pPr>
              <w:pStyle w:val="Tabletextboldleft"/>
              <w:spacing w:before="20" w:after="20"/>
              <w:rPr>
                <w:b w:val="0"/>
              </w:rPr>
            </w:pPr>
            <w:r w:rsidRPr="00F411CD">
              <w:rPr>
                <w:b w:val="0"/>
              </w:rPr>
              <w:t>Non-gynaecological cytology</w:t>
            </w:r>
          </w:p>
        </w:tc>
        <w:tc>
          <w:tcPr>
            <w:tcW w:w="1105" w:type="dxa"/>
            <w:tcBorders>
              <w:bottom w:val="nil"/>
            </w:tcBorders>
            <w:vAlign w:val="bottom"/>
          </w:tcPr>
          <w:p w14:paraId="23DA2F4F" w14:textId="6D0D2353" w:rsidR="00C932DC" w:rsidRPr="00C932DC" w:rsidRDefault="00C932DC" w:rsidP="00C932DC">
            <w:pPr>
              <w:pStyle w:val="Tabletextboldleft"/>
              <w:spacing w:before="20" w:after="20"/>
              <w:jc w:val="right"/>
              <w:rPr>
                <w:b w:val="0"/>
              </w:rPr>
            </w:pPr>
            <w:r w:rsidRPr="00C932DC">
              <w:rPr>
                <w:b w:val="0"/>
                <w:color w:val="000000"/>
              </w:rPr>
              <w:t>$35,132</w:t>
            </w:r>
          </w:p>
        </w:tc>
        <w:tc>
          <w:tcPr>
            <w:tcW w:w="1106" w:type="dxa"/>
            <w:tcBorders>
              <w:bottom w:val="nil"/>
            </w:tcBorders>
            <w:vAlign w:val="bottom"/>
          </w:tcPr>
          <w:p w14:paraId="0455B84E" w14:textId="2487F4C7" w:rsidR="00C932DC" w:rsidRPr="00C932DC" w:rsidRDefault="00C932DC" w:rsidP="00C932DC">
            <w:pPr>
              <w:pStyle w:val="Tabletextboldleft"/>
              <w:spacing w:before="20" w:after="20"/>
              <w:jc w:val="right"/>
              <w:rPr>
                <w:b w:val="0"/>
              </w:rPr>
            </w:pPr>
            <w:r w:rsidRPr="00C932DC">
              <w:rPr>
                <w:b w:val="0"/>
                <w:color w:val="000000"/>
              </w:rPr>
              <w:t>$36,152</w:t>
            </w:r>
          </w:p>
        </w:tc>
        <w:tc>
          <w:tcPr>
            <w:tcW w:w="1105" w:type="dxa"/>
            <w:tcBorders>
              <w:bottom w:val="nil"/>
            </w:tcBorders>
            <w:vAlign w:val="bottom"/>
          </w:tcPr>
          <w:p w14:paraId="678C2A34" w14:textId="64E3C93A" w:rsidR="00C932DC" w:rsidRPr="00C932DC" w:rsidRDefault="00C932DC" w:rsidP="00C932DC">
            <w:pPr>
              <w:pStyle w:val="Tabletextboldleft"/>
              <w:spacing w:before="20" w:after="20"/>
              <w:jc w:val="right"/>
              <w:rPr>
                <w:b w:val="0"/>
              </w:rPr>
            </w:pPr>
            <w:r w:rsidRPr="00C932DC">
              <w:rPr>
                <w:b w:val="0"/>
                <w:color w:val="000000"/>
              </w:rPr>
              <w:t>$37,171</w:t>
            </w:r>
          </w:p>
        </w:tc>
        <w:tc>
          <w:tcPr>
            <w:tcW w:w="1106" w:type="dxa"/>
            <w:tcBorders>
              <w:bottom w:val="nil"/>
            </w:tcBorders>
            <w:vAlign w:val="bottom"/>
          </w:tcPr>
          <w:p w14:paraId="073BEAA1" w14:textId="7EDF0240" w:rsidR="00C932DC" w:rsidRPr="00C932DC" w:rsidRDefault="00C932DC" w:rsidP="00C932DC">
            <w:pPr>
              <w:pStyle w:val="Tabletextboldleft"/>
              <w:spacing w:before="20" w:after="20"/>
              <w:jc w:val="right"/>
              <w:rPr>
                <w:b w:val="0"/>
              </w:rPr>
            </w:pPr>
            <w:r w:rsidRPr="00C932DC">
              <w:rPr>
                <w:b w:val="0"/>
                <w:color w:val="000000"/>
              </w:rPr>
              <w:t>$38,190</w:t>
            </w:r>
          </w:p>
        </w:tc>
        <w:tc>
          <w:tcPr>
            <w:tcW w:w="1106" w:type="dxa"/>
            <w:tcBorders>
              <w:bottom w:val="nil"/>
            </w:tcBorders>
            <w:vAlign w:val="bottom"/>
          </w:tcPr>
          <w:p w14:paraId="20A4DEE2" w14:textId="0D1BB7C9" w:rsidR="00C932DC" w:rsidRPr="00C932DC" w:rsidRDefault="00C932DC" w:rsidP="00C932DC">
            <w:pPr>
              <w:pStyle w:val="Tabletextboldleft"/>
              <w:spacing w:before="20" w:after="20"/>
              <w:jc w:val="right"/>
              <w:rPr>
                <w:b w:val="0"/>
              </w:rPr>
            </w:pPr>
            <w:r w:rsidRPr="00C932DC">
              <w:rPr>
                <w:b w:val="0"/>
                <w:color w:val="000000"/>
              </w:rPr>
              <w:t>$39,209</w:t>
            </w:r>
          </w:p>
        </w:tc>
      </w:tr>
      <w:tr w:rsidR="00C932DC" w:rsidRPr="00F647C7" w14:paraId="294B8EC8" w14:textId="77777777" w:rsidTr="00E61184">
        <w:trPr>
          <w:trHeight w:val="212"/>
        </w:trPr>
        <w:tc>
          <w:tcPr>
            <w:tcW w:w="2835" w:type="dxa"/>
            <w:tcBorders>
              <w:top w:val="nil"/>
              <w:bottom w:val="nil"/>
            </w:tcBorders>
          </w:tcPr>
          <w:p w14:paraId="623C1FCB" w14:textId="77777777" w:rsidR="00C932DC" w:rsidRPr="00F411CD" w:rsidRDefault="00C932DC" w:rsidP="00C932DC">
            <w:pPr>
              <w:pStyle w:val="Tabletextboldleft"/>
              <w:spacing w:before="20" w:after="20"/>
              <w:ind w:firstLine="317"/>
              <w:rPr>
                <w:b w:val="0"/>
              </w:rPr>
            </w:pPr>
            <w:r>
              <w:rPr>
                <w:b w:val="0"/>
              </w:rPr>
              <w:t>Ancillary tests</w:t>
            </w:r>
          </w:p>
        </w:tc>
        <w:tc>
          <w:tcPr>
            <w:tcW w:w="1105" w:type="dxa"/>
            <w:tcBorders>
              <w:top w:val="nil"/>
              <w:bottom w:val="nil"/>
            </w:tcBorders>
            <w:vAlign w:val="bottom"/>
          </w:tcPr>
          <w:p w14:paraId="379CA98E" w14:textId="4BC44797" w:rsidR="00C932DC" w:rsidRPr="00C932DC" w:rsidRDefault="00C932DC" w:rsidP="00C932DC">
            <w:pPr>
              <w:pStyle w:val="Tabletextboldleft"/>
              <w:spacing w:before="20" w:after="20"/>
              <w:jc w:val="right"/>
              <w:rPr>
                <w:b w:val="0"/>
              </w:rPr>
            </w:pPr>
            <w:r w:rsidRPr="00C932DC">
              <w:rPr>
                <w:b w:val="0"/>
                <w:color w:val="000000"/>
              </w:rPr>
              <w:t>$13,479</w:t>
            </w:r>
          </w:p>
        </w:tc>
        <w:tc>
          <w:tcPr>
            <w:tcW w:w="1106" w:type="dxa"/>
            <w:tcBorders>
              <w:top w:val="nil"/>
              <w:bottom w:val="nil"/>
            </w:tcBorders>
            <w:vAlign w:val="bottom"/>
          </w:tcPr>
          <w:p w14:paraId="10217B44" w14:textId="185D3E78" w:rsidR="00C932DC" w:rsidRPr="00C932DC" w:rsidRDefault="00C932DC" w:rsidP="00C932DC">
            <w:pPr>
              <w:pStyle w:val="Tabletextboldleft"/>
              <w:spacing w:before="20" w:after="20"/>
              <w:jc w:val="right"/>
              <w:rPr>
                <w:b w:val="0"/>
              </w:rPr>
            </w:pPr>
            <w:r w:rsidRPr="00C932DC">
              <w:rPr>
                <w:b w:val="0"/>
                <w:color w:val="000000"/>
              </w:rPr>
              <w:t>$13,870</w:t>
            </w:r>
          </w:p>
        </w:tc>
        <w:tc>
          <w:tcPr>
            <w:tcW w:w="1105" w:type="dxa"/>
            <w:tcBorders>
              <w:top w:val="nil"/>
              <w:bottom w:val="nil"/>
            </w:tcBorders>
            <w:vAlign w:val="bottom"/>
          </w:tcPr>
          <w:p w14:paraId="6F828889" w14:textId="405E005A" w:rsidR="00C932DC" w:rsidRPr="00C932DC" w:rsidRDefault="00C932DC" w:rsidP="00C932DC">
            <w:pPr>
              <w:pStyle w:val="Tabletextboldleft"/>
              <w:spacing w:before="20" w:after="20"/>
              <w:jc w:val="right"/>
              <w:rPr>
                <w:b w:val="0"/>
              </w:rPr>
            </w:pPr>
            <w:r w:rsidRPr="00C932DC">
              <w:rPr>
                <w:b w:val="0"/>
                <w:color w:val="000000"/>
              </w:rPr>
              <w:t>$14,261</w:t>
            </w:r>
          </w:p>
        </w:tc>
        <w:tc>
          <w:tcPr>
            <w:tcW w:w="1106" w:type="dxa"/>
            <w:tcBorders>
              <w:top w:val="nil"/>
              <w:bottom w:val="nil"/>
            </w:tcBorders>
            <w:vAlign w:val="bottom"/>
          </w:tcPr>
          <w:p w14:paraId="7DBCEFBE" w14:textId="4E699EBD" w:rsidR="00C932DC" w:rsidRPr="00C932DC" w:rsidRDefault="00C932DC" w:rsidP="00C932DC">
            <w:pPr>
              <w:pStyle w:val="Tabletextboldleft"/>
              <w:spacing w:before="20" w:after="20"/>
              <w:jc w:val="right"/>
              <w:rPr>
                <w:b w:val="0"/>
              </w:rPr>
            </w:pPr>
            <w:r w:rsidRPr="00C932DC">
              <w:rPr>
                <w:b w:val="0"/>
                <w:color w:val="000000"/>
              </w:rPr>
              <w:t>$14,652</w:t>
            </w:r>
          </w:p>
        </w:tc>
        <w:tc>
          <w:tcPr>
            <w:tcW w:w="1106" w:type="dxa"/>
            <w:tcBorders>
              <w:top w:val="nil"/>
              <w:bottom w:val="nil"/>
            </w:tcBorders>
            <w:vAlign w:val="bottom"/>
          </w:tcPr>
          <w:p w14:paraId="54465584" w14:textId="04E7AAE1" w:rsidR="00C932DC" w:rsidRPr="00C932DC" w:rsidRDefault="00C932DC" w:rsidP="00C932DC">
            <w:pPr>
              <w:pStyle w:val="Tabletextboldleft"/>
              <w:spacing w:before="20" w:after="20"/>
              <w:jc w:val="right"/>
              <w:rPr>
                <w:b w:val="0"/>
              </w:rPr>
            </w:pPr>
            <w:r w:rsidRPr="00C932DC">
              <w:rPr>
                <w:b w:val="0"/>
                <w:color w:val="000000"/>
              </w:rPr>
              <w:t>$15,043</w:t>
            </w:r>
          </w:p>
        </w:tc>
      </w:tr>
      <w:tr w:rsidR="00C932DC" w:rsidRPr="00F647C7" w14:paraId="5CCAA0C1" w14:textId="77777777" w:rsidTr="00E61184">
        <w:trPr>
          <w:trHeight w:val="212"/>
        </w:trPr>
        <w:tc>
          <w:tcPr>
            <w:tcW w:w="2835" w:type="dxa"/>
            <w:tcBorders>
              <w:top w:val="nil"/>
              <w:bottom w:val="nil"/>
            </w:tcBorders>
          </w:tcPr>
          <w:p w14:paraId="52B162BA" w14:textId="77777777" w:rsidR="00C932DC" w:rsidRPr="00F411CD" w:rsidRDefault="00C932DC" w:rsidP="00C932DC">
            <w:pPr>
              <w:pStyle w:val="Tabletextboldleft"/>
              <w:spacing w:before="20" w:after="20"/>
              <w:ind w:firstLine="317"/>
              <w:rPr>
                <w:b w:val="0"/>
              </w:rPr>
            </w:pPr>
            <w:r>
              <w:rPr>
                <w:b w:val="0"/>
              </w:rPr>
              <w:t>Specimen referred fee</w:t>
            </w:r>
            <w:r>
              <w:rPr>
                <w:b w:val="0"/>
                <w:vertAlign w:val="superscript"/>
              </w:rPr>
              <w:t>b</w:t>
            </w:r>
          </w:p>
        </w:tc>
        <w:tc>
          <w:tcPr>
            <w:tcW w:w="1105" w:type="dxa"/>
            <w:tcBorders>
              <w:top w:val="nil"/>
              <w:bottom w:val="nil"/>
            </w:tcBorders>
            <w:vAlign w:val="bottom"/>
          </w:tcPr>
          <w:p w14:paraId="7A254BC3" w14:textId="172EE92C" w:rsidR="00C932DC" w:rsidRPr="00C932DC" w:rsidRDefault="00C932DC" w:rsidP="00C932DC">
            <w:pPr>
              <w:pStyle w:val="Tabletextboldleft"/>
              <w:spacing w:before="20" w:after="20"/>
              <w:jc w:val="right"/>
              <w:rPr>
                <w:b w:val="0"/>
              </w:rPr>
            </w:pPr>
            <w:r w:rsidRPr="00C932DC">
              <w:rPr>
                <w:b w:val="0"/>
                <w:color w:val="000000"/>
              </w:rPr>
              <w:t>$15,922</w:t>
            </w:r>
          </w:p>
        </w:tc>
        <w:tc>
          <w:tcPr>
            <w:tcW w:w="1106" w:type="dxa"/>
            <w:tcBorders>
              <w:top w:val="nil"/>
              <w:bottom w:val="nil"/>
            </w:tcBorders>
            <w:vAlign w:val="bottom"/>
          </w:tcPr>
          <w:p w14:paraId="03D88203" w14:textId="7D83D4DC" w:rsidR="00C932DC" w:rsidRPr="00C932DC" w:rsidRDefault="00C932DC" w:rsidP="00C932DC">
            <w:pPr>
              <w:pStyle w:val="Tabletextboldleft"/>
              <w:spacing w:before="20" w:after="20"/>
              <w:jc w:val="right"/>
              <w:rPr>
                <w:b w:val="0"/>
              </w:rPr>
            </w:pPr>
            <w:r w:rsidRPr="00C932DC">
              <w:rPr>
                <w:b w:val="0"/>
                <w:color w:val="000000"/>
              </w:rPr>
              <w:t>$16,384</w:t>
            </w:r>
          </w:p>
        </w:tc>
        <w:tc>
          <w:tcPr>
            <w:tcW w:w="1105" w:type="dxa"/>
            <w:tcBorders>
              <w:top w:val="nil"/>
              <w:bottom w:val="nil"/>
            </w:tcBorders>
            <w:vAlign w:val="bottom"/>
          </w:tcPr>
          <w:p w14:paraId="24005E78" w14:textId="599A295F" w:rsidR="00C932DC" w:rsidRPr="00C932DC" w:rsidRDefault="00C932DC" w:rsidP="00C932DC">
            <w:pPr>
              <w:pStyle w:val="Tabletextboldleft"/>
              <w:spacing w:before="20" w:after="20"/>
              <w:jc w:val="right"/>
              <w:rPr>
                <w:b w:val="0"/>
              </w:rPr>
            </w:pPr>
            <w:r w:rsidRPr="00C932DC">
              <w:rPr>
                <w:b w:val="0"/>
                <w:color w:val="000000"/>
              </w:rPr>
              <w:t>$16,846</w:t>
            </w:r>
          </w:p>
        </w:tc>
        <w:tc>
          <w:tcPr>
            <w:tcW w:w="1106" w:type="dxa"/>
            <w:tcBorders>
              <w:top w:val="nil"/>
              <w:bottom w:val="nil"/>
            </w:tcBorders>
            <w:vAlign w:val="bottom"/>
          </w:tcPr>
          <w:p w14:paraId="3D34EFF8" w14:textId="3B7E921E" w:rsidR="00C932DC" w:rsidRPr="00C932DC" w:rsidRDefault="00C932DC" w:rsidP="00C932DC">
            <w:pPr>
              <w:pStyle w:val="Tabletextboldleft"/>
              <w:spacing w:before="20" w:after="20"/>
              <w:jc w:val="right"/>
              <w:rPr>
                <w:b w:val="0"/>
              </w:rPr>
            </w:pPr>
            <w:r w:rsidRPr="00C932DC">
              <w:rPr>
                <w:b w:val="0"/>
                <w:color w:val="000000"/>
              </w:rPr>
              <w:t>$17,308</w:t>
            </w:r>
          </w:p>
        </w:tc>
        <w:tc>
          <w:tcPr>
            <w:tcW w:w="1106" w:type="dxa"/>
            <w:tcBorders>
              <w:top w:val="nil"/>
              <w:bottom w:val="nil"/>
            </w:tcBorders>
            <w:vAlign w:val="bottom"/>
          </w:tcPr>
          <w:p w14:paraId="32E6D6C9" w14:textId="17A2B600" w:rsidR="00C932DC" w:rsidRPr="00C932DC" w:rsidRDefault="00C932DC" w:rsidP="00C932DC">
            <w:pPr>
              <w:pStyle w:val="Tabletextboldleft"/>
              <w:spacing w:before="20" w:after="20"/>
              <w:jc w:val="right"/>
              <w:rPr>
                <w:b w:val="0"/>
              </w:rPr>
            </w:pPr>
            <w:r w:rsidRPr="00C932DC">
              <w:rPr>
                <w:b w:val="0"/>
                <w:color w:val="000000"/>
              </w:rPr>
              <w:t>$17,769</w:t>
            </w:r>
          </w:p>
        </w:tc>
      </w:tr>
      <w:tr w:rsidR="00C932DC" w:rsidRPr="00F647C7" w14:paraId="18041669" w14:textId="77777777" w:rsidTr="00E61184">
        <w:trPr>
          <w:trHeight w:val="212"/>
        </w:trPr>
        <w:tc>
          <w:tcPr>
            <w:tcW w:w="2835" w:type="dxa"/>
            <w:tcBorders>
              <w:top w:val="nil"/>
              <w:bottom w:val="single" w:sz="4" w:space="0" w:color="auto"/>
            </w:tcBorders>
          </w:tcPr>
          <w:p w14:paraId="6485EDBE" w14:textId="77777777" w:rsidR="00C932DC" w:rsidRPr="00F411CD" w:rsidRDefault="00C932DC" w:rsidP="00C932DC">
            <w:pPr>
              <w:pStyle w:val="Tabletextboldleft"/>
              <w:spacing w:before="20" w:after="20"/>
              <w:ind w:firstLine="317"/>
              <w:rPr>
                <w:b w:val="0"/>
              </w:rPr>
            </w:pPr>
            <w:r>
              <w:rPr>
                <w:b w:val="0"/>
              </w:rPr>
              <w:t>Bulk billing incentive</w:t>
            </w:r>
            <w:r>
              <w:rPr>
                <w:b w:val="0"/>
                <w:vertAlign w:val="superscript"/>
              </w:rPr>
              <w:t>c</w:t>
            </w:r>
          </w:p>
        </w:tc>
        <w:tc>
          <w:tcPr>
            <w:tcW w:w="1105" w:type="dxa"/>
            <w:tcBorders>
              <w:top w:val="nil"/>
              <w:bottom w:val="single" w:sz="4" w:space="0" w:color="auto"/>
            </w:tcBorders>
            <w:vAlign w:val="bottom"/>
          </w:tcPr>
          <w:p w14:paraId="00FE85DE" w14:textId="4E249330" w:rsidR="00C932DC" w:rsidRPr="00C932DC" w:rsidRDefault="00C932DC" w:rsidP="00C932DC">
            <w:pPr>
              <w:pStyle w:val="Tabletextboldleft"/>
              <w:spacing w:before="20" w:after="20"/>
              <w:jc w:val="right"/>
              <w:rPr>
                <w:b w:val="0"/>
              </w:rPr>
            </w:pPr>
            <w:r w:rsidRPr="00C932DC">
              <w:rPr>
                <w:b w:val="0"/>
                <w:color w:val="000000"/>
              </w:rPr>
              <w:t>$5,732</w:t>
            </w:r>
          </w:p>
        </w:tc>
        <w:tc>
          <w:tcPr>
            <w:tcW w:w="1106" w:type="dxa"/>
            <w:tcBorders>
              <w:top w:val="nil"/>
              <w:bottom w:val="single" w:sz="4" w:space="0" w:color="auto"/>
            </w:tcBorders>
            <w:vAlign w:val="bottom"/>
          </w:tcPr>
          <w:p w14:paraId="3F624215" w14:textId="745F5288" w:rsidR="00C932DC" w:rsidRPr="00C932DC" w:rsidRDefault="00C932DC" w:rsidP="00C932DC">
            <w:pPr>
              <w:pStyle w:val="Tabletextboldleft"/>
              <w:spacing w:before="20" w:after="20"/>
              <w:jc w:val="right"/>
              <w:rPr>
                <w:b w:val="0"/>
              </w:rPr>
            </w:pPr>
            <w:r w:rsidRPr="00C932DC">
              <w:rPr>
                <w:b w:val="0"/>
                <w:color w:val="000000"/>
              </w:rPr>
              <w:t>$5,898</w:t>
            </w:r>
          </w:p>
        </w:tc>
        <w:tc>
          <w:tcPr>
            <w:tcW w:w="1105" w:type="dxa"/>
            <w:tcBorders>
              <w:top w:val="nil"/>
              <w:bottom w:val="single" w:sz="4" w:space="0" w:color="auto"/>
            </w:tcBorders>
            <w:vAlign w:val="bottom"/>
          </w:tcPr>
          <w:p w14:paraId="378DEE75" w14:textId="52BC0314" w:rsidR="00C932DC" w:rsidRPr="00C932DC" w:rsidRDefault="00C932DC" w:rsidP="00C932DC">
            <w:pPr>
              <w:pStyle w:val="Tabletextboldleft"/>
              <w:spacing w:before="20" w:after="20"/>
              <w:jc w:val="right"/>
              <w:rPr>
                <w:b w:val="0"/>
              </w:rPr>
            </w:pPr>
            <w:r w:rsidRPr="00C932DC">
              <w:rPr>
                <w:b w:val="0"/>
                <w:color w:val="000000"/>
              </w:rPr>
              <w:t>$6,064</w:t>
            </w:r>
          </w:p>
        </w:tc>
        <w:tc>
          <w:tcPr>
            <w:tcW w:w="1106" w:type="dxa"/>
            <w:tcBorders>
              <w:top w:val="nil"/>
              <w:bottom w:val="single" w:sz="4" w:space="0" w:color="auto"/>
            </w:tcBorders>
            <w:vAlign w:val="bottom"/>
          </w:tcPr>
          <w:p w14:paraId="5B01C0BD" w14:textId="4D4811AD" w:rsidR="00C932DC" w:rsidRPr="00C932DC" w:rsidRDefault="00C932DC" w:rsidP="00C932DC">
            <w:pPr>
              <w:pStyle w:val="Tabletextboldleft"/>
              <w:spacing w:before="20" w:after="20"/>
              <w:jc w:val="right"/>
              <w:rPr>
                <w:b w:val="0"/>
              </w:rPr>
            </w:pPr>
            <w:r w:rsidRPr="00C932DC">
              <w:rPr>
                <w:b w:val="0"/>
                <w:color w:val="000000"/>
              </w:rPr>
              <w:t>$6,231</w:t>
            </w:r>
          </w:p>
        </w:tc>
        <w:tc>
          <w:tcPr>
            <w:tcW w:w="1106" w:type="dxa"/>
            <w:tcBorders>
              <w:top w:val="nil"/>
              <w:bottom w:val="single" w:sz="4" w:space="0" w:color="auto"/>
            </w:tcBorders>
            <w:vAlign w:val="bottom"/>
          </w:tcPr>
          <w:p w14:paraId="6D4C0260" w14:textId="4A255FB9" w:rsidR="00C932DC" w:rsidRPr="00C932DC" w:rsidRDefault="00C932DC" w:rsidP="00C932DC">
            <w:pPr>
              <w:pStyle w:val="Tabletextboldleft"/>
              <w:spacing w:before="20" w:after="20"/>
              <w:jc w:val="right"/>
              <w:rPr>
                <w:b w:val="0"/>
              </w:rPr>
            </w:pPr>
            <w:r w:rsidRPr="00C932DC">
              <w:rPr>
                <w:b w:val="0"/>
                <w:color w:val="000000"/>
              </w:rPr>
              <w:t>$6,397</w:t>
            </w:r>
          </w:p>
        </w:tc>
      </w:tr>
      <w:tr w:rsidR="00C932DC" w:rsidRPr="00F647C7" w14:paraId="43841D24" w14:textId="77777777" w:rsidTr="00E61184">
        <w:trPr>
          <w:trHeight w:val="212"/>
        </w:trPr>
        <w:tc>
          <w:tcPr>
            <w:tcW w:w="2835" w:type="dxa"/>
            <w:tcBorders>
              <w:bottom w:val="nil"/>
            </w:tcBorders>
          </w:tcPr>
          <w:p w14:paraId="6FDC8598" w14:textId="77777777" w:rsidR="00C932DC" w:rsidRPr="00F411CD" w:rsidRDefault="00C932DC" w:rsidP="00C932DC">
            <w:pPr>
              <w:pStyle w:val="Tabletextboldleft"/>
              <w:spacing w:before="20" w:after="20"/>
              <w:rPr>
                <w:b w:val="0"/>
              </w:rPr>
            </w:pPr>
            <w:r>
              <w:rPr>
                <w:b w:val="0"/>
              </w:rPr>
              <w:t>All cytology</w:t>
            </w:r>
          </w:p>
        </w:tc>
        <w:tc>
          <w:tcPr>
            <w:tcW w:w="1105" w:type="dxa"/>
            <w:tcBorders>
              <w:bottom w:val="nil"/>
            </w:tcBorders>
            <w:vAlign w:val="bottom"/>
          </w:tcPr>
          <w:p w14:paraId="79FE150C" w14:textId="46C14A03" w:rsidR="00C932DC" w:rsidRPr="00C932DC" w:rsidRDefault="00C932DC" w:rsidP="00C932DC">
            <w:pPr>
              <w:pStyle w:val="Tabletextboldleft"/>
              <w:spacing w:before="20" w:after="20"/>
              <w:jc w:val="right"/>
              <w:rPr>
                <w:b w:val="0"/>
              </w:rPr>
            </w:pPr>
            <w:r w:rsidRPr="00C932DC">
              <w:rPr>
                <w:b w:val="0"/>
                <w:color w:val="000000"/>
              </w:rPr>
              <w:t>$279,469</w:t>
            </w:r>
          </w:p>
        </w:tc>
        <w:tc>
          <w:tcPr>
            <w:tcW w:w="1106" w:type="dxa"/>
            <w:tcBorders>
              <w:bottom w:val="nil"/>
            </w:tcBorders>
            <w:vAlign w:val="bottom"/>
          </w:tcPr>
          <w:p w14:paraId="237A5EE1" w14:textId="6127E152" w:rsidR="00C932DC" w:rsidRPr="00C932DC" w:rsidRDefault="00C932DC" w:rsidP="00C932DC">
            <w:pPr>
              <w:pStyle w:val="Tabletextboldleft"/>
              <w:spacing w:before="20" w:after="20"/>
              <w:jc w:val="right"/>
              <w:rPr>
                <w:b w:val="0"/>
              </w:rPr>
            </w:pPr>
            <w:r w:rsidRPr="00C932DC">
              <w:rPr>
                <w:b w:val="0"/>
                <w:color w:val="000000"/>
              </w:rPr>
              <w:t>$282,523</w:t>
            </w:r>
          </w:p>
        </w:tc>
        <w:tc>
          <w:tcPr>
            <w:tcW w:w="1105" w:type="dxa"/>
            <w:tcBorders>
              <w:bottom w:val="nil"/>
            </w:tcBorders>
            <w:vAlign w:val="bottom"/>
          </w:tcPr>
          <w:p w14:paraId="28969869" w14:textId="4707DEFF" w:rsidR="00C932DC" w:rsidRPr="00C932DC" w:rsidRDefault="00C932DC" w:rsidP="00C932DC">
            <w:pPr>
              <w:pStyle w:val="Tabletextboldleft"/>
              <w:spacing w:before="20" w:after="20"/>
              <w:jc w:val="right"/>
              <w:rPr>
                <w:b w:val="0"/>
              </w:rPr>
            </w:pPr>
            <w:r w:rsidRPr="00C932DC">
              <w:rPr>
                <w:b w:val="0"/>
                <w:color w:val="000000"/>
              </w:rPr>
              <w:t>$285,577</w:t>
            </w:r>
          </w:p>
        </w:tc>
        <w:tc>
          <w:tcPr>
            <w:tcW w:w="1106" w:type="dxa"/>
            <w:tcBorders>
              <w:bottom w:val="nil"/>
            </w:tcBorders>
            <w:vAlign w:val="bottom"/>
          </w:tcPr>
          <w:p w14:paraId="3461B03D" w14:textId="44AC942F" w:rsidR="00C932DC" w:rsidRPr="00C932DC" w:rsidRDefault="00C932DC" w:rsidP="00C932DC">
            <w:pPr>
              <w:pStyle w:val="Tabletextboldleft"/>
              <w:spacing w:before="20" w:after="20"/>
              <w:jc w:val="right"/>
              <w:rPr>
                <w:b w:val="0"/>
              </w:rPr>
            </w:pPr>
            <w:r w:rsidRPr="00C932DC">
              <w:rPr>
                <w:b w:val="0"/>
                <w:color w:val="000000"/>
              </w:rPr>
              <w:t>$288,631</w:t>
            </w:r>
          </w:p>
        </w:tc>
        <w:tc>
          <w:tcPr>
            <w:tcW w:w="1106" w:type="dxa"/>
            <w:tcBorders>
              <w:bottom w:val="nil"/>
            </w:tcBorders>
            <w:vAlign w:val="bottom"/>
          </w:tcPr>
          <w:p w14:paraId="22B2E190" w14:textId="285BCFC8" w:rsidR="00C932DC" w:rsidRPr="00C932DC" w:rsidRDefault="00C932DC" w:rsidP="00C932DC">
            <w:pPr>
              <w:pStyle w:val="Tabletextboldleft"/>
              <w:spacing w:before="20" w:after="20"/>
              <w:jc w:val="right"/>
              <w:rPr>
                <w:b w:val="0"/>
              </w:rPr>
            </w:pPr>
            <w:r w:rsidRPr="00C932DC">
              <w:rPr>
                <w:b w:val="0"/>
                <w:color w:val="000000"/>
              </w:rPr>
              <w:t>$291,685</w:t>
            </w:r>
          </w:p>
        </w:tc>
      </w:tr>
      <w:tr w:rsidR="00C932DC" w:rsidRPr="00F647C7" w14:paraId="2B256FFC" w14:textId="77777777" w:rsidTr="00E61184">
        <w:trPr>
          <w:trHeight w:val="212"/>
        </w:trPr>
        <w:tc>
          <w:tcPr>
            <w:tcW w:w="2835" w:type="dxa"/>
            <w:tcBorders>
              <w:top w:val="nil"/>
              <w:bottom w:val="nil"/>
            </w:tcBorders>
          </w:tcPr>
          <w:p w14:paraId="3E5EC106" w14:textId="77777777" w:rsidR="00C932DC" w:rsidRPr="00F411CD" w:rsidRDefault="00C932DC" w:rsidP="00C932DC">
            <w:pPr>
              <w:pStyle w:val="Tabletextboldleft"/>
              <w:spacing w:before="20" w:after="20"/>
              <w:ind w:firstLine="317"/>
              <w:rPr>
                <w:b w:val="0"/>
              </w:rPr>
            </w:pPr>
            <w:r>
              <w:rPr>
                <w:b w:val="0"/>
              </w:rPr>
              <w:t>Ancillary tests</w:t>
            </w:r>
          </w:p>
        </w:tc>
        <w:tc>
          <w:tcPr>
            <w:tcW w:w="1105" w:type="dxa"/>
            <w:tcBorders>
              <w:top w:val="nil"/>
              <w:bottom w:val="nil"/>
            </w:tcBorders>
            <w:vAlign w:val="bottom"/>
          </w:tcPr>
          <w:p w14:paraId="541FDFF1" w14:textId="22F8947C" w:rsidR="00C932DC" w:rsidRPr="00C932DC" w:rsidRDefault="00C932DC" w:rsidP="00C932DC">
            <w:pPr>
              <w:pStyle w:val="Tabletextboldleft"/>
              <w:spacing w:before="20" w:after="20"/>
              <w:jc w:val="right"/>
              <w:rPr>
                <w:b w:val="0"/>
              </w:rPr>
            </w:pPr>
            <w:r w:rsidRPr="00C932DC">
              <w:rPr>
                <w:b w:val="0"/>
                <w:color w:val="000000"/>
              </w:rPr>
              <w:t>$107,219</w:t>
            </w:r>
          </w:p>
        </w:tc>
        <w:tc>
          <w:tcPr>
            <w:tcW w:w="1106" w:type="dxa"/>
            <w:tcBorders>
              <w:top w:val="nil"/>
              <w:bottom w:val="nil"/>
            </w:tcBorders>
            <w:vAlign w:val="bottom"/>
          </w:tcPr>
          <w:p w14:paraId="65DEF571" w14:textId="03FC9B8F" w:rsidR="00C932DC" w:rsidRPr="00C932DC" w:rsidRDefault="00C932DC" w:rsidP="00C932DC">
            <w:pPr>
              <w:pStyle w:val="Tabletextboldleft"/>
              <w:spacing w:before="20" w:after="20"/>
              <w:jc w:val="right"/>
              <w:rPr>
                <w:b w:val="0"/>
              </w:rPr>
            </w:pPr>
            <w:r w:rsidRPr="00C932DC">
              <w:rPr>
                <w:b w:val="0"/>
                <w:color w:val="000000"/>
              </w:rPr>
              <w:t>$108,391</w:t>
            </w:r>
          </w:p>
        </w:tc>
        <w:tc>
          <w:tcPr>
            <w:tcW w:w="1105" w:type="dxa"/>
            <w:tcBorders>
              <w:top w:val="nil"/>
              <w:bottom w:val="nil"/>
            </w:tcBorders>
            <w:vAlign w:val="bottom"/>
          </w:tcPr>
          <w:p w14:paraId="357AE889" w14:textId="4ACF270C" w:rsidR="00C932DC" w:rsidRPr="00C932DC" w:rsidRDefault="00C932DC" w:rsidP="00C932DC">
            <w:pPr>
              <w:pStyle w:val="Tabletextboldleft"/>
              <w:spacing w:before="20" w:after="20"/>
              <w:jc w:val="right"/>
              <w:rPr>
                <w:b w:val="0"/>
              </w:rPr>
            </w:pPr>
            <w:r w:rsidRPr="00C932DC">
              <w:rPr>
                <w:b w:val="0"/>
                <w:color w:val="000000"/>
              </w:rPr>
              <w:t>$109,563</w:t>
            </w:r>
          </w:p>
        </w:tc>
        <w:tc>
          <w:tcPr>
            <w:tcW w:w="1106" w:type="dxa"/>
            <w:tcBorders>
              <w:top w:val="nil"/>
              <w:bottom w:val="nil"/>
            </w:tcBorders>
            <w:vAlign w:val="bottom"/>
          </w:tcPr>
          <w:p w14:paraId="4737AC9B" w14:textId="62055CFD" w:rsidR="00C932DC" w:rsidRPr="00C932DC" w:rsidRDefault="00C932DC" w:rsidP="00C932DC">
            <w:pPr>
              <w:pStyle w:val="Tabletextboldleft"/>
              <w:spacing w:before="20" w:after="20"/>
              <w:jc w:val="right"/>
              <w:rPr>
                <w:b w:val="0"/>
              </w:rPr>
            </w:pPr>
            <w:r w:rsidRPr="00C932DC">
              <w:rPr>
                <w:b w:val="0"/>
                <w:color w:val="000000"/>
              </w:rPr>
              <w:t>$110,734</w:t>
            </w:r>
          </w:p>
        </w:tc>
        <w:tc>
          <w:tcPr>
            <w:tcW w:w="1106" w:type="dxa"/>
            <w:tcBorders>
              <w:top w:val="nil"/>
              <w:bottom w:val="nil"/>
            </w:tcBorders>
            <w:vAlign w:val="bottom"/>
          </w:tcPr>
          <w:p w14:paraId="3DE5922C" w14:textId="19763355" w:rsidR="00C932DC" w:rsidRPr="00C932DC" w:rsidRDefault="00C932DC" w:rsidP="00C932DC">
            <w:pPr>
              <w:pStyle w:val="Tabletextboldleft"/>
              <w:spacing w:before="20" w:after="20"/>
              <w:jc w:val="right"/>
              <w:rPr>
                <w:b w:val="0"/>
              </w:rPr>
            </w:pPr>
            <w:r w:rsidRPr="00C932DC">
              <w:rPr>
                <w:b w:val="0"/>
                <w:color w:val="000000"/>
              </w:rPr>
              <w:t>$111,906</w:t>
            </w:r>
          </w:p>
        </w:tc>
      </w:tr>
      <w:tr w:rsidR="00C932DC" w:rsidRPr="00F647C7" w14:paraId="560CB8DD" w14:textId="77777777" w:rsidTr="00E61184">
        <w:trPr>
          <w:trHeight w:val="212"/>
        </w:trPr>
        <w:tc>
          <w:tcPr>
            <w:tcW w:w="2835" w:type="dxa"/>
            <w:tcBorders>
              <w:top w:val="nil"/>
              <w:bottom w:val="nil"/>
            </w:tcBorders>
          </w:tcPr>
          <w:p w14:paraId="5645F3C2" w14:textId="77777777" w:rsidR="00C932DC" w:rsidRPr="00F411CD" w:rsidRDefault="00C932DC" w:rsidP="00C932DC">
            <w:pPr>
              <w:pStyle w:val="Tabletextboldleft"/>
              <w:spacing w:before="20" w:after="20"/>
              <w:ind w:firstLine="317"/>
              <w:rPr>
                <w:b w:val="0"/>
              </w:rPr>
            </w:pPr>
            <w:r>
              <w:rPr>
                <w:b w:val="0"/>
              </w:rPr>
              <w:t>Specimen referred fee</w:t>
            </w:r>
            <w:r>
              <w:rPr>
                <w:b w:val="0"/>
                <w:vertAlign w:val="superscript"/>
              </w:rPr>
              <w:t>b</w:t>
            </w:r>
          </w:p>
        </w:tc>
        <w:tc>
          <w:tcPr>
            <w:tcW w:w="1105" w:type="dxa"/>
            <w:tcBorders>
              <w:top w:val="nil"/>
              <w:bottom w:val="nil"/>
            </w:tcBorders>
            <w:vAlign w:val="bottom"/>
          </w:tcPr>
          <w:p w14:paraId="54A531D1" w14:textId="09BAB7BC" w:rsidR="00C932DC" w:rsidRPr="00C932DC" w:rsidRDefault="00C932DC" w:rsidP="00C932DC">
            <w:pPr>
              <w:pStyle w:val="Tabletextboldleft"/>
              <w:spacing w:before="20" w:after="20"/>
              <w:jc w:val="right"/>
              <w:rPr>
                <w:b w:val="0"/>
              </w:rPr>
            </w:pPr>
            <w:r w:rsidRPr="00C932DC">
              <w:rPr>
                <w:b w:val="0"/>
                <w:color w:val="000000"/>
              </w:rPr>
              <w:t>$126,654</w:t>
            </w:r>
          </w:p>
        </w:tc>
        <w:tc>
          <w:tcPr>
            <w:tcW w:w="1106" w:type="dxa"/>
            <w:tcBorders>
              <w:top w:val="nil"/>
              <w:bottom w:val="nil"/>
            </w:tcBorders>
            <w:vAlign w:val="bottom"/>
          </w:tcPr>
          <w:p w14:paraId="6074FEAF" w14:textId="117E7C56" w:rsidR="00C932DC" w:rsidRPr="00C932DC" w:rsidRDefault="00C932DC" w:rsidP="00C932DC">
            <w:pPr>
              <w:pStyle w:val="Tabletextboldleft"/>
              <w:spacing w:before="20" w:after="20"/>
              <w:jc w:val="right"/>
              <w:rPr>
                <w:b w:val="0"/>
              </w:rPr>
            </w:pPr>
            <w:r w:rsidRPr="00C932DC">
              <w:rPr>
                <w:b w:val="0"/>
                <w:color w:val="000000"/>
              </w:rPr>
              <w:t>$128,038</w:t>
            </w:r>
          </w:p>
        </w:tc>
        <w:tc>
          <w:tcPr>
            <w:tcW w:w="1105" w:type="dxa"/>
            <w:tcBorders>
              <w:top w:val="nil"/>
              <w:bottom w:val="nil"/>
            </w:tcBorders>
            <w:vAlign w:val="bottom"/>
          </w:tcPr>
          <w:p w14:paraId="035B5EAA" w14:textId="61795FAE" w:rsidR="00C932DC" w:rsidRPr="00C932DC" w:rsidRDefault="00C932DC" w:rsidP="00C932DC">
            <w:pPr>
              <w:pStyle w:val="Tabletextboldleft"/>
              <w:spacing w:before="20" w:after="20"/>
              <w:jc w:val="right"/>
              <w:rPr>
                <w:b w:val="0"/>
              </w:rPr>
            </w:pPr>
            <w:r w:rsidRPr="00C932DC">
              <w:rPr>
                <w:b w:val="0"/>
                <w:color w:val="000000"/>
              </w:rPr>
              <w:t>$129,422</w:t>
            </w:r>
          </w:p>
        </w:tc>
        <w:tc>
          <w:tcPr>
            <w:tcW w:w="1106" w:type="dxa"/>
            <w:tcBorders>
              <w:top w:val="nil"/>
              <w:bottom w:val="nil"/>
            </w:tcBorders>
            <w:vAlign w:val="bottom"/>
          </w:tcPr>
          <w:p w14:paraId="634B4020" w14:textId="438D575E" w:rsidR="00C932DC" w:rsidRPr="00C932DC" w:rsidRDefault="00C932DC" w:rsidP="00C932DC">
            <w:pPr>
              <w:pStyle w:val="Tabletextboldleft"/>
              <w:spacing w:before="20" w:after="20"/>
              <w:jc w:val="right"/>
              <w:rPr>
                <w:b w:val="0"/>
              </w:rPr>
            </w:pPr>
            <w:r w:rsidRPr="00C932DC">
              <w:rPr>
                <w:b w:val="0"/>
                <w:color w:val="000000"/>
              </w:rPr>
              <w:t>$130,806</w:t>
            </w:r>
          </w:p>
        </w:tc>
        <w:tc>
          <w:tcPr>
            <w:tcW w:w="1106" w:type="dxa"/>
            <w:tcBorders>
              <w:top w:val="nil"/>
              <w:bottom w:val="nil"/>
            </w:tcBorders>
            <w:vAlign w:val="bottom"/>
          </w:tcPr>
          <w:p w14:paraId="58E7F772" w14:textId="424D5F31" w:rsidR="00C932DC" w:rsidRPr="00C932DC" w:rsidRDefault="00C932DC" w:rsidP="00C932DC">
            <w:pPr>
              <w:pStyle w:val="Tabletextboldleft"/>
              <w:spacing w:before="20" w:after="20"/>
              <w:jc w:val="right"/>
              <w:rPr>
                <w:b w:val="0"/>
              </w:rPr>
            </w:pPr>
            <w:r w:rsidRPr="00C932DC">
              <w:rPr>
                <w:b w:val="0"/>
                <w:color w:val="000000"/>
              </w:rPr>
              <w:t>$132,190</w:t>
            </w:r>
          </w:p>
        </w:tc>
      </w:tr>
      <w:tr w:rsidR="00C932DC" w:rsidRPr="00F647C7" w14:paraId="07F4EBBF" w14:textId="77777777" w:rsidTr="00E61184">
        <w:trPr>
          <w:trHeight w:val="212"/>
        </w:trPr>
        <w:tc>
          <w:tcPr>
            <w:tcW w:w="2835" w:type="dxa"/>
            <w:tcBorders>
              <w:top w:val="nil"/>
            </w:tcBorders>
          </w:tcPr>
          <w:p w14:paraId="411CD811" w14:textId="77777777" w:rsidR="00C932DC" w:rsidRPr="00F411CD" w:rsidRDefault="00C932DC" w:rsidP="00C932DC">
            <w:pPr>
              <w:pStyle w:val="Tabletextboldleft"/>
              <w:spacing w:before="20" w:after="20"/>
              <w:ind w:firstLine="317"/>
              <w:rPr>
                <w:b w:val="0"/>
              </w:rPr>
            </w:pPr>
            <w:r>
              <w:rPr>
                <w:b w:val="0"/>
              </w:rPr>
              <w:t>Bulk billing incentive</w:t>
            </w:r>
            <w:r>
              <w:rPr>
                <w:b w:val="0"/>
                <w:vertAlign w:val="superscript"/>
              </w:rPr>
              <w:t>c</w:t>
            </w:r>
          </w:p>
        </w:tc>
        <w:tc>
          <w:tcPr>
            <w:tcW w:w="1105" w:type="dxa"/>
            <w:tcBorders>
              <w:top w:val="nil"/>
            </w:tcBorders>
            <w:vAlign w:val="bottom"/>
          </w:tcPr>
          <w:p w14:paraId="0A99DF98" w14:textId="7E2B3A30" w:rsidR="00C932DC" w:rsidRPr="00C932DC" w:rsidRDefault="00C932DC" w:rsidP="00C932DC">
            <w:pPr>
              <w:pStyle w:val="Tabletextboldleft"/>
              <w:spacing w:before="20" w:after="20"/>
              <w:jc w:val="right"/>
              <w:rPr>
                <w:b w:val="0"/>
              </w:rPr>
            </w:pPr>
            <w:r w:rsidRPr="00C932DC">
              <w:rPr>
                <w:b w:val="0"/>
                <w:color w:val="000000"/>
              </w:rPr>
              <w:t>$45,596</w:t>
            </w:r>
          </w:p>
        </w:tc>
        <w:tc>
          <w:tcPr>
            <w:tcW w:w="1106" w:type="dxa"/>
            <w:tcBorders>
              <w:top w:val="nil"/>
            </w:tcBorders>
            <w:vAlign w:val="bottom"/>
          </w:tcPr>
          <w:p w14:paraId="4C236E69" w14:textId="30DCD864" w:rsidR="00C932DC" w:rsidRPr="00C932DC" w:rsidRDefault="00C932DC" w:rsidP="00C932DC">
            <w:pPr>
              <w:pStyle w:val="Tabletextboldleft"/>
              <w:spacing w:before="20" w:after="20"/>
              <w:jc w:val="right"/>
              <w:rPr>
                <w:b w:val="0"/>
              </w:rPr>
            </w:pPr>
            <w:r w:rsidRPr="00C932DC">
              <w:rPr>
                <w:b w:val="0"/>
                <w:color w:val="000000"/>
              </w:rPr>
              <w:t>$46,094</w:t>
            </w:r>
          </w:p>
        </w:tc>
        <w:tc>
          <w:tcPr>
            <w:tcW w:w="1105" w:type="dxa"/>
            <w:tcBorders>
              <w:top w:val="nil"/>
            </w:tcBorders>
            <w:vAlign w:val="bottom"/>
          </w:tcPr>
          <w:p w14:paraId="064F81B9" w14:textId="26F137DF" w:rsidR="00C932DC" w:rsidRPr="00C932DC" w:rsidRDefault="00C932DC" w:rsidP="00C932DC">
            <w:pPr>
              <w:pStyle w:val="Tabletextboldleft"/>
              <w:spacing w:before="20" w:after="20"/>
              <w:jc w:val="right"/>
              <w:rPr>
                <w:b w:val="0"/>
              </w:rPr>
            </w:pPr>
            <w:r w:rsidRPr="00C932DC">
              <w:rPr>
                <w:b w:val="0"/>
                <w:color w:val="000000"/>
              </w:rPr>
              <w:t>$46,592</w:t>
            </w:r>
          </w:p>
        </w:tc>
        <w:tc>
          <w:tcPr>
            <w:tcW w:w="1106" w:type="dxa"/>
            <w:tcBorders>
              <w:top w:val="nil"/>
            </w:tcBorders>
            <w:vAlign w:val="bottom"/>
          </w:tcPr>
          <w:p w14:paraId="333045F0" w14:textId="09F6CCAD" w:rsidR="00C932DC" w:rsidRPr="00C932DC" w:rsidRDefault="00C932DC" w:rsidP="00C932DC">
            <w:pPr>
              <w:pStyle w:val="Tabletextboldleft"/>
              <w:spacing w:before="20" w:after="20"/>
              <w:jc w:val="right"/>
              <w:rPr>
                <w:b w:val="0"/>
              </w:rPr>
            </w:pPr>
            <w:r w:rsidRPr="00C932DC">
              <w:rPr>
                <w:b w:val="0"/>
                <w:color w:val="000000"/>
              </w:rPr>
              <w:t>$47,090</w:t>
            </w:r>
          </w:p>
        </w:tc>
        <w:tc>
          <w:tcPr>
            <w:tcW w:w="1106" w:type="dxa"/>
            <w:tcBorders>
              <w:top w:val="nil"/>
            </w:tcBorders>
            <w:vAlign w:val="bottom"/>
          </w:tcPr>
          <w:p w14:paraId="5DF7D6B6" w14:textId="6D18C6C8" w:rsidR="00C932DC" w:rsidRPr="00C932DC" w:rsidRDefault="00C932DC" w:rsidP="00C932DC">
            <w:pPr>
              <w:pStyle w:val="Tabletextboldleft"/>
              <w:spacing w:before="20" w:after="20"/>
              <w:jc w:val="right"/>
              <w:rPr>
                <w:b w:val="0"/>
              </w:rPr>
            </w:pPr>
            <w:r w:rsidRPr="00C932DC">
              <w:rPr>
                <w:b w:val="0"/>
                <w:color w:val="000000"/>
              </w:rPr>
              <w:t>$47,589</w:t>
            </w:r>
          </w:p>
        </w:tc>
      </w:tr>
      <w:tr w:rsidR="00C932DC" w:rsidRPr="00F647C7" w14:paraId="7ABA43C9" w14:textId="77777777" w:rsidTr="00E61184">
        <w:trPr>
          <w:trHeight w:val="212"/>
        </w:trPr>
        <w:tc>
          <w:tcPr>
            <w:tcW w:w="2835" w:type="dxa"/>
          </w:tcPr>
          <w:p w14:paraId="5A04B9E1" w14:textId="77777777" w:rsidR="00C932DC" w:rsidRPr="00C26CDD" w:rsidRDefault="00C932DC" w:rsidP="00C932DC">
            <w:pPr>
              <w:pStyle w:val="Tabletextboldleft"/>
              <w:spacing w:before="20" w:after="20"/>
              <w:rPr>
                <w:b w:val="0"/>
                <w:i/>
              </w:rPr>
            </w:pPr>
            <w:r>
              <w:rPr>
                <w:b w:val="0"/>
                <w:i/>
              </w:rPr>
              <w:t>Sub-t</w:t>
            </w:r>
            <w:r w:rsidRPr="00C26CDD">
              <w:rPr>
                <w:b w:val="0"/>
                <w:i/>
              </w:rPr>
              <w:t>otal (excluding gynaecological cytology)</w:t>
            </w:r>
          </w:p>
        </w:tc>
        <w:tc>
          <w:tcPr>
            <w:tcW w:w="1105" w:type="dxa"/>
          </w:tcPr>
          <w:p w14:paraId="025BCF20" w14:textId="3CA4413C" w:rsidR="00C932DC" w:rsidRPr="00C932DC" w:rsidRDefault="00C932DC" w:rsidP="00C932DC">
            <w:pPr>
              <w:pStyle w:val="Tabletextboldleft"/>
              <w:spacing w:before="20" w:after="20"/>
              <w:jc w:val="right"/>
              <w:rPr>
                <w:b w:val="0"/>
                <w:i/>
              </w:rPr>
            </w:pPr>
            <w:r w:rsidRPr="00C932DC">
              <w:rPr>
                <w:b w:val="0"/>
                <w:i/>
                <w:color w:val="000000"/>
              </w:rPr>
              <w:t>$1,336,192</w:t>
            </w:r>
          </w:p>
        </w:tc>
        <w:tc>
          <w:tcPr>
            <w:tcW w:w="1106" w:type="dxa"/>
          </w:tcPr>
          <w:p w14:paraId="17259EB2" w14:textId="0D2982F7" w:rsidR="00C932DC" w:rsidRPr="00C932DC" w:rsidRDefault="00C932DC" w:rsidP="00C932DC">
            <w:pPr>
              <w:pStyle w:val="Tabletextboldleft"/>
              <w:spacing w:before="20" w:after="20"/>
              <w:jc w:val="right"/>
              <w:rPr>
                <w:b w:val="0"/>
                <w:i/>
              </w:rPr>
            </w:pPr>
            <w:r w:rsidRPr="00C932DC">
              <w:rPr>
                <w:b w:val="0"/>
                <w:i/>
                <w:color w:val="000000"/>
              </w:rPr>
              <w:t>$1,384,352</w:t>
            </w:r>
          </w:p>
        </w:tc>
        <w:tc>
          <w:tcPr>
            <w:tcW w:w="1105" w:type="dxa"/>
          </w:tcPr>
          <w:p w14:paraId="1945E29E" w14:textId="53BD287F" w:rsidR="00C932DC" w:rsidRPr="00C932DC" w:rsidRDefault="00C932DC" w:rsidP="00C932DC">
            <w:pPr>
              <w:pStyle w:val="Tabletextboldleft"/>
              <w:spacing w:before="20" w:after="20"/>
              <w:jc w:val="right"/>
              <w:rPr>
                <w:b w:val="0"/>
                <w:i/>
              </w:rPr>
            </w:pPr>
            <w:r w:rsidRPr="00C932DC">
              <w:rPr>
                <w:b w:val="0"/>
                <w:i/>
                <w:color w:val="000000"/>
              </w:rPr>
              <w:t>$1,432,512</w:t>
            </w:r>
          </w:p>
        </w:tc>
        <w:tc>
          <w:tcPr>
            <w:tcW w:w="1106" w:type="dxa"/>
          </w:tcPr>
          <w:p w14:paraId="29138A9C" w14:textId="7183D31B" w:rsidR="00C932DC" w:rsidRPr="00C932DC" w:rsidRDefault="00C932DC" w:rsidP="00C932DC">
            <w:pPr>
              <w:pStyle w:val="Tabletextboldleft"/>
              <w:spacing w:before="20" w:after="20"/>
              <w:jc w:val="right"/>
              <w:rPr>
                <w:b w:val="0"/>
                <w:i/>
              </w:rPr>
            </w:pPr>
            <w:r w:rsidRPr="00C932DC">
              <w:rPr>
                <w:b w:val="0"/>
                <w:i/>
                <w:color w:val="000000"/>
              </w:rPr>
              <w:t>$1,480,673</w:t>
            </w:r>
          </w:p>
        </w:tc>
        <w:tc>
          <w:tcPr>
            <w:tcW w:w="1106" w:type="dxa"/>
          </w:tcPr>
          <w:p w14:paraId="6DB959E3" w14:textId="58BB86EC" w:rsidR="00C932DC" w:rsidRPr="00C932DC" w:rsidRDefault="00C932DC" w:rsidP="00C932DC">
            <w:pPr>
              <w:pStyle w:val="Tabletextboldleft"/>
              <w:spacing w:before="20" w:after="20"/>
              <w:jc w:val="right"/>
              <w:rPr>
                <w:b w:val="0"/>
                <w:i/>
              </w:rPr>
            </w:pPr>
            <w:r w:rsidRPr="00C932DC">
              <w:rPr>
                <w:b w:val="0"/>
                <w:i/>
                <w:color w:val="000000"/>
              </w:rPr>
              <w:t>$1,528,834</w:t>
            </w:r>
          </w:p>
        </w:tc>
      </w:tr>
      <w:tr w:rsidR="00C932DC" w:rsidRPr="00F647C7" w14:paraId="4AFF12F3" w14:textId="77777777" w:rsidTr="00E61184">
        <w:trPr>
          <w:trHeight w:val="212"/>
        </w:trPr>
        <w:tc>
          <w:tcPr>
            <w:tcW w:w="2835" w:type="dxa"/>
          </w:tcPr>
          <w:p w14:paraId="56C76CA1" w14:textId="77777777" w:rsidR="00C932DC" w:rsidRPr="00C26CDD" w:rsidRDefault="00C932DC" w:rsidP="00C932DC">
            <w:pPr>
              <w:pStyle w:val="Tabletextboldleft"/>
              <w:spacing w:before="20" w:after="20"/>
              <w:rPr>
                <w:b w:val="0"/>
                <w:i/>
              </w:rPr>
            </w:pPr>
            <w:r>
              <w:rPr>
                <w:b w:val="0"/>
                <w:i/>
              </w:rPr>
              <w:t>Sub-t</w:t>
            </w:r>
            <w:r w:rsidRPr="00C26CDD">
              <w:rPr>
                <w:b w:val="0"/>
                <w:i/>
              </w:rPr>
              <w:t>otal (including all cytology)</w:t>
            </w:r>
          </w:p>
        </w:tc>
        <w:tc>
          <w:tcPr>
            <w:tcW w:w="1105" w:type="dxa"/>
          </w:tcPr>
          <w:p w14:paraId="3B9F4B02" w14:textId="3B7C6441" w:rsidR="00C932DC" w:rsidRPr="00C932DC" w:rsidRDefault="00C932DC" w:rsidP="00C932DC">
            <w:pPr>
              <w:pStyle w:val="Tabletextboldleft"/>
              <w:spacing w:before="20" w:after="20"/>
              <w:jc w:val="right"/>
              <w:rPr>
                <w:b w:val="0"/>
                <w:i/>
              </w:rPr>
            </w:pPr>
            <w:r w:rsidRPr="00C932DC">
              <w:rPr>
                <w:b w:val="0"/>
                <w:i/>
                <w:color w:val="000000"/>
              </w:rPr>
              <w:t>$1,580,529</w:t>
            </w:r>
          </w:p>
        </w:tc>
        <w:tc>
          <w:tcPr>
            <w:tcW w:w="1106" w:type="dxa"/>
          </w:tcPr>
          <w:p w14:paraId="690D627E" w14:textId="741EA898" w:rsidR="00C932DC" w:rsidRPr="00C932DC" w:rsidRDefault="00C932DC" w:rsidP="00C932DC">
            <w:pPr>
              <w:pStyle w:val="Tabletextboldleft"/>
              <w:spacing w:before="20" w:after="20"/>
              <w:jc w:val="right"/>
              <w:rPr>
                <w:b w:val="0"/>
                <w:i/>
              </w:rPr>
            </w:pPr>
            <w:r w:rsidRPr="00C932DC">
              <w:rPr>
                <w:b w:val="0"/>
                <w:i/>
                <w:color w:val="000000"/>
              </w:rPr>
              <w:t>$1,630,723</w:t>
            </w:r>
          </w:p>
        </w:tc>
        <w:tc>
          <w:tcPr>
            <w:tcW w:w="1105" w:type="dxa"/>
          </w:tcPr>
          <w:p w14:paraId="418862A6" w14:textId="69E334E2" w:rsidR="00C932DC" w:rsidRPr="00C932DC" w:rsidRDefault="00C932DC" w:rsidP="00C932DC">
            <w:pPr>
              <w:pStyle w:val="Tabletextboldleft"/>
              <w:spacing w:before="20" w:after="20"/>
              <w:jc w:val="right"/>
              <w:rPr>
                <w:b w:val="0"/>
                <w:i/>
              </w:rPr>
            </w:pPr>
            <w:r w:rsidRPr="00C932DC">
              <w:rPr>
                <w:b w:val="0"/>
                <w:i/>
                <w:color w:val="000000"/>
              </w:rPr>
              <w:t>$1,680,919</w:t>
            </w:r>
          </w:p>
        </w:tc>
        <w:tc>
          <w:tcPr>
            <w:tcW w:w="1106" w:type="dxa"/>
          </w:tcPr>
          <w:p w14:paraId="283D6335" w14:textId="194BC502" w:rsidR="00C932DC" w:rsidRPr="00C932DC" w:rsidRDefault="00C932DC" w:rsidP="00C932DC">
            <w:pPr>
              <w:pStyle w:val="Tabletextboldleft"/>
              <w:spacing w:before="20" w:after="20"/>
              <w:jc w:val="right"/>
              <w:rPr>
                <w:b w:val="0"/>
                <w:i/>
              </w:rPr>
            </w:pPr>
            <w:r w:rsidRPr="00C932DC">
              <w:rPr>
                <w:b w:val="0"/>
                <w:i/>
                <w:color w:val="000000"/>
              </w:rPr>
              <w:t>$1,731,114</w:t>
            </w:r>
          </w:p>
        </w:tc>
        <w:tc>
          <w:tcPr>
            <w:tcW w:w="1106" w:type="dxa"/>
          </w:tcPr>
          <w:p w14:paraId="5613A71E" w14:textId="24F8A6D9" w:rsidR="00C932DC" w:rsidRPr="00C932DC" w:rsidRDefault="00C932DC" w:rsidP="00C932DC">
            <w:pPr>
              <w:pStyle w:val="Tabletextboldleft"/>
              <w:spacing w:before="20" w:after="20"/>
              <w:jc w:val="right"/>
              <w:rPr>
                <w:b w:val="0"/>
                <w:i/>
              </w:rPr>
            </w:pPr>
            <w:r w:rsidRPr="00C932DC">
              <w:rPr>
                <w:b w:val="0"/>
                <w:i/>
                <w:color w:val="000000"/>
              </w:rPr>
              <w:t>$1,781,309</w:t>
            </w:r>
          </w:p>
        </w:tc>
      </w:tr>
      <w:tr w:rsidR="00B51828" w:rsidRPr="00F647C7" w14:paraId="5BF0EE4D" w14:textId="77777777" w:rsidTr="00E61184">
        <w:trPr>
          <w:trHeight w:val="212"/>
        </w:trPr>
        <w:tc>
          <w:tcPr>
            <w:tcW w:w="2835" w:type="dxa"/>
            <w:tcBorders>
              <w:bottom w:val="single" w:sz="4" w:space="0" w:color="auto"/>
            </w:tcBorders>
            <w:shd w:val="clear" w:color="auto" w:fill="D0CECE" w:themeFill="background2" w:themeFillShade="E6"/>
          </w:tcPr>
          <w:p w14:paraId="3686C114" w14:textId="77777777" w:rsidR="00B51828" w:rsidRPr="009D63D8" w:rsidRDefault="00B51828" w:rsidP="002101D2">
            <w:pPr>
              <w:pStyle w:val="Tabletextboldleft"/>
              <w:spacing w:before="20" w:after="20"/>
            </w:pPr>
            <w:r w:rsidRPr="009D63D8">
              <w:rPr>
                <w:i/>
              </w:rPr>
              <w:t>Scenario 2</w:t>
            </w:r>
          </w:p>
        </w:tc>
        <w:tc>
          <w:tcPr>
            <w:tcW w:w="1105" w:type="dxa"/>
            <w:tcBorders>
              <w:bottom w:val="single" w:sz="4" w:space="0" w:color="auto"/>
            </w:tcBorders>
            <w:shd w:val="clear" w:color="auto" w:fill="D0CECE" w:themeFill="background2" w:themeFillShade="E6"/>
          </w:tcPr>
          <w:p w14:paraId="6AA9FD12" w14:textId="77777777" w:rsidR="00B51828" w:rsidRPr="00F50E45" w:rsidRDefault="00B51828" w:rsidP="002101D2">
            <w:pPr>
              <w:pStyle w:val="Tabletextboldleft"/>
              <w:spacing w:before="20" w:after="20"/>
              <w:jc w:val="right"/>
              <w:rPr>
                <w:b w:val="0"/>
              </w:rPr>
            </w:pPr>
            <w:r w:rsidRPr="00F50E45">
              <w:rPr>
                <w:b w:val="0"/>
              </w:rPr>
              <w:t>-</w:t>
            </w:r>
          </w:p>
        </w:tc>
        <w:tc>
          <w:tcPr>
            <w:tcW w:w="1106" w:type="dxa"/>
            <w:tcBorders>
              <w:bottom w:val="single" w:sz="4" w:space="0" w:color="auto"/>
            </w:tcBorders>
            <w:shd w:val="clear" w:color="auto" w:fill="D0CECE" w:themeFill="background2" w:themeFillShade="E6"/>
          </w:tcPr>
          <w:p w14:paraId="165E8F75" w14:textId="77777777" w:rsidR="00B51828" w:rsidRPr="00F50E45" w:rsidRDefault="00B51828" w:rsidP="002101D2">
            <w:pPr>
              <w:pStyle w:val="Tabletextboldleft"/>
              <w:spacing w:before="20" w:after="20"/>
              <w:jc w:val="right"/>
              <w:rPr>
                <w:b w:val="0"/>
              </w:rPr>
            </w:pPr>
            <w:r w:rsidRPr="00F50E45">
              <w:rPr>
                <w:b w:val="0"/>
              </w:rPr>
              <w:t>-</w:t>
            </w:r>
          </w:p>
        </w:tc>
        <w:tc>
          <w:tcPr>
            <w:tcW w:w="1105" w:type="dxa"/>
            <w:tcBorders>
              <w:bottom w:val="single" w:sz="4" w:space="0" w:color="auto"/>
            </w:tcBorders>
            <w:shd w:val="clear" w:color="auto" w:fill="D0CECE" w:themeFill="background2" w:themeFillShade="E6"/>
          </w:tcPr>
          <w:p w14:paraId="44B22EE8" w14:textId="77777777" w:rsidR="00B51828" w:rsidRPr="00F50E45" w:rsidRDefault="00B51828" w:rsidP="002101D2">
            <w:pPr>
              <w:pStyle w:val="Tabletextboldleft"/>
              <w:spacing w:before="20" w:after="20"/>
              <w:jc w:val="right"/>
              <w:rPr>
                <w:b w:val="0"/>
              </w:rPr>
            </w:pPr>
            <w:r w:rsidRPr="00F50E45">
              <w:rPr>
                <w:b w:val="0"/>
              </w:rPr>
              <w:t>-</w:t>
            </w:r>
          </w:p>
        </w:tc>
        <w:tc>
          <w:tcPr>
            <w:tcW w:w="1106" w:type="dxa"/>
            <w:tcBorders>
              <w:bottom w:val="single" w:sz="4" w:space="0" w:color="auto"/>
            </w:tcBorders>
            <w:shd w:val="clear" w:color="auto" w:fill="D0CECE" w:themeFill="background2" w:themeFillShade="E6"/>
          </w:tcPr>
          <w:p w14:paraId="02BE44FD" w14:textId="77777777" w:rsidR="00B51828" w:rsidRPr="00F50E45" w:rsidRDefault="00B51828" w:rsidP="002101D2">
            <w:pPr>
              <w:pStyle w:val="Tabletextboldleft"/>
              <w:spacing w:before="20" w:after="20"/>
              <w:jc w:val="right"/>
              <w:rPr>
                <w:b w:val="0"/>
              </w:rPr>
            </w:pPr>
            <w:r w:rsidRPr="00F50E45">
              <w:rPr>
                <w:b w:val="0"/>
              </w:rPr>
              <w:t>-</w:t>
            </w:r>
          </w:p>
        </w:tc>
        <w:tc>
          <w:tcPr>
            <w:tcW w:w="1106" w:type="dxa"/>
            <w:tcBorders>
              <w:bottom w:val="single" w:sz="4" w:space="0" w:color="auto"/>
            </w:tcBorders>
            <w:shd w:val="clear" w:color="auto" w:fill="D0CECE" w:themeFill="background2" w:themeFillShade="E6"/>
          </w:tcPr>
          <w:p w14:paraId="5869550E" w14:textId="77777777" w:rsidR="00B51828" w:rsidRPr="00F50E45" w:rsidRDefault="00B51828" w:rsidP="002101D2">
            <w:pPr>
              <w:pStyle w:val="Tabletextboldleft"/>
              <w:spacing w:before="20" w:after="20"/>
              <w:jc w:val="right"/>
              <w:rPr>
                <w:b w:val="0"/>
              </w:rPr>
            </w:pPr>
            <w:r w:rsidRPr="00F50E45">
              <w:rPr>
                <w:b w:val="0"/>
              </w:rPr>
              <w:t>-</w:t>
            </w:r>
          </w:p>
        </w:tc>
      </w:tr>
      <w:tr w:rsidR="00B51828" w:rsidRPr="00F647C7" w14:paraId="7107E732" w14:textId="77777777" w:rsidTr="00E61184">
        <w:trPr>
          <w:trHeight w:val="212"/>
        </w:trPr>
        <w:tc>
          <w:tcPr>
            <w:tcW w:w="2835" w:type="dxa"/>
            <w:tcBorders>
              <w:bottom w:val="nil"/>
            </w:tcBorders>
          </w:tcPr>
          <w:p w14:paraId="44F2E640" w14:textId="77777777" w:rsidR="00B51828" w:rsidRPr="00F411CD"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1105" w:type="dxa"/>
            <w:tcBorders>
              <w:bottom w:val="nil"/>
            </w:tcBorders>
          </w:tcPr>
          <w:p w14:paraId="3577FCC4" w14:textId="77777777" w:rsidR="00B51828" w:rsidRPr="00F50E45" w:rsidRDefault="00B51828" w:rsidP="002101D2">
            <w:pPr>
              <w:pStyle w:val="Tabletextboldleft"/>
              <w:spacing w:before="20" w:after="20"/>
              <w:jc w:val="right"/>
              <w:rPr>
                <w:b w:val="0"/>
              </w:rPr>
            </w:pPr>
            <w:r w:rsidRPr="00F50E45">
              <w:rPr>
                <w:b w:val="0"/>
                <w:color w:val="000000"/>
              </w:rPr>
              <w:t>$383,648</w:t>
            </w:r>
          </w:p>
        </w:tc>
        <w:tc>
          <w:tcPr>
            <w:tcW w:w="1106" w:type="dxa"/>
            <w:tcBorders>
              <w:bottom w:val="nil"/>
            </w:tcBorders>
          </w:tcPr>
          <w:p w14:paraId="5728CB09" w14:textId="77777777" w:rsidR="00B51828" w:rsidRPr="00F50E45" w:rsidRDefault="00B51828" w:rsidP="002101D2">
            <w:pPr>
              <w:pStyle w:val="Tabletextboldleft"/>
              <w:spacing w:before="20" w:after="20"/>
              <w:jc w:val="right"/>
              <w:rPr>
                <w:b w:val="0"/>
              </w:rPr>
            </w:pPr>
            <w:r w:rsidRPr="00F50E45">
              <w:rPr>
                <w:b w:val="0"/>
                <w:color w:val="000000"/>
              </w:rPr>
              <w:t>$397,548</w:t>
            </w:r>
          </w:p>
        </w:tc>
        <w:tc>
          <w:tcPr>
            <w:tcW w:w="1105" w:type="dxa"/>
            <w:tcBorders>
              <w:bottom w:val="nil"/>
            </w:tcBorders>
          </w:tcPr>
          <w:p w14:paraId="5301FE52" w14:textId="77777777" w:rsidR="00B51828" w:rsidRPr="00F50E45" w:rsidRDefault="00B51828" w:rsidP="002101D2">
            <w:pPr>
              <w:pStyle w:val="Tabletextboldleft"/>
              <w:spacing w:before="20" w:after="20"/>
              <w:jc w:val="right"/>
              <w:rPr>
                <w:b w:val="0"/>
              </w:rPr>
            </w:pPr>
            <w:r w:rsidRPr="00F50E45">
              <w:rPr>
                <w:b w:val="0"/>
                <w:color w:val="000000"/>
              </w:rPr>
              <w:t>$411,449</w:t>
            </w:r>
          </w:p>
        </w:tc>
        <w:tc>
          <w:tcPr>
            <w:tcW w:w="1106" w:type="dxa"/>
            <w:tcBorders>
              <w:bottom w:val="nil"/>
            </w:tcBorders>
          </w:tcPr>
          <w:p w14:paraId="0E8678C4" w14:textId="77777777" w:rsidR="00B51828" w:rsidRPr="00F50E45" w:rsidRDefault="00B51828" w:rsidP="002101D2">
            <w:pPr>
              <w:pStyle w:val="Tabletextboldleft"/>
              <w:spacing w:before="20" w:after="20"/>
              <w:jc w:val="right"/>
              <w:rPr>
                <w:b w:val="0"/>
              </w:rPr>
            </w:pPr>
            <w:r w:rsidRPr="00F50E45">
              <w:rPr>
                <w:b w:val="0"/>
                <w:color w:val="000000"/>
              </w:rPr>
              <w:t>$425,350</w:t>
            </w:r>
          </w:p>
        </w:tc>
        <w:tc>
          <w:tcPr>
            <w:tcW w:w="1106" w:type="dxa"/>
            <w:tcBorders>
              <w:bottom w:val="nil"/>
            </w:tcBorders>
          </w:tcPr>
          <w:p w14:paraId="57D3BD09" w14:textId="77777777" w:rsidR="00B51828" w:rsidRPr="00F50E45" w:rsidRDefault="00B51828" w:rsidP="002101D2">
            <w:pPr>
              <w:pStyle w:val="Tabletextboldleft"/>
              <w:spacing w:before="20" w:after="20"/>
              <w:jc w:val="right"/>
              <w:rPr>
                <w:b w:val="0"/>
              </w:rPr>
            </w:pPr>
            <w:r w:rsidRPr="00F50E45">
              <w:rPr>
                <w:b w:val="0"/>
                <w:color w:val="000000"/>
              </w:rPr>
              <w:t>$439,251</w:t>
            </w:r>
          </w:p>
        </w:tc>
      </w:tr>
      <w:tr w:rsidR="00B51828" w:rsidRPr="00F647C7" w14:paraId="0C5E5E23" w14:textId="77777777" w:rsidTr="00E61184">
        <w:trPr>
          <w:trHeight w:val="212"/>
        </w:trPr>
        <w:tc>
          <w:tcPr>
            <w:tcW w:w="2835" w:type="dxa"/>
            <w:tcBorders>
              <w:top w:val="nil"/>
              <w:bottom w:val="nil"/>
            </w:tcBorders>
          </w:tcPr>
          <w:p w14:paraId="573D5CB4" w14:textId="77777777" w:rsidR="00B51828" w:rsidRPr="00F411CD" w:rsidRDefault="00B51828" w:rsidP="002101D2">
            <w:pPr>
              <w:pStyle w:val="Tabletextboldleft"/>
              <w:spacing w:before="20" w:after="20"/>
              <w:ind w:firstLine="317"/>
              <w:rPr>
                <w:b w:val="0"/>
              </w:rPr>
            </w:pPr>
            <w:r>
              <w:rPr>
                <w:b w:val="0"/>
              </w:rPr>
              <w:t>Ancillary tests</w:t>
            </w:r>
          </w:p>
        </w:tc>
        <w:tc>
          <w:tcPr>
            <w:tcW w:w="1105" w:type="dxa"/>
            <w:tcBorders>
              <w:top w:val="nil"/>
              <w:bottom w:val="nil"/>
            </w:tcBorders>
          </w:tcPr>
          <w:p w14:paraId="681A42D3" w14:textId="77777777" w:rsidR="00B51828" w:rsidRPr="00F50E45" w:rsidRDefault="00B51828" w:rsidP="002101D2">
            <w:pPr>
              <w:pStyle w:val="Tabletextboldleft"/>
              <w:spacing w:before="20" w:after="20"/>
              <w:jc w:val="right"/>
              <w:rPr>
                <w:b w:val="0"/>
              </w:rPr>
            </w:pPr>
            <w:r w:rsidRPr="00F50E45">
              <w:rPr>
                <w:b w:val="0"/>
                <w:color w:val="000000"/>
              </w:rPr>
              <w:t>$248,372</w:t>
            </w:r>
          </w:p>
        </w:tc>
        <w:tc>
          <w:tcPr>
            <w:tcW w:w="1106" w:type="dxa"/>
            <w:tcBorders>
              <w:top w:val="nil"/>
              <w:bottom w:val="nil"/>
            </w:tcBorders>
          </w:tcPr>
          <w:p w14:paraId="528285E6" w14:textId="77777777" w:rsidR="00B51828" w:rsidRPr="00F50E45" w:rsidRDefault="00B51828" w:rsidP="002101D2">
            <w:pPr>
              <w:pStyle w:val="Tabletextboldleft"/>
              <w:spacing w:before="20" w:after="20"/>
              <w:jc w:val="right"/>
              <w:rPr>
                <w:b w:val="0"/>
              </w:rPr>
            </w:pPr>
            <w:r w:rsidRPr="00F50E45">
              <w:rPr>
                <w:b w:val="0"/>
                <w:color w:val="000000"/>
              </w:rPr>
              <w:t>$257,371</w:t>
            </w:r>
          </w:p>
        </w:tc>
        <w:tc>
          <w:tcPr>
            <w:tcW w:w="1105" w:type="dxa"/>
            <w:tcBorders>
              <w:top w:val="nil"/>
              <w:bottom w:val="nil"/>
            </w:tcBorders>
          </w:tcPr>
          <w:p w14:paraId="74579BF2" w14:textId="77777777" w:rsidR="00B51828" w:rsidRPr="00F50E45" w:rsidRDefault="00B51828" w:rsidP="002101D2">
            <w:pPr>
              <w:pStyle w:val="Tabletextboldleft"/>
              <w:spacing w:before="20" w:after="20"/>
              <w:jc w:val="right"/>
              <w:rPr>
                <w:b w:val="0"/>
              </w:rPr>
            </w:pPr>
            <w:r w:rsidRPr="00F50E45">
              <w:rPr>
                <w:b w:val="0"/>
                <w:color w:val="000000"/>
              </w:rPr>
              <w:t>$266,371</w:t>
            </w:r>
          </w:p>
        </w:tc>
        <w:tc>
          <w:tcPr>
            <w:tcW w:w="1106" w:type="dxa"/>
            <w:tcBorders>
              <w:top w:val="nil"/>
              <w:bottom w:val="nil"/>
            </w:tcBorders>
          </w:tcPr>
          <w:p w14:paraId="6006997C" w14:textId="77777777" w:rsidR="00B51828" w:rsidRPr="00F50E45" w:rsidRDefault="00B51828" w:rsidP="002101D2">
            <w:pPr>
              <w:pStyle w:val="Tabletextboldleft"/>
              <w:spacing w:before="20" w:after="20"/>
              <w:jc w:val="right"/>
              <w:rPr>
                <w:b w:val="0"/>
              </w:rPr>
            </w:pPr>
            <w:r w:rsidRPr="00F50E45">
              <w:rPr>
                <w:b w:val="0"/>
                <w:color w:val="000000"/>
              </w:rPr>
              <w:t>$275,370</w:t>
            </w:r>
          </w:p>
        </w:tc>
        <w:tc>
          <w:tcPr>
            <w:tcW w:w="1106" w:type="dxa"/>
            <w:tcBorders>
              <w:top w:val="nil"/>
              <w:bottom w:val="nil"/>
            </w:tcBorders>
          </w:tcPr>
          <w:p w14:paraId="783B0C93" w14:textId="77777777" w:rsidR="00B51828" w:rsidRPr="00F50E45" w:rsidRDefault="00B51828" w:rsidP="002101D2">
            <w:pPr>
              <w:pStyle w:val="Tabletextboldleft"/>
              <w:spacing w:before="20" w:after="20"/>
              <w:jc w:val="right"/>
              <w:rPr>
                <w:b w:val="0"/>
              </w:rPr>
            </w:pPr>
            <w:r w:rsidRPr="00F50E45">
              <w:rPr>
                <w:b w:val="0"/>
                <w:color w:val="000000"/>
              </w:rPr>
              <w:t>$284,369</w:t>
            </w:r>
          </w:p>
        </w:tc>
      </w:tr>
      <w:tr w:rsidR="00B51828" w:rsidRPr="00F647C7" w14:paraId="2D9C5F0B" w14:textId="77777777" w:rsidTr="00E61184">
        <w:trPr>
          <w:trHeight w:val="212"/>
        </w:trPr>
        <w:tc>
          <w:tcPr>
            <w:tcW w:w="2835" w:type="dxa"/>
            <w:tcBorders>
              <w:top w:val="nil"/>
              <w:bottom w:val="nil"/>
            </w:tcBorders>
          </w:tcPr>
          <w:p w14:paraId="1B4E2C93" w14:textId="77777777" w:rsidR="00B51828" w:rsidRPr="00F411CD" w:rsidRDefault="00B51828" w:rsidP="002101D2">
            <w:pPr>
              <w:pStyle w:val="Tabletextboldleft"/>
              <w:spacing w:before="20" w:after="20"/>
              <w:ind w:firstLine="317"/>
              <w:rPr>
                <w:b w:val="0"/>
              </w:rPr>
            </w:pPr>
            <w:r>
              <w:rPr>
                <w:b w:val="0"/>
              </w:rPr>
              <w:t>Specimen referred fee</w:t>
            </w:r>
            <w:r>
              <w:rPr>
                <w:b w:val="0"/>
                <w:vertAlign w:val="superscript"/>
              </w:rPr>
              <w:t>b</w:t>
            </w:r>
          </w:p>
        </w:tc>
        <w:tc>
          <w:tcPr>
            <w:tcW w:w="1105" w:type="dxa"/>
            <w:tcBorders>
              <w:top w:val="nil"/>
              <w:bottom w:val="nil"/>
            </w:tcBorders>
          </w:tcPr>
          <w:p w14:paraId="2110BE4C" w14:textId="77777777" w:rsidR="00B51828" w:rsidRPr="00F50E45" w:rsidRDefault="00B51828" w:rsidP="002101D2">
            <w:pPr>
              <w:pStyle w:val="Tabletextboldleft"/>
              <w:spacing w:before="20" w:after="20"/>
              <w:jc w:val="right"/>
              <w:rPr>
                <w:b w:val="0"/>
              </w:rPr>
            </w:pPr>
            <w:r w:rsidRPr="00F50E45">
              <w:rPr>
                <w:b w:val="0"/>
                <w:color w:val="000000"/>
              </w:rPr>
              <w:t>$99,467</w:t>
            </w:r>
          </w:p>
        </w:tc>
        <w:tc>
          <w:tcPr>
            <w:tcW w:w="1106" w:type="dxa"/>
            <w:tcBorders>
              <w:top w:val="nil"/>
              <w:bottom w:val="nil"/>
            </w:tcBorders>
          </w:tcPr>
          <w:p w14:paraId="1A613A9C" w14:textId="77777777" w:rsidR="00B51828" w:rsidRPr="00F50E45" w:rsidRDefault="00B51828" w:rsidP="002101D2">
            <w:pPr>
              <w:pStyle w:val="Tabletextboldleft"/>
              <w:spacing w:before="20" w:after="20"/>
              <w:jc w:val="right"/>
              <w:rPr>
                <w:b w:val="0"/>
              </w:rPr>
            </w:pPr>
            <w:r w:rsidRPr="00F50E45">
              <w:rPr>
                <w:b w:val="0"/>
                <w:color w:val="000000"/>
              </w:rPr>
              <w:t>$103,071</w:t>
            </w:r>
          </w:p>
        </w:tc>
        <w:tc>
          <w:tcPr>
            <w:tcW w:w="1105" w:type="dxa"/>
            <w:tcBorders>
              <w:top w:val="nil"/>
              <w:bottom w:val="nil"/>
            </w:tcBorders>
          </w:tcPr>
          <w:p w14:paraId="1F1233B6" w14:textId="77777777" w:rsidR="00B51828" w:rsidRPr="00F50E45" w:rsidRDefault="00B51828" w:rsidP="002101D2">
            <w:pPr>
              <w:pStyle w:val="Tabletextboldleft"/>
              <w:spacing w:before="20" w:after="20"/>
              <w:jc w:val="right"/>
              <w:rPr>
                <w:b w:val="0"/>
              </w:rPr>
            </w:pPr>
            <w:r w:rsidRPr="00F50E45">
              <w:rPr>
                <w:b w:val="0"/>
                <w:color w:val="000000"/>
              </w:rPr>
              <w:t>$106,675</w:t>
            </w:r>
          </w:p>
        </w:tc>
        <w:tc>
          <w:tcPr>
            <w:tcW w:w="1106" w:type="dxa"/>
            <w:tcBorders>
              <w:top w:val="nil"/>
              <w:bottom w:val="nil"/>
            </w:tcBorders>
          </w:tcPr>
          <w:p w14:paraId="18569A12" w14:textId="77777777" w:rsidR="00B51828" w:rsidRPr="00F50E45" w:rsidRDefault="00B51828" w:rsidP="002101D2">
            <w:pPr>
              <w:pStyle w:val="Tabletextboldleft"/>
              <w:spacing w:before="20" w:after="20"/>
              <w:jc w:val="right"/>
              <w:rPr>
                <w:b w:val="0"/>
              </w:rPr>
            </w:pPr>
            <w:r w:rsidRPr="00F50E45">
              <w:rPr>
                <w:b w:val="0"/>
                <w:color w:val="000000"/>
              </w:rPr>
              <w:t>$110,279</w:t>
            </w:r>
          </w:p>
        </w:tc>
        <w:tc>
          <w:tcPr>
            <w:tcW w:w="1106" w:type="dxa"/>
            <w:tcBorders>
              <w:top w:val="nil"/>
              <w:bottom w:val="nil"/>
            </w:tcBorders>
          </w:tcPr>
          <w:p w14:paraId="4D616CEB" w14:textId="77777777" w:rsidR="00B51828" w:rsidRPr="00F50E45" w:rsidRDefault="00B51828" w:rsidP="002101D2">
            <w:pPr>
              <w:pStyle w:val="Tabletextboldleft"/>
              <w:spacing w:before="20" w:after="20"/>
              <w:jc w:val="right"/>
              <w:rPr>
                <w:b w:val="0"/>
              </w:rPr>
            </w:pPr>
            <w:r w:rsidRPr="00F50E45">
              <w:rPr>
                <w:b w:val="0"/>
                <w:color w:val="000000"/>
              </w:rPr>
              <w:t>$113,883</w:t>
            </w:r>
          </w:p>
        </w:tc>
      </w:tr>
      <w:tr w:rsidR="00B51828" w:rsidRPr="00F647C7" w14:paraId="5D28F088" w14:textId="77777777" w:rsidTr="00E61184">
        <w:trPr>
          <w:trHeight w:val="212"/>
        </w:trPr>
        <w:tc>
          <w:tcPr>
            <w:tcW w:w="2835" w:type="dxa"/>
            <w:tcBorders>
              <w:top w:val="nil"/>
              <w:bottom w:val="single" w:sz="4" w:space="0" w:color="auto"/>
            </w:tcBorders>
          </w:tcPr>
          <w:p w14:paraId="62F70382" w14:textId="77777777" w:rsidR="00B51828" w:rsidRPr="00F411CD" w:rsidRDefault="00B51828" w:rsidP="002101D2">
            <w:pPr>
              <w:pStyle w:val="Tabletextboldleft"/>
              <w:spacing w:before="20" w:after="20"/>
              <w:ind w:firstLine="317"/>
              <w:rPr>
                <w:b w:val="0"/>
              </w:rPr>
            </w:pPr>
            <w:r>
              <w:rPr>
                <w:b w:val="0"/>
              </w:rPr>
              <w:t>Bulk billing incentive</w:t>
            </w:r>
            <w:r>
              <w:rPr>
                <w:b w:val="0"/>
                <w:vertAlign w:val="superscript"/>
              </w:rPr>
              <w:t>c</w:t>
            </w:r>
          </w:p>
        </w:tc>
        <w:tc>
          <w:tcPr>
            <w:tcW w:w="1105" w:type="dxa"/>
            <w:tcBorders>
              <w:top w:val="nil"/>
              <w:bottom w:val="single" w:sz="4" w:space="0" w:color="auto"/>
            </w:tcBorders>
          </w:tcPr>
          <w:p w14:paraId="394E7C40" w14:textId="77777777" w:rsidR="00B51828" w:rsidRPr="00F50E45" w:rsidRDefault="00B51828" w:rsidP="002101D2">
            <w:pPr>
              <w:pStyle w:val="Tabletextboldleft"/>
              <w:spacing w:before="20" w:after="20"/>
              <w:jc w:val="right"/>
              <w:rPr>
                <w:b w:val="0"/>
              </w:rPr>
            </w:pPr>
            <w:r w:rsidRPr="00F50E45">
              <w:rPr>
                <w:b w:val="0"/>
                <w:color w:val="000000"/>
              </w:rPr>
              <w:t>$35,808</w:t>
            </w:r>
          </w:p>
        </w:tc>
        <w:tc>
          <w:tcPr>
            <w:tcW w:w="1106" w:type="dxa"/>
            <w:tcBorders>
              <w:top w:val="nil"/>
              <w:bottom w:val="single" w:sz="4" w:space="0" w:color="auto"/>
            </w:tcBorders>
          </w:tcPr>
          <w:p w14:paraId="13017DEB" w14:textId="77777777" w:rsidR="00B51828" w:rsidRPr="00F50E45" w:rsidRDefault="00B51828" w:rsidP="002101D2">
            <w:pPr>
              <w:pStyle w:val="Tabletextboldleft"/>
              <w:spacing w:before="20" w:after="20"/>
              <w:jc w:val="right"/>
              <w:rPr>
                <w:b w:val="0"/>
              </w:rPr>
            </w:pPr>
            <w:r w:rsidRPr="00F50E45">
              <w:rPr>
                <w:b w:val="0"/>
                <w:color w:val="000000"/>
              </w:rPr>
              <w:t>$37,106</w:t>
            </w:r>
          </w:p>
        </w:tc>
        <w:tc>
          <w:tcPr>
            <w:tcW w:w="1105" w:type="dxa"/>
            <w:tcBorders>
              <w:top w:val="nil"/>
              <w:bottom w:val="single" w:sz="4" w:space="0" w:color="auto"/>
            </w:tcBorders>
          </w:tcPr>
          <w:p w14:paraId="3B484B9B" w14:textId="77777777" w:rsidR="00B51828" w:rsidRPr="00F50E45" w:rsidRDefault="00B51828" w:rsidP="002101D2">
            <w:pPr>
              <w:pStyle w:val="Tabletextboldleft"/>
              <w:spacing w:before="20" w:after="20"/>
              <w:jc w:val="right"/>
              <w:rPr>
                <w:b w:val="0"/>
              </w:rPr>
            </w:pPr>
            <w:r w:rsidRPr="00F50E45">
              <w:rPr>
                <w:b w:val="0"/>
                <w:color w:val="000000"/>
              </w:rPr>
              <w:t>$38,403</w:t>
            </w:r>
          </w:p>
        </w:tc>
        <w:tc>
          <w:tcPr>
            <w:tcW w:w="1106" w:type="dxa"/>
            <w:tcBorders>
              <w:top w:val="nil"/>
              <w:bottom w:val="single" w:sz="4" w:space="0" w:color="auto"/>
            </w:tcBorders>
          </w:tcPr>
          <w:p w14:paraId="5F894BBA" w14:textId="77777777" w:rsidR="00B51828" w:rsidRPr="00F50E45" w:rsidRDefault="00B51828" w:rsidP="002101D2">
            <w:pPr>
              <w:pStyle w:val="Tabletextboldleft"/>
              <w:spacing w:before="20" w:after="20"/>
              <w:jc w:val="right"/>
              <w:rPr>
                <w:b w:val="0"/>
              </w:rPr>
            </w:pPr>
            <w:r w:rsidRPr="00F50E45">
              <w:rPr>
                <w:b w:val="0"/>
                <w:color w:val="000000"/>
              </w:rPr>
              <w:t>$39,701</w:t>
            </w:r>
          </w:p>
        </w:tc>
        <w:tc>
          <w:tcPr>
            <w:tcW w:w="1106" w:type="dxa"/>
            <w:tcBorders>
              <w:top w:val="nil"/>
              <w:bottom w:val="single" w:sz="4" w:space="0" w:color="auto"/>
            </w:tcBorders>
          </w:tcPr>
          <w:p w14:paraId="312B1748" w14:textId="77777777" w:rsidR="00B51828" w:rsidRPr="00F50E45" w:rsidRDefault="00B51828" w:rsidP="002101D2">
            <w:pPr>
              <w:pStyle w:val="Tabletextboldleft"/>
              <w:spacing w:before="20" w:after="20"/>
              <w:jc w:val="right"/>
              <w:rPr>
                <w:b w:val="0"/>
              </w:rPr>
            </w:pPr>
            <w:r w:rsidRPr="00F50E45">
              <w:rPr>
                <w:b w:val="0"/>
                <w:color w:val="000000"/>
              </w:rPr>
              <w:t>$40,998</w:t>
            </w:r>
          </w:p>
        </w:tc>
      </w:tr>
      <w:tr w:rsidR="00C932DC" w:rsidRPr="00F647C7" w14:paraId="64AF4B09" w14:textId="77777777" w:rsidTr="00E61184">
        <w:trPr>
          <w:trHeight w:val="212"/>
        </w:trPr>
        <w:tc>
          <w:tcPr>
            <w:tcW w:w="2835" w:type="dxa"/>
            <w:tcBorders>
              <w:bottom w:val="nil"/>
            </w:tcBorders>
          </w:tcPr>
          <w:p w14:paraId="06A08746" w14:textId="77777777" w:rsidR="00C932DC" w:rsidRPr="00F411CD" w:rsidRDefault="00C932DC" w:rsidP="00C932DC">
            <w:pPr>
              <w:pStyle w:val="Tabletextboldleft"/>
              <w:spacing w:before="20" w:after="20"/>
              <w:rPr>
                <w:b w:val="0"/>
              </w:rPr>
            </w:pPr>
            <w:r w:rsidRPr="00F411CD">
              <w:rPr>
                <w:b w:val="0"/>
              </w:rPr>
              <w:t>Non-gynaecological cytology</w:t>
            </w:r>
          </w:p>
        </w:tc>
        <w:tc>
          <w:tcPr>
            <w:tcW w:w="1105" w:type="dxa"/>
            <w:tcBorders>
              <w:bottom w:val="nil"/>
            </w:tcBorders>
            <w:vAlign w:val="bottom"/>
          </w:tcPr>
          <w:p w14:paraId="57723131" w14:textId="15BA1727" w:rsidR="00C932DC" w:rsidRPr="00C932DC" w:rsidRDefault="00C932DC" w:rsidP="00C932DC">
            <w:pPr>
              <w:pStyle w:val="Tabletextboldleft"/>
              <w:spacing w:before="20" w:after="20"/>
              <w:jc w:val="right"/>
              <w:rPr>
                <w:b w:val="0"/>
              </w:rPr>
            </w:pPr>
            <w:r w:rsidRPr="00C932DC">
              <w:rPr>
                <w:b w:val="0"/>
                <w:color w:val="000000"/>
              </w:rPr>
              <w:t>$23,884</w:t>
            </w:r>
          </w:p>
        </w:tc>
        <w:tc>
          <w:tcPr>
            <w:tcW w:w="1106" w:type="dxa"/>
            <w:tcBorders>
              <w:bottom w:val="nil"/>
            </w:tcBorders>
            <w:vAlign w:val="bottom"/>
          </w:tcPr>
          <w:p w14:paraId="52D5F772" w14:textId="4CE2F661" w:rsidR="00C932DC" w:rsidRPr="00C932DC" w:rsidRDefault="00C932DC" w:rsidP="00C932DC">
            <w:pPr>
              <w:pStyle w:val="Tabletextboldleft"/>
              <w:spacing w:before="20" w:after="20"/>
              <w:jc w:val="right"/>
              <w:rPr>
                <w:b w:val="0"/>
              </w:rPr>
            </w:pPr>
            <w:r w:rsidRPr="00C932DC">
              <w:rPr>
                <w:b w:val="0"/>
                <w:color w:val="000000"/>
              </w:rPr>
              <w:t>$24,577</w:t>
            </w:r>
          </w:p>
        </w:tc>
        <w:tc>
          <w:tcPr>
            <w:tcW w:w="1105" w:type="dxa"/>
            <w:tcBorders>
              <w:bottom w:val="nil"/>
            </w:tcBorders>
            <w:vAlign w:val="bottom"/>
          </w:tcPr>
          <w:p w14:paraId="7582B7AA" w14:textId="7E4379E3" w:rsidR="00C932DC" w:rsidRPr="00C932DC" w:rsidRDefault="00C932DC" w:rsidP="00C932DC">
            <w:pPr>
              <w:pStyle w:val="Tabletextboldleft"/>
              <w:spacing w:before="20" w:after="20"/>
              <w:jc w:val="right"/>
              <w:rPr>
                <w:b w:val="0"/>
              </w:rPr>
            </w:pPr>
            <w:r w:rsidRPr="00C932DC">
              <w:rPr>
                <w:b w:val="0"/>
                <w:color w:val="000000"/>
              </w:rPr>
              <w:t>$25,270</w:t>
            </w:r>
          </w:p>
        </w:tc>
        <w:tc>
          <w:tcPr>
            <w:tcW w:w="1106" w:type="dxa"/>
            <w:tcBorders>
              <w:bottom w:val="nil"/>
            </w:tcBorders>
            <w:vAlign w:val="bottom"/>
          </w:tcPr>
          <w:p w14:paraId="32CCDA23" w14:textId="3213306C" w:rsidR="00C932DC" w:rsidRPr="00C932DC" w:rsidRDefault="00C932DC" w:rsidP="00C932DC">
            <w:pPr>
              <w:pStyle w:val="Tabletextboldleft"/>
              <w:spacing w:before="20" w:after="20"/>
              <w:jc w:val="right"/>
              <w:rPr>
                <w:b w:val="0"/>
              </w:rPr>
            </w:pPr>
            <w:r w:rsidRPr="00C932DC">
              <w:rPr>
                <w:b w:val="0"/>
                <w:color w:val="000000"/>
              </w:rPr>
              <w:t>$25,963</w:t>
            </w:r>
          </w:p>
        </w:tc>
        <w:tc>
          <w:tcPr>
            <w:tcW w:w="1106" w:type="dxa"/>
            <w:tcBorders>
              <w:bottom w:val="nil"/>
            </w:tcBorders>
            <w:vAlign w:val="bottom"/>
          </w:tcPr>
          <w:p w14:paraId="77D94169" w14:textId="0C08C6E5" w:rsidR="00C932DC" w:rsidRPr="00C932DC" w:rsidRDefault="00C932DC" w:rsidP="00C932DC">
            <w:pPr>
              <w:pStyle w:val="Tabletextboldleft"/>
              <w:spacing w:before="20" w:after="20"/>
              <w:jc w:val="right"/>
              <w:rPr>
                <w:b w:val="0"/>
              </w:rPr>
            </w:pPr>
            <w:r w:rsidRPr="00C932DC">
              <w:rPr>
                <w:b w:val="0"/>
                <w:color w:val="000000"/>
              </w:rPr>
              <w:t>$26,656</w:t>
            </w:r>
          </w:p>
        </w:tc>
      </w:tr>
      <w:tr w:rsidR="00C932DC" w:rsidRPr="00F647C7" w14:paraId="28FF4499" w14:textId="77777777" w:rsidTr="00E61184">
        <w:trPr>
          <w:trHeight w:val="212"/>
        </w:trPr>
        <w:tc>
          <w:tcPr>
            <w:tcW w:w="2835" w:type="dxa"/>
            <w:tcBorders>
              <w:top w:val="nil"/>
              <w:bottom w:val="nil"/>
            </w:tcBorders>
          </w:tcPr>
          <w:p w14:paraId="33DE75B5" w14:textId="77777777" w:rsidR="00C932DC" w:rsidRPr="00F411CD" w:rsidRDefault="00C932DC" w:rsidP="00C932DC">
            <w:pPr>
              <w:pStyle w:val="Tabletextboldleft"/>
              <w:spacing w:before="20" w:after="20"/>
              <w:ind w:firstLine="317"/>
              <w:rPr>
                <w:b w:val="0"/>
              </w:rPr>
            </w:pPr>
            <w:r>
              <w:rPr>
                <w:b w:val="0"/>
              </w:rPr>
              <w:t>Ancillary tests</w:t>
            </w:r>
          </w:p>
        </w:tc>
        <w:tc>
          <w:tcPr>
            <w:tcW w:w="1105" w:type="dxa"/>
            <w:tcBorders>
              <w:top w:val="nil"/>
              <w:bottom w:val="nil"/>
            </w:tcBorders>
            <w:vAlign w:val="bottom"/>
          </w:tcPr>
          <w:p w14:paraId="785667A2" w14:textId="093FB2BC" w:rsidR="00C932DC" w:rsidRPr="00C932DC" w:rsidRDefault="00C932DC" w:rsidP="00C932DC">
            <w:pPr>
              <w:pStyle w:val="Tabletextboldleft"/>
              <w:spacing w:before="20" w:after="20"/>
              <w:jc w:val="right"/>
              <w:rPr>
                <w:b w:val="0"/>
              </w:rPr>
            </w:pPr>
            <w:r w:rsidRPr="00C932DC">
              <w:rPr>
                <w:b w:val="0"/>
                <w:color w:val="000000"/>
              </w:rPr>
              <w:t>$9,145</w:t>
            </w:r>
          </w:p>
        </w:tc>
        <w:tc>
          <w:tcPr>
            <w:tcW w:w="1106" w:type="dxa"/>
            <w:tcBorders>
              <w:top w:val="nil"/>
              <w:bottom w:val="nil"/>
            </w:tcBorders>
            <w:vAlign w:val="bottom"/>
          </w:tcPr>
          <w:p w14:paraId="25D2AB9D" w14:textId="2425249A" w:rsidR="00C932DC" w:rsidRPr="00C932DC" w:rsidRDefault="00C932DC" w:rsidP="00C932DC">
            <w:pPr>
              <w:pStyle w:val="Tabletextboldleft"/>
              <w:spacing w:before="20" w:after="20"/>
              <w:jc w:val="right"/>
              <w:rPr>
                <w:b w:val="0"/>
              </w:rPr>
            </w:pPr>
            <w:r w:rsidRPr="00C932DC">
              <w:rPr>
                <w:b w:val="0"/>
                <w:color w:val="000000"/>
              </w:rPr>
              <w:t>$9,411</w:t>
            </w:r>
          </w:p>
        </w:tc>
        <w:tc>
          <w:tcPr>
            <w:tcW w:w="1105" w:type="dxa"/>
            <w:tcBorders>
              <w:top w:val="nil"/>
              <w:bottom w:val="nil"/>
            </w:tcBorders>
            <w:vAlign w:val="bottom"/>
          </w:tcPr>
          <w:p w14:paraId="1E0E5FF5" w14:textId="6FCB0B3F" w:rsidR="00C932DC" w:rsidRPr="00C932DC" w:rsidRDefault="00C932DC" w:rsidP="00C932DC">
            <w:pPr>
              <w:pStyle w:val="Tabletextboldleft"/>
              <w:spacing w:before="20" w:after="20"/>
              <w:jc w:val="right"/>
              <w:rPr>
                <w:b w:val="0"/>
              </w:rPr>
            </w:pPr>
            <w:r w:rsidRPr="00C932DC">
              <w:rPr>
                <w:b w:val="0"/>
                <w:color w:val="000000"/>
              </w:rPr>
              <w:t>$9,676</w:t>
            </w:r>
          </w:p>
        </w:tc>
        <w:tc>
          <w:tcPr>
            <w:tcW w:w="1106" w:type="dxa"/>
            <w:tcBorders>
              <w:top w:val="nil"/>
              <w:bottom w:val="nil"/>
            </w:tcBorders>
            <w:vAlign w:val="bottom"/>
          </w:tcPr>
          <w:p w14:paraId="2883FD24" w14:textId="2A3A2C16" w:rsidR="00C932DC" w:rsidRPr="00C932DC" w:rsidRDefault="00C932DC" w:rsidP="00C932DC">
            <w:pPr>
              <w:pStyle w:val="Tabletextboldleft"/>
              <w:spacing w:before="20" w:after="20"/>
              <w:jc w:val="right"/>
              <w:rPr>
                <w:b w:val="0"/>
              </w:rPr>
            </w:pPr>
            <w:r w:rsidRPr="00C932DC">
              <w:rPr>
                <w:b w:val="0"/>
                <w:color w:val="000000"/>
              </w:rPr>
              <w:t>$9,941</w:t>
            </w:r>
          </w:p>
        </w:tc>
        <w:tc>
          <w:tcPr>
            <w:tcW w:w="1106" w:type="dxa"/>
            <w:tcBorders>
              <w:top w:val="nil"/>
              <w:bottom w:val="nil"/>
            </w:tcBorders>
            <w:vAlign w:val="bottom"/>
          </w:tcPr>
          <w:p w14:paraId="6A931E53" w14:textId="40DF3A83" w:rsidR="00C932DC" w:rsidRPr="00C932DC" w:rsidRDefault="00C932DC" w:rsidP="00C932DC">
            <w:pPr>
              <w:pStyle w:val="Tabletextboldleft"/>
              <w:spacing w:before="20" w:after="20"/>
              <w:jc w:val="right"/>
              <w:rPr>
                <w:b w:val="0"/>
              </w:rPr>
            </w:pPr>
            <w:r w:rsidRPr="00C932DC">
              <w:rPr>
                <w:b w:val="0"/>
                <w:color w:val="000000"/>
              </w:rPr>
              <w:t>$10,207</w:t>
            </w:r>
          </w:p>
        </w:tc>
      </w:tr>
      <w:tr w:rsidR="00C932DC" w:rsidRPr="00F647C7" w14:paraId="48F7B964" w14:textId="77777777" w:rsidTr="00E61184">
        <w:trPr>
          <w:trHeight w:val="212"/>
        </w:trPr>
        <w:tc>
          <w:tcPr>
            <w:tcW w:w="2835" w:type="dxa"/>
            <w:tcBorders>
              <w:top w:val="nil"/>
              <w:bottom w:val="nil"/>
            </w:tcBorders>
          </w:tcPr>
          <w:p w14:paraId="63F77161" w14:textId="77777777" w:rsidR="00C932DC" w:rsidRPr="00F411CD" w:rsidRDefault="00C932DC" w:rsidP="00C932DC">
            <w:pPr>
              <w:pStyle w:val="Tabletextboldleft"/>
              <w:spacing w:before="20" w:after="20"/>
              <w:ind w:firstLine="317"/>
              <w:rPr>
                <w:b w:val="0"/>
              </w:rPr>
            </w:pPr>
            <w:r>
              <w:rPr>
                <w:b w:val="0"/>
              </w:rPr>
              <w:t>Specimen referred fee</w:t>
            </w:r>
            <w:r>
              <w:rPr>
                <w:b w:val="0"/>
                <w:vertAlign w:val="superscript"/>
              </w:rPr>
              <w:t>b</w:t>
            </w:r>
          </w:p>
        </w:tc>
        <w:tc>
          <w:tcPr>
            <w:tcW w:w="1105" w:type="dxa"/>
            <w:tcBorders>
              <w:top w:val="nil"/>
              <w:bottom w:val="nil"/>
            </w:tcBorders>
            <w:vAlign w:val="bottom"/>
          </w:tcPr>
          <w:p w14:paraId="26C5813D" w14:textId="4AFAA9DE" w:rsidR="00C932DC" w:rsidRPr="00C932DC" w:rsidRDefault="00C932DC" w:rsidP="00C932DC">
            <w:pPr>
              <w:pStyle w:val="Tabletextboldleft"/>
              <w:spacing w:before="20" w:after="20"/>
              <w:jc w:val="right"/>
              <w:rPr>
                <w:b w:val="0"/>
              </w:rPr>
            </w:pPr>
            <w:r w:rsidRPr="00C932DC">
              <w:rPr>
                <w:b w:val="0"/>
                <w:color w:val="000000"/>
              </w:rPr>
              <w:t>$10,838</w:t>
            </w:r>
          </w:p>
        </w:tc>
        <w:tc>
          <w:tcPr>
            <w:tcW w:w="1106" w:type="dxa"/>
            <w:tcBorders>
              <w:top w:val="nil"/>
              <w:bottom w:val="nil"/>
            </w:tcBorders>
            <w:vAlign w:val="bottom"/>
          </w:tcPr>
          <w:p w14:paraId="01FBC353" w14:textId="560819AE" w:rsidR="00C932DC" w:rsidRPr="00C932DC" w:rsidRDefault="00C932DC" w:rsidP="00C932DC">
            <w:pPr>
              <w:pStyle w:val="Tabletextboldleft"/>
              <w:spacing w:before="20" w:after="20"/>
              <w:jc w:val="right"/>
              <w:rPr>
                <w:b w:val="0"/>
              </w:rPr>
            </w:pPr>
            <w:r w:rsidRPr="00C932DC">
              <w:rPr>
                <w:b w:val="0"/>
                <w:color w:val="000000"/>
              </w:rPr>
              <w:t>$11,152</w:t>
            </w:r>
          </w:p>
        </w:tc>
        <w:tc>
          <w:tcPr>
            <w:tcW w:w="1105" w:type="dxa"/>
            <w:tcBorders>
              <w:top w:val="nil"/>
              <w:bottom w:val="nil"/>
            </w:tcBorders>
            <w:vAlign w:val="bottom"/>
          </w:tcPr>
          <w:p w14:paraId="3281098A" w14:textId="6CC7232D" w:rsidR="00C932DC" w:rsidRPr="00C932DC" w:rsidRDefault="00C932DC" w:rsidP="00C932DC">
            <w:pPr>
              <w:pStyle w:val="Tabletextboldleft"/>
              <w:spacing w:before="20" w:after="20"/>
              <w:jc w:val="right"/>
              <w:rPr>
                <w:b w:val="0"/>
              </w:rPr>
            </w:pPr>
            <w:r w:rsidRPr="00C932DC">
              <w:rPr>
                <w:b w:val="0"/>
                <w:color w:val="000000"/>
              </w:rPr>
              <w:t>$11,466</w:t>
            </w:r>
          </w:p>
        </w:tc>
        <w:tc>
          <w:tcPr>
            <w:tcW w:w="1106" w:type="dxa"/>
            <w:tcBorders>
              <w:top w:val="nil"/>
              <w:bottom w:val="nil"/>
            </w:tcBorders>
            <w:vAlign w:val="bottom"/>
          </w:tcPr>
          <w:p w14:paraId="1B57CA6E" w14:textId="697CD659" w:rsidR="00C932DC" w:rsidRPr="00C932DC" w:rsidRDefault="00C932DC" w:rsidP="00C932DC">
            <w:pPr>
              <w:pStyle w:val="Tabletextboldleft"/>
              <w:spacing w:before="20" w:after="20"/>
              <w:jc w:val="right"/>
              <w:rPr>
                <w:b w:val="0"/>
              </w:rPr>
            </w:pPr>
            <w:r w:rsidRPr="00C932DC">
              <w:rPr>
                <w:b w:val="0"/>
                <w:color w:val="000000"/>
              </w:rPr>
              <w:t>$11,781</w:t>
            </w:r>
          </w:p>
        </w:tc>
        <w:tc>
          <w:tcPr>
            <w:tcW w:w="1106" w:type="dxa"/>
            <w:tcBorders>
              <w:top w:val="nil"/>
              <w:bottom w:val="nil"/>
            </w:tcBorders>
            <w:vAlign w:val="bottom"/>
          </w:tcPr>
          <w:p w14:paraId="11FD9988" w14:textId="03A3BB81" w:rsidR="00C932DC" w:rsidRPr="00C932DC" w:rsidRDefault="00C932DC" w:rsidP="00C932DC">
            <w:pPr>
              <w:pStyle w:val="Tabletextboldleft"/>
              <w:spacing w:before="20" w:after="20"/>
              <w:jc w:val="right"/>
              <w:rPr>
                <w:b w:val="0"/>
              </w:rPr>
            </w:pPr>
            <w:r w:rsidRPr="00C932DC">
              <w:rPr>
                <w:b w:val="0"/>
                <w:color w:val="000000"/>
              </w:rPr>
              <w:t>$12,095</w:t>
            </w:r>
          </w:p>
        </w:tc>
      </w:tr>
      <w:tr w:rsidR="00C932DC" w:rsidRPr="00F647C7" w14:paraId="185AAE08" w14:textId="77777777" w:rsidTr="00E61184">
        <w:trPr>
          <w:trHeight w:val="212"/>
        </w:trPr>
        <w:tc>
          <w:tcPr>
            <w:tcW w:w="2835" w:type="dxa"/>
            <w:tcBorders>
              <w:top w:val="nil"/>
              <w:bottom w:val="single" w:sz="4" w:space="0" w:color="auto"/>
            </w:tcBorders>
          </w:tcPr>
          <w:p w14:paraId="62901A00" w14:textId="77777777" w:rsidR="00C932DC" w:rsidRPr="00F411CD" w:rsidRDefault="00C932DC" w:rsidP="00C932DC">
            <w:pPr>
              <w:pStyle w:val="Tabletextboldleft"/>
              <w:spacing w:before="20" w:after="20"/>
              <w:ind w:firstLine="317"/>
              <w:rPr>
                <w:b w:val="0"/>
              </w:rPr>
            </w:pPr>
            <w:r>
              <w:rPr>
                <w:b w:val="0"/>
              </w:rPr>
              <w:t>Bulk billing incentive</w:t>
            </w:r>
            <w:r>
              <w:rPr>
                <w:b w:val="0"/>
                <w:vertAlign w:val="superscript"/>
              </w:rPr>
              <w:t>c</w:t>
            </w:r>
          </w:p>
        </w:tc>
        <w:tc>
          <w:tcPr>
            <w:tcW w:w="1105" w:type="dxa"/>
            <w:tcBorders>
              <w:top w:val="nil"/>
              <w:bottom w:val="single" w:sz="4" w:space="0" w:color="auto"/>
            </w:tcBorders>
            <w:vAlign w:val="bottom"/>
          </w:tcPr>
          <w:p w14:paraId="4D4268B0" w14:textId="7AB73D2F" w:rsidR="00C932DC" w:rsidRPr="00C932DC" w:rsidRDefault="00C932DC" w:rsidP="00C932DC">
            <w:pPr>
              <w:pStyle w:val="Tabletextboldleft"/>
              <w:spacing w:before="20" w:after="20"/>
              <w:jc w:val="right"/>
              <w:rPr>
                <w:b w:val="0"/>
              </w:rPr>
            </w:pPr>
            <w:r w:rsidRPr="00C932DC">
              <w:rPr>
                <w:b w:val="0"/>
                <w:color w:val="000000"/>
              </w:rPr>
              <w:t>$3,902</w:t>
            </w:r>
          </w:p>
        </w:tc>
        <w:tc>
          <w:tcPr>
            <w:tcW w:w="1106" w:type="dxa"/>
            <w:tcBorders>
              <w:top w:val="nil"/>
              <w:bottom w:val="single" w:sz="4" w:space="0" w:color="auto"/>
            </w:tcBorders>
            <w:vAlign w:val="bottom"/>
          </w:tcPr>
          <w:p w14:paraId="07B6F6FE" w14:textId="10C3CFB7" w:rsidR="00C932DC" w:rsidRPr="00C932DC" w:rsidRDefault="00C932DC" w:rsidP="00C932DC">
            <w:pPr>
              <w:pStyle w:val="Tabletextboldleft"/>
              <w:spacing w:before="20" w:after="20"/>
              <w:jc w:val="right"/>
              <w:rPr>
                <w:b w:val="0"/>
              </w:rPr>
            </w:pPr>
            <w:r w:rsidRPr="00C932DC">
              <w:rPr>
                <w:b w:val="0"/>
                <w:color w:val="000000"/>
              </w:rPr>
              <w:t>$4,015</w:t>
            </w:r>
          </w:p>
        </w:tc>
        <w:tc>
          <w:tcPr>
            <w:tcW w:w="1105" w:type="dxa"/>
            <w:tcBorders>
              <w:top w:val="nil"/>
              <w:bottom w:val="single" w:sz="4" w:space="0" w:color="auto"/>
            </w:tcBorders>
            <w:vAlign w:val="bottom"/>
          </w:tcPr>
          <w:p w14:paraId="112E1397" w14:textId="17F7F24A" w:rsidR="00C932DC" w:rsidRPr="00C932DC" w:rsidRDefault="00C932DC" w:rsidP="00C932DC">
            <w:pPr>
              <w:pStyle w:val="Tabletextboldleft"/>
              <w:spacing w:before="20" w:after="20"/>
              <w:jc w:val="right"/>
              <w:rPr>
                <w:b w:val="0"/>
              </w:rPr>
            </w:pPr>
            <w:r w:rsidRPr="00C932DC">
              <w:rPr>
                <w:b w:val="0"/>
                <w:color w:val="000000"/>
              </w:rPr>
              <w:t>$4,128</w:t>
            </w:r>
          </w:p>
        </w:tc>
        <w:tc>
          <w:tcPr>
            <w:tcW w:w="1106" w:type="dxa"/>
            <w:tcBorders>
              <w:top w:val="nil"/>
              <w:bottom w:val="single" w:sz="4" w:space="0" w:color="auto"/>
            </w:tcBorders>
            <w:vAlign w:val="bottom"/>
          </w:tcPr>
          <w:p w14:paraId="2FB24CDE" w14:textId="6BE632FE" w:rsidR="00C932DC" w:rsidRPr="00C932DC" w:rsidRDefault="00C932DC" w:rsidP="00C932DC">
            <w:pPr>
              <w:pStyle w:val="Tabletextboldleft"/>
              <w:spacing w:before="20" w:after="20"/>
              <w:jc w:val="right"/>
              <w:rPr>
                <w:b w:val="0"/>
              </w:rPr>
            </w:pPr>
            <w:r w:rsidRPr="00C932DC">
              <w:rPr>
                <w:b w:val="0"/>
                <w:color w:val="000000"/>
              </w:rPr>
              <w:t>$4,241</w:t>
            </w:r>
          </w:p>
        </w:tc>
        <w:tc>
          <w:tcPr>
            <w:tcW w:w="1106" w:type="dxa"/>
            <w:tcBorders>
              <w:top w:val="nil"/>
              <w:bottom w:val="single" w:sz="4" w:space="0" w:color="auto"/>
            </w:tcBorders>
            <w:vAlign w:val="bottom"/>
          </w:tcPr>
          <w:p w14:paraId="663B9F49" w14:textId="060176B2" w:rsidR="00C932DC" w:rsidRPr="00C932DC" w:rsidRDefault="00C932DC" w:rsidP="00C932DC">
            <w:pPr>
              <w:pStyle w:val="Tabletextboldleft"/>
              <w:spacing w:before="20" w:after="20"/>
              <w:jc w:val="right"/>
              <w:rPr>
                <w:b w:val="0"/>
              </w:rPr>
            </w:pPr>
            <w:r w:rsidRPr="00C932DC">
              <w:rPr>
                <w:b w:val="0"/>
                <w:color w:val="000000"/>
              </w:rPr>
              <w:t>$4,354</w:t>
            </w:r>
          </w:p>
        </w:tc>
      </w:tr>
      <w:tr w:rsidR="00C932DC" w:rsidRPr="00F647C7" w14:paraId="79F61650" w14:textId="77777777" w:rsidTr="00E61184">
        <w:trPr>
          <w:trHeight w:val="212"/>
        </w:trPr>
        <w:tc>
          <w:tcPr>
            <w:tcW w:w="2835" w:type="dxa"/>
            <w:tcBorders>
              <w:bottom w:val="nil"/>
            </w:tcBorders>
          </w:tcPr>
          <w:p w14:paraId="69D31BB5" w14:textId="77777777" w:rsidR="00C932DC" w:rsidRPr="00F411CD" w:rsidRDefault="00C932DC" w:rsidP="00C932DC">
            <w:pPr>
              <w:pStyle w:val="Tabletextboldleft"/>
              <w:spacing w:before="20" w:after="20"/>
              <w:rPr>
                <w:b w:val="0"/>
              </w:rPr>
            </w:pPr>
            <w:r>
              <w:rPr>
                <w:b w:val="0"/>
              </w:rPr>
              <w:t>All cytology</w:t>
            </w:r>
          </w:p>
        </w:tc>
        <w:tc>
          <w:tcPr>
            <w:tcW w:w="1105" w:type="dxa"/>
            <w:tcBorders>
              <w:bottom w:val="nil"/>
            </w:tcBorders>
            <w:vAlign w:val="bottom"/>
          </w:tcPr>
          <w:p w14:paraId="62DACE6F" w14:textId="7E305C9A" w:rsidR="00C932DC" w:rsidRPr="00C932DC" w:rsidRDefault="00C932DC" w:rsidP="00C932DC">
            <w:pPr>
              <w:pStyle w:val="Tabletextboldleft"/>
              <w:spacing w:before="20" w:after="20"/>
              <w:jc w:val="right"/>
              <w:rPr>
                <w:b w:val="0"/>
              </w:rPr>
            </w:pPr>
            <w:r w:rsidRPr="00C932DC">
              <w:rPr>
                <w:b w:val="0"/>
                <w:color w:val="000000"/>
              </w:rPr>
              <w:t>$189,995</w:t>
            </w:r>
          </w:p>
        </w:tc>
        <w:tc>
          <w:tcPr>
            <w:tcW w:w="1106" w:type="dxa"/>
            <w:tcBorders>
              <w:bottom w:val="nil"/>
            </w:tcBorders>
            <w:vAlign w:val="bottom"/>
          </w:tcPr>
          <w:p w14:paraId="7F2E76CD" w14:textId="3EEA3977" w:rsidR="00C932DC" w:rsidRPr="00C932DC" w:rsidRDefault="00C932DC" w:rsidP="00C932DC">
            <w:pPr>
              <w:pStyle w:val="Tabletextboldleft"/>
              <w:spacing w:before="20" w:after="20"/>
              <w:jc w:val="right"/>
              <w:rPr>
                <w:b w:val="0"/>
              </w:rPr>
            </w:pPr>
            <w:r w:rsidRPr="00C932DC">
              <w:rPr>
                <w:b w:val="0"/>
                <w:color w:val="000000"/>
              </w:rPr>
              <w:t>$192,071</w:t>
            </w:r>
          </w:p>
        </w:tc>
        <w:tc>
          <w:tcPr>
            <w:tcW w:w="1105" w:type="dxa"/>
            <w:tcBorders>
              <w:bottom w:val="nil"/>
            </w:tcBorders>
            <w:vAlign w:val="bottom"/>
          </w:tcPr>
          <w:p w14:paraId="349087B1" w14:textId="5AF7460C" w:rsidR="00C932DC" w:rsidRPr="00C932DC" w:rsidRDefault="00C932DC" w:rsidP="00C932DC">
            <w:pPr>
              <w:pStyle w:val="Tabletextboldleft"/>
              <w:spacing w:before="20" w:after="20"/>
              <w:jc w:val="right"/>
              <w:rPr>
                <w:b w:val="0"/>
              </w:rPr>
            </w:pPr>
            <w:r w:rsidRPr="00C932DC">
              <w:rPr>
                <w:b w:val="0"/>
                <w:color w:val="000000"/>
              </w:rPr>
              <w:t>$194,147</w:t>
            </w:r>
          </w:p>
        </w:tc>
        <w:tc>
          <w:tcPr>
            <w:tcW w:w="1106" w:type="dxa"/>
            <w:tcBorders>
              <w:bottom w:val="nil"/>
            </w:tcBorders>
            <w:vAlign w:val="bottom"/>
          </w:tcPr>
          <w:p w14:paraId="27B25676" w14:textId="53A4BA41" w:rsidR="00C932DC" w:rsidRPr="00C932DC" w:rsidRDefault="00C932DC" w:rsidP="00C932DC">
            <w:pPr>
              <w:pStyle w:val="Tabletextboldleft"/>
              <w:spacing w:before="20" w:after="20"/>
              <w:jc w:val="right"/>
              <w:rPr>
                <w:b w:val="0"/>
              </w:rPr>
            </w:pPr>
            <w:r w:rsidRPr="00C932DC">
              <w:rPr>
                <w:b w:val="0"/>
                <w:color w:val="000000"/>
              </w:rPr>
              <w:t>$196,223</w:t>
            </w:r>
          </w:p>
        </w:tc>
        <w:tc>
          <w:tcPr>
            <w:tcW w:w="1106" w:type="dxa"/>
            <w:tcBorders>
              <w:bottom w:val="nil"/>
            </w:tcBorders>
            <w:vAlign w:val="bottom"/>
          </w:tcPr>
          <w:p w14:paraId="7FABB971" w14:textId="5F02DAAE" w:rsidR="00C932DC" w:rsidRPr="00C932DC" w:rsidRDefault="00C932DC" w:rsidP="00C932DC">
            <w:pPr>
              <w:pStyle w:val="Tabletextboldleft"/>
              <w:spacing w:before="20" w:after="20"/>
              <w:jc w:val="right"/>
              <w:rPr>
                <w:b w:val="0"/>
              </w:rPr>
            </w:pPr>
            <w:r w:rsidRPr="00C932DC">
              <w:rPr>
                <w:b w:val="0"/>
                <w:color w:val="000000"/>
              </w:rPr>
              <w:t>$198,300</w:t>
            </w:r>
          </w:p>
        </w:tc>
      </w:tr>
      <w:tr w:rsidR="00C932DC" w:rsidRPr="00F647C7" w14:paraId="4740D2CB" w14:textId="77777777" w:rsidTr="00E61184">
        <w:trPr>
          <w:trHeight w:val="212"/>
        </w:trPr>
        <w:tc>
          <w:tcPr>
            <w:tcW w:w="2835" w:type="dxa"/>
            <w:tcBorders>
              <w:top w:val="nil"/>
              <w:bottom w:val="nil"/>
            </w:tcBorders>
          </w:tcPr>
          <w:p w14:paraId="70C2FB69" w14:textId="77777777" w:rsidR="00C932DC" w:rsidRPr="00F411CD" w:rsidRDefault="00C932DC" w:rsidP="00C932DC">
            <w:pPr>
              <w:pStyle w:val="Tabletextboldleft"/>
              <w:spacing w:before="20" w:after="20"/>
              <w:ind w:firstLine="317"/>
              <w:rPr>
                <w:b w:val="0"/>
              </w:rPr>
            </w:pPr>
            <w:r>
              <w:rPr>
                <w:b w:val="0"/>
              </w:rPr>
              <w:t>Ancillary tests</w:t>
            </w:r>
          </w:p>
        </w:tc>
        <w:tc>
          <w:tcPr>
            <w:tcW w:w="1105" w:type="dxa"/>
            <w:tcBorders>
              <w:top w:val="nil"/>
              <w:bottom w:val="nil"/>
            </w:tcBorders>
            <w:vAlign w:val="bottom"/>
          </w:tcPr>
          <w:p w14:paraId="0333F132" w14:textId="5F1CEA9D" w:rsidR="00C932DC" w:rsidRPr="00C932DC" w:rsidRDefault="00C932DC" w:rsidP="00C932DC">
            <w:pPr>
              <w:pStyle w:val="Tabletextboldleft"/>
              <w:spacing w:before="20" w:after="20"/>
              <w:jc w:val="right"/>
              <w:rPr>
                <w:b w:val="0"/>
              </w:rPr>
            </w:pPr>
            <w:r w:rsidRPr="00C932DC">
              <w:rPr>
                <w:b w:val="0"/>
                <w:color w:val="000000"/>
              </w:rPr>
              <w:t>$72,749</w:t>
            </w:r>
          </w:p>
        </w:tc>
        <w:tc>
          <w:tcPr>
            <w:tcW w:w="1106" w:type="dxa"/>
            <w:tcBorders>
              <w:top w:val="nil"/>
              <w:bottom w:val="nil"/>
            </w:tcBorders>
            <w:vAlign w:val="bottom"/>
          </w:tcPr>
          <w:p w14:paraId="7AB8BCFD" w14:textId="79DBBFE4" w:rsidR="00C932DC" w:rsidRPr="00C932DC" w:rsidRDefault="00C932DC" w:rsidP="00C932DC">
            <w:pPr>
              <w:pStyle w:val="Tabletextboldleft"/>
              <w:spacing w:before="20" w:after="20"/>
              <w:jc w:val="right"/>
              <w:rPr>
                <w:b w:val="0"/>
              </w:rPr>
            </w:pPr>
            <w:r w:rsidRPr="00C932DC">
              <w:rPr>
                <w:b w:val="0"/>
                <w:color w:val="000000"/>
              </w:rPr>
              <w:t>$73,544</w:t>
            </w:r>
          </w:p>
        </w:tc>
        <w:tc>
          <w:tcPr>
            <w:tcW w:w="1105" w:type="dxa"/>
            <w:tcBorders>
              <w:top w:val="nil"/>
              <w:bottom w:val="nil"/>
            </w:tcBorders>
            <w:vAlign w:val="bottom"/>
          </w:tcPr>
          <w:p w14:paraId="1C372E1A" w14:textId="62644596" w:rsidR="00C932DC" w:rsidRPr="00C932DC" w:rsidRDefault="00C932DC" w:rsidP="00C932DC">
            <w:pPr>
              <w:pStyle w:val="Tabletextboldleft"/>
              <w:spacing w:before="20" w:after="20"/>
              <w:jc w:val="right"/>
              <w:rPr>
                <w:b w:val="0"/>
              </w:rPr>
            </w:pPr>
            <w:r w:rsidRPr="00C932DC">
              <w:rPr>
                <w:b w:val="0"/>
                <w:color w:val="000000"/>
              </w:rPr>
              <w:t>$74,339</w:t>
            </w:r>
          </w:p>
        </w:tc>
        <w:tc>
          <w:tcPr>
            <w:tcW w:w="1106" w:type="dxa"/>
            <w:tcBorders>
              <w:top w:val="nil"/>
              <w:bottom w:val="nil"/>
            </w:tcBorders>
            <w:vAlign w:val="bottom"/>
          </w:tcPr>
          <w:p w14:paraId="0BF04D20" w14:textId="7CE08832" w:rsidR="00C932DC" w:rsidRPr="00C932DC" w:rsidRDefault="00C932DC" w:rsidP="00C932DC">
            <w:pPr>
              <w:pStyle w:val="Tabletextboldleft"/>
              <w:spacing w:before="20" w:after="20"/>
              <w:jc w:val="right"/>
              <w:rPr>
                <w:b w:val="0"/>
              </w:rPr>
            </w:pPr>
            <w:r w:rsidRPr="00C932DC">
              <w:rPr>
                <w:b w:val="0"/>
                <w:color w:val="000000"/>
              </w:rPr>
              <w:t>$75,134</w:t>
            </w:r>
          </w:p>
        </w:tc>
        <w:tc>
          <w:tcPr>
            <w:tcW w:w="1106" w:type="dxa"/>
            <w:tcBorders>
              <w:top w:val="nil"/>
              <w:bottom w:val="nil"/>
            </w:tcBorders>
            <w:vAlign w:val="bottom"/>
          </w:tcPr>
          <w:p w14:paraId="1CCB8883" w14:textId="4504B51F" w:rsidR="00C932DC" w:rsidRPr="00C932DC" w:rsidRDefault="00C932DC" w:rsidP="00C932DC">
            <w:pPr>
              <w:pStyle w:val="Tabletextboldleft"/>
              <w:spacing w:before="20" w:after="20"/>
              <w:jc w:val="right"/>
              <w:rPr>
                <w:b w:val="0"/>
              </w:rPr>
            </w:pPr>
            <w:r w:rsidRPr="00C932DC">
              <w:rPr>
                <w:b w:val="0"/>
                <w:color w:val="000000"/>
              </w:rPr>
              <w:t>$75,929</w:t>
            </w:r>
          </w:p>
        </w:tc>
      </w:tr>
      <w:tr w:rsidR="00C932DC" w:rsidRPr="00F647C7" w14:paraId="75D9D27F" w14:textId="77777777" w:rsidTr="00E61184">
        <w:trPr>
          <w:trHeight w:val="212"/>
        </w:trPr>
        <w:tc>
          <w:tcPr>
            <w:tcW w:w="2835" w:type="dxa"/>
            <w:tcBorders>
              <w:top w:val="nil"/>
              <w:bottom w:val="nil"/>
            </w:tcBorders>
          </w:tcPr>
          <w:p w14:paraId="1CE3A158" w14:textId="77777777" w:rsidR="00C932DC" w:rsidRPr="00F411CD" w:rsidRDefault="00C932DC" w:rsidP="00C932DC">
            <w:pPr>
              <w:pStyle w:val="Tabletextboldleft"/>
              <w:spacing w:before="20" w:after="20"/>
              <w:ind w:firstLine="317"/>
              <w:rPr>
                <w:b w:val="0"/>
              </w:rPr>
            </w:pPr>
            <w:r>
              <w:rPr>
                <w:b w:val="0"/>
              </w:rPr>
              <w:t>Specimen referred fee</w:t>
            </w:r>
            <w:r>
              <w:rPr>
                <w:b w:val="0"/>
                <w:vertAlign w:val="superscript"/>
              </w:rPr>
              <w:t>b</w:t>
            </w:r>
          </w:p>
        </w:tc>
        <w:tc>
          <w:tcPr>
            <w:tcW w:w="1105" w:type="dxa"/>
            <w:tcBorders>
              <w:top w:val="nil"/>
              <w:bottom w:val="nil"/>
            </w:tcBorders>
            <w:vAlign w:val="bottom"/>
          </w:tcPr>
          <w:p w14:paraId="63B18083" w14:textId="3BDE768B" w:rsidR="00C932DC" w:rsidRPr="00C932DC" w:rsidRDefault="00C932DC" w:rsidP="00C932DC">
            <w:pPr>
              <w:pStyle w:val="Tabletextboldleft"/>
              <w:spacing w:before="20" w:after="20"/>
              <w:jc w:val="right"/>
              <w:rPr>
                <w:b w:val="0"/>
              </w:rPr>
            </w:pPr>
            <w:r w:rsidRPr="00C932DC">
              <w:rPr>
                <w:b w:val="0"/>
                <w:color w:val="000000"/>
              </w:rPr>
              <w:t>$86,210</w:t>
            </w:r>
          </w:p>
        </w:tc>
        <w:tc>
          <w:tcPr>
            <w:tcW w:w="1106" w:type="dxa"/>
            <w:tcBorders>
              <w:top w:val="nil"/>
              <w:bottom w:val="nil"/>
            </w:tcBorders>
            <w:vAlign w:val="bottom"/>
          </w:tcPr>
          <w:p w14:paraId="2B9C0FBC" w14:textId="3F79AAD6" w:rsidR="00C932DC" w:rsidRPr="00C932DC" w:rsidRDefault="00C932DC" w:rsidP="00C932DC">
            <w:pPr>
              <w:pStyle w:val="Tabletextboldleft"/>
              <w:spacing w:before="20" w:after="20"/>
              <w:jc w:val="right"/>
              <w:rPr>
                <w:b w:val="0"/>
              </w:rPr>
            </w:pPr>
            <w:r w:rsidRPr="00C932DC">
              <w:rPr>
                <w:b w:val="0"/>
                <w:color w:val="000000"/>
              </w:rPr>
              <w:t>$87,152</w:t>
            </w:r>
          </w:p>
        </w:tc>
        <w:tc>
          <w:tcPr>
            <w:tcW w:w="1105" w:type="dxa"/>
            <w:tcBorders>
              <w:top w:val="nil"/>
              <w:bottom w:val="nil"/>
            </w:tcBorders>
            <w:vAlign w:val="bottom"/>
          </w:tcPr>
          <w:p w14:paraId="1D147997" w14:textId="2405E2D0" w:rsidR="00C932DC" w:rsidRPr="00C932DC" w:rsidRDefault="00C932DC" w:rsidP="00C932DC">
            <w:pPr>
              <w:pStyle w:val="Tabletextboldleft"/>
              <w:spacing w:before="20" w:after="20"/>
              <w:jc w:val="right"/>
              <w:rPr>
                <w:b w:val="0"/>
              </w:rPr>
            </w:pPr>
            <w:r w:rsidRPr="00C932DC">
              <w:rPr>
                <w:b w:val="0"/>
                <w:color w:val="000000"/>
              </w:rPr>
              <w:t>$88,094</w:t>
            </w:r>
          </w:p>
        </w:tc>
        <w:tc>
          <w:tcPr>
            <w:tcW w:w="1106" w:type="dxa"/>
            <w:tcBorders>
              <w:top w:val="nil"/>
              <w:bottom w:val="nil"/>
            </w:tcBorders>
            <w:vAlign w:val="bottom"/>
          </w:tcPr>
          <w:p w14:paraId="3589449D" w14:textId="3D65513A" w:rsidR="00C932DC" w:rsidRPr="00C932DC" w:rsidRDefault="00C932DC" w:rsidP="00C932DC">
            <w:pPr>
              <w:pStyle w:val="Tabletextboldleft"/>
              <w:spacing w:before="20" w:after="20"/>
              <w:jc w:val="right"/>
              <w:rPr>
                <w:b w:val="0"/>
              </w:rPr>
            </w:pPr>
            <w:r w:rsidRPr="00C932DC">
              <w:rPr>
                <w:b w:val="0"/>
                <w:color w:val="000000"/>
              </w:rPr>
              <w:t>$89,036</w:t>
            </w:r>
          </w:p>
        </w:tc>
        <w:tc>
          <w:tcPr>
            <w:tcW w:w="1106" w:type="dxa"/>
            <w:tcBorders>
              <w:top w:val="nil"/>
              <w:bottom w:val="nil"/>
            </w:tcBorders>
            <w:vAlign w:val="bottom"/>
          </w:tcPr>
          <w:p w14:paraId="6E19FBB2" w14:textId="11D8F9D9" w:rsidR="00C932DC" w:rsidRPr="00C932DC" w:rsidRDefault="00C932DC" w:rsidP="00C932DC">
            <w:pPr>
              <w:pStyle w:val="Tabletextboldleft"/>
              <w:spacing w:before="20" w:after="20"/>
              <w:jc w:val="right"/>
              <w:rPr>
                <w:b w:val="0"/>
              </w:rPr>
            </w:pPr>
            <w:r w:rsidRPr="00C932DC">
              <w:rPr>
                <w:b w:val="0"/>
                <w:color w:val="000000"/>
              </w:rPr>
              <w:t>$89,978</w:t>
            </w:r>
          </w:p>
        </w:tc>
      </w:tr>
      <w:tr w:rsidR="00C932DC" w:rsidRPr="00F647C7" w14:paraId="54910C85" w14:textId="77777777" w:rsidTr="00E61184">
        <w:trPr>
          <w:trHeight w:val="212"/>
        </w:trPr>
        <w:tc>
          <w:tcPr>
            <w:tcW w:w="2835" w:type="dxa"/>
            <w:tcBorders>
              <w:top w:val="nil"/>
            </w:tcBorders>
          </w:tcPr>
          <w:p w14:paraId="406D55A3" w14:textId="77777777" w:rsidR="00C932DC" w:rsidRPr="00F411CD" w:rsidRDefault="00C932DC" w:rsidP="00C932DC">
            <w:pPr>
              <w:pStyle w:val="Tabletextboldleft"/>
              <w:spacing w:before="20" w:after="20"/>
              <w:ind w:firstLine="317"/>
              <w:rPr>
                <w:b w:val="0"/>
              </w:rPr>
            </w:pPr>
            <w:r>
              <w:rPr>
                <w:b w:val="0"/>
              </w:rPr>
              <w:t>Bulk billing incentive</w:t>
            </w:r>
            <w:r>
              <w:rPr>
                <w:b w:val="0"/>
                <w:vertAlign w:val="superscript"/>
              </w:rPr>
              <w:t>c</w:t>
            </w:r>
          </w:p>
        </w:tc>
        <w:tc>
          <w:tcPr>
            <w:tcW w:w="1105" w:type="dxa"/>
            <w:tcBorders>
              <w:top w:val="nil"/>
            </w:tcBorders>
            <w:vAlign w:val="bottom"/>
          </w:tcPr>
          <w:p w14:paraId="3D7B1FAA" w14:textId="2EE354E2" w:rsidR="00C932DC" w:rsidRPr="00C932DC" w:rsidRDefault="00C932DC" w:rsidP="00C932DC">
            <w:pPr>
              <w:pStyle w:val="Tabletextboldleft"/>
              <w:spacing w:before="20" w:after="20"/>
              <w:jc w:val="right"/>
              <w:rPr>
                <w:b w:val="0"/>
              </w:rPr>
            </w:pPr>
            <w:r w:rsidRPr="00C932DC">
              <w:rPr>
                <w:b w:val="0"/>
                <w:color w:val="000000"/>
              </w:rPr>
              <w:t>$31,036</w:t>
            </w:r>
          </w:p>
        </w:tc>
        <w:tc>
          <w:tcPr>
            <w:tcW w:w="1106" w:type="dxa"/>
            <w:tcBorders>
              <w:top w:val="nil"/>
            </w:tcBorders>
            <w:vAlign w:val="bottom"/>
          </w:tcPr>
          <w:p w14:paraId="377A813E" w14:textId="3C081BE5" w:rsidR="00C932DC" w:rsidRPr="00C932DC" w:rsidRDefault="00C932DC" w:rsidP="00C932DC">
            <w:pPr>
              <w:pStyle w:val="Tabletextboldleft"/>
              <w:spacing w:before="20" w:after="20"/>
              <w:jc w:val="right"/>
              <w:rPr>
                <w:b w:val="0"/>
              </w:rPr>
            </w:pPr>
            <w:r w:rsidRPr="00C932DC">
              <w:rPr>
                <w:b w:val="0"/>
                <w:color w:val="000000"/>
              </w:rPr>
              <w:t>$31,375</w:t>
            </w:r>
          </w:p>
        </w:tc>
        <w:tc>
          <w:tcPr>
            <w:tcW w:w="1105" w:type="dxa"/>
            <w:tcBorders>
              <w:top w:val="nil"/>
            </w:tcBorders>
            <w:vAlign w:val="bottom"/>
          </w:tcPr>
          <w:p w14:paraId="71BD021C" w14:textId="3F2F52F5" w:rsidR="00C932DC" w:rsidRPr="00C932DC" w:rsidRDefault="00C932DC" w:rsidP="00C932DC">
            <w:pPr>
              <w:pStyle w:val="Tabletextboldleft"/>
              <w:spacing w:before="20" w:after="20"/>
              <w:jc w:val="right"/>
              <w:rPr>
                <w:b w:val="0"/>
              </w:rPr>
            </w:pPr>
            <w:r w:rsidRPr="00C932DC">
              <w:rPr>
                <w:b w:val="0"/>
                <w:color w:val="000000"/>
              </w:rPr>
              <w:t>$31,714</w:t>
            </w:r>
          </w:p>
        </w:tc>
        <w:tc>
          <w:tcPr>
            <w:tcW w:w="1106" w:type="dxa"/>
            <w:tcBorders>
              <w:top w:val="nil"/>
            </w:tcBorders>
            <w:vAlign w:val="bottom"/>
          </w:tcPr>
          <w:p w14:paraId="7B06DD29" w14:textId="11232370" w:rsidR="00C932DC" w:rsidRPr="00C932DC" w:rsidRDefault="00C932DC" w:rsidP="00C932DC">
            <w:pPr>
              <w:pStyle w:val="Tabletextboldleft"/>
              <w:spacing w:before="20" w:after="20"/>
              <w:jc w:val="right"/>
              <w:rPr>
                <w:b w:val="0"/>
              </w:rPr>
            </w:pPr>
            <w:r w:rsidRPr="00C932DC">
              <w:rPr>
                <w:b w:val="0"/>
                <w:color w:val="000000"/>
              </w:rPr>
              <w:t>$32,053</w:t>
            </w:r>
          </w:p>
        </w:tc>
        <w:tc>
          <w:tcPr>
            <w:tcW w:w="1106" w:type="dxa"/>
            <w:tcBorders>
              <w:top w:val="nil"/>
            </w:tcBorders>
            <w:vAlign w:val="bottom"/>
          </w:tcPr>
          <w:p w14:paraId="515F6ACD" w14:textId="57FA9FCA" w:rsidR="00C932DC" w:rsidRPr="00C932DC" w:rsidRDefault="00C932DC" w:rsidP="00C932DC">
            <w:pPr>
              <w:pStyle w:val="Tabletextboldleft"/>
              <w:spacing w:before="20" w:after="20"/>
              <w:jc w:val="right"/>
              <w:rPr>
                <w:b w:val="0"/>
              </w:rPr>
            </w:pPr>
            <w:r w:rsidRPr="00C932DC">
              <w:rPr>
                <w:b w:val="0"/>
                <w:color w:val="000000"/>
              </w:rPr>
              <w:t>$32,392</w:t>
            </w:r>
          </w:p>
        </w:tc>
      </w:tr>
      <w:tr w:rsidR="00C932DC" w:rsidRPr="00F647C7" w14:paraId="7703B1DA" w14:textId="77777777" w:rsidTr="00E61184">
        <w:trPr>
          <w:trHeight w:val="212"/>
        </w:trPr>
        <w:tc>
          <w:tcPr>
            <w:tcW w:w="2835" w:type="dxa"/>
          </w:tcPr>
          <w:p w14:paraId="5B9A202F" w14:textId="77777777" w:rsidR="00C932DC" w:rsidRPr="00C26CDD" w:rsidRDefault="00C932DC" w:rsidP="00C932DC">
            <w:pPr>
              <w:pStyle w:val="Tabletextboldleft"/>
              <w:spacing w:before="20" w:after="20"/>
              <w:rPr>
                <w:b w:val="0"/>
                <w:i/>
              </w:rPr>
            </w:pPr>
            <w:r>
              <w:rPr>
                <w:b w:val="0"/>
                <w:i/>
              </w:rPr>
              <w:t>Sub-t</w:t>
            </w:r>
            <w:r w:rsidRPr="00C26CDD">
              <w:rPr>
                <w:b w:val="0"/>
                <w:i/>
              </w:rPr>
              <w:t>otal (excluding gynaecological cytology)</w:t>
            </w:r>
          </w:p>
        </w:tc>
        <w:tc>
          <w:tcPr>
            <w:tcW w:w="1105" w:type="dxa"/>
          </w:tcPr>
          <w:p w14:paraId="42D18B0F" w14:textId="4E4298DD" w:rsidR="00C932DC" w:rsidRPr="00C932DC" w:rsidRDefault="00C932DC" w:rsidP="00C932DC">
            <w:pPr>
              <w:pStyle w:val="Tabletextboldleft"/>
              <w:spacing w:before="20" w:after="20"/>
              <w:jc w:val="right"/>
              <w:rPr>
                <w:b w:val="0"/>
                <w:i/>
              </w:rPr>
            </w:pPr>
            <w:r w:rsidRPr="00C932DC">
              <w:rPr>
                <w:b w:val="0"/>
                <w:i/>
                <w:color w:val="000000"/>
              </w:rPr>
              <w:t>$407,532</w:t>
            </w:r>
          </w:p>
        </w:tc>
        <w:tc>
          <w:tcPr>
            <w:tcW w:w="1106" w:type="dxa"/>
          </w:tcPr>
          <w:p w14:paraId="7BD08C12" w14:textId="53E1F89B" w:rsidR="00C932DC" w:rsidRPr="00C932DC" w:rsidRDefault="00C932DC" w:rsidP="00C932DC">
            <w:pPr>
              <w:pStyle w:val="Tabletextboldleft"/>
              <w:spacing w:before="20" w:after="20"/>
              <w:jc w:val="right"/>
              <w:rPr>
                <w:b w:val="0"/>
                <w:i/>
              </w:rPr>
            </w:pPr>
            <w:r w:rsidRPr="00C932DC">
              <w:rPr>
                <w:b w:val="0"/>
                <w:i/>
                <w:color w:val="000000"/>
              </w:rPr>
              <w:t>$422,126</w:t>
            </w:r>
          </w:p>
        </w:tc>
        <w:tc>
          <w:tcPr>
            <w:tcW w:w="1105" w:type="dxa"/>
          </w:tcPr>
          <w:p w14:paraId="0A9A95A3" w14:textId="098A0C6A" w:rsidR="00C932DC" w:rsidRPr="00C932DC" w:rsidRDefault="00C932DC" w:rsidP="00C932DC">
            <w:pPr>
              <w:pStyle w:val="Tabletextboldleft"/>
              <w:spacing w:before="20" w:after="20"/>
              <w:jc w:val="right"/>
              <w:rPr>
                <w:b w:val="0"/>
                <w:i/>
              </w:rPr>
            </w:pPr>
            <w:r w:rsidRPr="00C932DC">
              <w:rPr>
                <w:b w:val="0"/>
                <w:i/>
                <w:color w:val="000000"/>
              </w:rPr>
              <w:t>$436,719</w:t>
            </w:r>
          </w:p>
        </w:tc>
        <w:tc>
          <w:tcPr>
            <w:tcW w:w="1106" w:type="dxa"/>
          </w:tcPr>
          <w:p w14:paraId="676B54DF" w14:textId="0D657412" w:rsidR="00C932DC" w:rsidRPr="00C932DC" w:rsidRDefault="00C932DC" w:rsidP="00C932DC">
            <w:pPr>
              <w:pStyle w:val="Tabletextboldleft"/>
              <w:spacing w:before="20" w:after="20"/>
              <w:jc w:val="right"/>
              <w:rPr>
                <w:b w:val="0"/>
                <w:i/>
              </w:rPr>
            </w:pPr>
            <w:r w:rsidRPr="00C932DC">
              <w:rPr>
                <w:b w:val="0"/>
                <w:i/>
                <w:color w:val="000000"/>
              </w:rPr>
              <w:t>$451,313</w:t>
            </w:r>
          </w:p>
        </w:tc>
        <w:tc>
          <w:tcPr>
            <w:tcW w:w="1106" w:type="dxa"/>
          </w:tcPr>
          <w:p w14:paraId="1BA3D3DE" w14:textId="2F01998B" w:rsidR="00C932DC" w:rsidRPr="00C932DC" w:rsidRDefault="00C932DC" w:rsidP="00C932DC">
            <w:pPr>
              <w:pStyle w:val="Tabletextboldleft"/>
              <w:spacing w:before="20" w:after="20"/>
              <w:jc w:val="right"/>
              <w:rPr>
                <w:b w:val="0"/>
                <w:i/>
              </w:rPr>
            </w:pPr>
            <w:r w:rsidRPr="00C932DC">
              <w:rPr>
                <w:b w:val="0"/>
                <w:i/>
                <w:color w:val="000000"/>
              </w:rPr>
              <w:t>$465,907</w:t>
            </w:r>
          </w:p>
        </w:tc>
      </w:tr>
      <w:tr w:rsidR="00C932DC" w:rsidRPr="00F647C7" w14:paraId="3F3E9A36" w14:textId="77777777" w:rsidTr="00E61184">
        <w:trPr>
          <w:trHeight w:val="212"/>
        </w:trPr>
        <w:tc>
          <w:tcPr>
            <w:tcW w:w="2835" w:type="dxa"/>
          </w:tcPr>
          <w:p w14:paraId="63CAFFF7" w14:textId="77777777" w:rsidR="00C932DC" w:rsidRPr="00C26CDD" w:rsidRDefault="00C932DC" w:rsidP="00C932DC">
            <w:pPr>
              <w:pStyle w:val="Tabletextboldleft"/>
              <w:spacing w:before="20" w:after="20"/>
              <w:rPr>
                <w:b w:val="0"/>
                <w:i/>
              </w:rPr>
            </w:pPr>
            <w:r>
              <w:rPr>
                <w:b w:val="0"/>
                <w:i/>
              </w:rPr>
              <w:t>Sub-t</w:t>
            </w:r>
            <w:r w:rsidRPr="00C26CDD">
              <w:rPr>
                <w:b w:val="0"/>
                <w:i/>
              </w:rPr>
              <w:t>otal (including all cytology)</w:t>
            </w:r>
          </w:p>
        </w:tc>
        <w:tc>
          <w:tcPr>
            <w:tcW w:w="1105" w:type="dxa"/>
          </w:tcPr>
          <w:p w14:paraId="7DCA85A9" w14:textId="2F5AFA37" w:rsidR="00C932DC" w:rsidRPr="00C932DC" w:rsidRDefault="00C932DC" w:rsidP="00C932DC">
            <w:pPr>
              <w:pStyle w:val="Tabletextboldleft"/>
              <w:spacing w:before="20" w:after="20"/>
              <w:jc w:val="right"/>
              <w:rPr>
                <w:b w:val="0"/>
                <w:i/>
              </w:rPr>
            </w:pPr>
            <w:r w:rsidRPr="00C932DC">
              <w:rPr>
                <w:b w:val="0"/>
                <w:i/>
                <w:color w:val="000000"/>
              </w:rPr>
              <w:t>$573,643</w:t>
            </w:r>
          </w:p>
        </w:tc>
        <w:tc>
          <w:tcPr>
            <w:tcW w:w="1106" w:type="dxa"/>
          </w:tcPr>
          <w:p w14:paraId="5D76A9EA" w14:textId="6F0F93B0" w:rsidR="00C932DC" w:rsidRPr="00C932DC" w:rsidRDefault="00C932DC" w:rsidP="00C932DC">
            <w:pPr>
              <w:pStyle w:val="Tabletextboldleft"/>
              <w:spacing w:before="20" w:after="20"/>
              <w:jc w:val="right"/>
              <w:rPr>
                <w:b w:val="0"/>
                <w:i/>
              </w:rPr>
            </w:pPr>
            <w:r w:rsidRPr="00C932DC">
              <w:rPr>
                <w:b w:val="0"/>
                <w:i/>
                <w:color w:val="000000"/>
              </w:rPr>
              <w:t>$589,619</w:t>
            </w:r>
          </w:p>
        </w:tc>
        <w:tc>
          <w:tcPr>
            <w:tcW w:w="1105" w:type="dxa"/>
          </w:tcPr>
          <w:p w14:paraId="2C616A39" w14:textId="2D7BE331" w:rsidR="00C932DC" w:rsidRPr="00C932DC" w:rsidRDefault="00C932DC" w:rsidP="00C932DC">
            <w:pPr>
              <w:pStyle w:val="Tabletextboldleft"/>
              <w:spacing w:before="20" w:after="20"/>
              <w:jc w:val="right"/>
              <w:rPr>
                <w:b w:val="0"/>
                <w:i/>
              </w:rPr>
            </w:pPr>
            <w:r w:rsidRPr="00C932DC">
              <w:rPr>
                <w:b w:val="0"/>
                <w:i/>
                <w:color w:val="000000"/>
              </w:rPr>
              <w:t>$605,596</w:t>
            </w:r>
          </w:p>
        </w:tc>
        <w:tc>
          <w:tcPr>
            <w:tcW w:w="1106" w:type="dxa"/>
          </w:tcPr>
          <w:p w14:paraId="3034DBFC" w14:textId="79F3D4E1" w:rsidR="00C932DC" w:rsidRPr="00C932DC" w:rsidRDefault="00C932DC" w:rsidP="00C932DC">
            <w:pPr>
              <w:pStyle w:val="Tabletextboldleft"/>
              <w:spacing w:before="20" w:after="20"/>
              <w:jc w:val="right"/>
              <w:rPr>
                <w:b w:val="0"/>
                <w:i/>
              </w:rPr>
            </w:pPr>
            <w:r w:rsidRPr="00C932DC">
              <w:rPr>
                <w:b w:val="0"/>
                <w:i/>
                <w:color w:val="000000"/>
              </w:rPr>
              <w:t>$621,573</w:t>
            </w:r>
          </w:p>
        </w:tc>
        <w:tc>
          <w:tcPr>
            <w:tcW w:w="1106" w:type="dxa"/>
          </w:tcPr>
          <w:p w14:paraId="76E80CC3" w14:textId="56692AFD" w:rsidR="00C932DC" w:rsidRPr="00C932DC" w:rsidRDefault="00C932DC" w:rsidP="00C932DC">
            <w:pPr>
              <w:pStyle w:val="Tabletextboldleft"/>
              <w:spacing w:before="20" w:after="20"/>
              <w:jc w:val="right"/>
              <w:rPr>
                <w:b w:val="0"/>
                <w:i/>
              </w:rPr>
            </w:pPr>
            <w:r w:rsidRPr="00C932DC">
              <w:rPr>
                <w:b w:val="0"/>
                <w:i/>
                <w:color w:val="000000"/>
              </w:rPr>
              <w:t>$637,550</w:t>
            </w:r>
          </w:p>
        </w:tc>
      </w:tr>
      <w:tr w:rsidR="00C932DC" w:rsidRPr="00F647C7" w14:paraId="390A7822" w14:textId="77777777" w:rsidTr="00E61184">
        <w:trPr>
          <w:trHeight w:val="212"/>
        </w:trPr>
        <w:tc>
          <w:tcPr>
            <w:tcW w:w="2835" w:type="dxa"/>
            <w:shd w:val="clear" w:color="auto" w:fill="D0CECE" w:themeFill="background2" w:themeFillShade="E6"/>
          </w:tcPr>
          <w:p w14:paraId="5FAEEFBE" w14:textId="77777777" w:rsidR="00C932DC" w:rsidRDefault="00C932DC" w:rsidP="00C932DC">
            <w:pPr>
              <w:pStyle w:val="Tabletextboldleft"/>
              <w:spacing w:before="20" w:after="20"/>
            </w:pPr>
            <w:r w:rsidRPr="00F411CD">
              <w:t xml:space="preserve">TOTAL </w:t>
            </w:r>
          </w:p>
          <w:p w14:paraId="55303BF7" w14:textId="77777777" w:rsidR="00C932DC" w:rsidRPr="009D63D8" w:rsidRDefault="00C932DC" w:rsidP="00C932DC">
            <w:pPr>
              <w:pStyle w:val="Tabletextboldleft"/>
              <w:spacing w:before="20" w:after="20"/>
              <w:rPr>
                <w:b w:val="0"/>
              </w:rPr>
            </w:pPr>
            <w:r w:rsidRPr="009D63D8">
              <w:rPr>
                <w:b w:val="0"/>
              </w:rPr>
              <w:t>(</w:t>
            </w:r>
            <w:r w:rsidRPr="009D63D8">
              <w:rPr>
                <w:b w:val="0"/>
                <w:i/>
              </w:rPr>
              <w:t>S1</w:t>
            </w:r>
            <w:r w:rsidRPr="009D63D8">
              <w:rPr>
                <w:b w:val="0"/>
              </w:rPr>
              <w:t xml:space="preserve"> and S</w:t>
            </w:r>
            <w:r w:rsidRPr="009D63D8">
              <w:rPr>
                <w:b w:val="0"/>
                <w:i/>
              </w:rPr>
              <w:t>2</w:t>
            </w:r>
            <w:r w:rsidRPr="009D63D8">
              <w:rPr>
                <w:b w:val="0"/>
              </w:rPr>
              <w:t xml:space="preserve"> – excluding gynaecological cytology)</w:t>
            </w:r>
          </w:p>
        </w:tc>
        <w:tc>
          <w:tcPr>
            <w:tcW w:w="1105" w:type="dxa"/>
            <w:shd w:val="clear" w:color="auto" w:fill="D0CECE" w:themeFill="background2" w:themeFillShade="E6"/>
          </w:tcPr>
          <w:p w14:paraId="36795ACF" w14:textId="3CEF2680" w:rsidR="00C932DC" w:rsidRPr="00C932DC" w:rsidRDefault="00C932DC" w:rsidP="00C932DC">
            <w:pPr>
              <w:pStyle w:val="Tabletextboldleft"/>
              <w:spacing w:before="20" w:after="20"/>
              <w:jc w:val="right"/>
            </w:pPr>
            <w:r w:rsidRPr="00C932DC">
              <w:rPr>
                <w:color w:val="000000"/>
              </w:rPr>
              <w:t>$1,743,725</w:t>
            </w:r>
          </w:p>
        </w:tc>
        <w:tc>
          <w:tcPr>
            <w:tcW w:w="1106" w:type="dxa"/>
            <w:shd w:val="clear" w:color="auto" w:fill="D0CECE" w:themeFill="background2" w:themeFillShade="E6"/>
          </w:tcPr>
          <w:p w14:paraId="689D7623" w14:textId="77553E0F" w:rsidR="00C932DC" w:rsidRPr="00C932DC" w:rsidRDefault="00C932DC" w:rsidP="00C932DC">
            <w:pPr>
              <w:pStyle w:val="Tabletextboldleft"/>
              <w:spacing w:before="20" w:after="20"/>
              <w:jc w:val="right"/>
            </w:pPr>
            <w:r w:rsidRPr="00C932DC">
              <w:rPr>
                <w:color w:val="000000"/>
              </w:rPr>
              <w:t>$1,806,478</w:t>
            </w:r>
          </w:p>
        </w:tc>
        <w:tc>
          <w:tcPr>
            <w:tcW w:w="1105" w:type="dxa"/>
            <w:shd w:val="clear" w:color="auto" w:fill="D0CECE" w:themeFill="background2" w:themeFillShade="E6"/>
          </w:tcPr>
          <w:p w14:paraId="7BCA0CBB" w14:textId="1586CBCD" w:rsidR="00C932DC" w:rsidRPr="00C932DC" w:rsidRDefault="00C932DC" w:rsidP="00C932DC">
            <w:pPr>
              <w:pStyle w:val="Tabletextboldleft"/>
              <w:spacing w:before="20" w:after="20"/>
              <w:jc w:val="right"/>
            </w:pPr>
            <w:r w:rsidRPr="00C932DC">
              <w:rPr>
                <w:color w:val="000000"/>
              </w:rPr>
              <w:t>$1,869,232</w:t>
            </w:r>
          </w:p>
        </w:tc>
        <w:tc>
          <w:tcPr>
            <w:tcW w:w="1106" w:type="dxa"/>
            <w:shd w:val="clear" w:color="auto" w:fill="D0CECE" w:themeFill="background2" w:themeFillShade="E6"/>
          </w:tcPr>
          <w:p w14:paraId="115750FB" w14:textId="4BB89C02" w:rsidR="00C932DC" w:rsidRPr="00C932DC" w:rsidRDefault="00C932DC" w:rsidP="00C932DC">
            <w:pPr>
              <w:pStyle w:val="Tabletextboldleft"/>
              <w:spacing w:before="20" w:after="20"/>
              <w:jc w:val="right"/>
            </w:pPr>
            <w:r w:rsidRPr="00C932DC">
              <w:rPr>
                <w:color w:val="000000"/>
              </w:rPr>
              <w:t>$1,931,986</w:t>
            </w:r>
          </w:p>
        </w:tc>
        <w:tc>
          <w:tcPr>
            <w:tcW w:w="1106" w:type="dxa"/>
            <w:shd w:val="clear" w:color="auto" w:fill="D0CECE" w:themeFill="background2" w:themeFillShade="E6"/>
          </w:tcPr>
          <w:p w14:paraId="5DCA6827" w14:textId="07D97D43" w:rsidR="00C932DC" w:rsidRPr="00C932DC" w:rsidRDefault="00C932DC" w:rsidP="00C932DC">
            <w:pPr>
              <w:pStyle w:val="Tabletextboldleft"/>
              <w:spacing w:before="20" w:after="20"/>
              <w:jc w:val="right"/>
            </w:pPr>
            <w:r w:rsidRPr="00C932DC">
              <w:rPr>
                <w:color w:val="000000"/>
              </w:rPr>
              <w:t>$1,994,740</w:t>
            </w:r>
          </w:p>
        </w:tc>
      </w:tr>
      <w:tr w:rsidR="00C932DC" w:rsidRPr="00F647C7" w14:paraId="72CB5F24" w14:textId="77777777" w:rsidTr="00E61184">
        <w:trPr>
          <w:trHeight w:val="212"/>
        </w:trPr>
        <w:tc>
          <w:tcPr>
            <w:tcW w:w="2835" w:type="dxa"/>
            <w:shd w:val="clear" w:color="auto" w:fill="D0CECE" w:themeFill="background2" w:themeFillShade="E6"/>
          </w:tcPr>
          <w:p w14:paraId="61AF93A1" w14:textId="77777777" w:rsidR="00C932DC" w:rsidRDefault="00C932DC" w:rsidP="00C932DC">
            <w:pPr>
              <w:pStyle w:val="Tabletextboldleft"/>
              <w:spacing w:before="20" w:after="20"/>
            </w:pPr>
            <w:r w:rsidRPr="00F411CD">
              <w:t xml:space="preserve">TOTAL </w:t>
            </w:r>
          </w:p>
          <w:p w14:paraId="27BF7B2E" w14:textId="77777777" w:rsidR="00C932DC" w:rsidRPr="009D63D8" w:rsidRDefault="00C932DC" w:rsidP="00C932DC">
            <w:pPr>
              <w:pStyle w:val="Tabletextboldleft"/>
              <w:spacing w:before="20" w:after="20"/>
              <w:rPr>
                <w:b w:val="0"/>
              </w:rPr>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1105" w:type="dxa"/>
            <w:shd w:val="clear" w:color="auto" w:fill="D0CECE" w:themeFill="background2" w:themeFillShade="E6"/>
          </w:tcPr>
          <w:p w14:paraId="77E55891" w14:textId="516367C5" w:rsidR="00C932DC" w:rsidRPr="00C932DC" w:rsidRDefault="00C932DC" w:rsidP="00C932DC">
            <w:pPr>
              <w:pStyle w:val="Tabletextboldleft"/>
              <w:spacing w:before="20" w:after="20"/>
              <w:jc w:val="right"/>
            </w:pPr>
            <w:r w:rsidRPr="00C932DC">
              <w:rPr>
                <w:color w:val="000000"/>
              </w:rPr>
              <w:t>$2,154,172</w:t>
            </w:r>
          </w:p>
        </w:tc>
        <w:tc>
          <w:tcPr>
            <w:tcW w:w="1106" w:type="dxa"/>
            <w:shd w:val="clear" w:color="auto" w:fill="D0CECE" w:themeFill="background2" w:themeFillShade="E6"/>
          </w:tcPr>
          <w:p w14:paraId="3483B01B" w14:textId="65AF1517" w:rsidR="00C932DC" w:rsidRPr="00C932DC" w:rsidRDefault="00C932DC" w:rsidP="00C932DC">
            <w:pPr>
              <w:pStyle w:val="Tabletextboldleft"/>
              <w:spacing w:before="20" w:after="20"/>
              <w:jc w:val="right"/>
            </w:pPr>
            <w:r w:rsidRPr="00C932DC">
              <w:rPr>
                <w:color w:val="000000"/>
              </w:rPr>
              <w:t>$2,220,343</w:t>
            </w:r>
          </w:p>
        </w:tc>
        <w:tc>
          <w:tcPr>
            <w:tcW w:w="1105" w:type="dxa"/>
            <w:shd w:val="clear" w:color="auto" w:fill="D0CECE" w:themeFill="background2" w:themeFillShade="E6"/>
          </w:tcPr>
          <w:p w14:paraId="3B07D858" w14:textId="23063D62" w:rsidR="00C932DC" w:rsidRPr="00C932DC" w:rsidRDefault="00C932DC" w:rsidP="00C932DC">
            <w:pPr>
              <w:pStyle w:val="Tabletextboldleft"/>
              <w:spacing w:before="20" w:after="20"/>
              <w:jc w:val="right"/>
            </w:pPr>
            <w:r w:rsidRPr="00C932DC">
              <w:rPr>
                <w:color w:val="000000"/>
              </w:rPr>
              <w:t>$2,286,515</w:t>
            </w:r>
          </w:p>
        </w:tc>
        <w:tc>
          <w:tcPr>
            <w:tcW w:w="1106" w:type="dxa"/>
            <w:shd w:val="clear" w:color="auto" w:fill="D0CECE" w:themeFill="background2" w:themeFillShade="E6"/>
          </w:tcPr>
          <w:p w14:paraId="37038E52" w14:textId="27C831B5" w:rsidR="00C932DC" w:rsidRPr="00C932DC" w:rsidRDefault="00C932DC" w:rsidP="00C932DC">
            <w:pPr>
              <w:pStyle w:val="Tabletextboldleft"/>
              <w:spacing w:before="20" w:after="20"/>
              <w:jc w:val="right"/>
            </w:pPr>
            <w:r w:rsidRPr="00C932DC">
              <w:rPr>
                <w:color w:val="000000"/>
              </w:rPr>
              <w:t>$2,352,688</w:t>
            </w:r>
          </w:p>
        </w:tc>
        <w:tc>
          <w:tcPr>
            <w:tcW w:w="1106" w:type="dxa"/>
            <w:shd w:val="clear" w:color="auto" w:fill="D0CECE" w:themeFill="background2" w:themeFillShade="E6"/>
          </w:tcPr>
          <w:p w14:paraId="1E77BE47" w14:textId="7DC414DB" w:rsidR="00C932DC" w:rsidRPr="00C932DC" w:rsidRDefault="00C932DC" w:rsidP="00C932DC">
            <w:pPr>
              <w:pStyle w:val="Tabletextboldleft"/>
              <w:spacing w:before="20" w:after="20"/>
              <w:jc w:val="right"/>
            </w:pPr>
            <w:r w:rsidRPr="00C932DC">
              <w:rPr>
                <w:color w:val="000000"/>
              </w:rPr>
              <w:t>$2,418,860</w:t>
            </w:r>
          </w:p>
        </w:tc>
      </w:tr>
    </w:tbl>
    <w:p w14:paraId="7F0DCE80" w14:textId="77777777" w:rsidR="00B51828" w:rsidRDefault="00B51828" w:rsidP="002101D2">
      <w:pPr>
        <w:spacing w:after="0"/>
        <w:ind w:left="0" w:firstLine="720"/>
        <w:rPr>
          <w:rFonts w:ascii="Arial Narrow" w:hAnsi="Arial Narrow"/>
          <w:sz w:val="18"/>
          <w:szCs w:val="18"/>
        </w:rPr>
      </w:pPr>
      <w:r>
        <w:rPr>
          <w:rFonts w:ascii="Arial Narrow" w:hAnsi="Arial Narrow"/>
          <w:sz w:val="18"/>
          <w:szCs w:val="18"/>
        </w:rPr>
        <w:t>Source: Excel Section E workbook &lt;MBS costs (associated items)&gt;</w:t>
      </w:r>
      <w:r w:rsidRPr="00FA76DF">
        <w:rPr>
          <w:rFonts w:ascii="Arial Narrow" w:hAnsi="Arial Narrow"/>
          <w:sz w:val="18"/>
          <w:szCs w:val="18"/>
        </w:rPr>
        <w:t xml:space="preserve"> </w:t>
      </w:r>
      <w:r>
        <w:rPr>
          <w:rFonts w:ascii="Arial Narrow" w:hAnsi="Arial Narrow"/>
          <w:sz w:val="18"/>
          <w:szCs w:val="18"/>
        </w:rPr>
        <w:t>, &lt;Total MBS costs&gt;</w:t>
      </w:r>
    </w:p>
    <w:p w14:paraId="4FB81064" w14:textId="77777777" w:rsidR="00B51828" w:rsidRPr="001D2CEB" w:rsidRDefault="00B51828" w:rsidP="002101D2">
      <w:pPr>
        <w:spacing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6359AAF6" w14:textId="77777777" w:rsidR="00B51828" w:rsidRPr="00F50E45" w:rsidRDefault="00B51828" w:rsidP="002101D2">
      <w:pPr>
        <w:spacing w:after="0"/>
        <w:ind w:left="0" w:firstLine="720"/>
        <w:rPr>
          <w:rFonts w:ascii="Arial Narrow" w:hAnsi="Arial Narrow"/>
          <w:sz w:val="18"/>
          <w:szCs w:val="18"/>
        </w:rPr>
      </w:pPr>
      <w:r w:rsidRPr="00F50E45">
        <w:rPr>
          <w:rFonts w:ascii="Arial Narrow" w:hAnsi="Arial Narrow"/>
          <w:sz w:val="18"/>
          <w:szCs w:val="18"/>
          <w:vertAlign w:val="superscript"/>
        </w:rPr>
        <w:t>a</w:t>
      </w:r>
      <w:r w:rsidRPr="00F50E45">
        <w:rPr>
          <w:rFonts w:ascii="Arial Narrow" w:hAnsi="Arial Narrow"/>
          <w:sz w:val="18"/>
          <w:szCs w:val="18"/>
        </w:rPr>
        <w:t xml:space="preserve"> Includes bone marrow items</w:t>
      </w:r>
    </w:p>
    <w:p w14:paraId="02008905" w14:textId="77777777" w:rsidR="00B51828" w:rsidRPr="00F50E45" w:rsidRDefault="00B51828" w:rsidP="002101D2">
      <w:pPr>
        <w:spacing w:after="0"/>
        <w:ind w:left="0" w:firstLine="720"/>
        <w:rPr>
          <w:rFonts w:ascii="Arial Narrow" w:hAnsi="Arial Narrow"/>
          <w:b/>
          <w:sz w:val="18"/>
          <w:szCs w:val="18"/>
        </w:rPr>
      </w:pPr>
      <w:r w:rsidRPr="00F50E45">
        <w:rPr>
          <w:rFonts w:ascii="Arial Narrow" w:hAnsi="Arial Narrow"/>
          <w:sz w:val="18"/>
          <w:szCs w:val="18"/>
          <w:vertAlign w:val="superscript"/>
        </w:rPr>
        <w:t>b</w:t>
      </w:r>
      <w:r w:rsidRPr="00F50E45">
        <w:rPr>
          <w:rFonts w:ascii="Arial Narrow" w:hAnsi="Arial Narrow"/>
          <w:sz w:val="18"/>
          <w:szCs w:val="18"/>
        </w:rPr>
        <w:t xml:space="preserve"> MBS item 73940</w:t>
      </w:r>
    </w:p>
    <w:p w14:paraId="69953CA3" w14:textId="77777777" w:rsidR="00B51828" w:rsidRDefault="00B51828" w:rsidP="002101D2">
      <w:pPr>
        <w:spacing w:before="20"/>
        <w:ind w:left="0" w:firstLine="720"/>
        <w:rPr>
          <w:rFonts w:ascii="Arial Narrow" w:hAnsi="Arial Narrow"/>
          <w:sz w:val="18"/>
          <w:szCs w:val="18"/>
        </w:rPr>
      </w:pPr>
      <w:r w:rsidRPr="00F50E45">
        <w:rPr>
          <w:rFonts w:ascii="Arial Narrow" w:hAnsi="Arial Narrow"/>
          <w:b/>
          <w:sz w:val="18"/>
          <w:szCs w:val="18"/>
          <w:vertAlign w:val="superscript"/>
        </w:rPr>
        <w:t>c</w:t>
      </w:r>
      <w:r w:rsidRPr="00F50E45">
        <w:rPr>
          <w:rFonts w:ascii="Arial Narrow" w:hAnsi="Arial Narrow"/>
          <w:b/>
          <w:sz w:val="18"/>
          <w:szCs w:val="18"/>
        </w:rPr>
        <w:t xml:space="preserve"> </w:t>
      </w:r>
      <w:r w:rsidRPr="00F50E45">
        <w:rPr>
          <w:rFonts w:ascii="Arial Narrow" w:hAnsi="Arial Narrow"/>
          <w:sz w:val="18"/>
          <w:szCs w:val="18"/>
        </w:rPr>
        <w:t>MBS item 74996</w:t>
      </w:r>
    </w:p>
    <w:p w14:paraId="1D441F6C" w14:textId="77777777" w:rsidR="00B51828" w:rsidRDefault="00B51828" w:rsidP="00B51828">
      <w:pPr>
        <w:pStyle w:val="Heading3"/>
        <w:numPr>
          <w:ilvl w:val="2"/>
          <w:numId w:val="1"/>
        </w:numPr>
      </w:pPr>
      <w:r>
        <w:lastRenderedPageBreak/>
        <w:t>Change in use and cost of other services on the MBS</w:t>
      </w:r>
    </w:p>
    <w:p w14:paraId="5976336C" w14:textId="77777777" w:rsidR="00B51828" w:rsidRDefault="00B51828" w:rsidP="002101D2">
      <w:r>
        <w:t xml:space="preserve">The financial analysis does not attempt to capture the use and cost of MBS services that are downstream of the provision of second, expert opinion. As was the case in the economic evaluation (see Section </w:t>
      </w:r>
      <w:r>
        <w:fldChar w:fldCharType="begin"/>
      </w:r>
      <w:r>
        <w:instrText xml:space="preserve"> REF _Ref394999310 \w \h </w:instrText>
      </w:r>
      <w:r>
        <w:fldChar w:fldCharType="separate"/>
      </w:r>
      <w:r w:rsidR="0044620B">
        <w:t>D.3.1</w:t>
      </w:r>
      <w:r>
        <w:fldChar w:fldCharType="end"/>
      </w:r>
      <w:r>
        <w:t xml:space="preserve">), the financial analysis only captures costs related to attaining a second, expert opinion. The general nature of the requested listing and the paucity of data imposes limitations on the ability to consider both the cost-effectiveness and overall financial impact of the proposed listing beyond the point of a definitive diagnosis. </w:t>
      </w:r>
    </w:p>
    <w:p w14:paraId="269F9120" w14:textId="77777777" w:rsidR="00B51828" w:rsidRPr="00373FC6" w:rsidRDefault="00B51828" w:rsidP="002101D2">
      <w:r>
        <w:t xml:space="preserve">In terms of downstream resource use, second, expert opinions may result in a subsequent increase or decrease in the use of other services, such as those associated with biopsy, imaging, treatment and/or monitoring. As discussed in Section A.2, where second, expert opinions </w:t>
      </w:r>
      <w:r>
        <w:rPr>
          <w:szCs w:val="24"/>
        </w:rPr>
        <w:t>are requested due to pathologist or clinician uncertainty or a clinical need for diagnostic refinement, input is actively sought to arrive at a definitive diagnosis. In such cases, treatment will often be postponed until the expert opinion is received. Where the expert pathologist is able to confirm a diagnosis that was in doubt by the initial pathologist or clinician, the expert may also add significant information that could support either the initiation or withholding of specific therapy. In cases where the expert pathologist makes a major change to the submitted diagnosis, there may be an immediate alteration in the choice and timing of therapy, leading to reduced costs in terms of quality of life and effective utilisation of resources.</w:t>
      </w:r>
    </w:p>
    <w:p w14:paraId="528F38C3" w14:textId="77777777" w:rsidR="00B51828" w:rsidRPr="00420268" w:rsidRDefault="00B51828" w:rsidP="002101D2">
      <w:pPr>
        <w:spacing w:after="120"/>
        <w:rPr>
          <w:szCs w:val="24"/>
        </w:rPr>
      </w:pPr>
      <w:r>
        <w:rPr>
          <w:szCs w:val="24"/>
        </w:rPr>
        <w:t xml:space="preserve">Under the current funding scenario, where second, expert opinions are sometimes not sought due to the cost, lack of funding, and perceived impost on colleagues, this can lead to a sub-optimal diagnosis. Thus, the proposed MBS service </w:t>
      </w:r>
      <w:r w:rsidRPr="00F22C42">
        <w:rPr>
          <w:szCs w:val="24"/>
        </w:rPr>
        <w:t>has the potential to positively impact on patient care via</w:t>
      </w:r>
      <w:r>
        <w:rPr>
          <w:szCs w:val="24"/>
        </w:rPr>
        <w:t xml:space="preserve"> </w:t>
      </w:r>
      <w:r w:rsidRPr="00420268">
        <w:rPr>
          <w:szCs w:val="24"/>
        </w:rPr>
        <w:t>the more accurate classification of disease and thus more accurate planning and selection of therapy</w:t>
      </w:r>
      <w:r>
        <w:rPr>
          <w:szCs w:val="24"/>
        </w:rPr>
        <w:t>,</w:t>
      </w:r>
      <w:r w:rsidRPr="00420268">
        <w:rPr>
          <w:szCs w:val="24"/>
        </w:rPr>
        <w:t xml:space="preserve"> and</w:t>
      </w:r>
      <w:r>
        <w:rPr>
          <w:szCs w:val="24"/>
        </w:rPr>
        <w:t xml:space="preserve"> </w:t>
      </w:r>
      <w:r w:rsidRPr="00420268">
        <w:rPr>
          <w:szCs w:val="24"/>
        </w:rPr>
        <w:t>more rapid diagnosis of rare and diagnostically challenging cases.</w:t>
      </w:r>
    </w:p>
    <w:p w14:paraId="5B817D42" w14:textId="77777777" w:rsidR="00B51828" w:rsidRDefault="00B51828" w:rsidP="00B51828">
      <w:pPr>
        <w:pStyle w:val="Heading2"/>
        <w:keepLines w:val="0"/>
        <w:numPr>
          <w:ilvl w:val="1"/>
          <w:numId w:val="1"/>
        </w:numPr>
      </w:pPr>
      <w:bookmarkStart w:id="296" w:name="_Toc395296234"/>
      <w:bookmarkStart w:id="297" w:name="_Toc395355955"/>
      <w:bookmarkStart w:id="298" w:name="_Toc395375242"/>
      <w:bookmarkStart w:id="299" w:name="_Toc395389857"/>
      <w:bookmarkStart w:id="300" w:name="_Toc395296236"/>
      <w:bookmarkStart w:id="301" w:name="_Toc395355957"/>
      <w:bookmarkStart w:id="302" w:name="_Toc395375244"/>
      <w:bookmarkStart w:id="303" w:name="_Toc395389859"/>
      <w:bookmarkStart w:id="304" w:name="_Toc395296475"/>
      <w:bookmarkStart w:id="305" w:name="_Toc395356196"/>
      <w:bookmarkStart w:id="306" w:name="_Toc395375483"/>
      <w:bookmarkStart w:id="307" w:name="_Toc395390098"/>
      <w:bookmarkStart w:id="308" w:name="_Toc395296477"/>
      <w:bookmarkStart w:id="309" w:name="_Toc395356198"/>
      <w:bookmarkStart w:id="310" w:name="_Toc395375485"/>
      <w:bookmarkStart w:id="311" w:name="_Toc395390100"/>
      <w:bookmarkStart w:id="312" w:name="_Toc395296479"/>
      <w:bookmarkStart w:id="313" w:name="_Toc395356200"/>
      <w:bookmarkStart w:id="314" w:name="_Toc395375487"/>
      <w:bookmarkStart w:id="315" w:name="_Toc395390102"/>
      <w:bookmarkStart w:id="316" w:name="_Toc395296480"/>
      <w:bookmarkStart w:id="317" w:name="_Toc395356201"/>
      <w:bookmarkStart w:id="318" w:name="_Toc395375488"/>
      <w:bookmarkStart w:id="319" w:name="_Toc395390103"/>
      <w:bookmarkStart w:id="320" w:name="_Toc395296481"/>
      <w:bookmarkStart w:id="321" w:name="_Toc395356202"/>
      <w:bookmarkStart w:id="322" w:name="_Toc395375489"/>
      <w:bookmarkStart w:id="323" w:name="_Toc395390104"/>
      <w:bookmarkStart w:id="324" w:name="_Toc395296720"/>
      <w:bookmarkStart w:id="325" w:name="_Toc395356441"/>
      <w:bookmarkStart w:id="326" w:name="_Toc395375728"/>
      <w:bookmarkStart w:id="327" w:name="_Toc395390343"/>
      <w:bookmarkStart w:id="328" w:name="_Toc395296722"/>
      <w:bookmarkStart w:id="329" w:name="_Toc395356443"/>
      <w:bookmarkStart w:id="330" w:name="_Toc395375730"/>
      <w:bookmarkStart w:id="331" w:name="_Toc395390345"/>
      <w:bookmarkStart w:id="332" w:name="_Toc395296724"/>
      <w:bookmarkStart w:id="333" w:name="_Toc395356445"/>
      <w:bookmarkStart w:id="334" w:name="_Toc395375732"/>
      <w:bookmarkStart w:id="335" w:name="_Toc395390347"/>
      <w:bookmarkStart w:id="336" w:name="_Toc395296725"/>
      <w:bookmarkStart w:id="337" w:name="_Toc395356446"/>
      <w:bookmarkStart w:id="338" w:name="_Toc395375733"/>
      <w:bookmarkStart w:id="339" w:name="_Toc395390348"/>
      <w:bookmarkStart w:id="340" w:name="_Toc395296726"/>
      <w:bookmarkStart w:id="341" w:name="_Toc395356447"/>
      <w:bookmarkStart w:id="342" w:name="_Toc395375734"/>
      <w:bookmarkStart w:id="343" w:name="_Toc395390349"/>
      <w:bookmarkStart w:id="344" w:name="_Toc395296727"/>
      <w:bookmarkStart w:id="345" w:name="_Toc395356448"/>
      <w:bookmarkStart w:id="346" w:name="_Toc395375735"/>
      <w:bookmarkStart w:id="347" w:name="_Toc395390350"/>
      <w:bookmarkStart w:id="348" w:name="_Toc395296728"/>
      <w:bookmarkStart w:id="349" w:name="_Toc395356449"/>
      <w:bookmarkStart w:id="350" w:name="_Toc395375736"/>
      <w:bookmarkStart w:id="351" w:name="_Toc395390351"/>
      <w:bookmarkStart w:id="352" w:name="_Toc395296729"/>
      <w:bookmarkStart w:id="353" w:name="_Toc395356450"/>
      <w:bookmarkStart w:id="354" w:name="_Toc395375737"/>
      <w:bookmarkStart w:id="355" w:name="_Toc395390352"/>
      <w:bookmarkStart w:id="356" w:name="_Toc396211714"/>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Estimated financial implications on the MBS</w:t>
      </w:r>
      <w:bookmarkEnd w:id="356"/>
    </w:p>
    <w:p w14:paraId="11AF46D0" w14:textId="77777777" w:rsidR="00B51828" w:rsidRDefault="00B51828" w:rsidP="002101D2">
      <w:r>
        <w:fldChar w:fldCharType="begin"/>
      </w:r>
      <w:r>
        <w:instrText xml:space="preserve"> REF _Ref394934801 \h </w:instrText>
      </w:r>
      <w:r>
        <w:fldChar w:fldCharType="separate"/>
      </w:r>
      <w:r w:rsidR="0044620B">
        <w:t xml:space="preserve">Table </w:t>
      </w:r>
      <w:r w:rsidR="0044620B">
        <w:rPr>
          <w:noProof/>
        </w:rPr>
        <w:t>E.4</w:t>
      </w:r>
      <w:r w:rsidR="0044620B">
        <w:noBreakHyphen/>
      </w:r>
      <w:r w:rsidR="0044620B">
        <w:rPr>
          <w:noProof/>
        </w:rPr>
        <w:t>1</w:t>
      </w:r>
      <w:r>
        <w:fldChar w:fldCharType="end"/>
      </w:r>
      <w:r>
        <w:t xml:space="preserve"> presents a summary of the total aggregated cost to the MBS of the proposed listing for second, expert opinion including associated costs related to ancillary tests, specimen referral and bulk billing.  </w:t>
      </w:r>
    </w:p>
    <w:p w14:paraId="0C3C5A61" w14:textId="77777777" w:rsidR="00B51828" w:rsidRDefault="00B51828" w:rsidP="002101D2">
      <w:pPr>
        <w:pStyle w:val="Caption"/>
      </w:pPr>
      <w:bookmarkStart w:id="357" w:name="_Ref394934801"/>
      <w:bookmarkStart w:id="358" w:name="_Toc396211784"/>
      <w:r>
        <w:lastRenderedPageBreak/>
        <w:t xml:space="preserve">Table </w:t>
      </w:r>
      <w:fldSimple w:instr=" STYLEREF 2 \s ">
        <w:r w:rsidR="0044620B">
          <w:rPr>
            <w:noProof/>
          </w:rPr>
          <w:t>E.4</w:t>
        </w:r>
      </w:fldSimple>
      <w:r>
        <w:noBreakHyphen/>
      </w:r>
      <w:fldSimple w:instr=" SEQ Table \* ARABIC \s 2 ">
        <w:r w:rsidR="0044620B">
          <w:rPr>
            <w:noProof/>
          </w:rPr>
          <w:t>1</w:t>
        </w:r>
      </w:fldSimple>
      <w:bookmarkEnd w:id="357"/>
      <w:r>
        <w:tab/>
        <w:t>Estimated total cost to the MBS of second, expert opinion and associated services, over the first five years of the proposed MBS listing</w:t>
      </w:r>
      <w:bookmarkEnd w:id="358"/>
    </w:p>
    <w:tbl>
      <w:tblPr>
        <w:tblStyle w:val="TableGrid"/>
        <w:tblW w:w="8363" w:type="dxa"/>
        <w:tblInd w:w="704" w:type="dxa"/>
        <w:tblLayout w:type="fixed"/>
        <w:tblLook w:val="04A0" w:firstRow="1" w:lastRow="0" w:firstColumn="1" w:lastColumn="0" w:noHBand="0" w:noVBand="1"/>
        <w:tblCaption w:val="Total cost to the MBS of second, expert opinion and associated services, over the first five years of the proposed MBS listing"/>
        <w:tblDescription w:val="The estimated cost to the MBS for the second, expert opinion items and associated services, with sub-totals for Scenario 1 and Scenario 2 cases."/>
      </w:tblPr>
      <w:tblGrid>
        <w:gridCol w:w="2552"/>
        <w:gridCol w:w="1162"/>
        <w:gridCol w:w="1162"/>
        <w:gridCol w:w="1162"/>
        <w:gridCol w:w="1162"/>
        <w:gridCol w:w="1163"/>
      </w:tblGrid>
      <w:tr w:rsidR="00B51828" w14:paraId="4129AD16" w14:textId="77777777" w:rsidTr="00E61184">
        <w:trPr>
          <w:trHeight w:val="212"/>
          <w:tblHeader/>
        </w:trPr>
        <w:tc>
          <w:tcPr>
            <w:tcW w:w="2552" w:type="dxa"/>
          </w:tcPr>
          <w:p w14:paraId="0263F34A" w14:textId="77777777" w:rsidR="00B51828" w:rsidRDefault="00B51828" w:rsidP="002101D2">
            <w:pPr>
              <w:pStyle w:val="Tabletextboldleft"/>
              <w:spacing w:before="20" w:after="20"/>
            </w:pPr>
          </w:p>
        </w:tc>
        <w:tc>
          <w:tcPr>
            <w:tcW w:w="1162" w:type="dxa"/>
          </w:tcPr>
          <w:p w14:paraId="4F790C43" w14:textId="77777777" w:rsidR="00B51828" w:rsidRDefault="00B51828" w:rsidP="002101D2">
            <w:pPr>
              <w:pStyle w:val="Tabletextboldleft"/>
              <w:spacing w:before="20" w:after="20"/>
              <w:jc w:val="right"/>
            </w:pPr>
            <w:r>
              <w:t>Year 1</w:t>
            </w:r>
          </w:p>
          <w:p w14:paraId="71D850E3" w14:textId="77777777" w:rsidR="00B51828" w:rsidRDefault="00B51828" w:rsidP="002101D2">
            <w:pPr>
              <w:pStyle w:val="Tabletextboldleft"/>
              <w:spacing w:before="20" w:after="20"/>
              <w:jc w:val="right"/>
            </w:pPr>
            <w:r>
              <w:t>(2015-16)</w:t>
            </w:r>
          </w:p>
        </w:tc>
        <w:tc>
          <w:tcPr>
            <w:tcW w:w="1162" w:type="dxa"/>
          </w:tcPr>
          <w:p w14:paraId="12A4108D" w14:textId="77777777" w:rsidR="00B51828" w:rsidRDefault="00B51828" w:rsidP="002101D2">
            <w:pPr>
              <w:pStyle w:val="Tabletextboldleft"/>
              <w:spacing w:before="20" w:after="20"/>
              <w:jc w:val="right"/>
            </w:pPr>
            <w:r>
              <w:t>Year 2</w:t>
            </w:r>
          </w:p>
          <w:p w14:paraId="3B1B9CE8" w14:textId="77777777" w:rsidR="00B51828" w:rsidRDefault="00B51828" w:rsidP="002101D2">
            <w:pPr>
              <w:pStyle w:val="Tabletextboldleft"/>
              <w:spacing w:before="20" w:after="20"/>
              <w:jc w:val="right"/>
            </w:pPr>
            <w:r>
              <w:t>(2016-17)</w:t>
            </w:r>
          </w:p>
        </w:tc>
        <w:tc>
          <w:tcPr>
            <w:tcW w:w="1162" w:type="dxa"/>
          </w:tcPr>
          <w:p w14:paraId="2D5F4627" w14:textId="77777777" w:rsidR="00B51828" w:rsidRDefault="00B51828" w:rsidP="002101D2">
            <w:pPr>
              <w:pStyle w:val="Tabletextboldleft"/>
              <w:spacing w:before="20" w:after="20"/>
              <w:jc w:val="right"/>
            </w:pPr>
            <w:r>
              <w:t>Year 3</w:t>
            </w:r>
          </w:p>
          <w:p w14:paraId="3B12FFCA" w14:textId="77777777" w:rsidR="00B51828" w:rsidRDefault="00B51828" w:rsidP="002101D2">
            <w:pPr>
              <w:pStyle w:val="Tabletextboldleft"/>
              <w:spacing w:before="20" w:after="20"/>
              <w:jc w:val="right"/>
            </w:pPr>
            <w:r>
              <w:t>(2017-18)</w:t>
            </w:r>
          </w:p>
        </w:tc>
        <w:tc>
          <w:tcPr>
            <w:tcW w:w="1162" w:type="dxa"/>
          </w:tcPr>
          <w:p w14:paraId="62EBB602" w14:textId="77777777" w:rsidR="00B51828" w:rsidRDefault="00B51828" w:rsidP="002101D2">
            <w:pPr>
              <w:pStyle w:val="Tabletextboldleft"/>
              <w:spacing w:before="20" w:after="20"/>
              <w:jc w:val="right"/>
            </w:pPr>
            <w:r>
              <w:t>Year 4</w:t>
            </w:r>
          </w:p>
          <w:p w14:paraId="07B24B76" w14:textId="77777777" w:rsidR="00B51828" w:rsidRDefault="00B51828" w:rsidP="002101D2">
            <w:pPr>
              <w:pStyle w:val="Tabletextboldleft"/>
              <w:spacing w:before="20" w:after="20"/>
              <w:jc w:val="right"/>
            </w:pPr>
            <w:r>
              <w:t>(2018-19)</w:t>
            </w:r>
          </w:p>
        </w:tc>
        <w:tc>
          <w:tcPr>
            <w:tcW w:w="1163" w:type="dxa"/>
          </w:tcPr>
          <w:p w14:paraId="5E05B473" w14:textId="77777777" w:rsidR="00B51828" w:rsidRDefault="00B51828" w:rsidP="002101D2">
            <w:pPr>
              <w:pStyle w:val="Tabletextboldleft"/>
              <w:spacing w:before="20" w:after="20"/>
              <w:jc w:val="right"/>
            </w:pPr>
            <w:r>
              <w:t>Year 5</w:t>
            </w:r>
          </w:p>
          <w:p w14:paraId="1BE87DAA" w14:textId="77777777" w:rsidR="00B51828" w:rsidRDefault="00B51828" w:rsidP="002101D2">
            <w:pPr>
              <w:pStyle w:val="Tabletextboldleft"/>
              <w:spacing w:before="20" w:after="20"/>
              <w:jc w:val="right"/>
            </w:pPr>
            <w:r>
              <w:t>(2019-20)</w:t>
            </w:r>
          </w:p>
        </w:tc>
      </w:tr>
      <w:tr w:rsidR="00B51828" w:rsidRPr="00F647C7" w14:paraId="3CA7987C" w14:textId="77777777" w:rsidTr="00E61184">
        <w:trPr>
          <w:trHeight w:val="212"/>
        </w:trPr>
        <w:tc>
          <w:tcPr>
            <w:tcW w:w="2552" w:type="dxa"/>
            <w:tcBorders>
              <w:bottom w:val="single" w:sz="4" w:space="0" w:color="auto"/>
            </w:tcBorders>
            <w:shd w:val="clear" w:color="auto" w:fill="D0CECE" w:themeFill="background2" w:themeFillShade="E6"/>
          </w:tcPr>
          <w:p w14:paraId="76E20605" w14:textId="77777777" w:rsidR="00B51828" w:rsidRPr="0076472C" w:rsidRDefault="00B51828" w:rsidP="002101D2">
            <w:pPr>
              <w:pStyle w:val="Tabletextboldleft"/>
              <w:spacing w:before="20" w:after="20"/>
              <w:rPr>
                <w:i/>
              </w:rPr>
            </w:pPr>
            <w:r>
              <w:rPr>
                <w:i/>
              </w:rPr>
              <w:t>Scenario 1</w:t>
            </w:r>
          </w:p>
        </w:tc>
        <w:tc>
          <w:tcPr>
            <w:tcW w:w="1162" w:type="dxa"/>
            <w:tcBorders>
              <w:bottom w:val="single" w:sz="4" w:space="0" w:color="auto"/>
            </w:tcBorders>
            <w:shd w:val="clear" w:color="auto" w:fill="D0CECE" w:themeFill="background2" w:themeFillShade="E6"/>
          </w:tcPr>
          <w:p w14:paraId="580DF6A2" w14:textId="77777777" w:rsidR="00B51828" w:rsidRPr="002D0B57" w:rsidRDefault="00B51828" w:rsidP="002101D2">
            <w:pPr>
              <w:pStyle w:val="Tabletextboldleft"/>
              <w:spacing w:before="20" w:after="20"/>
              <w:jc w:val="right"/>
              <w:rPr>
                <w:b w:val="0"/>
              </w:rPr>
            </w:pPr>
            <w:r>
              <w:rPr>
                <w:b w:val="0"/>
              </w:rPr>
              <w:t>-</w:t>
            </w:r>
          </w:p>
        </w:tc>
        <w:tc>
          <w:tcPr>
            <w:tcW w:w="1162" w:type="dxa"/>
            <w:tcBorders>
              <w:bottom w:val="single" w:sz="4" w:space="0" w:color="auto"/>
            </w:tcBorders>
            <w:shd w:val="clear" w:color="auto" w:fill="D0CECE" w:themeFill="background2" w:themeFillShade="E6"/>
          </w:tcPr>
          <w:p w14:paraId="2ABB98C4" w14:textId="77777777" w:rsidR="00B51828" w:rsidRPr="002D0B57" w:rsidRDefault="00B51828" w:rsidP="002101D2">
            <w:pPr>
              <w:pStyle w:val="Tabletextboldleft"/>
              <w:spacing w:before="20" w:after="20"/>
              <w:jc w:val="right"/>
              <w:rPr>
                <w:b w:val="0"/>
              </w:rPr>
            </w:pPr>
            <w:r>
              <w:rPr>
                <w:b w:val="0"/>
              </w:rPr>
              <w:t>-</w:t>
            </w:r>
          </w:p>
        </w:tc>
        <w:tc>
          <w:tcPr>
            <w:tcW w:w="1162" w:type="dxa"/>
            <w:tcBorders>
              <w:bottom w:val="single" w:sz="4" w:space="0" w:color="auto"/>
            </w:tcBorders>
            <w:shd w:val="clear" w:color="auto" w:fill="D0CECE" w:themeFill="background2" w:themeFillShade="E6"/>
          </w:tcPr>
          <w:p w14:paraId="79E070F7" w14:textId="77777777" w:rsidR="00B51828" w:rsidRPr="002D0B57" w:rsidRDefault="00B51828" w:rsidP="002101D2">
            <w:pPr>
              <w:pStyle w:val="Tabletextboldleft"/>
              <w:spacing w:before="20" w:after="20"/>
              <w:jc w:val="right"/>
              <w:rPr>
                <w:b w:val="0"/>
              </w:rPr>
            </w:pPr>
            <w:r>
              <w:rPr>
                <w:b w:val="0"/>
              </w:rPr>
              <w:t>-</w:t>
            </w:r>
          </w:p>
        </w:tc>
        <w:tc>
          <w:tcPr>
            <w:tcW w:w="1162" w:type="dxa"/>
            <w:tcBorders>
              <w:bottom w:val="single" w:sz="4" w:space="0" w:color="auto"/>
            </w:tcBorders>
            <w:shd w:val="clear" w:color="auto" w:fill="D0CECE" w:themeFill="background2" w:themeFillShade="E6"/>
          </w:tcPr>
          <w:p w14:paraId="325AA4CC" w14:textId="77777777" w:rsidR="00B51828" w:rsidRPr="002D0B57" w:rsidRDefault="00B51828" w:rsidP="002101D2">
            <w:pPr>
              <w:pStyle w:val="Tabletextboldleft"/>
              <w:spacing w:before="20" w:after="20"/>
              <w:jc w:val="right"/>
              <w:rPr>
                <w:b w:val="0"/>
              </w:rPr>
            </w:pPr>
            <w:r>
              <w:rPr>
                <w:b w:val="0"/>
              </w:rPr>
              <w:t>-</w:t>
            </w:r>
          </w:p>
        </w:tc>
        <w:tc>
          <w:tcPr>
            <w:tcW w:w="1163" w:type="dxa"/>
            <w:tcBorders>
              <w:bottom w:val="single" w:sz="4" w:space="0" w:color="auto"/>
            </w:tcBorders>
            <w:shd w:val="clear" w:color="auto" w:fill="D0CECE" w:themeFill="background2" w:themeFillShade="E6"/>
          </w:tcPr>
          <w:p w14:paraId="5A7103B2" w14:textId="77777777" w:rsidR="00B51828" w:rsidRPr="002D0B57" w:rsidRDefault="00B51828" w:rsidP="002101D2">
            <w:pPr>
              <w:pStyle w:val="Tabletextboldleft"/>
              <w:spacing w:before="20" w:after="20"/>
              <w:jc w:val="right"/>
              <w:rPr>
                <w:b w:val="0"/>
              </w:rPr>
            </w:pPr>
            <w:r>
              <w:rPr>
                <w:b w:val="0"/>
              </w:rPr>
              <w:t>-</w:t>
            </w:r>
          </w:p>
        </w:tc>
      </w:tr>
      <w:tr w:rsidR="00B51828" w:rsidRPr="00F647C7" w14:paraId="51B0A64A" w14:textId="77777777" w:rsidTr="00E61184">
        <w:trPr>
          <w:trHeight w:val="212"/>
        </w:trPr>
        <w:tc>
          <w:tcPr>
            <w:tcW w:w="2552" w:type="dxa"/>
            <w:tcBorders>
              <w:bottom w:val="nil"/>
            </w:tcBorders>
          </w:tcPr>
          <w:p w14:paraId="04919834" w14:textId="77777777" w:rsidR="00B51828" w:rsidRPr="001B61B2" w:rsidRDefault="00B51828" w:rsidP="002101D2">
            <w:pPr>
              <w:pStyle w:val="Tabletextboldleft"/>
              <w:spacing w:before="20" w:after="20"/>
              <w:rPr>
                <w:b w:val="0"/>
                <w:vertAlign w:val="superscript"/>
              </w:rPr>
            </w:pPr>
            <w:r w:rsidRPr="00386763">
              <w:rPr>
                <w:b w:val="0"/>
              </w:rPr>
              <w:t>Tissue pathology</w:t>
            </w:r>
            <w:r w:rsidRPr="00386763">
              <w:rPr>
                <w:b w:val="0"/>
                <w:vertAlign w:val="superscript"/>
              </w:rPr>
              <w:t>a</w:t>
            </w:r>
          </w:p>
        </w:tc>
        <w:tc>
          <w:tcPr>
            <w:tcW w:w="1162" w:type="dxa"/>
            <w:tcBorders>
              <w:bottom w:val="nil"/>
            </w:tcBorders>
          </w:tcPr>
          <w:p w14:paraId="6088BD7C" w14:textId="77777777" w:rsidR="00B51828" w:rsidRPr="00C932DC" w:rsidRDefault="00B51828" w:rsidP="002101D2">
            <w:pPr>
              <w:pStyle w:val="Tabletextboldleft"/>
              <w:spacing w:before="20" w:after="20"/>
              <w:jc w:val="right"/>
              <w:rPr>
                <w:b w:val="0"/>
              </w:rPr>
            </w:pPr>
            <w:r w:rsidRPr="00C932DC">
              <w:rPr>
                <w:b w:val="0"/>
                <w:bCs/>
                <w:color w:val="000000"/>
              </w:rPr>
              <w:t>$9,213,248</w:t>
            </w:r>
          </w:p>
        </w:tc>
        <w:tc>
          <w:tcPr>
            <w:tcW w:w="1162" w:type="dxa"/>
            <w:tcBorders>
              <w:bottom w:val="nil"/>
            </w:tcBorders>
          </w:tcPr>
          <w:p w14:paraId="78DA1988" w14:textId="77777777" w:rsidR="00B51828" w:rsidRPr="00C932DC" w:rsidRDefault="00B51828" w:rsidP="002101D2">
            <w:pPr>
              <w:pStyle w:val="Tabletextboldleft"/>
              <w:spacing w:before="20" w:after="20"/>
              <w:jc w:val="right"/>
              <w:rPr>
                <w:b w:val="0"/>
              </w:rPr>
            </w:pPr>
            <w:r w:rsidRPr="00C932DC">
              <w:rPr>
                <w:b w:val="0"/>
                <w:bCs/>
                <w:color w:val="000000"/>
              </w:rPr>
              <w:t>$9,547,064</w:t>
            </w:r>
          </w:p>
        </w:tc>
        <w:tc>
          <w:tcPr>
            <w:tcW w:w="1162" w:type="dxa"/>
            <w:tcBorders>
              <w:bottom w:val="nil"/>
            </w:tcBorders>
          </w:tcPr>
          <w:p w14:paraId="62126E4A" w14:textId="77777777" w:rsidR="00B51828" w:rsidRPr="00C932DC" w:rsidRDefault="00B51828" w:rsidP="002101D2">
            <w:pPr>
              <w:pStyle w:val="Tabletextboldleft"/>
              <w:spacing w:before="20" w:after="20"/>
              <w:jc w:val="right"/>
              <w:rPr>
                <w:b w:val="0"/>
              </w:rPr>
            </w:pPr>
            <w:r w:rsidRPr="00C932DC">
              <w:rPr>
                <w:b w:val="0"/>
                <w:bCs/>
                <w:color w:val="000000"/>
              </w:rPr>
              <w:t>$9,880,889</w:t>
            </w:r>
          </w:p>
        </w:tc>
        <w:tc>
          <w:tcPr>
            <w:tcW w:w="1162" w:type="dxa"/>
            <w:tcBorders>
              <w:bottom w:val="nil"/>
            </w:tcBorders>
          </w:tcPr>
          <w:p w14:paraId="781DFEB2" w14:textId="77777777" w:rsidR="00B51828" w:rsidRPr="00C932DC" w:rsidRDefault="00B51828" w:rsidP="002101D2">
            <w:pPr>
              <w:pStyle w:val="Tabletextboldleft"/>
              <w:spacing w:before="20" w:after="20"/>
              <w:jc w:val="right"/>
              <w:rPr>
                <w:b w:val="0"/>
              </w:rPr>
            </w:pPr>
            <w:r w:rsidRPr="00C932DC">
              <w:rPr>
                <w:b w:val="0"/>
                <w:bCs/>
                <w:color w:val="000000"/>
              </w:rPr>
              <w:t>$10,214,714</w:t>
            </w:r>
          </w:p>
        </w:tc>
        <w:tc>
          <w:tcPr>
            <w:tcW w:w="1163" w:type="dxa"/>
            <w:tcBorders>
              <w:bottom w:val="nil"/>
            </w:tcBorders>
          </w:tcPr>
          <w:p w14:paraId="31C0EF7F" w14:textId="77777777" w:rsidR="00B51828" w:rsidRPr="00C932DC" w:rsidRDefault="00B51828" w:rsidP="002101D2">
            <w:pPr>
              <w:pStyle w:val="Tabletextboldleft"/>
              <w:spacing w:before="20" w:after="20"/>
              <w:jc w:val="right"/>
              <w:rPr>
                <w:b w:val="0"/>
              </w:rPr>
            </w:pPr>
            <w:r w:rsidRPr="00C932DC">
              <w:rPr>
                <w:b w:val="0"/>
                <w:bCs/>
                <w:color w:val="000000"/>
              </w:rPr>
              <w:t>$10,548,537</w:t>
            </w:r>
          </w:p>
        </w:tc>
      </w:tr>
      <w:tr w:rsidR="00B51828" w:rsidRPr="00F647C7" w14:paraId="1CE3B603" w14:textId="77777777" w:rsidTr="00E61184">
        <w:trPr>
          <w:trHeight w:val="212"/>
        </w:trPr>
        <w:tc>
          <w:tcPr>
            <w:tcW w:w="2552" w:type="dxa"/>
            <w:tcBorders>
              <w:top w:val="nil"/>
              <w:bottom w:val="nil"/>
            </w:tcBorders>
          </w:tcPr>
          <w:p w14:paraId="00E845D8" w14:textId="77777777" w:rsidR="00B51828" w:rsidRDefault="00B51828" w:rsidP="002101D2">
            <w:pPr>
              <w:pStyle w:val="Tabletextboldleft"/>
              <w:spacing w:before="20" w:after="20"/>
              <w:ind w:firstLine="317"/>
              <w:rPr>
                <w:b w:val="0"/>
              </w:rPr>
            </w:pPr>
            <w:r>
              <w:rPr>
                <w:b w:val="0"/>
              </w:rPr>
              <w:t>Second, expert opinion</w:t>
            </w:r>
          </w:p>
        </w:tc>
        <w:tc>
          <w:tcPr>
            <w:tcW w:w="1162" w:type="dxa"/>
            <w:tcBorders>
              <w:top w:val="nil"/>
              <w:bottom w:val="nil"/>
            </w:tcBorders>
          </w:tcPr>
          <w:p w14:paraId="69CC2497" w14:textId="77777777" w:rsidR="00B51828" w:rsidRPr="00C932DC" w:rsidRDefault="00B51828" w:rsidP="002101D2">
            <w:pPr>
              <w:pStyle w:val="Tabletextboldleft"/>
              <w:spacing w:before="20" w:after="20"/>
              <w:jc w:val="right"/>
              <w:rPr>
                <w:b w:val="0"/>
              </w:rPr>
            </w:pPr>
            <w:r w:rsidRPr="00C932DC">
              <w:rPr>
                <w:b w:val="0"/>
                <w:color w:val="000000"/>
              </w:rPr>
              <w:t>$7,912,188</w:t>
            </w:r>
          </w:p>
        </w:tc>
        <w:tc>
          <w:tcPr>
            <w:tcW w:w="1162" w:type="dxa"/>
            <w:tcBorders>
              <w:top w:val="nil"/>
              <w:bottom w:val="nil"/>
            </w:tcBorders>
          </w:tcPr>
          <w:p w14:paraId="57A4ACBE" w14:textId="77777777" w:rsidR="00B51828" w:rsidRPr="00C932DC" w:rsidRDefault="00B51828" w:rsidP="002101D2">
            <w:pPr>
              <w:pStyle w:val="Tabletextboldleft"/>
              <w:spacing w:before="20" w:after="20"/>
              <w:jc w:val="right"/>
              <w:rPr>
                <w:b w:val="0"/>
              </w:rPr>
            </w:pPr>
            <w:r w:rsidRPr="00C932DC">
              <w:rPr>
                <w:b w:val="0"/>
                <w:color w:val="000000"/>
              </w:rPr>
              <w:t>$8,198,864</w:t>
            </w:r>
          </w:p>
        </w:tc>
        <w:tc>
          <w:tcPr>
            <w:tcW w:w="1162" w:type="dxa"/>
            <w:tcBorders>
              <w:top w:val="nil"/>
              <w:bottom w:val="nil"/>
            </w:tcBorders>
          </w:tcPr>
          <w:p w14:paraId="6383CBF0" w14:textId="77777777" w:rsidR="00B51828" w:rsidRPr="00C932DC" w:rsidRDefault="00B51828" w:rsidP="002101D2">
            <w:pPr>
              <w:pStyle w:val="Tabletextboldleft"/>
              <w:spacing w:before="20" w:after="20"/>
              <w:jc w:val="right"/>
              <w:rPr>
                <w:b w:val="0"/>
              </w:rPr>
            </w:pPr>
            <w:r w:rsidRPr="00C932DC">
              <w:rPr>
                <w:b w:val="0"/>
                <w:color w:val="000000"/>
              </w:rPr>
              <w:t>$8,485,547</w:t>
            </w:r>
          </w:p>
        </w:tc>
        <w:tc>
          <w:tcPr>
            <w:tcW w:w="1162" w:type="dxa"/>
            <w:tcBorders>
              <w:top w:val="nil"/>
              <w:bottom w:val="nil"/>
            </w:tcBorders>
          </w:tcPr>
          <w:p w14:paraId="5233AB00" w14:textId="77777777" w:rsidR="00B51828" w:rsidRPr="00C932DC" w:rsidRDefault="00B51828" w:rsidP="002101D2">
            <w:pPr>
              <w:pStyle w:val="Tabletextboldleft"/>
              <w:spacing w:before="20" w:after="20"/>
              <w:jc w:val="right"/>
              <w:rPr>
                <w:b w:val="0"/>
              </w:rPr>
            </w:pPr>
            <w:r w:rsidRPr="00C932DC">
              <w:rPr>
                <w:b w:val="0"/>
                <w:color w:val="000000"/>
              </w:rPr>
              <w:t>$8,772,231</w:t>
            </w:r>
          </w:p>
        </w:tc>
        <w:tc>
          <w:tcPr>
            <w:tcW w:w="1163" w:type="dxa"/>
            <w:tcBorders>
              <w:top w:val="nil"/>
              <w:bottom w:val="nil"/>
            </w:tcBorders>
          </w:tcPr>
          <w:p w14:paraId="2333FFA9" w14:textId="77777777" w:rsidR="00B51828" w:rsidRPr="00C932DC" w:rsidRDefault="00B51828" w:rsidP="002101D2">
            <w:pPr>
              <w:pStyle w:val="Tabletextboldleft"/>
              <w:spacing w:before="20" w:after="20"/>
              <w:jc w:val="right"/>
              <w:rPr>
                <w:b w:val="0"/>
              </w:rPr>
            </w:pPr>
            <w:r w:rsidRPr="00C932DC">
              <w:rPr>
                <w:b w:val="0"/>
                <w:color w:val="000000"/>
              </w:rPr>
              <w:t>$9,058,912</w:t>
            </w:r>
          </w:p>
        </w:tc>
      </w:tr>
      <w:tr w:rsidR="00B51828" w:rsidRPr="00F647C7" w14:paraId="270CFBA6" w14:textId="77777777" w:rsidTr="00E61184">
        <w:trPr>
          <w:trHeight w:val="212"/>
        </w:trPr>
        <w:tc>
          <w:tcPr>
            <w:tcW w:w="2552" w:type="dxa"/>
            <w:tcBorders>
              <w:top w:val="nil"/>
              <w:bottom w:val="nil"/>
            </w:tcBorders>
          </w:tcPr>
          <w:p w14:paraId="66CA4CBB" w14:textId="77777777" w:rsidR="00B51828" w:rsidRPr="00386763" w:rsidRDefault="00B51828" w:rsidP="002101D2">
            <w:pPr>
              <w:pStyle w:val="Tabletextboldleft"/>
              <w:spacing w:before="20" w:after="20"/>
              <w:ind w:firstLine="317"/>
              <w:rPr>
                <w:b w:val="0"/>
              </w:rPr>
            </w:pPr>
            <w:r>
              <w:rPr>
                <w:b w:val="0"/>
              </w:rPr>
              <w:t>Ancillary tests</w:t>
            </w:r>
          </w:p>
        </w:tc>
        <w:tc>
          <w:tcPr>
            <w:tcW w:w="1162" w:type="dxa"/>
            <w:tcBorders>
              <w:top w:val="nil"/>
              <w:bottom w:val="nil"/>
            </w:tcBorders>
          </w:tcPr>
          <w:p w14:paraId="79EE923F" w14:textId="77777777" w:rsidR="00B51828" w:rsidRPr="00C932DC" w:rsidRDefault="00B51828" w:rsidP="002101D2">
            <w:pPr>
              <w:pStyle w:val="Tabletextboldleft"/>
              <w:spacing w:before="20" w:after="20"/>
              <w:jc w:val="right"/>
              <w:rPr>
                <w:b w:val="0"/>
              </w:rPr>
            </w:pPr>
            <w:r w:rsidRPr="00C932DC">
              <w:rPr>
                <w:b w:val="0"/>
                <w:color w:val="000000"/>
              </w:rPr>
              <w:t>$908,430</w:t>
            </w:r>
          </w:p>
        </w:tc>
        <w:tc>
          <w:tcPr>
            <w:tcW w:w="1162" w:type="dxa"/>
            <w:tcBorders>
              <w:top w:val="nil"/>
              <w:bottom w:val="nil"/>
            </w:tcBorders>
          </w:tcPr>
          <w:p w14:paraId="506D85CE" w14:textId="77777777" w:rsidR="00B51828" w:rsidRPr="00C932DC" w:rsidRDefault="00B51828" w:rsidP="002101D2">
            <w:pPr>
              <w:pStyle w:val="Tabletextboldleft"/>
              <w:spacing w:before="20" w:after="20"/>
              <w:jc w:val="right"/>
              <w:rPr>
                <w:b w:val="0"/>
              </w:rPr>
            </w:pPr>
            <w:r w:rsidRPr="00C932DC">
              <w:rPr>
                <w:b w:val="0"/>
                <w:color w:val="000000"/>
              </w:rPr>
              <w:t>$941,345</w:t>
            </w:r>
          </w:p>
        </w:tc>
        <w:tc>
          <w:tcPr>
            <w:tcW w:w="1162" w:type="dxa"/>
            <w:tcBorders>
              <w:top w:val="nil"/>
              <w:bottom w:val="nil"/>
            </w:tcBorders>
          </w:tcPr>
          <w:p w14:paraId="14B300B0" w14:textId="77777777" w:rsidR="00B51828" w:rsidRPr="00C932DC" w:rsidRDefault="00B51828" w:rsidP="002101D2">
            <w:pPr>
              <w:pStyle w:val="Tabletextboldleft"/>
              <w:spacing w:before="20" w:after="20"/>
              <w:jc w:val="right"/>
              <w:rPr>
                <w:b w:val="0"/>
              </w:rPr>
            </w:pPr>
            <w:r w:rsidRPr="00C932DC">
              <w:rPr>
                <w:b w:val="0"/>
                <w:color w:val="000000"/>
              </w:rPr>
              <w:t>$974,260</w:t>
            </w:r>
          </w:p>
        </w:tc>
        <w:tc>
          <w:tcPr>
            <w:tcW w:w="1162" w:type="dxa"/>
            <w:tcBorders>
              <w:top w:val="nil"/>
              <w:bottom w:val="nil"/>
            </w:tcBorders>
          </w:tcPr>
          <w:p w14:paraId="322E130A" w14:textId="77777777" w:rsidR="00B51828" w:rsidRPr="00C932DC" w:rsidRDefault="00B51828" w:rsidP="002101D2">
            <w:pPr>
              <w:pStyle w:val="Tabletextboldleft"/>
              <w:spacing w:before="20" w:after="20"/>
              <w:jc w:val="right"/>
              <w:rPr>
                <w:b w:val="0"/>
              </w:rPr>
            </w:pPr>
            <w:r w:rsidRPr="00C932DC">
              <w:rPr>
                <w:b w:val="0"/>
                <w:color w:val="000000"/>
              </w:rPr>
              <w:t>$1,007,175</w:t>
            </w:r>
          </w:p>
        </w:tc>
        <w:tc>
          <w:tcPr>
            <w:tcW w:w="1163" w:type="dxa"/>
            <w:tcBorders>
              <w:top w:val="nil"/>
              <w:bottom w:val="nil"/>
            </w:tcBorders>
          </w:tcPr>
          <w:p w14:paraId="2C9D3BD4" w14:textId="77777777" w:rsidR="00B51828" w:rsidRPr="00C932DC" w:rsidRDefault="00B51828" w:rsidP="002101D2">
            <w:pPr>
              <w:pStyle w:val="Tabletextboldleft"/>
              <w:spacing w:before="20" w:after="20"/>
              <w:jc w:val="right"/>
              <w:rPr>
                <w:b w:val="0"/>
              </w:rPr>
            </w:pPr>
            <w:r w:rsidRPr="00C932DC">
              <w:rPr>
                <w:b w:val="0"/>
                <w:color w:val="000000"/>
              </w:rPr>
              <w:t>$1,040,090</w:t>
            </w:r>
          </w:p>
        </w:tc>
      </w:tr>
      <w:tr w:rsidR="00B51828" w:rsidRPr="00F647C7" w14:paraId="55E7C10E" w14:textId="77777777" w:rsidTr="00E61184">
        <w:trPr>
          <w:trHeight w:val="212"/>
        </w:trPr>
        <w:tc>
          <w:tcPr>
            <w:tcW w:w="2552" w:type="dxa"/>
            <w:tcBorders>
              <w:top w:val="nil"/>
              <w:bottom w:val="nil"/>
            </w:tcBorders>
          </w:tcPr>
          <w:p w14:paraId="381EDBA8" w14:textId="77777777" w:rsidR="00B51828" w:rsidRPr="00386763" w:rsidRDefault="00B51828" w:rsidP="002101D2">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12DD9965" w14:textId="77777777" w:rsidR="00B51828" w:rsidRPr="00C932DC" w:rsidRDefault="00B51828" w:rsidP="002101D2">
            <w:pPr>
              <w:pStyle w:val="Tabletextboldleft"/>
              <w:spacing w:before="20" w:after="20"/>
              <w:jc w:val="right"/>
              <w:rPr>
                <w:b w:val="0"/>
              </w:rPr>
            </w:pPr>
            <w:r w:rsidRPr="00C932DC">
              <w:rPr>
                <w:b w:val="0"/>
                <w:color w:val="000000"/>
              </w:rPr>
              <w:t>$288,698</w:t>
            </w:r>
          </w:p>
        </w:tc>
        <w:tc>
          <w:tcPr>
            <w:tcW w:w="1162" w:type="dxa"/>
            <w:tcBorders>
              <w:top w:val="nil"/>
              <w:bottom w:val="nil"/>
            </w:tcBorders>
          </w:tcPr>
          <w:p w14:paraId="5A52779B" w14:textId="77777777" w:rsidR="00B51828" w:rsidRPr="00C932DC" w:rsidRDefault="00B51828" w:rsidP="002101D2">
            <w:pPr>
              <w:pStyle w:val="Tabletextboldleft"/>
              <w:spacing w:before="20" w:after="20"/>
              <w:jc w:val="right"/>
              <w:rPr>
                <w:b w:val="0"/>
              </w:rPr>
            </w:pPr>
            <w:r w:rsidRPr="00C932DC">
              <w:rPr>
                <w:b w:val="0"/>
                <w:color w:val="000000"/>
              </w:rPr>
              <w:t>$299,158</w:t>
            </w:r>
          </w:p>
        </w:tc>
        <w:tc>
          <w:tcPr>
            <w:tcW w:w="1162" w:type="dxa"/>
            <w:tcBorders>
              <w:top w:val="nil"/>
              <w:bottom w:val="nil"/>
            </w:tcBorders>
          </w:tcPr>
          <w:p w14:paraId="28C34CD4" w14:textId="77777777" w:rsidR="00B51828" w:rsidRPr="00C932DC" w:rsidRDefault="00B51828" w:rsidP="002101D2">
            <w:pPr>
              <w:pStyle w:val="Tabletextboldleft"/>
              <w:spacing w:before="20" w:after="20"/>
              <w:jc w:val="right"/>
              <w:rPr>
                <w:b w:val="0"/>
              </w:rPr>
            </w:pPr>
            <w:r w:rsidRPr="00C932DC">
              <w:rPr>
                <w:b w:val="0"/>
                <w:color w:val="000000"/>
              </w:rPr>
              <w:t>$309,619</w:t>
            </w:r>
          </w:p>
        </w:tc>
        <w:tc>
          <w:tcPr>
            <w:tcW w:w="1162" w:type="dxa"/>
            <w:tcBorders>
              <w:top w:val="nil"/>
              <w:bottom w:val="nil"/>
            </w:tcBorders>
          </w:tcPr>
          <w:p w14:paraId="67671A7C" w14:textId="77777777" w:rsidR="00B51828" w:rsidRPr="00C932DC" w:rsidRDefault="00B51828" w:rsidP="002101D2">
            <w:pPr>
              <w:pStyle w:val="Tabletextboldleft"/>
              <w:spacing w:before="20" w:after="20"/>
              <w:jc w:val="right"/>
              <w:rPr>
                <w:b w:val="0"/>
              </w:rPr>
            </w:pPr>
            <w:r w:rsidRPr="00C932DC">
              <w:rPr>
                <w:b w:val="0"/>
                <w:color w:val="000000"/>
              </w:rPr>
              <w:t>$320,079</w:t>
            </w:r>
          </w:p>
        </w:tc>
        <w:tc>
          <w:tcPr>
            <w:tcW w:w="1163" w:type="dxa"/>
            <w:tcBorders>
              <w:top w:val="nil"/>
              <w:bottom w:val="nil"/>
            </w:tcBorders>
          </w:tcPr>
          <w:p w14:paraId="796FED19" w14:textId="77777777" w:rsidR="00B51828" w:rsidRPr="00C932DC" w:rsidRDefault="00B51828" w:rsidP="002101D2">
            <w:pPr>
              <w:pStyle w:val="Tabletextboldleft"/>
              <w:spacing w:before="20" w:after="20"/>
              <w:jc w:val="right"/>
              <w:rPr>
                <w:b w:val="0"/>
              </w:rPr>
            </w:pPr>
            <w:r w:rsidRPr="00C932DC">
              <w:rPr>
                <w:b w:val="0"/>
                <w:color w:val="000000"/>
              </w:rPr>
              <w:t>$330,540</w:t>
            </w:r>
          </w:p>
        </w:tc>
      </w:tr>
      <w:tr w:rsidR="00B51828" w:rsidRPr="00F647C7" w14:paraId="5D4CCC63" w14:textId="77777777" w:rsidTr="00E61184">
        <w:trPr>
          <w:trHeight w:val="212"/>
        </w:trPr>
        <w:tc>
          <w:tcPr>
            <w:tcW w:w="2552" w:type="dxa"/>
            <w:tcBorders>
              <w:top w:val="nil"/>
              <w:bottom w:val="single" w:sz="4" w:space="0" w:color="auto"/>
            </w:tcBorders>
          </w:tcPr>
          <w:p w14:paraId="36E6225C" w14:textId="77777777" w:rsidR="00B51828" w:rsidRPr="00386763" w:rsidRDefault="00B51828" w:rsidP="002101D2">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bottom w:val="single" w:sz="4" w:space="0" w:color="auto"/>
            </w:tcBorders>
          </w:tcPr>
          <w:p w14:paraId="35C0E8F5" w14:textId="77777777" w:rsidR="00B51828" w:rsidRPr="00C932DC" w:rsidRDefault="00B51828" w:rsidP="002101D2">
            <w:pPr>
              <w:pStyle w:val="Tabletextboldleft"/>
              <w:spacing w:before="20" w:after="20"/>
              <w:jc w:val="right"/>
              <w:rPr>
                <w:b w:val="0"/>
              </w:rPr>
            </w:pPr>
            <w:r w:rsidRPr="00C932DC">
              <w:rPr>
                <w:b w:val="0"/>
                <w:color w:val="000000"/>
              </w:rPr>
              <w:t>$103,931</w:t>
            </w:r>
          </w:p>
        </w:tc>
        <w:tc>
          <w:tcPr>
            <w:tcW w:w="1162" w:type="dxa"/>
            <w:tcBorders>
              <w:top w:val="nil"/>
              <w:bottom w:val="single" w:sz="4" w:space="0" w:color="auto"/>
            </w:tcBorders>
          </w:tcPr>
          <w:p w14:paraId="44B5C80F" w14:textId="77777777" w:rsidR="00B51828" w:rsidRPr="00C932DC" w:rsidRDefault="00B51828" w:rsidP="002101D2">
            <w:pPr>
              <w:pStyle w:val="Tabletextboldleft"/>
              <w:spacing w:before="20" w:after="20"/>
              <w:jc w:val="right"/>
              <w:rPr>
                <w:b w:val="0"/>
              </w:rPr>
            </w:pPr>
            <w:r w:rsidRPr="00C932DC">
              <w:rPr>
                <w:b w:val="0"/>
                <w:color w:val="000000"/>
              </w:rPr>
              <w:t>$107,697</w:t>
            </w:r>
          </w:p>
        </w:tc>
        <w:tc>
          <w:tcPr>
            <w:tcW w:w="1162" w:type="dxa"/>
            <w:tcBorders>
              <w:top w:val="nil"/>
              <w:bottom w:val="single" w:sz="4" w:space="0" w:color="auto"/>
            </w:tcBorders>
          </w:tcPr>
          <w:p w14:paraId="0CC8C51D" w14:textId="77777777" w:rsidR="00B51828" w:rsidRPr="00C932DC" w:rsidRDefault="00B51828" w:rsidP="002101D2">
            <w:pPr>
              <w:pStyle w:val="Tabletextboldleft"/>
              <w:spacing w:before="20" w:after="20"/>
              <w:jc w:val="right"/>
              <w:rPr>
                <w:b w:val="0"/>
              </w:rPr>
            </w:pPr>
            <w:r w:rsidRPr="00C932DC">
              <w:rPr>
                <w:b w:val="0"/>
                <w:color w:val="000000"/>
              </w:rPr>
              <w:t>$111,463</w:t>
            </w:r>
          </w:p>
        </w:tc>
        <w:tc>
          <w:tcPr>
            <w:tcW w:w="1162" w:type="dxa"/>
            <w:tcBorders>
              <w:top w:val="nil"/>
              <w:bottom w:val="single" w:sz="4" w:space="0" w:color="auto"/>
            </w:tcBorders>
          </w:tcPr>
          <w:p w14:paraId="0D3E9EF6" w14:textId="77777777" w:rsidR="00B51828" w:rsidRPr="00C932DC" w:rsidRDefault="00B51828" w:rsidP="002101D2">
            <w:pPr>
              <w:pStyle w:val="Tabletextboldleft"/>
              <w:spacing w:before="20" w:after="20"/>
              <w:jc w:val="right"/>
              <w:rPr>
                <w:b w:val="0"/>
              </w:rPr>
            </w:pPr>
            <w:r w:rsidRPr="00C932DC">
              <w:rPr>
                <w:b w:val="0"/>
                <w:color w:val="000000"/>
              </w:rPr>
              <w:t>$115,229</w:t>
            </w:r>
          </w:p>
        </w:tc>
        <w:tc>
          <w:tcPr>
            <w:tcW w:w="1163" w:type="dxa"/>
            <w:tcBorders>
              <w:top w:val="nil"/>
              <w:bottom w:val="single" w:sz="4" w:space="0" w:color="auto"/>
            </w:tcBorders>
          </w:tcPr>
          <w:p w14:paraId="36650A66" w14:textId="77777777" w:rsidR="00B51828" w:rsidRPr="00C932DC" w:rsidRDefault="00B51828" w:rsidP="002101D2">
            <w:pPr>
              <w:pStyle w:val="Tabletextboldleft"/>
              <w:spacing w:before="20" w:after="20"/>
              <w:jc w:val="right"/>
              <w:rPr>
                <w:b w:val="0"/>
              </w:rPr>
            </w:pPr>
            <w:r w:rsidRPr="00C932DC">
              <w:rPr>
                <w:b w:val="0"/>
                <w:color w:val="000000"/>
              </w:rPr>
              <w:t>$118,994</w:t>
            </w:r>
          </w:p>
        </w:tc>
      </w:tr>
      <w:tr w:rsidR="00C932DC" w:rsidRPr="00F647C7" w14:paraId="11E4F565" w14:textId="77777777" w:rsidTr="00E61184">
        <w:trPr>
          <w:trHeight w:val="212"/>
        </w:trPr>
        <w:tc>
          <w:tcPr>
            <w:tcW w:w="2552" w:type="dxa"/>
            <w:tcBorders>
              <w:bottom w:val="nil"/>
            </w:tcBorders>
          </w:tcPr>
          <w:p w14:paraId="6649C9EE" w14:textId="77777777" w:rsidR="00C932DC" w:rsidRPr="00F411CD" w:rsidRDefault="00C932DC" w:rsidP="00C932DC">
            <w:pPr>
              <w:pStyle w:val="Tabletextboldleft"/>
              <w:spacing w:before="20" w:after="20"/>
              <w:rPr>
                <w:b w:val="0"/>
              </w:rPr>
            </w:pPr>
            <w:r w:rsidRPr="00F411CD">
              <w:rPr>
                <w:b w:val="0"/>
              </w:rPr>
              <w:t>Non-gynaecological cytology</w:t>
            </w:r>
          </w:p>
        </w:tc>
        <w:tc>
          <w:tcPr>
            <w:tcW w:w="1162" w:type="dxa"/>
            <w:tcBorders>
              <w:bottom w:val="nil"/>
            </w:tcBorders>
          </w:tcPr>
          <w:p w14:paraId="37D492BE" w14:textId="1DC9676B" w:rsidR="00C932DC" w:rsidRPr="00C932DC" w:rsidRDefault="00C932DC" w:rsidP="00C932DC">
            <w:pPr>
              <w:pStyle w:val="Tabletextboldleft"/>
              <w:spacing w:before="20" w:after="20"/>
              <w:jc w:val="right"/>
              <w:rPr>
                <w:b w:val="0"/>
              </w:rPr>
            </w:pPr>
            <w:r w:rsidRPr="00C932DC">
              <w:rPr>
                <w:b w:val="0"/>
                <w:bCs/>
                <w:color w:val="000000"/>
              </w:rPr>
              <w:t>$368,113</w:t>
            </w:r>
          </w:p>
        </w:tc>
        <w:tc>
          <w:tcPr>
            <w:tcW w:w="1162" w:type="dxa"/>
            <w:tcBorders>
              <w:bottom w:val="nil"/>
            </w:tcBorders>
          </w:tcPr>
          <w:p w14:paraId="710E5059" w14:textId="26432BA2" w:rsidR="00C932DC" w:rsidRPr="00C932DC" w:rsidRDefault="00C932DC" w:rsidP="00C932DC">
            <w:pPr>
              <w:pStyle w:val="Tabletextboldleft"/>
              <w:spacing w:before="20" w:after="20"/>
              <w:jc w:val="right"/>
              <w:rPr>
                <w:b w:val="0"/>
              </w:rPr>
            </w:pPr>
            <w:r w:rsidRPr="00C932DC">
              <w:rPr>
                <w:b w:val="0"/>
                <w:bCs/>
                <w:color w:val="000000"/>
              </w:rPr>
              <w:t>$378,792</w:t>
            </w:r>
          </w:p>
        </w:tc>
        <w:tc>
          <w:tcPr>
            <w:tcW w:w="1162" w:type="dxa"/>
            <w:tcBorders>
              <w:bottom w:val="nil"/>
            </w:tcBorders>
          </w:tcPr>
          <w:p w14:paraId="4D2D518E" w14:textId="301963E6" w:rsidR="00C932DC" w:rsidRPr="00C932DC" w:rsidRDefault="00C932DC" w:rsidP="00C932DC">
            <w:pPr>
              <w:pStyle w:val="Tabletextboldleft"/>
              <w:spacing w:before="20" w:after="20"/>
              <w:jc w:val="right"/>
              <w:rPr>
                <w:b w:val="0"/>
              </w:rPr>
            </w:pPr>
            <w:r w:rsidRPr="00C932DC">
              <w:rPr>
                <w:b w:val="0"/>
                <w:bCs/>
                <w:color w:val="000000"/>
              </w:rPr>
              <w:t>$389,471</w:t>
            </w:r>
          </w:p>
        </w:tc>
        <w:tc>
          <w:tcPr>
            <w:tcW w:w="1162" w:type="dxa"/>
            <w:tcBorders>
              <w:bottom w:val="nil"/>
            </w:tcBorders>
          </w:tcPr>
          <w:p w14:paraId="5E9E8BBA" w14:textId="5CE883EF" w:rsidR="00C932DC" w:rsidRPr="00C932DC" w:rsidRDefault="00C932DC" w:rsidP="00C932DC">
            <w:pPr>
              <w:pStyle w:val="Tabletextboldleft"/>
              <w:spacing w:before="20" w:after="20"/>
              <w:jc w:val="right"/>
              <w:rPr>
                <w:b w:val="0"/>
              </w:rPr>
            </w:pPr>
            <w:r w:rsidRPr="00C932DC">
              <w:rPr>
                <w:b w:val="0"/>
                <w:bCs/>
                <w:color w:val="000000"/>
              </w:rPr>
              <w:t>$400,150</w:t>
            </w:r>
          </w:p>
        </w:tc>
        <w:tc>
          <w:tcPr>
            <w:tcW w:w="1163" w:type="dxa"/>
            <w:tcBorders>
              <w:bottom w:val="nil"/>
            </w:tcBorders>
          </w:tcPr>
          <w:p w14:paraId="036341EE" w14:textId="1246AF88" w:rsidR="00C932DC" w:rsidRPr="00C932DC" w:rsidRDefault="00C932DC" w:rsidP="00C932DC">
            <w:pPr>
              <w:pStyle w:val="Tabletextboldleft"/>
              <w:spacing w:before="20" w:after="20"/>
              <w:jc w:val="right"/>
              <w:rPr>
                <w:b w:val="0"/>
              </w:rPr>
            </w:pPr>
            <w:r w:rsidRPr="00C932DC">
              <w:rPr>
                <w:b w:val="0"/>
                <w:bCs/>
                <w:color w:val="000000"/>
              </w:rPr>
              <w:t>$410,830</w:t>
            </w:r>
          </w:p>
        </w:tc>
      </w:tr>
      <w:tr w:rsidR="00C932DC" w:rsidRPr="00F647C7" w14:paraId="37397731" w14:textId="77777777" w:rsidTr="00E61184">
        <w:trPr>
          <w:trHeight w:val="212"/>
        </w:trPr>
        <w:tc>
          <w:tcPr>
            <w:tcW w:w="2552" w:type="dxa"/>
            <w:tcBorders>
              <w:top w:val="nil"/>
              <w:bottom w:val="nil"/>
            </w:tcBorders>
          </w:tcPr>
          <w:p w14:paraId="17A6E46F" w14:textId="77777777" w:rsidR="00C932DC" w:rsidRPr="00F411CD" w:rsidRDefault="00C932DC" w:rsidP="00C932DC">
            <w:pPr>
              <w:pStyle w:val="Tabletextboldleft"/>
              <w:spacing w:before="20" w:after="20"/>
              <w:ind w:firstLine="317"/>
              <w:rPr>
                <w:b w:val="0"/>
              </w:rPr>
            </w:pPr>
            <w:r>
              <w:rPr>
                <w:b w:val="0"/>
              </w:rPr>
              <w:t>Second, expert opinion</w:t>
            </w:r>
          </w:p>
        </w:tc>
        <w:tc>
          <w:tcPr>
            <w:tcW w:w="1162" w:type="dxa"/>
            <w:tcBorders>
              <w:top w:val="nil"/>
              <w:bottom w:val="nil"/>
            </w:tcBorders>
          </w:tcPr>
          <w:p w14:paraId="78962766" w14:textId="6AA5342D" w:rsidR="00C932DC" w:rsidRPr="00C932DC" w:rsidRDefault="00C932DC" w:rsidP="00C932DC">
            <w:pPr>
              <w:pStyle w:val="Tabletextboldleft"/>
              <w:spacing w:before="20" w:after="20"/>
              <w:jc w:val="right"/>
              <w:rPr>
                <w:b w:val="0"/>
              </w:rPr>
            </w:pPr>
            <w:r w:rsidRPr="00C932DC">
              <w:rPr>
                <w:b w:val="0"/>
                <w:color w:val="000000"/>
              </w:rPr>
              <w:t>$332,981</w:t>
            </w:r>
          </w:p>
        </w:tc>
        <w:tc>
          <w:tcPr>
            <w:tcW w:w="1162" w:type="dxa"/>
            <w:tcBorders>
              <w:top w:val="nil"/>
              <w:bottom w:val="nil"/>
            </w:tcBorders>
          </w:tcPr>
          <w:p w14:paraId="33727349" w14:textId="5A62FD85" w:rsidR="00C932DC" w:rsidRPr="00C932DC" w:rsidRDefault="00C932DC" w:rsidP="00C932DC">
            <w:pPr>
              <w:pStyle w:val="Tabletextboldleft"/>
              <w:spacing w:before="20" w:after="20"/>
              <w:jc w:val="right"/>
              <w:rPr>
                <w:b w:val="0"/>
              </w:rPr>
            </w:pPr>
            <w:r w:rsidRPr="00C932DC">
              <w:rPr>
                <w:b w:val="0"/>
                <w:color w:val="000000"/>
              </w:rPr>
              <w:t>$342,641</w:t>
            </w:r>
          </w:p>
        </w:tc>
        <w:tc>
          <w:tcPr>
            <w:tcW w:w="1162" w:type="dxa"/>
            <w:tcBorders>
              <w:top w:val="nil"/>
              <w:bottom w:val="nil"/>
            </w:tcBorders>
          </w:tcPr>
          <w:p w14:paraId="48BD7B7B" w14:textId="255AC41E" w:rsidR="00C932DC" w:rsidRPr="00C932DC" w:rsidRDefault="00C932DC" w:rsidP="00C932DC">
            <w:pPr>
              <w:pStyle w:val="Tabletextboldleft"/>
              <w:spacing w:before="20" w:after="20"/>
              <w:jc w:val="right"/>
              <w:rPr>
                <w:b w:val="0"/>
              </w:rPr>
            </w:pPr>
            <w:r w:rsidRPr="00C932DC">
              <w:rPr>
                <w:b w:val="0"/>
                <w:color w:val="000000"/>
              </w:rPr>
              <w:t>$352,300</w:t>
            </w:r>
          </w:p>
        </w:tc>
        <w:tc>
          <w:tcPr>
            <w:tcW w:w="1162" w:type="dxa"/>
            <w:tcBorders>
              <w:top w:val="nil"/>
              <w:bottom w:val="nil"/>
            </w:tcBorders>
          </w:tcPr>
          <w:p w14:paraId="2836EDDC" w14:textId="1198B8B9" w:rsidR="00C932DC" w:rsidRPr="00C932DC" w:rsidRDefault="00C932DC" w:rsidP="00C932DC">
            <w:pPr>
              <w:pStyle w:val="Tabletextboldleft"/>
              <w:spacing w:before="20" w:after="20"/>
              <w:jc w:val="right"/>
              <w:rPr>
                <w:b w:val="0"/>
              </w:rPr>
            </w:pPr>
            <w:r w:rsidRPr="00C932DC">
              <w:rPr>
                <w:b w:val="0"/>
                <w:color w:val="000000"/>
              </w:rPr>
              <w:t>$361,960</w:t>
            </w:r>
          </w:p>
        </w:tc>
        <w:tc>
          <w:tcPr>
            <w:tcW w:w="1163" w:type="dxa"/>
            <w:tcBorders>
              <w:top w:val="nil"/>
              <w:bottom w:val="nil"/>
            </w:tcBorders>
          </w:tcPr>
          <w:p w14:paraId="5E4FD208" w14:textId="509C0AE2" w:rsidR="00C932DC" w:rsidRPr="00C932DC" w:rsidRDefault="00C932DC" w:rsidP="00C932DC">
            <w:pPr>
              <w:pStyle w:val="Tabletextboldleft"/>
              <w:spacing w:before="20" w:after="20"/>
              <w:jc w:val="right"/>
              <w:rPr>
                <w:b w:val="0"/>
              </w:rPr>
            </w:pPr>
            <w:r w:rsidRPr="00C932DC">
              <w:rPr>
                <w:b w:val="0"/>
                <w:color w:val="000000"/>
              </w:rPr>
              <w:t>$371,621</w:t>
            </w:r>
          </w:p>
        </w:tc>
      </w:tr>
      <w:tr w:rsidR="00C932DC" w:rsidRPr="00F647C7" w14:paraId="02B907FD" w14:textId="77777777" w:rsidTr="00E61184">
        <w:trPr>
          <w:trHeight w:val="212"/>
        </w:trPr>
        <w:tc>
          <w:tcPr>
            <w:tcW w:w="2552" w:type="dxa"/>
            <w:tcBorders>
              <w:top w:val="nil"/>
              <w:bottom w:val="nil"/>
            </w:tcBorders>
          </w:tcPr>
          <w:p w14:paraId="329E5710" w14:textId="77777777" w:rsidR="00C932DC" w:rsidRDefault="00C932DC" w:rsidP="00C932DC">
            <w:pPr>
              <w:pStyle w:val="Tabletextboldleft"/>
              <w:spacing w:before="20" w:after="20"/>
              <w:ind w:firstLine="317"/>
              <w:rPr>
                <w:b w:val="0"/>
              </w:rPr>
            </w:pPr>
            <w:r>
              <w:rPr>
                <w:b w:val="0"/>
              </w:rPr>
              <w:t>Ancillary tests</w:t>
            </w:r>
          </w:p>
        </w:tc>
        <w:tc>
          <w:tcPr>
            <w:tcW w:w="1162" w:type="dxa"/>
            <w:tcBorders>
              <w:top w:val="nil"/>
              <w:bottom w:val="nil"/>
            </w:tcBorders>
          </w:tcPr>
          <w:p w14:paraId="7F7EC67E" w14:textId="61FF18C4" w:rsidR="00C932DC" w:rsidRPr="00C932DC" w:rsidRDefault="00C932DC" w:rsidP="00C932DC">
            <w:pPr>
              <w:pStyle w:val="Tabletextboldleft"/>
              <w:spacing w:before="20" w:after="20"/>
              <w:jc w:val="right"/>
              <w:rPr>
                <w:b w:val="0"/>
              </w:rPr>
            </w:pPr>
            <w:r w:rsidRPr="00C932DC">
              <w:rPr>
                <w:b w:val="0"/>
                <w:color w:val="000000"/>
              </w:rPr>
              <w:t>$13,479</w:t>
            </w:r>
          </w:p>
        </w:tc>
        <w:tc>
          <w:tcPr>
            <w:tcW w:w="1162" w:type="dxa"/>
            <w:tcBorders>
              <w:top w:val="nil"/>
              <w:bottom w:val="nil"/>
            </w:tcBorders>
          </w:tcPr>
          <w:p w14:paraId="3D91CD21" w14:textId="7101896F" w:rsidR="00C932DC" w:rsidRPr="00C932DC" w:rsidRDefault="00C932DC" w:rsidP="00C932DC">
            <w:pPr>
              <w:pStyle w:val="Tabletextboldleft"/>
              <w:spacing w:before="20" w:after="20"/>
              <w:jc w:val="right"/>
              <w:rPr>
                <w:b w:val="0"/>
              </w:rPr>
            </w:pPr>
            <w:r w:rsidRPr="00C932DC">
              <w:rPr>
                <w:b w:val="0"/>
                <w:color w:val="000000"/>
              </w:rPr>
              <w:t>$13,870</w:t>
            </w:r>
          </w:p>
        </w:tc>
        <w:tc>
          <w:tcPr>
            <w:tcW w:w="1162" w:type="dxa"/>
            <w:tcBorders>
              <w:top w:val="nil"/>
              <w:bottom w:val="nil"/>
            </w:tcBorders>
          </w:tcPr>
          <w:p w14:paraId="1D77407C" w14:textId="6D1405C1" w:rsidR="00C932DC" w:rsidRPr="00C932DC" w:rsidRDefault="00C932DC" w:rsidP="00C932DC">
            <w:pPr>
              <w:pStyle w:val="Tabletextboldleft"/>
              <w:spacing w:before="20" w:after="20"/>
              <w:jc w:val="right"/>
              <w:rPr>
                <w:b w:val="0"/>
              </w:rPr>
            </w:pPr>
            <w:r w:rsidRPr="00C932DC">
              <w:rPr>
                <w:b w:val="0"/>
                <w:color w:val="000000"/>
              </w:rPr>
              <w:t>$14,261</w:t>
            </w:r>
          </w:p>
        </w:tc>
        <w:tc>
          <w:tcPr>
            <w:tcW w:w="1162" w:type="dxa"/>
            <w:tcBorders>
              <w:top w:val="nil"/>
              <w:bottom w:val="nil"/>
            </w:tcBorders>
          </w:tcPr>
          <w:p w14:paraId="02F19231" w14:textId="58744D61" w:rsidR="00C932DC" w:rsidRPr="00C932DC" w:rsidRDefault="00C932DC" w:rsidP="00C932DC">
            <w:pPr>
              <w:pStyle w:val="Tabletextboldleft"/>
              <w:spacing w:before="20" w:after="20"/>
              <w:jc w:val="right"/>
              <w:rPr>
                <w:b w:val="0"/>
              </w:rPr>
            </w:pPr>
            <w:r w:rsidRPr="00C932DC">
              <w:rPr>
                <w:b w:val="0"/>
                <w:color w:val="000000"/>
              </w:rPr>
              <w:t>$14,652</w:t>
            </w:r>
          </w:p>
        </w:tc>
        <w:tc>
          <w:tcPr>
            <w:tcW w:w="1163" w:type="dxa"/>
            <w:tcBorders>
              <w:top w:val="nil"/>
              <w:bottom w:val="nil"/>
            </w:tcBorders>
          </w:tcPr>
          <w:p w14:paraId="08821DAC" w14:textId="4768623D" w:rsidR="00C932DC" w:rsidRPr="00C932DC" w:rsidRDefault="00C932DC" w:rsidP="00C932DC">
            <w:pPr>
              <w:pStyle w:val="Tabletextboldleft"/>
              <w:spacing w:before="20" w:after="20"/>
              <w:jc w:val="right"/>
              <w:rPr>
                <w:b w:val="0"/>
              </w:rPr>
            </w:pPr>
            <w:r w:rsidRPr="00C932DC">
              <w:rPr>
                <w:b w:val="0"/>
                <w:color w:val="000000"/>
              </w:rPr>
              <w:t>$15,043</w:t>
            </w:r>
          </w:p>
        </w:tc>
      </w:tr>
      <w:tr w:rsidR="00C932DC" w:rsidRPr="00F647C7" w14:paraId="20156857" w14:textId="77777777" w:rsidTr="00E61184">
        <w:trPr>
          <w:trHeight w:val="212"/>
        </w:trPr>
        <w:tc>
          <w:tcPr>
            <w:tcW w:w="2552" w:type="dxa"/>
            <w:tcBorders>
              <w:top w:val="nil"/>
              <w:bottom w:val="nil"/>
            </w:tcBorders>
          </w:tcPr>
          <w:p w14:paraId="0F74175F" w14:textId="77777777" w:rsidR="00C932DC" w:rsidRPr="00F411CD" w:rsidRDefault="00C932DC" w:rsidP="00C932DC">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73B15102" w14:textId="774EDB23" w:rsidR="00C932DC" w:rsidRPr="00C932DC" w:rsidRDefault="00C932DC" w:rsidP="00C932DC">
            <w:pPr>
              <w:pStyle w:val="Tabletextboldleft"/>
              <w:spacing w:before="20" w:after="20"/>
              <w:jc w:val="right"/>
              <w:rPr>
                <w:b w:val="0"/>
              </w:rPr>
            </w:pPr>
            <w:r w:rsidRPr="00C932DC">
              <w:rPr>
                <w:b w:val="0"/>
                <w:color w:val="000000"/>
              </w:rPr>
              <w:t>$15,922</w:t>
            </w:r>
          </w:p>
        </w:tc>
        <w:tc>
          <w:tcPr>
            <w:tcW w:w="1162" w:type="dxa"/>
            <w:tcBorders>
              <w:top w:val="nil"/>
              <w:bottom w:val="nil"/>
            </w:tcBorders>
          </w:tcPr>
          <w:p w14:paraId="747DBE2E" w14:textId="70B175B3" w:rsidR="00C932DC" w:rsidRPr="00C932DC" w:rsidRDefault="00C932DC" w:rsidP="00C932DC">
            <w:pPr>
              <w:pStyle w:val="Tabletextboldleft"/>
              <w:spacing w:before="20" w:after="20"/>
              <w:jc w:val="right"/>
              <w:rPr>
                <w:b w:val="0"/>
              </w:rPr>
            </w:pPr>
            <w:r w:rsidRPr="00C932DC">
              <w:rPr>
                <w:b w:val="0"/>
                <w:color w:val="000000"/>
              </w:rPr>
              <w:t>$16,384</w:t>
            </w:r>
          </w:p>
        </w:tc>
        <w:tc>
          <w:tcPr>
            <w:tcW w:w="1162" w:type="dxa"/>
            <w:tcBorders>
              <w:top w:val="nil"/>
              <w:bottom w:val="nil"/>
            </w:tcBorders>
          </w:tcPr>
          <w:p w14:paraId="16F5D1E4" w14:textId="2AC356B3" w:rsidR="00C932DC" w:rsidRPr="00C932DC" w:rsidRDefault="00C932DC" w:rsidP="00C932DC">
            <w:pPr>
              <w:pStyle w:val="Tabletextboldleft"/>
              <w:spacing w:before="20" w:after="20"/>
              <w:jc w:val="right"/>
              <w:rPr>
                <w:b w:val="0"/>
              </w:rPr>
            </w:pPr>
            <w:r w:rsidRPr="00C932DC">
              <w:rPr>
                <w:b w:val="0"/>
                <w:color w:val="000000"/>
              </w:rPr>
              <w:t>$16,846</w:t>
            </w:r>
          </w:p>
        </w:tc>
        <w:tc>
          <w:tcPr>
            <w:tcW w:w="1162" w:type="dxa"/>
            <w:tcBorders>
              <w:top w:val="nil"/>
              <w:bottom w:val="nil"/>
            </w:tcBorders>
          </w:tcPr>
          <w:p w14:paraId="6F81CFF2" w14:textId="4B58EDBB" w:rsidR="00C932DC" w:rsidRPr="00C932DC" w:rsidRDefault="00C932DC" w:rsidP="00C932DC">
            <w:pPr>
              <w:pStyle w:val="Tabletextboldleft"/>
              <w:spacing w:before="20" w:after="20"/>
              <w:jc w:val="right"/>
              <w:rPr>
                <w:b w:val="0"/>
              </w:rPr>
            </w:pPr>
            <w:r w:rsidRPr="00C932DC">
              <w:rPr>
                <w:b w:val="0"/>
                <w:color w:val="000000"/>
              </w:rPr>
              <w:t>$17,308</w:t>
            </w:r>
          </w:p>
        </w:tc>
        <w:tc>
          <w:tcPr>
            <w:tcW w:w="1163" w:type="dxa"/>
            <w:tcBorders>
              <w:top w:val="nil"/>
              <w:bottom w:val="nil"/>
            </w:tcBorders>
          </w:tcPr>
          <w:p w14:paraId="621378FD" w14:textId="2EF0DE32" w:rsidR="00C932DC" w:rsidRPr="00C932DC" w:rsidRDefault="00C932DC" w:rsidP="00C932DC">
            <w:pPr>
              <w:pStyle w:val="Tabletextboldleft"/>
              <w:spacing w:before="20" w:after="20"/>
              <w:jc w:val="right"/>
              <w:rPr>
                <w:b w:val="0"/>
              </w:rPr>
            </w:pPr>
            <w:r w:rsidRPr="00C932DC">
              <w:rPr>
                <w:b w:val="0"/>
                <w:color w:val="000000"/>
              </w:rPr>
              <w:t>$17,769</w:t>
            </w:r>
          </w:p>
        </w:tc>
      </w:tr>
      <w:tr w:rsidR="00C932DC" w:rsidRPr="00F647C7" w14:paraId="7BEB469A" w14:textId="77777777" w:rsidTr="00E61184">
        <w:trPr>
          <w:trHeight w:val="212"/>
        </w:trPr>
        <w:tc>
          <w:tcPr>
            <w:tcW w:w="2552" w:type="dxa"/>
            <w:tcBorders>
              <w:top w:val="nil"/>
              <w:bottom w:val="single" w:sz="4" w:space="0" w:color="auto"/>
            </w:tcBorders>
          </w:tcPr>
          <w:p w14:paraId="705090B1" w14:textId="77777777" w:rsidR="00C932DC" w:rsidRPr="00F411CD" w:rsidRDefault="00C932DC" w:rsidP="00C932DC">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bottom w:val="single" w:sz="4" w:space="0" w:color="auto"/>
            </w:tcBorders>
          </w:tcPr>
          <w:p w14:paraId="5DCBD441" w14:textId="44E77C2B" w:rsidR="00C932DC" w:rsidRPr="00C932DC" w:rsidRDefault="00C932DC" w:rsidP="00C932DC">
            <w:pPr>
              <w:pStyle w:val="Tabletextboldleft"/>
              <w:spacing w:before="20" w:after="20"/>
              <w:jc w:val="right"/>
              <w:rPr>
                <w:b w:val="0"/>
              </w:rPr>
            </w:pPr>
            <w:r w:rsidRPr="00C932DC">
              <w:rPr>
                <w:b w:val="0"/>
                <w:color w:val="000000"/>
              </w:rPr>
              <w:t>$5,732</w:t>
            </w:r>
          </w:p>
        </w:tc>
        <w:tc>
          <w:tcPr>
            <w:tcW w:w="1162" w:type="dxa"/>
            <w:tcBorders>
              <w:top w:val="nil"/>
              <w:bottom w:val="single" w:sz="4" w:space="0" w:color="auto"/>
            </w:tcBorders>
          </w:tcPr>
          <w:p w14:paraId="6F9AA87D" w14:textId="52A8FA60" w:rsidR="00C932DC" w:rsidRPr="00C932DC" w:rsidRDefault="00C932DC" w:rsidP="00C932DC">
            <w:pPr>
              <w:pStyle w:val="Tabletextboldleft"/>
              <w:spacing w:before="20" w:after="20"/>
              <w:jc w:val="right"/>
              <w:rPr>
                <w:b w:val="0"/>
              </w:rPr>
            </w:pPr>
            <w:r w:rsidRPr="00C932DC">
              <w:rPr>
                <w:b w:val="0"/>
                <w:color w:val="000000"/>
              </w:rPr>
              <w:t>$5,898</w:t>
            </w:r>
          </w:p>
        </w:tc>
        <w:tc>
          <w:tcPr>
            <w:tcW w:w="1162" w:type="dxa"/>
            <w:tcBorders>
              <w:top w:val="nil"/>
              <w:bottom w:val="single" w:sz="4" w:space="0" w:color="auto"/>
            </w:tcBorders>
          </w:tcPr>
          <w:p w14:paraId="1B3EAC50" w14:textId="2C55D29A" w:rsidR="00C932DC" w:rsidRPr="00C932DC" w:rsidRDefault="00C932DC" w:rsidP="00C932DC">
            <w:pPr>
              <w:pStyle w:val="Tabletextboldleft"/>
              <w:spacing w:before="20" w:after="20"/>
              <w:jc w:val="right"/>
              <w:rPr>
                <w:b w:val="0"/>
              </w:rPr>
            </w:pPr>
            <w:r w:rsidRPr="00C932DC">
              <w:rPr>
                <w:b w:val="0"/>
                <w:color w:val="000000"/>
              </w:rPr>
              <w:t>$6,064</w:t>
            </w:r>
          </w:p>
        </w:tc>
        <w:tc>
          <w:tcPr>
            <w:tcW w:w="1162" w:type="dxa"/>
            <w:tcBorders>
              <w:top w:val="nil"/>
              <w:bottom w:val="single" w:sz="4" w:space="0" w:color="auto"/>
            </w:tcBorders>
          </w:tcPr>
          <w:p w14:paraId="4E6537ED" w14:textId="24173F9C" w:rsidR="00C932DC" w:rsidRPr="00C932DC" w:rsidRDefault="00C932DC" w:rsidP="00C932DC">
            <w:pPr>
              <w:pStyle w:val="Tabletextboldleft"/>
              <w:spacing w:before="20" w:after="20"/>
              <w:jc w:val="right"/>
              <w:rPr>
                <w:b w:val="0"/>
              </w:rPr>
            </w:pPr>
            <w:r w:rsidRPr="00C932DC">
              <w:rPr>
                <w:b w:val="0"/>
                <w:color w:val="000000"/>
              </w:rPr>
              <w:t>$6,231</w:t>
            </w:r>
          </w:p>
        </w:tc>
        <w:tc>
          <w:tcPr>
            <w:tcW w:w="1163" w:type="dxa"/>
            <w:tcBorders>
              <w:top w:val="nil"/>
              <w:bottom w:val="single" w:sz="4" w:space="0" w:color="auto"/>
            </w:tcBorders>
          </w:tcPr>
          <w:p w14:paraId="1C1F6826" w14:textId="55F71B4D" w:rsidR="00C932DC" w:rsidRPr="00C932DC" w:rsidRDefault="00C932DC" w:rsidP="00C932DC">
            <w:pPr>
              <w:pStyle w:val="Tabletextboldleft"/>
              <w:spacing w:before="20" w:after="20"/>
              <w:jc w:val="right"/>
              <w:rPr>
                <w:b w:val="0"/>
              </w:rPr>
            </w:pPr>
            <w:r w:rsidRPr="00C932DC">
              <w:rPr>
                <w:b w:val="0"/>
                <w:color w:val="000000"/>
              </w:rPr>
              <w:t>$6,397</w:t>
            </w:r>
          </w:p>
        </w:tc>
      </w:tr>
      <w:tr w:rsidR="00C932DC" w:rsidRPr="00F647C7" w14:paraId="5DE66C65" w14:textId="77777777" w:rsidTr="00E61184">
        <w:trPr>
          <w:trHeight w:val="212"/>
        </w:trPr>
        <w:tc>
          <w:tcPr>
            <w:tcW w:w="2552" w:type="dxa"/>
            <w:tcBorders>
              <w:bottom w:val="nil"/>
            </w:tcBorders>
          </w:tcPr>
          <w:p w14:paraId="0C00891F" w14:textId="77777777" w:rsidR="00C932DC" w:rsidRPr="00F411CD" w:rsidRDefault="00C932DC" w:rsidP="00C932DC">
            <w:pPr>
              <w:pStyle w:val="Tabletextboldleft"/>
              <w:spacing w:before="20" w:after="20"/>
              <w:rPr>
                <w:b w:val="0"/>
              </w:rPr>
            </w:pPr>
            <w:r>
              <w:rPr>
                <w:b w:val="0"/>
              </w:rPr>
              <w:t>All cytology</w:t>
            </w:r>
          </w:p>
        </w:tc>
        <w:tc>
          <w:tcPr>
            <w:tcW w:w="1162" w:type="dxa"/>
            <w:tcBorders>
              <w:bottom w:val="nil"/>
            </w:tcBorders>
          </w:tcPr>
          <w:p w14:paraId="0B991174" w14:textId="6AD5BA0B" w:rsidR="00C932DC" w:rsidRPr="00C932DC" w:rsidRDefault="00C932DC" w:rsidP="00C932DC">
            <w:pPr>
              <w:pStyle w:val="Tabletextboldleft"/>
              <w:spacing w:before="20" w:after="20"/>
              <w:jc w:val="right"/>
              <w:rPr>
                <w:b w:val="0"/>
              </w:rPr>
            </w:pPr>
            <w:r w:rsidRPr="00C932DC">
              <w:rPr>
                <w:b w:val="0"/>
                <w:bCs/>
                <w:color w:val="000000"/>
              </w:rPr>
              <w:t>$2,928,249</w:t>
            </w:r>
          </w:p>
        </w:tc>
        <w:tc>
          <w:tcPr>
            <w:tcW w:w="1162" w:type="dxa"/>
            <w:tcBorders>
              <w:bottom w:val="nil"/>
            </w:tcBorders>
          </w:tcPr>
          <w:p w14:paraId="0A3F428C" w14:textId="0CE9DCC3" w:rsidR="00C932DC" w:rsidRPr="00C932DC" w:rsidRDefault="00C932DC" w:rsidP="00C932DC">
            <w:pPr>
              <w:pStyle w:val="Tabletextboldleft"/>
              <w:spacing w:before="20" w:after="20"/>
              <w:jc w:val="right"/>
              <w:rPr>
                <w:b w:val="0"/>
              </w:rPr>
            </w:pPr>
            <w:r w:rsidRPr="00C932DC">
              <w:rPr>
                <w:b w:val="0"/>
                <w:bCs/>
                <w:color w:val="000000"/>
              </w:rPr>
              <w:t>$2,960,250</w:t>
            </w:r>
          </w:p>
        </w:tc>
        <w:tc>
          <w:tcPr>
            <w:tcW w:w="1162" w:type="dxa"/>
            <w:tcBorders>
              <w:bottom w:val="nil"/>
            </w:tcBorders>
          </w:tcPr>
          <w:p w14:paraId="37E89933" w14:textId="228D7FC7" w:rsidR="00C932DC" w:rsidRPr="00C932DC" w:rsidRDefault="00C932DC" w:rsidP="00C932DC">
            <w:pPr>
              <w:pStyle w:val="Tabletextboldleft"/>
              <w:spacing w:before="20" w:after="20"/>
              <w:jc w:val="right"/>
              <w:rPr>
                <w:b w:val="0"/>
              </w:rPr>
            </w:pPr>
            <w:r w:rsidRPr="00C932DC">
              <w:rPr>
                <w:b w:val="0"/>
                <w:bCs/>
                <w:color w:val="000000"/>
              </w:rPr>
              <w:t>$2,992,248</w:t>
            </w:r>
          </w:p>
        </w:tc>
        <w:tc>
          <w:tcPr>
            <w:tcW w:w="1162" w:type="dxa"/>
            <w:tcBorders>
              <w:bottom w:val="nil"/>
            </w:tcBorders>
          </w:tcPr>
          <w:p w14:paraId="714A1709" w14:textId="27861912" w:rsidR="00C932DC" w:rsidRPr="00C932DC" w:rsidRDefault="00C932DC" w:rsidP="00C932DC">
            <w:pPr>
              <w:pStyle w:val="Tabletextboldleft"/>
              <w:spacing w:before="20" w:after="20"/>
              <w:jc w:val="right"/>
              <w:rPr>
                <w:b w:val="0"/>
              </w:rPr>
            </w:pPr>
            <w:r w:rsidRPr="00C932DC">
              <w:rPr>
                <w:b w:val="0"/>
                <w:bCs/>
                <w:color w:val="000000"/>
              </w:rPr>
              <w:t>$3,024,246</w:t>
            </w:r>
          </w:p>
        </w:tc>
        <w:tc>
          <w:tcPr>
            <w:tcW w:w="1163" w:type="dxa"/>
            <w:tcBorders>
              <w:bottom w:val="nil"/>
            </w:tcBorders>
          </w:tcPr>
          <w:p w14:paraId="4262A87C" w14:textId="6DF19BCA" w:rsidR="00C932DC" w:rsidRPr="00C932DC" w:rsidRDefault="00C932DC" w:rsidP="00C932DC">
            <w:pPr>
              <w:pStyle w:val="Tabletextboldleft"/>
              <w:spacing w:before="20" w:after="20"/>
              <w:jc w:val="right"/>
              <w:rPr>
                <w:b w:val="0"/>
              </w:rPr>
            </w:pPr>
            <w:r w:rsidRPr="00C932DC">
              <w:rPr>
                <w:b w:val="0"/>
                <w:bCs/>
                <w:color w:val="000000"/>
              </w:rPr>
              <w:t>$3,056,246</w:t>
            </w:r>
          </w:p>
        </w:tc>
      </w:tr>
      <w:tr w:rsidR="00C932DC" w:rsidRPr="00F647C7" w14:paraId="73192108" w14:textId="77777777" w:rsidTr="00E61184">
        <w:trPr>
          <w:trHeight w:val="212"/>
        </w:trPr>
        <w:tc>
          <w:tcPr>
            <w:tcW w:w="2552" w:type="dxa"/>
            <w:tcBorders>
              <w:top w:val="nil"/>
              <w:bottom w:val="nil"/>
            </w:tcBorders>
          </w:tcPr>
          <w:p w14:paraId="6BD9463D" w14:textId="77777777" w:rsidR="00C932DC" w:rsidRPr="00F411CD" w:rsidRDefault="00C932DC" w:rsidP="00C932DC">
            <w:pPr>
              <w:pStyle w:val="Tabletextboldleft"/>
              <w:spacing w:before="20" w:after="20"/>
              <w:ind w:firstLine="317"/>
              <w:rPr>
                <w:b w:val="0"/>
              </w:rPr>
            </w:pPr>
            <w:r>
              <w:rPr>
                <w:b w:val="0"/>
              </w:rPr>
              <w:t>Second, expert opinion</w:t>
            </w:r>
          </w:p>
        </w:tc>
        <w:tc>
          <w:tcPr>
            <w:tcW w:w="1162" w:type="dxa"/>
            <w:tcBorders>
              <w:top w:val="nil"/>
              <w:bottom w:val="nil"/>
            </w:tcBorders>
          </w:tcPr>
          <w:p w14:paraId="0968936A" w14:textId="50378831" w:rsidR="00C932DC" w:rsidRPr="00C932DC" w:rsidRDefault="00C932DC" w:rsidP="00C932DC">
            <w:pPr>
              <w:pStyle w:val="Tabletextboldleft"/>
              <w:spacing w:before="20" w:after="20"/>
              <w:jc w:val="right"/>
              <w:rPr>
                <w:b w:val="0"/>
              </w:rPr>
            </w:pPr>
            <w:r w:rsidRPr="00C932DC">
              <w:rPr>
                <w:b w:val="0"/>
                <w:color w:val="000000"/>
              </w:rPr>
              <w:t>$2,648,780</w:t>
            </w:r>
          </w:p>
        </w:tc>
        <w:tc>
          <w:tcPr>
            <w:tcW w:w="1162" w:type="dxa"/>
            <w:tcBorders>
              <w:top w:val="nil"/>
              <w:bottom w:val="nil"/>
            </w:tcBorders>
          </w:tcPr>
          <w:p w14:paraId="0BEC09BA" w14:textId="66581C81" w:rsidR="00C932DC" w:rsidRPr="00C932DC" w:rsidRDefault="00C932DC" w:rsidP="00C932DC">
            <w:pPr>
              <w:pStyle w:val="Tabletextboldleft"/>
              <w:spacing w:before="20" w:after="20"/>
              <w:jc w:val="right"/>
              <w:rPr>
                <w:b w:val="0"/>
              </w:rPr>
            </w:pPr>
            <w:r w:rsidRPr="00C932DC">
              <w:rPr>
                <w:b w:val="0"/>
                <w:color w:val="000000"/>
              </w:rPr>
              <w:t>$2,677,727</w:t>
            </w:r>
          </w:p>
        </w:tc>
        <w:tc>
          <w:tcPr>
            <w:tcW w:w="1162" w:type="dxa"/>
            <w:tcBorders>
              <w:top w:val="nil"/>
              <w:bottom w:val="nil"/>
            </w:tcBorders>
          </w:tcPr>
          <w:p w14:paraId="793DCB3B" w14:textId="0A246A71" w:rsidR="00C932DC" w:rsidRPr="00C932DC" w:rsidRDefault="00C932DC" w:rsidP="00C932DC">
            <w:pPr>
              <w:pStyle w:val="Tabletextboldleft"/>
              <w:spacing w:before="20" w:after="20"/>
              <w:jc w:val="right"/>
              <w:rPr>
                <w:b w:val="0"/>
              </w:rPr>
            </w:pPr>
            <w:r w:rsidRPr="00C932DC">
              <w:rPr>
                <w:b w:val="0"/>
                <w:color w:val="000000"/>
              </w:rPr>
              <w:t>$2,706,671</w:t>
            </w:r>
          </w:p>
        </w:tc>
        <w:tc>
          <w:tcPr>
            <w:tcW w:w="1162" w:type="dxa"/>
            <w:tcBorders>
              <w:top w:val="nil"/>
              <w:bottom w:val="nil"/>
            </w:tcBorders>
          </w:tcPr>
          <w:p w14:paraId="52AA8C25" w14:textId="4CC6BE50" w:rsidR="00C932DC" w:rsidRPr="00C932DC" w:rsidRDefault="00C932DC" w:rsidP="00C932DC">
            <w:pPr>
              <w:pStyle w:val="Tabletextboldleft"/>
              <w:spacing w:before="20" w:after="20"/>
              <w:jc w:val="right"/>
              <w:rPr>
                <w:b w:val="0"/>
              </w:rPr>
            </w:pPr>
            <w:r w:rsidRPr="00C932DC">
              <w:rPr>
                <w:b w:val="0"/>
                <w:color w:val="000000"/>
              </w:rPr>
              <w:t>$2,735,615</w:t>
            </w:r>
          </w:p>
        </w:tc>
        <w:tc>
          <w:tcPr>
            <w:tcW w:w="1163" w:type="dxa"/>
            <w:tcBorders>
              <w:top w:val="nil"/>
              <w:bottom w:val="nil"/>
            </w:tcBorders>
          </w:tcPr>
          <w:p w14:paraId="73CF4F10" w14:textId="69ABC02C" w:rsidR="00C932DC" w:rsidRPr="00C932DC" w:rsidRDefault="00C932DC" w:rsidP="00C932DC">
            <w:pPr>
              <w:pStyle w:val="Tabletextboldleft"/>
              <w:spacing w:before="20" w:after="20"/>
              <w:jc w:val="right"/>
              <w:rPr>
                <w:b w:val="0"/>
              </w:rPr>
            </w:pPr>
            <w:r w:rsidRPr="00C932DC">
              <w:rPr>
                <w:b w:val="0"/>
                <w:color w:val="000000"/>
              </w:rPr>
              <w:t>$2,764,561</w:t>
            </w:r>
          </w:p>
        </w:tc>
      </w:tr>
      <w:tr w:rsidR="00C932DC" w:rsidRPr="00F647C7" w14:paraId="4DD480B9" w14:textId="77777777" w:rsidTr="00E61184">
        <w:trPr>
          <w:trHeight w:val="212"/>
        </w:trPr>
        <w:tc>
          <w:tcPr>
            <w:tcW w:w="2552" w:type="dxa"/>
            <w:tcBorders>
              <w:top w:val="nil"/>
              <w:bottom w:val="nil"/>
            </w:tcBorders>
          </w:tcPr>
          <w:p w14:paraId="26151270" w14:textId="77777777" w:rsidR="00C932DC" w:rsidRDefault="00C932DC" w:rsidP="00C932DC">
            <w:pPr>
              <w:pStyle w:val="Tabletextboldleft"/>
              <w:spacing w:before="20" w:after="20"/>
              <w:ind w:firstLine="317"/>
              <w:rPr>
                <w:b w:val="0"/>
              </w:rPr>
            </w:pPr>
            <w:r>
              <w:rPr>
                <w:b w:val="0"/>
              </w:rPr>
              <w:t>Ancillary tests</w:t>
            </w:r>
          </w:p>
        </w:tc>
        <w:tc>
          <w:tcPr>
            <w:tcW w:w="1162" w:type="dxa"/>
            <w:tcBorders>
              <w:top w:val="nil"/>
              <w:bottom w:val="nil"/>
            </w:tcBorders>
          </w:tcPr>
          <w:p w14:paraId="11712723" w14:textId="59DE2ED7" w:rsidR="00C932DC" w:rsidRPr="00C932DC" w:rsidRDefault="00C932DC" w:rsidP="00C932DC">
            <w:pPr>
              <w:pStyle w:val="Tabletextboldleft"/>
              <w:spacing w:before="20" w:after="20"/>
              <w:jc w:val="right"/>
              <w:rPr>
                <w:b w:val="0"/>
              </w:rPr>
            </w:pPr>
            <w:r w:rsidRPr="00C932DC">
              <w:rPr>
                <w:b w:val="0"/>
                <w:color w:val="000000"/>
              </w:rPr>
              <w:t>$107,219</w:t>
            </w:r>
          </w:p>
        </w:tc>
        <w:tc>
          <w:tcPr>
            <w:tcW w:w="1162" w:type="dxa"/>
            <w:tcBorders>
              <w:top w:val="nil"/>
              <w:bottom w:val="nil"/>
            </w:tcBorders>
          </w:tcPr>
          <w:p w14:paraId="3CF71207" w14:textId="1444E32D" w:rsidR="00C932DC" w:rsidRPr="00C932DC" w:rsidRDefault="00C932DC" w:rsidP="00C932DC">
            <w:pPr>
              <w:pStyle w:val="Tabletextboldleft"/>
              <w:spacing w:before="20" w:after="20"/>
              <w:jc w:val="right"/>
              <w:rPr>
                <w:b w:val="0"/>
              </w:rPr>
            </w:pPr>
            <w:r w:rsidRPr="00C932DC">
              <w:rPr>
                <w:b w:val="0"/>
                <w:color w:val="000000"/>
              </w:rPr>
              <w:t>$108,391</w:t>
            </w:r>
          </w:p>
        </w:tc>
        <w:tc>
          <w:tcPr>
            <w:tcW w:w="1162" w:type="dxa"/>
            <w:tcBorders>
              <w:top w:val="nil"/>
              <w:bottom w:val="nil"/>
            </w:tcBorders>
          </w:tcPr>
          <w:p w14:paraId="6D7B65BD" w14:textId="7778EF45" w:rsidR="00C932DC" w:rsidRPr="00C932DC" w:rsidRDefault="00C932DC" w:rsidP="00C932DC">
            <w:pPr>
              <w:pStyle w:val="Tabletextboldleft"/>
              <w:spacing w:before="20" w:after="20"/>
              <w:jc w:val="right"/>
              <w:rPr>
                <w:b w:val="0"/>
              </w:rPr>
            </w:pPr>
            <w:r w:rsidRPr="00C932DC">
              <w:rPr>
                <w:b w:val="0"/>
                <w:color w:val="000000"/>
              </w:rPr>
              <w:t>$109,563</w:t>
            </w:r>
          </w:p>
        </w:tc>
        <w:tc>
          <w:tcPr>
            <w:tcW w:w="1162" w:type="dxa"/>
            <w:tcBorders>
              <w:top w:val="nil"/>
              <w:bottom w:val="nil"/>
            </w:tcBorders>
          </w:tcPr>
          <w:p w14:paraId="31FB03A4" w14:textId="4DD48DFD" w:rsidR="00C932DC" w:rsidRPr="00C932DC" w:rsidRDefault="00C932DC" w:rsidP="00C932DC">
            <w:pPr>
              <w:pStyle w:val="Tabletextboldleft"/>
              <w:spacing w:before="20" w:after="20"/>
              <w:jc w:val="right"/>
              <w:rPr>
                <w:b w:val="0"/>
              </w:rPr>
            </w:pPr>
            <w:r w:rsidRPr="00C932DC">
              <w:rPr>
                <w:b w:val="0"/>
                <w:color w:val="000000"/>
              </w:rPr>
              <w:t>$110,734</w:t>
            </w:r>
          </w:p>
        </w:tc>
        <w:tc>
          <w:tcPr>
            <w:tcW w:w="1163" w:type="dxa"/>
            <w:tcBorders>
              <w:top w:val="nil"/>
              <w:bottom w:val="nil"/>
            </w:tcBorders>
          </w:tcPr>
          <w:p w14:paraId="05C76759" w14:textId="42C7098F" w:rsidR="00C932DC" w:rsidRPr="00C932DC" w:rsidRDefault="00C932DC" w:rsidP="00C932DC">
            <w:pPr>
              <w:pStyle w:val="Tabletextboldleft"/>
              <w:spacing w:before="20" w:after="20"/>
              <w:jc w:val="right"/>
              <w:rPr>
                <w:b w:val="0"/>
              </w:rPr>
            </w:pPr>
            <w:r w:rsidRPr="00C932DC">
              <w:rPr>
                <w:b w:val="0"/>
                <w:color w:val="000000"/>
              </w:rPr>
              <w:t>$111,906</w:t>
            </w:r>
          </w:p>
        </w:tc>
      </w:tr>
      <w:tr w:rsidR="00C932DC" w:rsidRPr="00F647C7" w14:paraId="7CF25A5C" w14:textId="77777777" w:rsidTr="00E61184">
        <w:trPr>
          <w:trHeight w:val="212"/>
        </w:trPr>
        <w:tc>
          <w:tcPr>
            <w:tcW w:w="2552" w:type="dxa"/>
            <w:tcBorders>
              <w:top w:val="nil"/>
              <w:bottom w:val="nil"/>
            </w:tcBorders>
          </w:tcPr>
          <w:p w14:paraId="6C5B064E" w14:textId="77777777" w:rsidR="00C932DC" w:rsidRPr="00F411CD" w:rsidRDefault="00C932DC" w:rsidP="00C932DC">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7B0DDB03" w14:textId="213F93A6" w:rsidR="00C932DC" w:rsidRPr="00C932DC" w:rsidRDefault="00C932DC" w:rsidP="00C932DC">
            <w:pPr>
              <w:pStyle w:val="Tabletextboldleft"/>
              <w:spacing w:before="20" w:after="20"/>
              <w:jc w:val="right"/>
              <w:rPr>
                <w:b w:val="0"/>
              </w:rPr>
            </w:pPr>
            <w:r w:rsidRPr="00C932DC">
              <w:rPr>
                <w:b w:val="0"/>
                <w:color w:val="000000"/>
              </w:rPr>
              <w:t>$126,654</w:t>
            </w:r>
          </w:p>
        </w:tc>
        <w:tc>
          <w:tcPr>
            <w:tcW w:w="1162" w:type="dxa"/>
            <w:tcBorders>
              <w:top w:val="nil"/>
              <w:bottom w:val="nil"/>
            </w:tcBorders>
          </w:tcPr>
          <w:p w14:paraId="5D980BE2" w14:textId="436AD873" w:rsidR="00C932DC" w:rsidRPr="00C932DC" w:rsidRDefault="00C932DC" w:rsidP="00C932DC">
            <w:pPr>
              <w:pStyle w:val="Tabletextboldleft"/>
              <w:spacing w:before="20" w:after="20"/>
              <w:jc w:val="right"/>
              <w:rPr>
                <w:b w:val="0"/>
              </w:rPr>
            </w:pPr>
            <w:r w:rsidRPr="00C932DC">
              <w:rPr>
                <w:b w:val="0"/>
                <w:color w:val="000000"/>
              </w:rPr>
              <w:t>$128,038</w:t>
            </w:r>
          </w:p>
        </w:tc>
        <w:tc>
          <w:tcPr>
            <w:tcW w:w="1162" w:type="dxa"/>
            <w:tcBorders>
              <w:top w:val="nil"/>
              <w:bottom w:val="nil"/>
            </w:tcBorders>
          </w:tcPr>
          <w:p w14:paraId="2D0CB871" w14:textId="6332C796" w:rsidR="00C932DC" w:rsidRPr="00C932DC" w:rsidRDefault="00C932DC" w:rsidP="00C932DC">
            <w:pPr>
              <w:pStyle w:val="Tabletextboldleft"/>
              <w:spacing w:before="20" w:after="20"/>
              <w:jc w:val="right"/>
              <w:rPr>
                <w:b w:val="0"/>
              </w:rPr>
            </w:pPr>
            <w:r w:rsidRPr="00C932DC">
              <w:rPr>
                <w:b w:val="0"/>
                <w:color w:val="000000"/>
              </w:rPr>
              <w:t>$129,422</w:t>
            </w:r>
          </w:p>
        </w:tc>
        <w:tc>
          <w:tcPr>
            <w:tcW w:w="1162" w:type="dxa"/>
            <w:tcBorders>
              <w:top w:val="nil"/>
              <w:bottom w:val="nil"/>
            </w:tcBorders>
          </w:tcPr>
          <w:p w14:paraId="5C0C8AA2" w14:textId="13439719" w:rsidR="00C932DC" w:rsidRPr="00C932DC" w:rsidRDefault="00C932DC" w:rsidP="00C932DC">
            <w:pPr>
              <w:pStyle w:val="Tabletextboldleft"/>
              <w:spacing w:before="20" w:after="20"/>
              <w:jc w:val="right"/>
              <w:rPr>
                <w:b w:val="0"/>
              </w:rPr>
            </w:pPr>
            <w:r w:rsidRPr="00C932DC">
              <w:rPr>
                <w:b w:val="0"/>
                <w:color w:val="000000"/>
              </w:rPr>
              <w:t>$130,806</w:t>
            </w:r>
          </w:p>
        </w:tc>
        <w:tc>
          <w:tcPr>
            <w:tcW w:w="1163" w:type="dxa"/>
            <w:tcBorders>
              <w:top w:val="nil"/>
              <w:bottom w:val="nil"/>
            </w:tcBorders>
          </w:tcPr>
          <w:p w14:paraId="682F62E8" w14:textId="13125BEA" w:rsidR="00C932DC" w:rsidRPr="00C932DC" w:rsidRDefault="00C932DC" w:rsidP="00C932DC">
            <w:pPr>
              <w:pStyle w:val="Tabletextboldleft"/>
              <w:spacing w:before="20" w:after="20"/>
              <w:jc w:val="right"/>
              <w:rPr>
                <w:b w:val="0"/>
              </w:rPr>
            </w:pPr>
            <w:r w:rsidRPr="00C932DC">
              <w:rPr>
                <w:b w:val="0"/>
                <w:color w:val="000000"/>
              </w:rPr>
              <w:t>$132,190</w:t>
            </w:r>
          </w:p>
        </w:tc>
      </w:tr>
      <w:tr w:rsidR="00C932DC" w:rsidRPr="00F647C7" w14:paraId="2DA32515" w14:textId="77777777" w:rsidTr="00E61184">
        <w:trPr>
          <w:trHeight w:val="212"/>
        </w:trPr>
        <w:tc>
          <w:tcPr>
            <w:tcW w:w="2552" w:type="dxa"/>
            <w:tcBorders>
              <w:top w:val="nil"/>
            </w:tcBorders>
          </w:tcPr>
          <w:p w14:paraId="788173D4" w14:textId="77777777" w:rsidR="00C932DC" w:rsidRPr="00F411CD" w:rsidRDefault="00C932DC" w:rsidP="00C932DC">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tcBorders>
          </w:tcPr>
          <w:p w14:paraId="19458853" w14:textId="7EF90467" w:rsidR="00C932DC" w:rsidRPr="00C932DC" w:rsidRDefault="00C932DC" w:rsidP="00C932DC">
            <w:pPr>
              <w:pStyle w:val="Tabletextboldleft"/>
              <w:spacing w:before="20" w:after="20"/>
              <w:jc w:val="right"/>
              <w:rPr>
                <w:b w:val="0"/>
              </w:rPr>
            </w:pPr>
            <w:r w:rsidRPr="00C932DC">
              <w:rPr>
                <w:b w:val="0"/>
                <w:color w:val="000000"/>
              </w:rPr>
              <w:t>$45,596</w:t>
            </w:r>
          </w:p>
        </w:tc>
        <w:tc>
          <w:tcPr>
            <w:tcW w:w="1162" w:type="dxa"/>
            <w:tcBorders>
              <w:top w:val="nil"/>
            </w:tcBorders>
          </w:tcPr>
          <w:p w14:paraId="1B8B98D1" w14:textId="33E0CBB2" w:rsidR="00C932DC" w:rsidRPr="00C932DC" w:rsidRDefault="00C932DC" w:rsidP="00C932DC">
            <w:pPr>
              <w:pStyle w:val="Tabletextboldleft"/>
              <w:spacing w:before="20" w:after="20"/>
              <w:jc w:val="right"/>
              <w:rPr>
                <w:b w:val="0"/>
              </w:rPr>
            </w:pPr>
            <w:r w:rsidRPr="00C932DC">
              <w:rPr>
                <w:b w:val="0"/>
                <w:color w:val="000000"/>
              </w:rPr>
              <w:t>$46,094</w:t>
            </w:r>
          </w:p>
        </w:tc>
        <w:tc>
          <w:tcPr>
            <w:tcW w:w="1162" w:type="dxa"/>
            <w:tcBorders>
              <w:top w:val="nil"/>
            </w:tcBorders>
          </w:tcPr>
          <w:p w14:paraId="55725A66" w14:textId="7DEC09F4" w:rsidR="00C932DC" w:rsidRPr="00C932DC" w:rsidRDefault="00C932DC" w:rsidP="00C932DC">
            <w:pPr>
              <w:pStyle w:val="Tabletextboldleft"/>
              <w:spacing w:before="20" w:after="20"/>
              <w:jc w:val="right"/>
              <w:rPr>
                <w:b w:val="0"/>
              </w:rPr>
            </w:pPr>
            <w:r w:rsidRPr="00C932DC">
              <w:rPr>
                <w:b w:val="0"/>
                <w:color w:val="000000"/>
              </w:rPr>
              <w:t>$46,592</w:t>
            </w:r>
          </w:p>
        </w:tc>
        <w:tc>
          <w:tcPr>
            <w:tcW w:w="1162" w:type="dxa"/>
            <w:tcBorders>
              <w:top w:val="nil"/>
            </w:tcBorders>
          </w:tcPr>
          <w:p w14:paraId="1F02D80B" w14:textId="2DDA4490" w:rsidR="00C932DC" w:rsidRPr="00C932DC" w:rsidRDefault="00C932DC" w:rsidP="00C932DC">
            <w:pPr>
              <w:pStyle w:val="Tabletextboldleft"/>
              <w:spacing w:before="20" w:after="20"/>
              <w:jc w:val="right"/>
              <w:rPr>
                <w:b w:val="0"/>
              </w:rPr>
            </w:pPr>
            <w:r w:rsidRPr="00C932DC">
              <w:rPr>
                <w:b w:val="0"/>
                <w:color w:val="000000"/>
              </w:rPr>
              <w:t>$47,090</w:t>
            </w:r>
          </w:p>
        </w:tc>
        <w:tc>
          <w:tcPr>
            <w:tcW w:w="1163" w:type="dxa"/>
            <w:tcBorders>
              <w:top w:val="nil"/>
            </w:tcBorders>
          </w:tcPr>
          <w:p w14:paraId="4B26E16E" w14:textId="6FCA4E63" w:rsidR="00C932DC" w:rsidRPr="00C932DC" w:rsidRDefault="00C932DC" w:rsidP="00C932DC">
            <w:pPr>
              <w:pStyle w:val="Tabletextboldleft"/>
              <w:spacing w:before="20" w:after="20"/>
              <w:jc w:val="right"/>
              <w:rPr>
                <w:b w:val="0"/>
              </w:rPr>
            </w:pPr>
            <w:r w:rsidRPr="00C932DC">
              <w:rPr>
                <w:b w:val="0"/>
                <w:color w:val="000000"/>
              </w:rPr>
              <w:t>$47,589</w:t>
            </w:r>
          </w:p>
        </w:tc>
      </w:tr>
      <w:tr w:rsidR="00C932DC" w:rsidRPr="00F647C7" w14:paraId="318ECC76" w14:textId="77777777" w:rsidTr="00E61184">
        <w:trPr>
          <w:trHeight w:val="212"/>
        </w:trPr>
        <w:tc>
          <w:tcPr>
            <w:tcW w:w="2552" w:type="dxa"/>
          </w:tcPr>
          <w:p w14:paraId="66D27496" w14:textId="77777777" w:rsidR="00C932DC" w:rsidRPr="00C26CDD" w:rsidRDefault="00C932DC" w:rsidP="00C932DC">
            <w:pPr>
              <w:pStyle w:val="Tabletextboldleft"/>
              <w:spacing w:before="20" w:after="20"/>
              <w:rPr>
                <w:b w:val="0"/>
                <w:i/>
              </w:rPr>
            </w:pPr>
            <w:r>
              <w:rPr>
                <w:b w:val="0"/>
                <w:i/>
              </w:rPr>
              <w:t>Sub-t</w:t>
            </w:r>
            <w:r w:rsidRPr="00C26CDD">
              <w:rPr>
                <w:b w:val="0"/>
                <w:i/>
              </w:rPr>
              <w:t>otal (excluding gynaecological cytology)</w:t>
            </w:r>
          </w:p>
        </w:tc>
        <w:tc>
          <w:tcPr>
            <w:tcW w:w="1162" w:type="dxa"/>
          </w:tcPr>
          <w:p w14:paraId="32CF9627" w14:textId="3E04A5BD" w:rsidR="00C932DC" w:rsidRPr="00C932DC" w:rsidRDefault="00C932DC" w:rsidP="00C932DC">
            <w:pPr>
              <w:pStyle w:val="Tabletextboldleft"/>
              <w:spacing w:before="20" w:after="20"/>
              <w:jc w:val="right"/>
              <w:rPr>
                <w:b w:val="0"/>
                <w:i/>
              </w:rPr>
            </w:pPr>
            <w:r w:rsidRPr="00C932DC">
              <w:rPr>
                <w:b w:val="0"/>
                <w:i/>
                <w:color w:val="000000"/>
              </w:rPr>
              <w:t>$9,581,360</w:t>
            </w:r>
          </w:p>
        </w:tc>
        <w:tc>
          <w:tcPr>
            <w:tcW w:w="1162" w:type="dxa"/>
          </w:tcPr>
          <w:p w14:paraId="60C03314" w14:textId="51D3F4FF" w:rsidR="00C932DC" w:rsidRPr="00C932DC" w:rsidRDefault="00C932DC" w:rsidP="00C932DC">
            <w:pPr>
              <w:pStyle w:val="Tabletextboldleft"/>
              <w:spacing w:before="20" w:after="20"/>
              <w:jc w:val="right"/>
              <w:rPr>
                <w:b w:val="0"/>
                <w:i/>
              </w:rPr>
            </w:pPr>
            <w:r w:rsidRPr="00C932DC">
              <w:rPr>
                <w:b w:val="0"/>
                <w:i/>
                <w:color w:val="000000"/>
              </w:rPr>
              <w:t>$9,925,856</w:t>
            </w:r>
          </w:p>
        </w:tc>
        <w:tc>
          <w:tcPr>
            <w:tcW w:w="1162" w:type="dxa"/>
          </w:tcPr>
          <w:p w14:paraId="48746919" w14:textId="58EDAEBB" w:rsidR="00C932DC" w:rsidRPr="00C932DC" w:rsidRDefault="00C932DC" w:rsidP="00C932DC">
            <w:pPr>
              <w:pStyle w:val="Tabletextboldleft"/>
              <w:spacing w:before="20" w:after="20"/>
              <w:jc w:val="right"/>
              <w:rPr>
                <w:b w:val="0"/>
                <w:i/>
              </w:rPr>
            </w:pPr>
            <w:r w:rsidRPr="00C932DC">
              <w:rPr>
                <w:b w:val="0"/>
                <w:i/>
                <w:color w:val="000000"/>
              </w:rPr>
              <w:t>$10,270,360</w:t>
            </w:r>
          </w:p>
        </w:tc>
        <w:tc>
          <w:tcPr>
            <w:tcW w:w="1162" w:type="dxa"/>
          </w:tcPr>
          <w:p w14:paraId="34F0ADF6" w14:textId="29FD09E9" w:rsidR="00C932DC" w:rsidRPr="00C932DC" w:rsidRDefault="00C932DC" w:rsidP="00C932DC">
            <w:pPr>
              <w:pStyle w:val="Tabletextboldleft"/>
              <w:spacing w:before="20" w:after="20"/>
              <w:jc w:val="right"/>
              <w:rPr>
                <w:b w:val="0"/>
                <w:i/>
              </w:rPr>
            </w:pPr>
            <w:r w:rsidRPr="00C932DC">
              <w:rPr>
                <w:b w:val="0"/>
                <w:i/>
                <w:color w:val="000000"/>
              </w:rPr>
              <w:t>$10,614,865</w:t>
            </w:r>
          </w:p>
        </w:tc>
        <w:tc>
          <w:tcPr>
            <w:tcW w:w="1163" w:type="dxa"/>
          </w:tcPr>
          <w:p w14:paraId="104E93F5" w14:textId="0FBD78EA" w:rsidR="00C932DC" w:rsidRPr="00C932DC" w:rsidRDefault="00C932DC" w:rsidP="00C932DC">
            <w:pPr>
              <w:pStyle w:val="Tabletextboldleft"/>
              <w:spacing w:before="20" w:after="20"/>
              <w:jc w:val="right"/>
              <w:rPr>
                <w:b w:val="0"/>
                <w:i/>
              </w:rPr>
            </w:pPr>
            <w:r w:rsidRPr="00C932DC">
              <w:rPr>
                <w:b w:val="0"/>
                <w:i/>
                <w:color w:val="000000"/>
              </w:rPr>
              <w:t>$10,959,366</w:t>
            </w:r>
          </w:p>
        </w:tc>
      </w:tr>
      <w:tr w:rsidR="00C932DC" w:rsidRPr="00F647C7" w14:paraId="48B20FA6" w14:textId="77777777" w:rsidTr="00E61184">
        <w:trPr>
          <w:trHeight w:val="212"/>
        </w:trPr>
        <w:tc>
          <w:tcPr>
            <w:tcW w:w="2552" w:type="dxa"/>
          </w:tcPr>
          <w:p w14:paraId="4E469605" w14:textId="77777777" w:rsidR="00C932DC" w:rsidRPr="00C26CDD" w:rsidRDefault="00C932DC" w:rsidP="00C932DC">
            <w:pPr>
              <w:pStyle w:val="Tabletextboldleft"/>
              <w:spacing w:before="20" w:after="20"/>
              <w:rPr>
                <w:b w:val="0"/>
                <w:i/>
              </w:rPr>
            </w:pPr>
            <w:r>
              <w:rPr>
                <w:b w:val="0"/>
                <w:i/>
              </w:rPr>
              <w:t>Sub-t</w:t>
            </w:r>
            <w:r w:rsidRPr="00C26CDD">
              <w:rPr>
                <w:b w:val="0"/>
                <w:i/>
              </w:rPr>
              <w:t>otal (including all cytology)</w:t>
            </w:r>
          </w:p>
        </w:tc>
        <w:tc>
          <w:tcPr>
            <w:tcW w:w="1162" w:type="dxa"/>
          </w:tcPr>
          <w:p w14:paraId="04F61EC7" w14:textId="579C5657" w:rsidR="00C932DC" w:rsidRPr="00C932DC" w:rsidRDefault="00C932DC" w:rsidP="00C932DC">
            <w:pPr>
              <w:pStyle w:val="Tabletextboldleft"/>
              <w:spacing w:before="20" w:after="20"/>
              <w:jc w:val="right"/>
              <w:rPr>
                <w:b w:val="0"/>
                <w:i/>
              </w:rPr>
            </w:pPr>
            <w:r w:rsidRPr="00C932DC">
              <w:rPr>
                <w:b w:val="0"/>
                <w:i/>
                <w:color w:val="000000"/>
              </w:rPr>
              <w:t>$12,141,497</w:t>
            </w:r>
          </w:p>
        </w:tc>
        <w:tc>
          <w:tcPr>
            <w:tcW w:w="1162" w:type="dxa"/>
          </w:tcPr>
          <w:p w14:paraId="71076D6A" w14:textId="2A74E416" w:rsidR="00C932DC" w:rsidRPr="00C932DC" w:rsidRDefault="00C932DC" w:rsidP="00C932DC">
            <w:pPr>
              <w:pStyle w:val="Tabletextboldleft"/>
              <w:spacing w:before="20" w:after="20"/>
              <w:jc w:val="right"/>
              <w:rPr>
                <w:b w:val="0"/>
                <w:i/>
              </w:rPr>
            </w:pPr>
            <w:r w:rsidRPr="00C932DC">
              <w:rPr>
                <w:b w:val="0"/>
                <w:i/>
                <w:color w:val="000000"/>
              </w:rPr>
              <w:t>$12,507,314</w:t>
            </w:r>
          </w:p>
        </w:tc>
        <w:tc>
          <w:tcPr>
            <w:tcW w:w="1162" w:type="dxa"/>
          </w:tcPr>
          <w:p w14:paraId="44FD7365" w14:textId="1391F2D4" w:rsidR="00C932DC" w:rsidRPr="00C932DC" w:rsidRDefault="00C932DC" w:rsidP="00C932DC">
            <w:pPr>
              <w:pStyle w:val="Tabletextboldleft"/>
              <w:spacing w:before="20" w:after="20"/>
              <w:jc w:val="right"/>
              <w:rPr>
                <w:b w:val="0"/>
                <w:i/>
              </w:rPr>
            </w:pPr>
            <w:r w:rsidRPr="00C932DC">
              <w:rPr>
                <w:b w:val="0"/>
                <w:i/>
                <w:color w:val="000000"/>
              </w:rPr>
              <w:t>$12,873,137</w:t>
            </w:r>
          </w:p>
        </w:tc>
        <w:tc>
          <w:tcPr>
            <w:tcW w:w="1162" w:type="dxa"/>
          </w:tcPr>
          <w:p w14:paraId="4A40B525" w14:textId="42FBA38B" w:rsidR="00C932DC" w:rsidRPr="00C932DC" w:rsidRDefault="00C932DC" w:rsidP="00C932DC">
            <w:pPr>
              <w:pStyle w:val="Tabletextboldleft"/>
              <w:spacing w:before="20" w:after="20"/>
              <w:jc w:val="right"/>
              <w:rPr>
                <w:b w:val="0"/>
                <w:i/>
              </w:rPr>
            </w:pPr>
            <w:r w:rsidRPr="00C932DC">
              <w:rPr>
                <w:b w:val="0"/>
                <w:i/>
                <w:color w:val="000000"/>
              </w:rPr>
              <w:t>$13,238,960</w:t>
            </w:r>
          </w:p>
        </w:tc>
        <w:tc>
          <w:tcPr>
            <w:tcW w:w="1163" w:type="dxa"/>
          </w:tcPr>
          <w:p w14:paraId="2F7222E9" w14:textId="732219C1" w:rsidR="00C932DC" w:rsidRPr="00C932DC" w:rsidRDefault="00C932DC" w:rsidP="00C932DC">
            <w:pPr>
              <w:pStyle w:val="Tabletextboldleft"/>
              <w:spacing w:before="20" w:after="20"/>
              <w:jc w:val="right"/>
              <w:rPr>
                <w:b w:val="0"/>
                <w:i/>
              </w:rPr>
            </w:pPr>
            <w:r w:rsidRPr="00C932DC">
              <w:rPr>
                <w:b w:val="0"/>
                <w:i/>
                <w:color w:val="000000"/>
              </w:rPr>
              <w:t>$13,604,783</w:t>
            </w:r>
          </w:p>
        </w:tc>
      </w:tr>
      <w:tr w:rsidR="00B51828" w:rsidRPr="00F647C7" w14:paraId="5A760A2C" w14:textId="77777777" w:rsidTr="00E61184">
        <w:trPr>
          <w:trHeight w:val="212"/>
        </w:trPr>
        <w:tc>
          <w:tcPr>
            <w:tcW w:w="2552" w:type="dxa"/>
            <w:tcBorders>
              <w:bottom w:val="single" w:sz="4" w:space="0" w:color="auto"/>
            </w:tcBorders>
            <w:shd w:val="clear" w:color="auto" w:fill="D0CECE" w:themeFill="background2" w:themeFillShade="E6"/>
          </w:tcPr>
          <w:p w14:paraId="720F2653" w14:textId="77777777" w:rsidR="00B51828" w:rsidRPr="009D63D8" w:rsidRDefault="00B51828" w:rsidP="002101D2">
            <w:pPr>
              <w:pStyle w:val="Tabletextboldleft"/>
              <w:spacing w:before="20" w:after="20"/>
            </w:pPr>
            <w:r w:rsidRPr="009D63D8">
              <w:rPr>
                <w:i/>
              </w:rPr>
              <w:t>Scenario 2</w:t>
            </w:r>
          </w:p>
        </w:tc>
        <w:tc>
          <w:tcPr>
            <w:tcW w:w="1162" w:type="dxa"/>
            <w:tcBorders>
              <w:bottom w:val="single" w:sz="4" w:space="0" w:color="auto"/>
            </w:tcBorders>
            <w:shd w:val="clear" w:color="auto" w:fill="D0CECE" w:themeFill="background2" w:themeFillShade="E6"/>
          </w:tcPr>
          <w:p w14:paraId="4A3E21E2" w14:textId="77777777" w:rsidR="00B51828" w:rsidRPr="00C932DC" w:rsidRDefault="00B51828" w:rsidP="002101D2">
            <w:pPr>
              <w:pStyle w:val="Tabletextboldleft"/>
              <w:spacing w:before="20" w:after="20"/>
              <w:jc w:val="right"/>
              <w:rPr>
                <w:b w:val="0"/>
              </w:rPr>
            </w:pPr>
            <w:r w:rsidRPr="00C932DC">
              <w:rPr>
                <w:b w:val="0"/>
              </w:rPr>
              <w:t>-</w:t>
            </w:r>
          </w:p>
        </w:tc>
        <w:tc>
          <w:tcPr>
            <w:tcW w:w="1162" w:type="dxa"/>
            <w:tcBorders>
              <w:bottom w:val="single" w:sz="4" w:space="0" w:color="auto"/>
            </w:tcBorders>
            <w:shd w:val="clear" w:color="auto" w:fill="D0CECE" w:themeFill="background2" w:themeFillShade="E6"/>
          </w:tcPr>
          <w:p w14:paraId="4CA6ABF3" w14:textId="77777777" w:rsidR="00B51828" w:rsidRPr="00C932DC" w:rsidRDefault="00B51828" w:rsidP="002101D2">
            <w:pPr>
              <w:pStyle w:val="Tabletextboldleft"/>
              <w:spacing w:before="20" w:after="20"/>
              <w:jc w:val="right"/>
              <w:rPr>
                <w:b w:val="0"/>
              </w:rPr>
            </w:pPr>
            <w:r w:rsidRPr="00C932DC">
              <w:rPr>
                <w:b w:val="0"/>
              </w:rPr>
              <w:t>-</w:t>
            </w:r>
          </w:p>
        </w:tc>
        <w:tc>
          <w:tcPr>
            <w:tcW w:w="1162" w:type="dxa"/>
            <w:tcBorders>
              <w:bottom w:val="single" w:sz="4" w:space="0" w:color="auto"/>
            </w:tcBorders>
            <w:shd w:val="clear" w:color="auto" w:fill="D0CECE" w:themeFill="background2" w:themeFillShade="E6"/>
          </w:tcPr>
          <w:p w14:paraId="311F62BE" w14:textId="77777777" w:rsidR="00B51828" w:rsidRPr="00C932DC" w:rsidRDefault="00B51828" w:rsidP="002101D2">
            <w:pPr>
              <w:pStyle w:val="Tabletextboldleft"/>
              <w:spacing w:before="20" w:after="20"/>
              <w:jc w:val="right"/>
              <w:rPr>
                <w:b w:val="0"/>
              </w:rPr>
            </w:pPr>
            <w:r w:rsidRPr="00C932DC">
              <w:rPr>
                <w:b w:val="0"/>
              </w:rPr>
              <w:t>-</w:t>
            </w:r>
          </w:p>
        </w:tc>
        <w:tc>
          <w:tcPr>
            <w:tcW w:w="1162" w:type="dxa"/>
            <w:tcBorders>
              <w:bottom w:val="single" w:sz="4" w:space="0" w:color="auto"/>
            </w:tcBorders>
            <w:shd w:val="clear" w:color="auto" w:fill="D0CECE" w:themeFill="background2" w:themeFillShade="E6"/>
          </w:tcPr>
          <w:p w14:paraId="1C1BE838" w14:textId="77777777" w:rsidR="00B51828" w:rsidRPr="00C932DC" w:rsidRDefault="00B51828" w:rsidP="002101D2">
            <w:pPr>
              <w:pStyle w:val="Tabletextboldleft"/>
              <w:spacing w:before="20" w:after="20"/>
              <w:jc w:val="right"/>
              <w:rPr>
                <w:b w:val="0"/>
              </w:rPr>
            </w:pPr>
            <w:r w:rsidRPr="00C932DC">
              <w:rPr>
                <w:b w:val="0"/>
              </w:rPr>
              <w:t>-</w:t>
            </w:r>
          </w:p>
        </w:tc>
        <w:tc>
          <w:tcPr>
            <w:tcW w:w="1163" w:type="dxa"/>
            <w:tcBorders>
              <w:bottom w:val="single" w:sz="4" w:space="0" w:color="auto"/>
            </w:tcBorders>
            <w:shd w:val="clear" w:color="auto" w:fill="D0CECE" w:themeFill="background2" w:themeFillShade="E6"/>
          </w:tcPr>
          <w:p w14:paraId="75A873F9" w14:textId="77777777" w:rsidR="00B51828" w:rsidRPr="00C932DC" w:rsidRDefault="00B51828" w:rsidP="002101D2">
            <w:pPr>
              <w:pStyle w:val="Tabletextboldleft"/>
              <w:spacing w:before="20" w:after="20"/>
              <w:jc w:val="right"/>
              <w:rPr>
                <w:b w:val="0"/>
              </w:rPr>
            </w:pPr>
            <w:r w:rsidRPr="00C932DC">
              <w:rPr>
                <w:b w:val="0"/>
              </w:rPr>
              <w:t>-</w:t>
            </w:r>
          </w:p>
        </w:tc>
      </w:tr>
      <w:tr w:rsidR="00B51828" w:rsidRPr="00F647C7" w14:paraId="61102DF2" w14:textId="77777777" w:rsidTr="00E61184">
        <w:trPr>
          <w:trHeight w:val="212"/>
        </w:trPr>
        <w:tc>
          <w:tcPr>
            <w:tcW w:w="2552" w:type="dxa"/>
            <w:tcBorders>
              <w:bottom w:val="nil"/>
            </w:tcBorders>
          </w:tcPr>
          <w:p w14:paraId="7D71176B" w14:textId="77777777" w:rsidR="00B51828" w:rsidRPr="00F411CD" w:rsidRDefault="00B51828" w:rsidP="002101D2">
            <w:pPr>
              <w:pStyle w:val="Tabletextboldleft"/>
              <w:spacing w:before="20" w:after="20"/>
              <w:rPr>
                <w:b w:val="0"/>
              </w:rPr>
            </w:pPr>
            <w:r w:rsidRPr="00386763">
              <w:rPr>
                <w:b w:val="0"/>
              </w:rPr>
              <w:t>Tissue pathology</w:t>
            </w:r>
            <w:r w:rsidRPr="00386763">
              <w:rPr>
                <w:b w:val="0"/>
                <w:vertAlign w:val="superscript"/>
              </w:rPr>
              <w:t>a</w:t>
            </w:r>
          </w:p>
        </w:tc>
        <w:tc>
          <w:tcPr>
            <w:tcW w:w="1162" w:type="dxa"/>
            <w:tcBorders>
              <w:bottom w:val="nil"/>
            </w:tcBorders>
          </w:tcPr>
          <w:p w14:paraId="769C511D" w14:textId="77777777" w:rsidR="00B51828" w:rsidRPr="00C932DC" w:rsidRDefault="00B51828" w:rsidP="002101D2">
            <w:pPr>
              <w:pStyle w:val="Tabletextboldleft"/>
              <w:spacing w:before="20" w:after="20"/>
              <w:jc w:val="right"/>
              <w:rPr>
                <w:b w:val="0"/>
              </w:rPr>
            </w:pPr>
            <w:r w:rsidRPr="00C932DC">
              <w:rPr>
                <w:b w:val="0"/>
                <w:bCs/>
                <w:color w:val="000000"/>
              </w:rPr>
              <w:t>$2,673,673</w:t>
            </w:r>
          </w:p>
        </w:tc>
        <w:tc>
          <w:tcPr>
            <w:tcW w:w="1162" w:type="dxa"/>
            <w:tcBorders>
              <w:bottom w:val="nil"/>
            </w:tcBorders>
          </w:tcPr>
          <w:p w14:paraId="65E0BF71" w14:textId="77777777" w:rsidR="00B51828" w:rsidRPr="00C932DC" w:rsidRDefault="00B51828" w:rsidP="002101D2">
            <w:pPr>
              <w:pStyle w:val="Tabletextboldleft"/>
              <w:spacing w:before="20" w:after="20"/>
              <w:jc w:val="right"/>
              <w:rPr>
                <w:b w:val="0"/>
              </w:rPr>
            </w:pPr>
            <w:r w:rsidRPr="00C932DC">
              <w:rPr>
                <w:b w:val="0"/>
                <w:bCs/>
                <w:color w:val="000000"/>
              </w:rPr>
              <w:t>$2,770,546</w:t>
            </w:r>
          </w:p>
        </w:tc>
        <w:tc>
          <w:tcPr>
            <w:tcW w:w="1162" w:type="dxa"/>
            <w:tcBorders>
              <w:bottom w:val="nil"/>
            </w:tcBorders>
          </w:tcPr>
          <w:p w14:paraId="7A1D4044" w14:textId="77777777" w:rsidR="00B51828" w:rsidRPr="00C932DC" w:rsidRDefault="00B51828" w:rsidP="002101D2">
            <w:pPr>
              <w:pStyle w:val="Tabletextboldleft"/>
              <w:spacing w:before="20" w:after="20"/>
              <w:jc w:val="right"/>
              <w:rPr>
                <w:b w:val="0"/>
              </w:rPr>
            </w:pPr>
            <w:r w:rsidRPr="00C932DC">
              <w:rPr>
                <w:b w:val="0"/>
                <w:bCs/>
                <w:color w:val="000000"/>
              </w:rPr>
              <w:t>$2,867,422</w:t>
            </w:r>
          </w:p>
        </w:tc>
        <w:tc>
          <w:tcPr>
            <w:tcW w:w="1162" w:type="dxa"/>
            <w:tcBorders>
              <w:bottom w:val="nil"/>
            </w:tcBorders>
          </w:tcPr>
          <w:p w14:paraId="4F377853" w14:textId="77777777" w:rsidR="00B51828" w:rsidRPr="00C932DC" w:rsidRDefault="00B51828" w:rsidP="002101D2">
            <w:pPr>
              <w:pStyle w:val="Tabletextboldleft"/>
              <w:spacing w:before="20" w:after="20"/>
              <w:jc w:val="right"/>
              <w:rPr>
                <w:b w:val="0"/>
              </w:rPr>
            </w:pPr>
            <w:r w:rsidRPr="00C932DC">
              <w:rPr>
                <w:b w:val="0"/>
                <w:bCs/>
                <w:color w:val="000000"/>
              </w:rPr>
              <w:t>$2,964,298</w:t>
            </w:r>
          </w:p>
        </w:tc>
        <w:tc>
          <w:tcPr>
            <w:tcW w:w="1163" w:type="dxa"/>
            <w:tcBorders>
              <w:bottom w:val="nil"/>
            </w:tcBorders>
          </w:tcPr>
          <w:p w14:paraId="1E0FD94D" w14:textId="77777777" w:rsidR="00B51828" w:rsidRPr="00C932DC" w:rsidRDefault="00B51828" w:rsidP="002101D2">
            <w:pPr>
              <w:pStyle w:val="Tabletextboldleft"/>
              <w:spacing w:before="20" w:after="20"/>
              <w:jc w:val="right"/>
              <w:rPr>
                <w:b w:val="0"/>
              </w:rPr>
            </w:pPr>
            <w:r w:rsidRPr="00C932DC">
              <w:rPr>
                <w:b w:val="0"/>
                <w:bCs/>
                <w:color w:val="000000"/>
              </w:rPr>
              <w:t>$3,061,172</w:t>
            </w:r>
          </w:p>
        </w:tc>
      </w:tr>
      <w:tr w:rsidR="00B51828" w:rsidRPr="00F647C7" w14:paraId="445D110D" w14:textId="77777777" w:rsidTr="00E61184">
        <w:trPr>
          <w:trHeight w:val="212"/>
        </w:trPr>
        <w:tc>
          <w:tcPr>
            <w:tcW w:w="2552" w:type="dxa"/>
            <w:tcBorders>
              <w:top w:val="nil"/>
              <w:bottom w:val="nil"/>
            </w:tcBorders>
          </w:tcPr>
          <w:p w14:paraId="44BF87FD" w14:textId="77777777" w:rsidR="00B51828" w:rsidRDefault="00B51828" w:rsidP="002101D2">
            <w:pPr>
              <w:pStyle w:val="Tabletextboldleft"/>
              <w:spacing w:before="20" w:after="20"/>
              <w:ind w:firstLine="317"/>
              <w:rPr>
                <w:b w:val="0"/>
              </w:rPr>
            </w:pPr>
            <w:r>
              <w:rPr>
                <w:b w:val="0"/>
              </w:rPr>
              <w:t>Second, expert opinion</w:t>
            </w:r>
          </w:p>
        </w:tc>
        <w:tc>
          <w:tcPr>
            <w:tcW w:w="1162" w:type="dxa"/>
            <w:tcBorders>
              <w:top w:val="nil"/>
              <w:bottom w:val="nil"/>
            </w:tcBorders>
          </w:tcPr>
          <w:p w14:paraId="02D0BE0B" w14:textId="77777777" w:rsidR="00B51828" w:rsidRPr="00C932DC" w:rsidRDefault="00B51828" w:rsidP="002101D2">
            <w:pPr>
              <w:pStyle w:val="Tabletextboldleft"/>
              <w:spacing w:before="20" w:after="20"/>
              <w:jc w:val="right"/>
              <w:rPr>
                <w:b w:val="0"/>
              </w:rPr>
            </w:pPr>
            <w:r w:rsidRPr="00C932DC">
              <w:rPr>
                <w:b w:val="0"/>
                <w:color w:val="000000"/>
              </w:rPr>
              <w:t>$2,290,025</w:t>
            </w:r>
          </w:p>
        </w:tc>
        <w:tc>
          <w:tcPr>
            <w:tcW w:w="1162" w:type="dxa"/>
            <w:tcBorders>
              <w:top w:val="nil"/>
              <w:bottom w:val="nil"/>
            </w:tcBorders>
          </w:tcPr>
          <w:p w14:paraId="1D176A44" w14:textId="77777777" w:rsidR="00B51828" w:rsidRPr="00C932DC" w:rsidRDefault="00B51828" w:rsidP="002101D2">
            <w:pPr>
              <w:pStyle w:val="Tabletextboldleft"/>
              <w:spacing w:before="20" w:after="20"/>
              <w:jc w:val="right"/>
              <w:rPr>
                <w:b w:val="0"/>
              </w:rPr>
            </w:pPr>
            <w:r w:rsidRPr="00C932DC">
              <w:rPr>
                <w:b w:val="0"/>
                <w:color w:val="000000"/>
              </w:rPr>
              <w:t>$2,372,998</w:t>
            </w:r>
          </w:p>
        </w:tc>
        <w:tc>
          <w:tcPr>
            <w:tcW w:w="1162" w:type="dxa"/>
            <w:tcBorders>
              <w:top w:val="nil"/>
              <w:bottom w:val="nil"/>
            </w:tcBorders>
          </w:tcPr>
          <w:p w14:paraId="26546403" w14:textId="77777777" w:rsidR="00B51828" w:rsidRPr="00C932DC" w:rsidRDefault="00B51828" w:rsidP="002101D2">
            <w:pPr>
              <w:pStyle w:val="Tabletextboldleft"/>
              <w:spacing w:before="20" w:after="20"/>
              <w:jc w:val="right"/>
              <w:rPr>
                <w:b w:val="0"/>
              </w:rPr>
            </w:pPr>
            <w:r w:rsidRPr="00C932DC">
              <w:rPr>
                <w:b w:val="0"/>
                <w:color w:val="000000"/>
              </w:rPr>
              <w:t>$2,455,973</w:t>
            </w:r>
          </w:p>
        </w:tc>
        <w:tc>
          <w:tcPr>
            <w:tcW w:w="1162" w:type="dxa"/>
            <w:tcBorders>
              <w:top w:val="nil"/>
              <w:bottom w:val="nil"/>
            </w:tcBorders>
          </w:tcPr>
          <w:p w14:paraId="0E8D7F24" w14:textId="77777777" w:rsidR="00B51828" w:rsidRPr="00C932DC" w:rsidRDefault="00B51828" w:rsidP="002101D2">
            <w:pPr>
              <w:pStyle w:val="Tabletextboldleft"/>
              <w:spacing w:before="20" w:after="20"/>
              <w:jc w:val="right"/>
              <w:rPr>
                <w:b w:val="0"/>
              </w:rPr>
            </w:pPr>
            <w:r w:rsidRPr="00C932DC">
              <w:rPr>
                <w:b w:val="0"/>
                <w:color w:val="000000"/>
              </w:rPr>
              <w:t>$2,538,948</w:t>
            </w:r>
          </w:p>
        </w:tc>
        <w:tc>
          <w:tcPr>
            <w:tcW w:w="1163" w:type="dxa"/>
            <w:tcBorders>
              <w:top w:val="nil"/>
              <w:bottom w:val="nil"/>
            </w:tcBorders>
          </w:tcPr>
          <w:p w14:paraId="65533675" w14:textId="77777777" w:rsidR="00B51828" w:rsidRPr="00C932DC" w:rsidRDefault="00B51828" w:rsidP="002101D2">
            <w:pPr>
              <w:pStyle w:val="Tabletextboldleft"/>
              <w:spacing w:before="20" w:after="20"/>
              <w:jc w:val="right"/>
              <w:rPr>
                <w:b w:val="0"/>
              </w:rPr>
            </w:pPr>
            <w:r w:rsidRPr="00C932DC">
              <w:rPr>
                <w:b w:val="0"/>
                <w:color w:val="000000"/>
              </w:rPr>
              <w:t>$2,621,922</w:t>
            </w:r>
          </w:p>
        </w:tc>
      </w:tr>
      <w:tr w:rsidR="00B51828" w:rsidRPr="00F647C7" w14:paraId="4F53FE7A" w14:textId="77777777" w:rsidTr="00E61184">
        <w:trPr>
          <w:trHeight w:val="212"/>
        </w:trPr>
        <w:tc>
          <w:tcPr>
            <w:tcW w:w="2552" w:type="dxa"/>
            <w:tcBorders>
              <w:top w:val="nil"/>
              <w:bottom w:val="nil"/>
            </w:tcBorders>
          </w:tcPr>
          <w:p w14:paraId="416404CD" w14:textId="77777777" w:rsidR="00B51828" w:rsidRPr="00F411CD" w:rsidRDefault="00B51828" w:rsidP="002101D2">
            <w:pPr>
              <w:pStyle w:val="Tabletextboldleft"/>
              <w:spacing w:before="20" w:after="20"/>
              <w:ind w:firstLine="317"/>
              <w:rPr>
                <w:b w:val="0"/>
              </w:rPr>
            </w:pPr>
            <w:r>
              <w:rPr>
                <w:b w:val="0"/>
              </w:rPr>
              <w:t>Ancillary tests</w:t>
            </w:r>
          </w:p>
        </w:tc>
        <w:tc>
          <w:tcPr>
            <w:tcW w:w="1162" w:type="dxa"/>
            <w:tcBorders>
              <w:top w:val="nil"/>
              <w:bottom w:val="nil"/>
            </w:tcBorders>
          </w:tcPr>
          <w:p w14:paraId="35190796" w14:textId="77777777" w:rsidR="00B51828" w:rsidRPr="00C932DC" w:rsidRDefault="00B51828" w:rsidP="002101D2">
            <w:pPr>
              <w:pStyle w:val="Tabletextboldleft"/>
              <w:spacing w:before="20" w:after="20"/>
              <w:jc w:val="right"/>
              <w:rPr>
                <w:b w:val="0"/>
              </w:rPr>
            </w:pPr>
            <w:r w:rsidRPr="00C932DC">
              <w:rPr>
                <w:b w:val="0"/>
                <w:color w:val="000000"/>
              </w:rPr>
              <w:t>$248,372</w:t>
            </w:r>
          </w:p>
        </w:tc>
        <w:tc>
          <w:tcPr>
            <w:tcW w:w="1162" w:type="dxa"/>
            <w:tcBorders>
              <w:top w:val="nil"/>
              <w:bottom w:val="nil"/>
            </w:tcBorders>
          </w:tcPr>
          <w:p w14:paraId="1C44DA8A" w14:textId="77777777" w:rsidR="00B51828" w:rsidRPr="00C932DC" w:rsidRDefault="00B51828" w:rsidP="002101D2">
            <w:pPr>
              <w:pStyle w:val="Tabletextboldleft"/>
              <w:spacing w:before="20" w:after="20"/>
              <w:jc w:val="right"/>
              <w:rPr>
                <w:b w:val="0"/>
              </w:rPr>
            </w:pPr>
            <w:r w:rsidRPr="00C932DC">
              <w:rPr>
                <w:b w:val="0"/>
                <w:color w:val="000000"/>
              </w:rPr>
              <w:t>$257,371</w:t>
            </w:r>
          </w:p>
        </w:tc>
        <w:tc>
          <w:tcPr>
            <w:tcW w:w="1162" w:type="dxa"/>
            <w:tcBorders>
              <w:top w:val="nil"/>
              <w:bottom w:val="nil"/>
            </w:tcBorders>
          </w:tcPr>
          <w:p w14:paraId="188099D5" w14:textId="77777777" w:rsidR="00B51828" w:rsidRPr="00C932DC" w:rsidRDefault="00B51828" w:rsidP="002101D2">
            <w:pPr>
              <w:pStyle w:val="Tabletextboldleft"/>
              <w:spacing w:before="20" w:after="20"/>
              <w:jc w:val="right"/>
              <w:rPr>
                <w:b w:val="0"/>
              </w:rPr>
            </w:pPr>
            <w:r w:rsidRPr="00C932DC">
              <w:rPr>
                <w:b w:val="0"/>
                <w:color w:val="000000"/>
              </w:rPr>
              <w:t>$266,371</w:t>
            </w:r>
          </w:p>
        </w:tc>
        <w:tc>
          <w:tcPr>
            <w:tcW w:w="1162" w:type="dxa"/>
            <w:tcBorders>
              <w:top w:val="nil"/>
              <w:bottom w:val="nil"/>
            </w:tcBorders>
          </w:tcPr>
          <w:p w14:paraId="189A2E9D" w14:textId="77777777" w:rsidR="00B51828" w:rsidRPr="00C932DC" w:rsidRDefault="00B51828" w:rsidP="002101D2">
            <w:pPr>
              <w:pStyle w:val="Tabletextboldleft"/>
              <w:spacing w:before="20" w:after="20"/>
              <w:jc w:val="right"/>
              <w:rPr>
                <w:b w:val="0"/>
              </w:rPr>
            </w:pPr>
            <w:r w:rsidRPr="00C932DC">
              <w:rPr>
                <w:b w:val="0"/>
                <w:color w:val="000000"/>
              </w:rPr>
              <w:t>$275,370</w:t>
            </w:r>
          </w:p>
        </w:tc>
        <w:tc>
          <w:tcPr>
            <w:tcW w:w="1163" w:type="dxa"/>
            <w:tcBorders>
              <w:top w:val="nil"/>
              <w:bottom w:val="nil"/>
            </w:tcBorders>
          </w:tcPr>
          <w:p w14:paraId="6DFAF348" w14:textId="77777777" w:rsidR="00B51828" w:rsidRPr="00C932DC" w:rsidRDefault="00B51828" w:rsidP="002101D2">
            <w:pPr>
              <w:pStyle w:val="Tabletextboldleft"/>
              <w:spacing w:before="20" w:after="20"/>
              <w:jc w:val="right"/>
              <w:rPr>
                <w:b w:val="0"/>
              </w:rPr>
            </w:pPr>
            <w:r w:rsidRPr="00C932DC">
              <w:rPr>
                <w:b w:val="0"/>
                <w:color w:val="000000"/>
              </w:rPr>
              <w:t>$284,369</w:t>
            </w:r>
          </w:p>
        </w:tc>
      </w:tr>
      <w:tr w:rsidR="00B51828" w:rsidRPr="00F647C7" w14:paraId="4ED785A2" w14:textId="77777777" w:rsidTr="00E61184">
        <w:trPr>
          <w:trHeight w:val="212"/>
        </w:trPr>
        <w:tc>
          <w:tcPr>
            <w:tcW w:w="2552" w:type="dxa"/>
            <w:tcBorders>
              <w:top w:val="nil"/>
              <w:bottom w:val="nil"/>
            </w:tcBorders>
          </w:tcPr>
          <w:p w14:paraId="645668C2" w14:textId="77777777" w:rsidR="00B51828" w:rsidRPr="00F411CD" w:rsidRDefault="00B51828" w:rsidP="002101D2">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61FDBD88" w14:textId="77777777" w:rsidR="00B51828" w:rsidRPr="00C932DC" w:rsidRDefault="00B51828" w:rsidP="002101D2">
            <w:pPr>
              <w:pStyle w:val="Tabletextboldleft"/>
              <w:spacing w:before="20" w:after="20"/>
              <w:jc w:val="right"/>
              <w:rPr>
                <w:b w:val="0"/>
              </w:rPr>
            </w:pPr>
            <w:r w:rsidRPr="00C932DC">
              <w:rPr>
                <w:b w:val="0"/>
                <w:color w:val="000000"/>
              </w:rPr>
              <w:t>$99,467</w:t>
            </w:r>
          </w:p>
        </w:tc>
        <w:tc>
          <w:tcPr>
            <w:tcW w:w="1162" w:type="dxa"/>
            <w:tcBorders>
              <w:top w:val="nil"/>
              <w:bottom w:val="nil"/>
            </w:tcBorders>
          </w:tcPr>
          <w:p w14:paraId="5E5CE930" w14:textId="77777777" w:rsidR="00B51828" w:rsidRPr="00C932DC" w:rsidRDefault="00B51828" w:rsidP="002101D2">
            <w:pPr>
              <w:pStyle w:val="Tabletextboldleft"/>
              <w:spacing w:before="20" w:after="20"/>
              <w:jc w:val="right"/>
              <w:rPr>
                <w:b w:val="0"/>
              </w:rPr>
            </w:pPr>
            <w:r w:rsidRPr="00C932DC">
              <w:rPr>
                <w:b w:val="0"/>
                <w:color w:val="000000"/>
              </w:rPr>
              <w:t>$103,071</w:t>
            </w:r>
          </w:p>
        </w:tc>
        <w:tc>
          <w:tcPr>
            <w:tcW w:w="1162" w:type="dxa"/>
            <w:tcBorders>
              <w:top w:val="nil"/>
              <w:bottom w:val="nil"/>
            </w:tcBorders>
          </w:tcPr>
          <w:p w14:paraId="2D6ACE06" w14:textId="77777777" w:rsidR="00B51828" w:rsidRPr="00C932DC" w:rsidRDefault="00B51828" w:rsidP="002101D2">
            <w:pPr>
              <w:pStyle w:val="Tabletextboldleft"/>
              <w:spacing w:before="20" w:after="20"/>
              <w:jc w:val="right"/>
              <w:rPr>
                <w:b w:val="0"/>
              </w:rPr>
            </w:pPr>
            <w:r w:rsidRPr="00C932DC">
              <w:rPr>
                <w:b w:val="0"/>
                <w:color w:val="000000"/>
              </w:rPr>
              <w:t>$106,675</w:t>
            </w:r>
          </w:p>
        </w:tc>
        <w:tc>
          <w:tcPr>
            <w:tcW w:w="1162" w:type="dxa"/>
            <w:tcBorders>
              <w:top w:val="nil"/>
              <w:bottom w:val="nil"/>
            </w:tcBorders>
          </w:tcPr>
          <w:p w14:paraId="756E921F" w14:textId="77777777" w:rsidR="00B51828" w:rsidRPr="00C932DC" w:rsidRDefault="00B51828" w:rsidP="002101D2">
            <w:pPr>
              <w:pStyle w:val="Tabletextboldleft"/>
              <w:spacing w:before="20" w:after="20"/>
              <w:jc w:val="right"/>
              <w:rPr>
                <w:b w:val="0"/>
              </w:rPr>
            </w:pPr>
            <w:r w:rsidRPr="00C932DC">
              <w:rPr>
                <w:b w:val="0"/>
                <w:color w:val="000000"/>
              </w:rPr>
              <w:t>$110,279</w:t>
            </w:r>
          </w:p>
        </w:tc>
        <w:tc>
          <w:tcPr>
            <w:tcW w:w="1163" w:type="dxa"/>
            <w:tcBorders>
              <w:top w:val="nil"/>
              <w:bottom w:val="nil"/>
            </w:tcBorders>
          </w:tcPr>
          <w:p w14:paraId="2DE89637" w14:textId="77777777" w:rsidR="00B51828" w:rsidRPr="00C932DC" w:rsidRDefault="00B51828" w:rsidP="002101D2">
            <w:pPr>
              <w:pStyle w:val="Tabletextboldleft"/>
              <w:spacing w:before="20" w:after="20"/>
              <w:jc w:val="right"/>
              <w:rPr>
                <w:b w:val="0"/>
              </w:rPr>
            </w:pPr>
            <w:r w:rsidRPr="00C932DC">
              <w:rPr>
                <w:b w:val="0"/>
                <w:color w:val="000000"/>
              </w:rPr>
              <w:t>$113,883</w:t>
            </w:r>
          </w:p>
        </w:tc>
      </w:tr>
      <w:tr w:rsidR="00B51828" w:rsidRPr="00F647C7" w14:paraId="0EA71DFD" w14:textId="77777777" w:rsidTr="00E61184">
        <w:trPr>
          <w:trHeight w:val="212"/>
        </w:trPr>
        <w:tc>
          <w:tcPr>
            <w:tcW w:w="2552" w:type="dxa"/>
            <w:tcBorders>
              <w:top w:val="nil"/>
              <w:bottom w:val="single" w:sz="4" w:space="0" w:color="auto"/>
            </w:tcBorders>
          </w:tcPr>
          <w:p w14:paraId="3D2E86E5" w14:textId="77777777" w:rsidR="00B51828" w:rsidRPr="00F411CD" w:rsidRDefault="00B51828" w:rsidP="002101D2">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bottom w:val="single" w:sz="4" w:space="0" w:color="auto"/>
            </w:tcBorders>
          </w:tcPr>
          <w:p w14:paraId="3CF9E060" w14:textId="77777777" w:rsidR="00B51828" w:rsidRPr="00C932DC" w:rsidRDefault="00B51828" w:rsidP="002101D2">
            <w:pPr>
              <w:pStyle w:val="Tabletextboldleft"/>
              <w:spacing w:before="20" w:after="20"/>
              <w:jc w:val="right"/>
              <w:rPr>
                <w:b w:val="0"/>
              </w:rPr>
            </w:pPr>
            <w:r w:rsidRPr="00C932DC">
              <w:rPr>
                <w:b w:val="0"/>
                <w:color w:val="000000"/>
              </w:rPr>
              <w:t>$35,808</w:t>
            </w:r>
          </w:p>
        </w:tc>
        <w:tc>
          <w:tcPr>
            <w:tcW w:w="1162" w:type="dxa"/>
            <w:tcBorders>
              <w:top w:val="nil"/>
              <w:bottom w:val="single" w:sz="4" w:space="0" w:color="auto"/>
            </w:tcBorders>
          </w:tcPr>
          <w:p w14:paraId="59218CE7" w14:textId="77777777" w:rsidR="00B51828" w:rsidRPr="00C932DC" w:rsidRDefault="00B51828" w:rsidP="002101D2">
            <w:pPr>
              <w:pStyle w:val="Tabletextboldleft"/>
              <w:spacing w:before="20" w:after="20"/>
              <w:jc w:val="right"/>
              <w:rPr>
                <w:b w:val="0"/>
              </w:rPr>
            </w:pPr>
            <w:r w:rsidRPr="00C932DC">
              <w:rPr>
                <w:b w:val="0"/>
                <w:color w:val="000000"/>
              </w:rPr>
              <w:t>$37,106</w:t>
            </w:r>
          </w:p>
        </w:tc>
        <w:tc>
          <w:tcPr>
            <w:tcW w:w="1162" w:type="dxa"/>
            <w:tcBorders>
              <w:top w:val="nil"/>
              <w:bottom w:val="single" w:sz="4" w:space="0" w:color="auto"/>
            </w:tcBorders>
          </w:tcPr>
          <w:p w14:paraId="77276570" w14:textId="77777777" w:rsidR="00B51828" w:rsidRPr="00C932DC" w:rsidRDefault="00B51828" w:rsidP="002101D2">
            <w:pPr>
              <w:pStyle w:val="Tabletextboldleft"/>
              <w:spacing w:before="20" w:after="20"/>
              <w:jc w:val="right"/>
              <w:rPr>
                <w:b w:val="0"/>
              </w:rPr>
            </w:pPr>
            <w:r w:rsidRPr="00C932DC">
              <w:rPr>
                <w:b w:val="0"/>
                <w:color w:val="000000"/>
              </w:rPr>
              <w:t>$38,403</w:t>
            </w:r>
          </w:p>
        </w:tc>
        <w:tc>
          <w:tcPr>
            <w:tcW w:w="1162" w:type="dxa"/>
            <w:tcBorders>
              <w:top w:val="nil"/>
              <w:bottom w:val="single" w:sz="4" w:space="0" w:color="auto"/>
            </w:tcBorders>
          </w:tcPr>
          <w:p w14:paraId="3D6B6CA1" w14:textId="77777777" w:rsidR="00B51828" w:rsidRPr="00C932DC" w:rsidRDefault="00B51828" w:rsidP="002101D2">
            <w:pPr>
              <w:pStyle w:val="Tabletextboldleft"/>
              <w:spacing w:before="20" w:after="20"/>
              <w:jc w:val="right"/>
              <w:rPr>
                <w:b w:val="0"/>
              </w:rPr>
            </w:pPr>
            <w:r w:rsidRPr="00C932DC">
              <w:rPr>
                <w:b w:val="0"/>
                <w:color w:val="000000"/>
              </w:rPr>
              <w:t>$39,701</w:t>
            </w:r>
          </w:p>
        </w:tc>
        <w:tc>
          <w:tcPr>
            <w:tcW w:w="1163" w:type="dxa"/>
            <w:tcBorders>
              <w:top w:val="nil"/>
              <w:bottom w:val="single" w:sz="4" w:space="0" w:color="auto"/>
            </w:tcBorders>
          </w:tcPr>
          <w:p w14:paraId="5D33288A" w14:textId="77777777" w:rsidR="00B51828" w:rsidRPr="00C932DC" w:rsidRDefault="00B51828" w:rsidP="002101D2">
            <w:pPr>
              <w:pStyle w:val="Tabletextboldleft"/>
              <w:spacing w:before="20" w:after="20"/>
              <w:jc w:val="right"/>
              <w:rPr>
                <w:b w:val="0"/>
              </w:rPr>
            </w:pPr>
            <w:r w:rsidRPr="00C932DC">
              <w:rPr>
                <w:b w:val="0"/>
                <w:color w:val="000000"/>
              </w:rPr>
              <w:t>$40,998</w:t>
            </w:r>
          </w:p>
        </w:tc>
      </w:tr>
      <w:tr w:rsidR="00C932DC" w:rsidRPr="00F647C7" w14:paraId="0BF6A0E4" w14:textId="77777777" w:rsidTr="00E61184">
        <w:trPr>
          <w:trHeight w:val="212"/>
        </w:trPr>
        <w:tc>
          <w:tcPr>
            <w:tcW w:w="2552" w:type="dxa"/>
            <w:tcBorders>
              <w:bottom w:val="nil"/>
            </w:tcBorders>
          </w:tcPr>
          <w:p w14:paraId="3C361CF2" w14:textId="77777777" w:rsidR="00C932DC" w:rsidRPr="00F411CD" w:rsidRDefault="00C932DC" w:rsidP="00C932DC">
            <w:pPr>
              <w:pStyle w:val="Tabletextboldleft"/>
              <w:spacing w:before="20" w:after="20"/>
              <w:rPr>
                <w:b w:val="0"/>
              </w:rPr>
            </w:pPr>
            <w:r w:rsidRPr="00F411CD">
              <w:rPr>
                <w:b w:val="0"/>
              </w:rPr>
              <w:t>Non-gynaecological cytology</w:t>
            </w:r>
          </w:p>
        </w:tc>
        <w:tc>
          <w:tcPr>
            <w:tcW w:w="1162" w:type="dxa"/>
            <w:tcBorders>
              <w:bottom w:val="nil"/>
            </w:tcBorders>
          </w:tcPr>
          <w:p w14:paraId="030145F0" w14:textId="0E7B7C37" w:rsidR="00C932DC" w:rsidRPr="00C932DC" w:rsidRDefault="00C932DC" w:rsidP="00C932DC">
            <w:pPr>
              <w:pStyle w:val="Tabletextboldleft"/>
              <w:spacing w:before="20" w:after="20"/>
              <w:jc w:val="right"/>
              <w:rPr>
                <w:b w:val="0"/>
              </w:rPr>
            </w:pPr>
            <w:r w:rsidRPr="00C932DC">
              <w:rPr>
                <w:b w:val="0"/>
                <w:bCs/>
                <w:color w:val="000000"/>
              </w:rPr>
              <w:t>$250,059</w:t>
            </w:r>
          </w:p>
        </w:tc>
        <w:tc>
          <w:tcPr>
            <w:tcW w:w="1162" w:type="dxa"/>
            <w:tcBorders>
              <w:bottom w:val="nil"/>
            </w:tcBorders>
          </w:tcPr>
          <w:p w14:paraId="62E4A961" w14:textId="1D170220" w:rsidR="00C932DC" w:rsidRPr="00C932DC" w:rsidRDefault="00C932DC" w:rsidP="00C932DC">
            <w:pPr>
              <w:pStyle w:val="Tabletextboldleft"/>
              <w:spacing w:before="20" w:after="20"/>
              <w:jc w:val="right"/>
              <w:rPr>
                <w:b w:val="0"/>
              </w:rPr>
            </w:pPr>
            <w:r w:rsidRPr="00C932DC">
              <w:rPr>
                <w:b w:val="0"/>
                <w:bCs/>
                <w:color w:val="000000"/>
              </w:rPr>
              <w:t>$257,313</w:t>
            </w:r>
          </w:p>
        </w:tc>
        <w:tc>
          <w:tcPr>
            <w:tcW w:w="1162" w:type="dxa"/>
            <w:tcBorders>
              <w:bottom w:val="nil"/>
            </w:tcBorders>
          </w:tcPr>
          <w:p w14:paraId="7942D9FC" w14:textId="5F3FD908" w:rsidR="00C932DC" w:rsidRPr="00C932DC" w:rsidRDefault="00C932DC" w:rsidP="00C932DC">
            <w:pPr>
              <w:pStyle w:val="Tabletextboldleft"/>
              <w:spacing w:before="20" w:after="20"/>
              <w:jc w:val="right"/>
              <w:rPr>
                <w:b w:val="0"/>
              </w:rPr>
            </w:pPr>
            <w:r w:rsidRPr="00C932DC">
              <w:rPr>
                <w:b w:val="0"/>
                <w:bCs/>
                <w:color w:val="000000"/>
              </w:rPr>
              <w:t>$264,567</w:t>
            </w:r>
          </w:p>
        </w:tc>
        <w:tc>
          <w:tcPr>
            <w:tcW w:w="1162" w:type="dxa"/>
            <w:tcBorders>
              <w:bottom w:val="nil"/>
            </w:tcBorders>
          </w:tcPr>
          <w:p w14:paraId="14B19109" w14:textId="5B956933" w:rsidR="00C932DC" w:rsidRPr="00C932DC" w:rsidRDefault="00C932DC" w:rsidP="00C932DC">
            <w:pPr>
              <w:pStyle w:val="Tabletextboldleft"/>
              <w:spacing w:before="20" w:after="20"/>
              <w:jc w:val="right"/>
              <w:rPr>
                <w:b w:val="0"/>
              </w:rPr>
            </w:pPr>
            <w:r w:rsidRPr="00C932DC">
              <w:rPr>
                <w:b w:val="0"/>
                <w:bCs/>
                <w:color w:val="000000"/>
              </w:rPr>
              <w:t>$271,822</w:t>
            </w:r>
          </w:p>
        </w:tc>
        <w:tc>
          <w:tcPr>
            <w:tcW w:w="1163" w:type="dxa"/>
            <w:tcBorders>
              <w:bottom w:val="nil"/>
            </w:tcBorders>
          </w:tcPr>
          <w:p w14:paraId="7B15BCBD" w14:textId="0C3A261F" w:rsidR="00C932DC" w:rsidRPr="00C932DC" w:rsidRDefault="00C932DC" w:rsidP="00C932DC">
            <w:pPr>
              <w:pStyle w:val="Tabletextboldleft"/>
              <w:spacing w:before="20" w:after="20"/>
              <w:jc w:val="right"/>
              <w:rPr>
                <w:b w:val="0"/>
              </w:rPr>
            </w:pPr>
            <w:r w:rsidRPr="00C932DC">
              <w:rPr>
                <w:b w:val="0"/>
                <w:bCs/>
                <w:color w:val="000000"/>
              </w:rPr>
              <w:t>$279,076</w:t>
            </w:r>
          </w:p>
        </w:tc>
      </w:tr>
      <w:tr w:rsidR="00C932DC" w:rsidRPr="00F647C7" w14:paraId="248225C5" w14:textId="77777777" w:rsidTr="00E61184">
        <w:trPr>
          <w:trHeight w:val="212"/>
        </w:trPr>
        <w:tc>
          <w:tcPr>
            <w:tcW w:w="2552" w:type="dxa"/>
            <w:tcBorders>
              <w:top w:val="nil"/>
              <w:bottom w:val="nil"/>
            </w:tcBorders>
          </w:tcPr>
          <w:p w14:paraId="0F86F29E" w14:textId="77777777" w:rsidR="00C932DC" w:rsidRDefault="00C932DC" w:rsidP="00C932DC">
            <w:pPr>
              <w:pStyle w:val="Tabletextboldleft"/>
              <w:spacing w:before="20" w:after="20"/>
              <w:ind w:firstLine="317"/>
              <w:rPr>
                <w:b w:val="0"/>
              </w:rPr>
            </w:pPr>
            <w:r>
              <w:rPr>
                <w:b w:val="0"/>
              </w:rPr>
              <w:t>Second, expert opinion</w:t>
            </w:r>
          </w:p>
        </w:tc>
        <w:tc>
          <w:tcPr>
            <w:tcW w:w="1162" w:type="dxa"/>
            <w:tcBorders>
              <w:top w:val="nil"/>
              <w:bottom w:val="nil"/>
            </w:tcBorders>
          </w:tcPr>
          <w:p w14:paraId="47165C2F" w14:textId="0419BEC7" w:rsidR="00C932DC" w:rsidRPr="00C932DC" w:rsidRDefault="00C932DC" w:rsidP="00C932DC">
            <w:pPr>
              <w:pStyle w:val="Tabletextboldleft"/>
              <w:spacing w:before="20" w:after="20"/>
              <w:jc w:val="right"/>
              <w:rPr>
                <w:b w:val="0"/>
              </w:rPr>
            </w:pPr>
            <w:r w:rsidRPr="00C932DC">
              <w:rPr>
                <w:b w:val="0"/>
                <w:color w:val="000000"/>
              </w:rPr>
              <w:t>$226,174</w:t>
            </w:r>
          </w:p>
        </w:tc>
        <w:tc>
          <w:tcPr>
            <w:tcW w:w="1162" w:type="dxa"/>
            <w:tcBorders>
              <w:top w:val="nil"/>
              <w:bottom w:val="nil"/>
            </w:tcBorders>
          </w:tcPr>
          <w:p w14:paraId="3FDB472C" w14:textId="459D2D51" w:rsidR="00C932DC" w:rsidRPr="00C932DC" w:rsidRDefault="00C932DC" w:rsidP="00C932DC">
            <w:pPr>
              <w:pStyle w:val="Tabletextboldleft"/>
              <w:spacing w:before="20" w:after="20"/>
              <w:jc w:val="right"/>
              <w:rPr>
                <w:b w:val="0"/>
              </w:rPr>
            </w:pPr>
            <w:r w:rsidRPr="00C932DC">
              <w:rPr>
                <w:b w:val="0"/>
                <w:color w:val="000000"/>
              </w:rPr>
              <w:t>$232,736</w:t>
            </w:r>
          </w:p>
        </w:tc>
        <w:tc>
          <w:tcPr>
            <w:tcW w:w="1162" w:type="dxa"/>
            <w:tcBorders>
              <w:top w:val="nil"/>
              <w:bottom w:val="nil"/>
            </w:tcBorders>
          </w:tcPr>
          <w:p w14:paraId="5A46437E" w14:textId="6BEA7C70" w:rsidR="00C932DC" w:rsidRPr="00C932DC" w:rsidRDefault="00C932DC" w:rsidP="00C932DC">
            <w:pPr>
              <w:pStyle w:val="Tabletextboldleft"/>
              <w:spacing w:before="20" w:after="20"/>
              <w:jc w:val="right"/>
              <w:rPr>
                <w:b w:val="0"/>
              </w:rPr>
            </w:pPr>
            <w:r w:rsidRPr="00C932DC">
              <w:rPr>
                <w:b w:val="0"/>
                <w:color w:val="000000"/>
              </w:rPr>
              <w:t>$239,297</w:t>
            </w:r>
          </w:p>
        </w:tc>
        <w:tc>
          <w:tcPr>
            <w:tcW w:w="1162" w:type="dxa"/>
            <w:tcBorders>
              <w:top w:val="nil"/>
              <w:bottom w:val="nil"/>
            </w:tcBorders>
          </w:tcPr>
          <w:p w14:paraId="549810D0" w14:textId="39500EEE" w:rsidR="00C932DC" w:rsidRPr="00C932DC" w:rsidRDefault="00C932DC" w:rsidP="00C932DC">
            <w:pPr>
              <w:pStyle w:val="Tabletextboldleft"/>
              <w:spacing w:before="20" w:after="20"/>
              <w:jc w:val="right"/>
              <w:rPr>
                <w:b w:val="0"/>
              </w:rPr>
            </w:pPr>
            <w:r w:rsidRPr="00C932DC">
              <w:rPr>
                <w:b w:val="0"/>
                <w:color w:val="000000"/>
              </w:rPr>
              <w:t>$245,859</w:t>
            </w:r>
          </w:p>
        </w:tc>
        <w:tc>
          <w:tcPr>
            <w:tcW w:w="1163" w:type="dxa"/>
            <w:tcBorders>
              <w:top w:val="nil"/>
              <w:bottom w:val="nil"/>
            </w:tcBorders>
          </w:tcPr>
          <w:p w14:paraId="68C9E5CF" w14:textId="38EF0B43" w:rsidR="00C932DC" w:rsidRPr="00C932DC" w:rsidRDefault="00C932DC" w:rsidP="00C932DC">
            <w:pPr>
              <w:pStyle w:val="Tabletextboldleft"/>
              <w:spacing w:before="20" w:after="20"/>
              <w:jc w:val="right"/>
              <w:rPr>
                <w:b w:val="0"/>
              </w:rPr>
            </w:pPr>
            <w:r w:rsidRPr="00C932DC">
              <w:rPr>
                <w:b w:val="0"/>
                <w:color w:val="000000"/>
              </w:rPr>
              <w:t>$252,420</w:t>
            </w:r>
          </w:p>
        </w:tc>
      </w:tr>
      <w:tr w:rsidR="00C932DC" w:rsidRPr="00F647C7" w14:paraId="225077EE" w14:textId="77777777" w:rsidTr="00E61184">
        <w:trPr>
          <w:trHeight w:val="212"/>
        </w:trPr>
        <w:tc>
          <w:tcPr>
            <w:tcW w:w="2552" w:type="dxa"/>
            <w:tcBorders>
              <w:top w:val="nil"/>
              <w:bottom w:val="nil"/>
            </w:tcBorders>
          </w:tcPr>
          <w:p w14:paraId="2FEFBBCD" w14:textId="77777777" w:rsidR="00C932DC" w:rsidRPr="00F411CD" w:rsidRDefault="00C932DC" w:rsidP="00C932DC">
            <w:pPr>
              <w:pStyle w:val="Tabletextboldleft"/>
              <w:spacing w:before="20" w:after="20"/>
              <w:ind w:firstLine="317"/>
              <w:rPr>
                <w:b w:val="0"/>
              </w:rPr>
            </w:pPr>
            <w:r>
              <w:rPr>
                <w:b w:val="0"/>
              </w:rPr>
              <w:t>Ancillary tests</w:t>
            </w:r>
          </w:p>
        </w:tc>
        <w:tc>
          <w:tcPr>
            <w:tcW w:w="1162" w:type="dxa"/>
            <w:tcBorders>
              <w:top w:val="nil"/>
              <w:bottom w:val="nil"/>
            </w:tcBorders>
          </w:tcPr>
          <w:p w14:paraId="1B047B05" w14:textId="39ACA8AC" w:rsidR="00C932DC" w:rsidRPr="00C932DC" w:rsidRDefault="00C932DC" w:rsidP="00C932DC">
            <w:pPr>
              <w:pStyle w:val="Tabletextboldleft"/>
              <w:spacing w:before="20" w:after="20"/>
              <w:jc w:val="right"/>
              <w:rPr>
                <w:b w:val="0"/>
              </w:rPr>
            </w:pPr>
            <w:r w:rsidRPr="00C932DC">
              <w:rPr>
                <w:b w:val="0"/>
                <w:color w:val="000000"/>
              </w:rPr>
              <w:t>$9,145</w:t>
            </w:r>
          </w:p>
        </w:tc>
        <w:tc>
          <w:tcPr>
            <w:tcW w:w="1162" w:type="dxa"/>
            <w:tcBorders>
              <w:top w:val="nil"/>
              <w:bottom w:val="nil"/>
            </w:tcBorders>
          </w:tcPr>
          <w:p w14:paraId="15F0369A" w14:textId="4A7C80B7" w:rsidR="00C932DC" w:rsidRPr="00C932DC" w:rsidRDefault="00C932DC" w:rsidP="00C932DC">
            <w:pPr>
              <w:pStyle w:val="Tabletextboldleft"/>
              <w:spacing w:before="20" w:after="20"/>
              <w:jc w:val="right"/>
              <w:rPr>
                <w:b w:val="0"/>
              </w:rPr>
            </w:pPr>
            <w:r w:rsidRPr="00C932DC">
              <w:rPr>
                <w:b w:val="0"/>
                <w:color w:val="000000"/>
              </w:rPr>
              <w:t>$9,411</w:t>
            </w:r>
          </w:p>
        </w:tc>
        <w:tc>
          <w:tcPr>
            <w:tcW w:w="1162" w:type="dxa"/>
            <w:tcBorders>
              <w:top w:val="nil"/>
              <w:bottom w:val="nil"/>
            </w:tcBorders>
          </w:tcPr>
          <w:p w14:paraId="3B6B65DF" w14:textId="5961E955" w:rsidR="00C932DC" w:rsidRPr="00C932DC" w:rsidRDefault="00C932DC" w:rsidP="00C932DC">
            <w:pPr>
              <w:pStyle w:val="Tabletextboldleft"/>
              <w:spacing w:before="20" w:after="20"/>
              <w:jc w:val="right"/>
              <w:rPr>
                <w:b w:val="0"/>
              </w:rPr>
            </w:pPr>
            <w:r w:rsidRPr="00C932DC">
              <w:rPr>
                <w:b w:val="0"/>
                <w:color w:val="000000"/>
              </w:rPr>
              <w:t>$9,676</w:t>
            </w:r>
          </w:p>
        </w:tc>
        <w:tc>
          <w:tcPr>
            <w:tcW w:w="1162" w:type="dxa"/>
            <w:tcBorders>
              <w:top w:val="nil"/>
              <w:bottom w:val="nil"/>
            </w:tcBorders>
          </w:tcPr>
          <w:p w14:paraId="222FF122" w14:textId="0CED7B68" w:rsidR="00C932DC" w:rsidRPr="00C932DC" w:rsidRDefault="00C932DC" w:rsidP="00C932DC">
            <w:pPr>
              <w:pStyle w:val="Tabletextboldleft"/>
              <w:spacing w:before="20" w:after="20"/>
              <w:jc w:val="right"/>
              <w:rPr>
                <w:b w:val="0"/>
              </w:rPr>
            </w:pPr>
            <w:r w:rsidRPr="00C932DC">
              <w:rPr>
                <w:b w:val="0"/>
                <w:color w:val="000000"/>
              </w:rPr>
              <w:t>$9,941</w:t>
            </w:r>
          </w:p>
        </w:tc>
        <w:tc>
          <w:tcPr>
            <w:tcW w:w="1163" w:type="dxa"/>
            <w:tcBorders>
              <w:top w:val="nil"/>
              <w:bottom w:val="nil"/>
            </w:tcBorders>
          </w:tcPr>
          <w:p w14:paraId="24426604" w14:textId="699409D3" w:rsidR="00C932DC" w:rsidRPr="00C932DC" w:rsidRDefault="00C932DC" w:rsidP="00C932DC">
            <w:pPr>
              <w:pStyle w:val="Tabletextboldleft"/>
              <w:spacing w:before="20" w:after="20"/>
              <w:jc w:val="right"/>
              <w:rPr>
                <w:b w:val="0"/>
              </w:rPr>
            </w:pPr>
            <w:r w:rsidRPr="00C932DC">
              <w:rPr>
                <w:b w:val="0"/>
                <w:color w:val="000000"/>
              </w:rPr>
              <w:t>$10,207</w:t>
            </w:r>
          </w:p>
        </w:tc>
      </w:tr>
      <w:tr w:rsidR="00C932DC" w:rsidRPr="00F647C7" w14:paraId="04497E2D" w14:textId="77777777" w:rsidTr="00E61184">
        <w:trPr>
          <w:trHeight w:val="212"/>
        </w:trPr>
        <w:tc>
          <w:tcPr>
            <w:tcW w:w="2552" w:type="dxa"/>
            <w:tcBorders>
              <w:top w:val="nil"/>
              <w:bottom w:val="nil"/>
            </w:tcBorders>
          </w:tcPr>
          <w:p w14:paraId="04159C16" w14:textId="77777777" w:rsidR="00C932DC" w:rsidRPr="00F411CD" w:rsidRDefault="00C932DC" w:rsidP="00C932DC">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4C11BB6D" w14:textId="7C4D6D0D" w:rsidR="00C932DC" w:rsidRPr="00C932DC" w:rsidRDefault="00C932DC" w:rsidP="00C932DC">
            <w:pPr>
              <w:pStyle w:val="Tabletextboldleft"/>
              <w:spacing w:before="20" w:after="20"/>
              <w:jc w:val="right"/>
              <w:rPr>
                <w:b w:val="0"/>
              </w:rPr>
            </w:pPr>
            <w:r w:rsidRPr="00C932DC">
              <w:rPr>
                <w:b w:val="0"/>
                <w:color w:val="000000"/>
              </w:rPr>
              <w:t>$10,838</w:t>
            </w:r>
          </w:p>
        </w:tc>
        <w:tc>
          <w:tcPr>
            <w:tcW w:w="1162" w:type="dxa"/>
            <w:tcBorders>
              <w:top w:val="nil"/>
              <w:bottom w:val="nil"/>
            </w:tcBorders>
          </w:tcPr>
          <w:p w14:paraId="5F5030B8" w14:textId="3DFE8723" w:rsidR="00C932DC" w:rsidRPr="00C932DC" w:rsidRDefault="00C932DC" w:rsidP="00C932DC">
            <w:pPr>
              <w:pStyle w:val="Tabletextboldleft"/>
              <w:spacing w:before="20" w:after="20"/>
              <w:jc w:val="right"/>
              <w:rPr>
                <w:b w:val="0"/>
              </w:rPr>
            </w:pPr>
            <w:r w:rsidRPr="00C932DC">
              <w:rPr>
                <w:b w:val="0"/>
                <w:color w:val="000000"/>
              </w:rPr>
              <w:t>$11,152</w:t>
            </w:r>
          </w:p>
        </w:tc>
        <w:tc>
          <w:tcPr>
            <w:tcW w:w="1162" w:type="dxa"/>
            <w:tcBorders>
              <w:top w:val="nil"/>
              <w:bottom w:val="nil"/>
            </w:tcBorders>
          </w:tcPr>
          <w:p w14:paraId="2269E0CE" w14:textId="6E88BE9C" w:rsidR="00C932DC" w:rsidRPr="00C932DC" w:rsidRDefault="00C932DC" w:rsidP="00C932DC">
            <w:pPr>
              <w:pStyle w:val="Tabletextboldleft"/>
              <w:spacing w:before="20" w:after="20"/>
              <w:jc w:val="right"/>
              <w:rPr>
                <w:b w:val="0"/>
              </w:rPr>
            </w:pPr>
            <w:r w:rsidRPr="00C932DC">
              <w:rPr>
                <w:b w:val="0"/>
                <w:color w:val="000000"/>
              </w:rPr>
              <w:t>$11,466</w:t>
            </w:r>
          </w:p>
        </w:tc>
        <w:tc>
          <w:tcPr>
            <w:tcW w:w="1162" w:type="dxa"/>
            <w:tcBorders>
              <w:top w:val="nil"/>
              <w:bottom w:val="nil"/>
            </w:tcBorders>
          </w:tcPr>
          <w:p w14:paraId="52E21022" w14:textId="5CC71704" w:rsidR="00C932DC" w:rsidRPr="00C932DC" w:rsidRDefault="00C932DC" w:rsidP="00C932DC">
            <w:pPr>
              <w:pStyle w:val="Tabletextboldleft"/>
              <w:spacing w:before="20" w:after="20"/>
              <w:jc w:val="right"/>
              <w:rPr>
                <w:b w:val="0"/>
              </w:rPr>
            </w:pPr>
            <w:r w:rsidRPr="00C932DC">
              <w:rPr>
                <w:b w:val="0"/>
                <w:color w:val="000000"/>
              </w:rPr>
              <w:t>$11,781</w:t>
            </w:r>
          </w:p>
        </w:tc>
        <w:tc>
          <w:tcPr>
            <w:tcW w:w="1163" w:type="dxa"/>
            <w:tcBorders>
              <w:top w:val="nil"/>
              <w:bottom w:val="nil"/>
            </w:tcBorders>
          </w:tcPr>
          <w:p w14:paraId="4591C543" w14:textId="6C69F8A1" w:rsidR="00C932DC" w:rsidRPr="00C932DC" w:rsidRDefault="00C932DC" w:rsidP="00C932DC">
            <w:pPr>
              <w:pStyle w:val="Tabletextboldleft"/>
              <w:spacing w:before="20" w:after="20"/>
              <w:jc w:val="right"/>
              <w:rPr>
                <w:b w:val="0"/>
              </w:rPr>
            </w:pPr>
            <w:r w:rsidRPr="00C932DC">
              <w:rPr>
                <w:b w:val="0"/>
                <w:color w:val="000000"/>
              </w:rPr>
              <w:t>$12,095</w:t>
            </w:r>
          </w:p>
        </w:tc>
      </w:tr>
      <w:tr w:rsidR="00C932DC" w:rsidRPr="00F647C7" w14:paraId="03790AF5" w14:textId="77777777" w:rsidTr="00E61184">
        <w:trPr>
          <w:trHeight w:val="212"/>
        </w:trPr>
        <w:tc>
          <w:tcPr>
            <w:tcW w:w="2552" w:type="dxa"/>
            <w:tcBorders>
              <w:top w:val="nil"/>
              <w:bottom w:val="single" w:sz="4" w:space="0" w:color="auto"/>
            </w:tcBorders>
          </w:tcPr>
          <w:p w14:paraId="127A27DE" w14:textId="77777777" w:rsidR="00C932DC" w:rsidRPr="00F411CD" w:rsidRDefault="00C932DC" w:rsidP="00C932DC">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bottom w:val="single" w:sz="4" w:space="0" w:color="auto"/>
            </w:tcBorders>
          </w:tcPr>
          <w:p w14:paraId="735826DE" w14:textId="5C709E54" w:rsidR="00C932DC" w:rsidRPr="00C932DC" w:rsidRDefault="00C932DC" w:rsidP="00C932DC">
            <w:pPr>
              <w:pStyle w:val="Tabletextboldleft"/>
              <w:spacing w:before="20" w:after="20"/>
              <w:jc w:val="right"/>
              <w:rPr>
                <w:b w:val="0"/>
              </w:rPr>
            </w:pPr>
            <w:r w:rsidRPr="00C932DC">
              <w:rPr>
                <w:b w:val="0"/>
                <w:color w:val="000000"/>
              </w:rPr>
              <w:t>$3,902</w:t>
            </w:r>
          </w:p>
        </w:tc>
        <w:tc>
          <w:tcPr>
            <w:tcW w:w="1162" w:type="dxa"/>
            <w:tcBorders>
              <w:top w:val="nil"/>
              <w:bottom w:val="single" w:sz="4" w:space="0" w:color="auto"/>
            </w:tcBorders>
          </w:tcPr>
          <w:p w14:paraId="17D80DD5" w14:textId="5488D88D" w:rsidR="00C932DC" w:rsidRPr="00C932DC" w:rsidRDefault="00C932DC" w:rsidP="00C932DC">
            <w:pPr>
              <w:pStyle w:val="Tabletextboldleft"/>
              <w:spacing w:before="20" w:after="20"/>
              <w:jc w:val="right"/>
              <w:rPr>
                <w:b w:val="0"/>
              </w:rPr>
            </w:pPr>
            <w:r w:rsidRPr="00C932DC">
              <w:rPr>
                <w:b w:val="0"/>
                <w:color w:val="000000"/>
              </w:rPr>
              <w:t>$4,015</w:t>
            </w:r>
          </w:p>
        </w:tc>
        <w:tc>
          <w:tcPr>
            <w:tcW w:w="1162" w:type="dxa"/>
            <w:tcBorders>
              <w:top w:val="nil"/>
              <w:bottom w:val="single" w:sz="4" w:space="0" w:color="auto"/>
            </w:tcBorders>
          </w:tcPr>
          <w:p w14:paraId="56976F88" w14:textId="0F8D6A42" w:rsidR="00C932DC" w:rsidRPr="00C932DC" w:rsidRDefault="00C932DC" w:rsidP="00C932DC">
            <w:pPr>
              <w:pStyle w:val="Tabletextboldleft"/>
              <w:spacing w:before="20" w:after="20"/>
              <w:jc w:val="right"/>
              <w:rPr>
                <w:b w:val="0"/>
              </w:rPr>
            </w:pPr>
            <w:r w:rsidRPr="00C932DC">
              <w:rPr>
                <w:b w:val="0"/>
                <w:color w:val="000000"/>
              </w:rPr>
              <w:t>$4,128</w:t>
            </w:r>
          </w:p>
        </w:tc>
        <w:tc>
          <w:tcPr>
            <w:tcW w:w="1162" w:type="dxa"/>
            <w:tcBorders>
              <w:top w:val="nil"/>
              <w:bottom w:val="single" w:sz="4" w:space="0" w:color="auto"/>
            </w:tcBorders>
          </w:tcPr>
          <w:p w14:paraId="0A9E955E" w14:textId="7EAB7875" w:rsidR="00C932DC" w:rsidRPr="00C932DC" w:rsidRDefault="00C932DC" w:rsidP="00C932DC">
            <w:pPr>
              <w:pStyle w:val="Tabletextboldleft"/>
              <w:spacing w:before="20" w:after="20"/>
              <w:jc w:val="right"/>
              <w:rPr>
                <w:b w:val="0"/>
              </w:rPr>
            </w:pPr>
            <w:r w:rsidRPr="00C932DC">
              <w:rPr>
                <w:b w:val="0"/>
                <w:color w:val="000000"/>
              </w:rPr>
              <w:t>$4,241</w:t>
            </w:r>
          </w:p>
        </w:tc>
        <w:tc>
          <w:tcPr>
            <w:tcW w:w="1163" w:type="dxa"/>
            <w:tcBorders>
              <w:top w:val="nil"/>
              <w:bottom w:val="single" w:sz="4" w:space="0" w:color="auto"/>
            </w:tcBorders>
          </w:tcPr>
          <w:p w14:paraId="00D4EC47" w14:textId="11947256" w:rsidR="00C932DC" w:rsidRPr="00C932DC" w:rsidRDefault="00C932DC" w:rsidP="00C932DC">
            <w:pPr>
              <w:pStyle w:val="Tabletextboldleft"/>
              <w:spacing w:before="20" w:after="20"/>
              <w:jc w:val="right"/>
              <w:rPr>
                <w:b w:val="0"/>
              </w:rPr>
            </w:pPr>
            <w:r w:rsidRPr="00C932DC">
              <w:rPr>
                <w:b w:val="0"/>
                <w:color w:val="000000"/>
              </w:rPr>
              <w:t>$4,354</w:t>
            </w:r>
          </w:p>
        </w:tc>
      </w:tr>
      <w:tr w:rsidR="00C932DC" w:rsidRPr="00F647C7" w14:paraId="2A620FDD" w14:textId="77777777" w:rsidTr="00E61184">
        <w:trPr>
          <w:trHeight w:val="212"/>
        </w:trPr>
        <w:tc>
          <w:tcPr>
            <w:tcW w:w="2552" w:type="dxa"/>
            <w:tcBorders>
              <w:bottom w:val="nil"/>
            </w:tcBorders>
          </w:tcPr>
          <w:p w14:paraId="55A5FE18" w14:textId="77777777" w:rsidR="00C932DC" w:rsidRPr="00F411CD" w:rsidRDefault="00C932DC" w:rsidP="00C932DC">
            <w:pPr>
              <w:pStyle w:val="Tabletextboldleft"/>
              <w:spacing w:before="20" w:after="20"/>
              <w:rPr>
                <w:b w:val="0"/>
              </w:rPr>
            </w:pPr>
            <w:r>
              <w:rPr>
                <w:b w:val="0"/>
              </w:rPr>
              <w:t>All cytology</w:t>
            </w:r>
          </w:p>
        </w:tc>
        <w:tc>
          <w:tcPr>
            <w:tcW w:w="1162" w:type="dxa"/>
            <w:tcBorders>
              <w:bottom w:val="nil"/>
            </w:tcBorders>
          </w:tcPr>
          <w:p w14:paraId="5C11C0AE" w14:textId="38623E38" w:rsidR="00C932DC" w:rsidRPr="00C932DC" w:rsidRDefault="00C932DC" w:rsidP="00C932DC">
            <w:pPr>
              <w:pStyle w:val="Tabletextboldleft"/>
              <w:spacing w:before="20" w:after="20"/>
              <w:jc w:val="right"/>
              <w:rPr>
                <w:b w:val="0"/>
              </w:rPr>
            </w:pPr>
            <w:r w:rsidRPr="00C932DC">
              <w:rPr>
                <w:b w:val="0"/>
                <w:bCs/>
                <w:color w:val="000000"/>
              </w:rPr>
              <w:t>$1,989,157</w:t>
            </w:r>
          </w:p>
        </w:tc>
        <w:tc>
          <w:tcPr>
            <w:tcW w:w="1162" w:type="dxa"/>
            <w:tcBorders>
              <w:bottom w:val="nil"/>
            </w:tcBorders>
          </w:tcPr>
          <w:p w14:paraId="3019CB9F" w14:textId="2489B78C" w:rsidR="00C932DC" w:rsidRPr="00C932DC" w:rsidRDefault="00C932DC" w:rsidP="00C932DC">
            <w:pPr>
              <w:pStyle w:val="Tabletextboldleft"/>
              <w:spacing w:before="20" w:after="20"/>
              <w:jc w:val="right"/>
              <w:rPr>
                <w:b w:val="0"/>
              </w:rPr>
            </w:pPr>
            <w:r w:rsidRPr="00C932DC">
              <w:rPr>
                <w:b w:val="0"/>
                <w:bCs/>
                <w:color w:val="000000"/>
              </w:rPr>
              <w:t>$2,010,895</w:t>
            </w:r>
          </w:p>
        </w:tc>
        <w:tc>
          <w:tcPr>
            <w:tcW w:w="1162" w:type="dxa"/>
            <w:tcBorders>
              <w:bottom w:val="nil"/>
            </w:tcBorders>
          </w:tcPr>
          <w:p w14:paraId="68A568A1" w14:textId="5CA1CBB0" w:rsidR="00C932DC" w:rsidRPr="00C932DC" w:rsidRDefault="00C932DC" w:rsidP="00C932DC">
            <w:pPr>
              <w:pStyle w:val="Tabletextboldleft"/>
              <w:spacing w:before="20" w:after="20"/>
              <w:jc w:val="right"/>
              <w:rPr>
                <w:b w:val="0"/>
              </w:rPr>
            </w:pPr>
            <w:r w:rsidRPr="00C932DC">
              <w:rPr>
                <w:b w:val="0"/>
                <w:bCs/>
                <w:color w:val="000000"/>
              </w:rPr>
              <w:t>$2,032,631</w:t>
            </w:r>
          </w:p>
        </w:tc>
        <w:tc>
          <w:tcPr>
            <w:tcW w:w="1162" w:type="dxa"/>
            <w:tcBorders>
              <w:bottom w:val="nil"/>
            </w:tcBorders>
          </w:tcPr>
          <w:p w14:paraId="2CABC879" w14:textId="6EC4B095" w:rsidR="00C932DC" w:rsidRPr="00C932DC" w:rsidRDefault="00C932DC" w:rsidP="00C932DC">
            <w:pPr>
              <w:pStyle w:val="Tabletextboldleft"/>
              <w:spacing w:before="20" w:after="20"/>
              <w:jc w:val="right"/>
              <w:rPr>
                <w:b w:val="0"/>
              </w:rPr>
            </w:pPr>
            <w:r w:rsidRPr="00C932DC">
              <w:rPr>
                <w:b w:val="0"/>
                <w:bCs/>
                <w:color w:val="000000"/>
              </w:rPr>
              <w:t>$2,054,368</w:t>
            </w:r>
          </w:p>
        </w:tc>
        <w:tc>
          <w:tcPr>
            <w:tcW w:w="1163" w:type="dxa"/>
            <w:tcBorders>
              <w:bottom w:val="nil"/>
            </w:tcBorders>
          </w:tcPr>
          <w:p w14:paraId="55369795" w14:textId="31192168" w:rsidR="00C932DC" w:rsidRPr="00C932DC" w:rsidRDefault="00C932DC" w:rsidP="00C932DC">
            <w:pPr>
              <w:pStyle w:val="Tabletextboldleft"/>
              <w:spacing w:before="20" w:after="20"/>
              <w:jc w:val="right"/>
              <w:rPr>
                <w:b w:val="0"/>
              </w:rPr>
            </w:pPr>
            <w:r w:rsidRPr="00C932DC">
              <w:rPr>
                <w:b w:val="0"/>
                <w:bCs/>
                <w:color w:val="000000"/>
              </w:rPr>
              <w:t>$2,076,106</w:t>
            </w:r>
          </w:p>
        </w:tc>
      </w:tr>
      <w:tr w:rsidR="00C932DC" w:rsidRPr="00F647C7" w14:paraId="30A80091" w14:textId="77777777" w:rsidTr="00E61184">
        <w:trPr>
          <w:trHeight w:val="212"/>
        </w:trPr>
        <w:tc>
          <w:tcPr>
            <w:tcW w:w="2552" w:type="dxa"/>
            <w:tcBorders>
              <w:top w:val="nil"/>
              <w:bottom w:val="nil"/>
            </w:tcBorders>
          </w:tcPr>
          <w:p w14:paraId="0F0757DF" w14:textId="77777777" w:rsidR="00C932DC" w:rsidRDefault="00C932DC" w:rsidP="00C932DC">
            <w:pPr>
              <w:pStyle w:val="Tabletextboldleft"/>
              <w:spacing w:before="20" w:after="20"/>
              <w:ind w:firstLine="317"/>
              <w:rPr>
                <w:b w:val="0"/>
              </w:rPr>
            </w:pPr>
            <w:r>
              <w:rPr>
                <w:b w:val="0"/>
              </w:rPr>
              <w:t>Second, expert opinion</w:t>
            </w:r>
          </w:p>
        </w:tc>
        <w:tc>
          <w:tcPr>
            <w:tcW w:w="1162" w:type="dxa"/>
            <w:tcBorders>
              <w:top w:val="nil"/>
              <w:bottom w:val="nil"/>
            </w:tcBorders>
          </w:tcPr>
          <w:p w14:paraId="27C2BD89" w14:textId="6FE31EC0" w:rsidR="00C932DC" w:rsidRPr="00C932DC" w:rsidRDefault="00C932DC" w:rsidP="00C932DC">
            <w:pPr>
              <w:pStyle w:val="Tabletextboldleft"/>
              <w:spacing w:before="20" w:after="20"/>
              <w:jc w:val="right"/>
              <w:rPr>
                <w:b w:val="0"/>
              </w:rPr>
            </w:pPr>
            <w:r w:rsidRPr="00C932DC">
              <w:rPr>
                <w:b w:val="0"/>
                <w:color w:val="000000"/>
              </w:rPr>
              <w:t>$1,799,163</w:t>
            </w:r>
          </w:p>
        </w:tc>
        <w:tc>
          <w:tcPr>
            <w:tcW w:w="1162" w:type="dxa"/>
            <w:tcBorders>
              <w:top w:val="nil"/>
              <w:bottom w:val="nil"/>
            </w:tcBorders>
          </w:tcPr>
          <w:p w14:paraId="74EDFB18" w14:textId="136B1488" w:rsidR="00C932DC" w:rsidRPr="00C932DC" w:rsidRDefault="00C932DC" w:rsidP="00C932DC">
            <w:pPr>
              <w:pStyle w:val="Tabletextboldleft"/>
              <w:spacing w:before="20" w:after="20"/>
              <w:jc w:val="right"/>
              <w:rPr>
                <w:b w:val="0"/>
              </w:rPr>
            </w:pPr>
            <w:r w:rsidRPr="00C932DC">
              <w:rPr>
                <w:b w:val="0"/>
                <w:color w:val="000000"/>
              </w:rPr>
              <w:t>$1,818,824</w:t>
            </w:r>
          </w:p>
        </w:tc>
        <w:tc>
          <w:tcPr>
            <w:tcW w:w="1162" w:type="dxa"/>
            <w:tcBorders>
              <w:top w:val="nil"/>
              <w:bottom w:val="nil"/>
            </w:tcBorders>
          </w:tcPr>
          <w:p w14:paraId="68C6CF1D" w14:textId="1869231F" w:rsidR="00C932DC" w:rsidRPr="00C932DC" w:rsidRDefault="00C932DC" w:rsidP="00C932DC">
            <w:pPr>
              <w:pStyle w:val="Tabletextboldleft"/>
              <w:spacing w:before="20" w:after="20"/>
              <w:jc w:val="right"/>
              <w:rPr>
                <w:b w:val="0"/>
              </w:rPr>
            </w:pPr>
            <w:r w:rsidRPr="00C932DC">
              <w:rPr>
                <w:b w:val="0"/>
                <w:color w:val="000000"/>
              </w:rPr>
              <w:t>$1,838,484</w:t>
            </w:r>
          </w:p>
        </w:tc>
        <w:tc>
          <w:tcPr>
            <w:tcW w:w="1162" w:type="dxa"/>
            <w:tcBorders>
              <w:top w:val="nil"/>
              <w:bottom w:val="nil"/>
            </w:tcBorders>
          </w:tcPr>
          <w:p w14:paraId="2E046E11" w14:textId="6A9BCF50" w:rsidR="00C932DC" w:rsidRPr="00C932DC" w:rsidRDefault="00C932DC" w:rsidP="00C932DC">
            <w:pPr>
              <w:pStyle w:val="Tabletextboldleft"/>
              <w:spacing w:before="20" w:after="20"/>
              <w:jc w:val="right"/>
              <w:rPr>
                <w:b w:val="0"/>
              </w:rPr>
            </w:pPr>
            <w:r w:rsidRPr="00C932DC">
              <w:rPr>
                <w:b w:val="0"/>
                <w:color w:val="000000"/>
              </w:rPr>
              <w:t>$1,858,144</w:t>
            </w:r>
          </w:p>
        </w:tc>
        <w:tc>
          <w:tcPr>
            <w:tcW w:w="1163" w:type="dxa"/>
            <w:tcBorders>
              <w:top w:val="nil"/>
              <w:bottom w:val="nil"/>
            </w:tcBorders>
          </w:tcPr>
          <w:p w14:paraId="7AFF568B" w14:textId="52049EDD" w:rsidR="00C932DC" w:rsidRPr="00C932DC" w:rsidRDefault="00C932DC" w:rsidP="00C932DC">
            <w:pPr>
              <w:pStyle w:val="Tabletextboldleft"/>
              <w:spacing w:before="20" w:after="20"/>
              <w:jc w:val="right"/>
              <w:rPr>
                <w:b w:val="0"/>
              </w:rPr>
            </w:pPr>
            <w:r w:rsidRPr="00C932DC">
              <w:rPr>
                <w:b w:val="0"/>
                <w:color w:val="000000"/>
              </w:rPr>
              <w:t>$1,877,806</w:t>
            </w:r>
          </w:p>
        </w:tc>
      </w:tr>
      <w:tr w:rsidR="00C932DC" w:rsidRPr="00F647C7" w14:paraId="40423BDA" w14:textId="77777777" w:rsidTr="00E61184">
        <w:trPr>
          <w:trHeight w:val="212"/>
        </w:trPr>
        <w:tc>
          <w:tcPr>
            <w:tcW w:w="2552" w:type="dxa"/>
            <w:tcBorders>
              <w:top w:val="nil"/>
              <w:bottom w:val="nil"/>
            </w:tcBorders>
          </w:tcPr>
          <w:p w14:paraId="382A8E12" w14:textId="77777777" w:rsidR="00C932DC" w:rsidRPr="00F411CD" w:rsidRDefault="00C932DC" w:rsidP="00C932DC">
            <w:pPr>
              <w:pStyle w:val="Tabletextboldleft"/>
              <w:spacing w:before="20" w:after="20"/>
              <w:ind w:firstLine="317"/>
              <w:rPr>
                <w:b w:val="0"/>
              </w:rPr>
            </w:pPr>
            <w:r>
              <w:rPr>
                <w:b w:val="0"/>
              </w:rPr>
              <w:t>Ancillary tests</w:t>
            </w:r>
          </w:p>
        </w:tc>
        <w:tc>
          <w:tcPr>
            <w:tcW w:w="1162" w:type="dxa"/>
            <w:tcBorders>
              <w:top w:val="nil"/>
              <w:bottom w:val="nil"/>
            </w:tcBorders>
          </w:tcPr>
          <w:p w14:paraId="539928BF" w14:textId="7D8A46EA" w:rsidR="00C932DC" w:rsidRPr="00C932DC" w:rsidRDefault="00C932DC" w:rsidP="00C932DC">
            <w:pPr>
              <w:pStyle w:val="Tabletextboldleft"/>
              <w:spacing w:before="20" w:after="20"/>
              <w:jc w:val="right"/>
              <w:rPr>
                <w:b w:val="0"/>
              </w:rPr>
            </w:pPr>
            <w:r w:rsidRPr="00C932DC">
              <w:rPr>
                <w:b w:val="0"/>
                <w:color w:val="000000"/>
              </w:rPr>
              <w:t>$72,749</w:t>
            </w:r>
          </w:p>
        </w:tc>
        <w:tc>
          <w:tcPr>
            <w:tcW w:w="1162" w:type="dxa"/>
            <w:tcBorders>
              <w:top w:val="nil"/>
              <w:bottom w:val="nil"/>
            </w:tcBorders>
          </w:tcPr>
          <w:p w14:paraId="35BD09EB" w14:textId="7F4A4C9E" w:rsidR="00C932DC" w:rsidRPr="00C932DC" w:rsidRDefault="00C932DC" w:rsidP="00C932DC">
            <w:pPr>
              <w:pStyle w:val="Tabletextboldleft"/>
              <w:spacing w:before="20" w:after="20"/>
              <w:jc w:val="right"/>
              <w:rPr>
                <w:b w:val="0"/>
              </w:rPr>
            </w:pPr>
            <w:r w:rsidRPr="00C932DC">
              <w:rPr>
                <w:b w:val="0"/>
                <w:color w:val="000000"/>
              </w:rPr>
              <w:t>$73,544</w:t>
            </w:r>
          </w:p>
        </w:tc>
        <w:tc>
          <w:tcPr>
            <w:tcW w:w="1162" w:type="dxa"/>
            <w:tcBorders>
              <w:top w:val="nil"/>
              <w:bottom w:val="nil"/>
            </w:tcBorders>
          </w:tcPr>
          <w:p w14:paraId="303250BE" w14:textId="6ACCB123" w:rsidR="00C932DC" w:rsidRPr="00C932DC" w:rsidRDefault="00C932DC" w:rsidP="00C932DC">
            <w:pPr>
              <w:pStyle w:val="Tabletextboldleft"/>
              <w:spacing w:before="20" w:after="20"/>
              <w:jc w:val="right"/>
              <w:rPr>
                <w:b w:val="0"/>
              </w:rPr>
            </w:pPr>
            <w:r w:rsidRPr="00C932DC">
              <w:rPr>
                <w:b w:val="0"/>
                <w:color w:val="000000"/>
              </w:rPr>
              <w:t>$74,339</w:t>
            </w:r>
          </w:p>
        </w:tc>
        <w:tc>
          <w:tcPr>
            <w:tcW w:w="1162" w:type="dxa"/>
            <w:tcBorders>
              <w:top w:val="nil"/>
              <w:bottom w:val="nil"/>
            </w:tcBorders>
          </w:tcPr>
          <w:p w14:paraId="155050BC" w14:textId="2D68B3B4" w:rsidR="00C932DC" w:rsidRPr="00C932DC" w:rsidRDefault="00C932DC" w:rsidP="00C932DC">
            <w:pPr>
              <w:pStyle w:val="Tabletextboldleft"/>
              <w:spacing w:before="20" w:after="20"/>
              <w:jc w:val="right"/>
              <w:rPr>
                <w:b w:val="0"/>
              </w:rPr>
            </w:pPr>
            <w:r w:rsidRPr="00C932DC">
              <w:rPr>
                <w:b w:val="0"/>
                <w:color w:val="000000"/>
              </w:rPr>
              <w:t>$75,134</w:t>
            </w:r>
          </w:p>
        </w:tc>
        <w:tc>
          <w:tcPr>
            <w:tcW w:w="1163" w:type="dxa"/>
            <w:tcBorders>
              <w:top w:val="nil"/>
              <w:bottom w:val="nil"/>
            </w:tcBorders>
          </w:tcPr>
          <w:p w14:paraId="4535E941" w14:textId="61B980EC" w:rsidR="00C932DC" w:rsidRPr="00C932DC" w:rsidRDefault="00C932DC" w:rsidP="00C932DC">
            <w:pPr>
              <w:pStyle w:val="Tabletextboldleft"/>
              <w:spacing w:before="20" w:after="20"/>
              <w:jc w:val="right"/>
              <w:rPr>
                <w:b w:val="0"/>
              </w:rPr>
            </w:pPr>
            <w:r w:rsidRPr="00C932DC">
              <w:rPr>
                <w:b w:val="0"/>
                <w:color w:val="000000"/>
              </w:rPr>
              <w:t>$75,929</w:t>
            </w:r>
          </w:p>
        </w:tc>
      </w:tr>
      <w:tr w:rsidR="00C932DC" w:rsidRPr="00F647C7" w14:paraId="73CFF16D" w14:textId="77777777" w:rsidTr="00E61184">
        <w:trPr>
          <w:trHeight w:val="212"/>
        </w:trPr>
        <w:tc>
          <w:tcPr>
            <w:tcW w:w="2552" w:type="dxa"/>
            <w:tcBorders>
              <w:top w:val="nil"/>
              <w:bottom w:val="nil"/>
            </w:tcBorders>
          </w:tcPr>
          <w:p w14:paraId="47FF00D9" w14:textId="77777777" w:rsidR="00C932DC" w:rsidRPr="00F411CD" w:rsidRDefault="00C932DC" w:rsidP="00C932DC">
            <w:pPr>
              <w:pStyle w:val="Tabletextboldleft"/>
              <w:spacing w:before="20" w:after="20"/>
              <w:ind w:firstLine="317"/>
              <w:rPr>
                <w:b w:val="0"/>
              </w:rPr>
            </w:pPr>
            <w:r>
              <w:rPr>
                <w:b w:val="0"/>
              </w:rPr>
              <w:t>Specimen referred fee</w:t>
            </w:r>
            <w:r>
              <w:rPr>
                <w:b w:val="0"/>
                <w:vertAlign w:val="superscript"/>
              </w:rPr>
              <w:t>b</w:t>
            </w:r>
          </w:p>
        </w:tc>
        <w:tc>
          <w:tcPr>
            <w:tcW w:w="1162" w:type="dxa"/>
            <w:tcBorders>
              <w:top w:val="nil"/>
              <w:bottom w:val="nil"/>
            </w:tcBorders>
          </w:tcPr>
          <w:p w14:paraId="1CD058D4" w14:textId="56B07DA0" w:rsidR="00C932DC" w:rsidRPr="00C932DC" w:rsidRDefault="00C932DC" w:rsidP="00C932DC">
            <w:pPr>
              <w:pStyle w:val="Tabletextboldleft"/>
              <w:spacing w:before="20" w:after="20"/>
              <w:jc w:val="right"/>
              <w:rPr>
                <w:b w:val="0"/>
              </w:rPr>
            </w:pPr>
            <w:r w:rsidRPr="00C932DC">
              <w:rPr>
                <w:b w:val="0"/>
                <w:color w:val="000000"/>
              </w:rPr>
              <w:t>$86,210</w:t>
            </w:r>
          </w:p>
        </w:tc>
        <w:tc>
          <w:tcPr>
            <w:tcW w:w="1162" w:type="dxa"/>
            <w:tcBorders>
              <w:top w:val="nil"/>
              <w:bottom w:val="nil"/>
            </w:tcBorders>
          </w:tcPr>
          <w:p w14:paraId="7FEC883D" w14:textId="13238ED7" w:rsidR="00C932DC" w:rsidRPr="00C932DC" w:rsidRDefault="00C932DC" w:rsidP="00C932DC">
            <w:pPr>
              <w:pStyle w:val="Tabletextboldleft"/>
              <w:spacing w:before="20" w:after="20"/>
              <w:jc w:val="right"/>
              <w:rPr>
                <w:b w:val="0"/>
              </w:rPr>
            </w:pPr>
            <w:r w:rsidRPr="00C932DC">
              <w:rPr>
                <w:b w:val="0"/>
                <w:color w:val="000000"/>
              </w:rPr>
              <w:t>$87,152</w:t>
            </w:r>
          </w:p>
        </w:tc>
        <w:tc>
          <w:tcPr>
            <w:tcW w:w="1162" w:type="dxa"/>
            <w:tcBorders>
              <w:top w:val="nil"/>
              <w:bottom w:val="nil"/>
            </w:tcBorders>
          </w:tcPr>
          <w:p w14:paraId="30339A73" w14:textId="5E02E3B4" w:rsidR="00C932DC" w:rsidRPr="00C932DC" w:rsidRDefault="00C932DC" w:rsidP="00C932DC">
            <w:pPr>
              <w:pStyle w:val="Tabletextboldleft"/>
              <w:spacing w:before="20" w:after="20"/>
              <w:jc w:val="right"/>
              <w:rPr>
                <w:b w:val="0"/>
              </w:rPr>
            </w:pPr>
            <w:r w:rsidRPr="00C932DC">
              <w:rPr>
                <w:b w:val="0"/>
                <w:color w:val="000000"/>
              </w:rPr>
              <w:t>$88,094</w:t>
            </w:r>
          </w:p>
        </w:tc>
        <w:tc>
          <w:tcPr>
            <w:tcW w:w="1162" w:type="dxa"/>
            <w:tcBorders>
              <w:top w:val="nil"/>
              <w:bottom w:val="nil"/>
            </w:tcBorders>
          </w:tcPr>
          <w:p w14:paraId="46B90538" w14:textId="34FBFA18" w:rsidR="00C932DC" w:rsidRPr="00C932DC" w:rsidRDefault="00C932DC" w:rsidP="00C932DC">
            <w:pPr>
              <w:pStyle w:val="Tabletextboldleft"/>
              <w:spacing w:before="20" w:after="20"/>
              <w:jc w:val="right"/>
              <w:rPr>
                <w:b w:val="0"/>
              </w:rPr>
            </w:pPr>
            <w:r w:rsidRPr="00C932DC">
              <w:rPr>
                <w:b w:val="0"/>
                <w:color w:val="000000"/>
              </w:rPr>
              <w:t>$89,036</w:t>
            </w:r>
          </w:p>
        </w:tc>
        <w:tc>
          <w:tcPr>
            <w:tcW w:w="1163" w:type="dxa"/>
            <w:tcBorders>
              <w:top w:val="nil"/>
              <w:bottom w:val="nil"/>
            </w:tcBorders>
          </w:tcPr>
          <w:p w14:paraId="430A0E35" w14:textId="0446839B" w:rsidR="00C932DC" w:rsidRPr="00C932DC" w:rsidRDefault="00C932DC" w:rsidP="00C932DC">
            <w:pPr>
              <w:pStyle w:val="Tabletextboldleft"/>
              <w:spacing w:before="20" w:after="20"/>
              <w:jc w:val="right"/>
              <w:rPr>
                <w:b w:val="0"/>
              </w:rPr>
            </w:pPr>
            <w:r w:rsidRPr="00C932DC">
              <w:rPr>
                <w:b w:val="0"/>
                <w:color w:val="000000"/>
              </w:rPr>
              <w:t>$89,978</w:t>
            </w:r>
          </w:p>
        </w:tc>
      </w:tr>
      <w:tr w:rsidR="00C932DC" w:rsidRPr="00F647C7" w14:paraId="3E13B781" w14:textId="77777777" w:rsidTr="00E61184">
        <w:trPr>
          <w:trHeight w:val="212"/>
        </w:trPr>
        <w:tc>
          <w:tcPr>
            <w:tcW w:w="2552" w:type="dxa"/>
            <w:tcBorders>
              <w:top w:val="nil"/>
            </w:tcBorders>
          </w:tcPr>
          <w:p w14:paraId="0B6DCB33" w14:textId="77777777" w:rsidR="00C932DC" w:rsidRPr="00F411CD" w:rsidRDefault="00C932DC" w:rsidP="00C932DC">
            <w:pPr>
              <w:pStyle w:val="Tabletextboldleft"/>
              <w:spacing w:before="20" w:after="20"/>
              <w:ind w:firstLine="317"/>
              <w:rPr>
                <w:b w:val="0"/>
              </w:rPr>
            </w:pPr>
            <w:r>
              <w:rPr>
                <w:b w:val="0"/>
              </w:rPr>
              <w:t>Bulk billing incentive</w:t>
            </w:r>
            <w:r>
              <w:rPr>
                <w:b w:val="0"/>
                <w:vertAlign w:val="superscript"/>
              </w:rPr>
              <w:t>c</w:t>
            </w:r>
          </w:p>
        </w:tc>
        <w:tc>
          <w:tcPr>
            <w:tcW w:w="1162" w:type="dxa"/>
            <w:tcBorders>
              <w:top w:val="nil"/>
            </w:tcBorders>
          </w:tcPr>
          <w:p w14:paraId="0E192CE3" w14:textId="72910F2A" w:rsidR="00C932DC" w:rsidRPr="00C932DC" w:rsidRDefault="00C932DC" w:rsidP="00C932DC">
            <w:pPr>
              <w:pStyle w:val="Tabletextboldleft"/>
              <w:spacing w:before="20" w:after="20"/>
              <w:jc w:val="right"/>
              <w:rPr>
                <w:b w:val="0"/>
              </w:rPr>
            </w:pPr>
            <w:r w:rsidRPr="00C932DC">
              <w:rPr>
                <w:b w:val="0"/>
                <w:color w:val="000000"/>
              </w:rPr>
              <w:t>$31,036</w:t>
            </w:r>
          </w:p>
        </w:tc>
        <w:tc>
          <w:tcPr>
            <w:tcW w:w="1162" w:type="dxa"/>
            <w:tcBorders>
              <w:top w:val="nil"/>
            </w:tcBorders>
          </w:tcPr>
          <w:p w14:paraId="76DBAD45" w14:textId="09717B1B" w:rsidR="00C932DC" w:rsidRPr="00C932DC" w:rsidRDefault="00C932DC" w:rsidP="00C932DC">
            <w:pPr>
              <w:pStyle w:val="Tabletextboldleft"/>
              <w:spacing w:before="20" w:after="20"/>
              <w:jc w:val="right"/>
              <w:rPr>
                <w:b w:val="0"/>
              </w:rPr>
            </w:pPr>
            <w:r w:rsidRPr="00C932DC">
              <w:rPr>
                <w:b w:val="0"/>
                <w:color w:val="000000"/>
              </w:rPr>
              <w:t>$31,375</w:t>
            </w:r>
          </w:p>
        </w:tc>
        <w:tc>
          <w:tcPr>
            <w:tcW w:w="1162" w:type="dxa"/>
            <w:tcBorders>
              <w:top w:val="nil"/>
            </w:tcBorders>
          </w:tcPr>
          <w:p w14:paraId="649321BB" w14:textId="63D453AA" w:rsidR="00C932DC" w:rsidRPr="00C932DC" w:rsidRDefault="00C932DC" w:rsidP="00C932DC">
            <w:pPr>
              <w:pStyle w:val="Tabletextboldleft"/>
              <w:spacing w:before="20" w:after="20"/>
              <w:jc w:val="right"/>
              <w:rPr>
                <w:b w:val="0"/>
              </w:rPr>
            </w:pPr>
            <w:r w:rsidRPr="00C932DC">
              <w:rPr>
                <w:b w:val="0"/>
                <w:color w:val="000000"/>
              </w:rPr>
              <w:t>$31,714</w:t>
            </w:r>
          </w:p>
        </w:tc>
        <w:tc>
          <w:tcPr>
            <w:tcW w:w="1162" w:type="dxa"/>
            <w:tcBorders>
              <w:top w:val="nil"/>
            </w:tcBorders>
          </w:tcPr>
          <w:p w14:paraId="7B81F1E6" w14:textId="39AE6220" w:rsidR="00C932DC" w:rsidRPr="00C932DC" w:rsidRDefault="00C932DC" w:rsidP="00C932DC">
            <w:pPr>
              <w:pStyle w:val="Tabletextboldleft"/>
              <w:spacing w:before="20" w:after="20"/>
              <w:jc w:val="right"/>
              <w:rPr>
                <w:b w:val="0"/>
              </w:rPr>
            </w:pPr>
            <w:r w:rsidRPr="00C932DC">
              <w:rPr>
                <w:b w:val="0"/>
                <w:color w:val="000000"/>
              </w:rPr>
              <w:t>$32,053</w:t>
            </w:r>
          </w:p>
        </w:tc>
        <w:tc>
          <w:tcPr>
            <w:tcW w:w="1163" w:type="dxa"/>
            <w:tcBorders>
              <w:top w:val="nil"/>
            </w:tcBorders>
          </w:tcPr>
          <w:p w14:paraId="432A0522" w14:textId="31F4D050" w:rsidR="00C932DC" w:rsidRPr="00C932DC" w:rsidRDefault="00C932DC" w:rsidP="00C932DC">
            <w:pPr>
              <w:pStyle w:val="Tabletextboldleft"/>
              <w:spacing w:before="20" w:after="20"/>
              <w:jc w:val="right"/>
              <w:rPr>
                <w:b w:val="0"/>
              </w:rPr>
            </w:pPr>
            <w:r w:rsidRPr="00C932DC">
              <w:rPr>
                <w:b w:val="0"/>
                <w:color w:val="000000"/>
              </w:rPr>
              <w:t>$32,392</w:t>
            </w:r>
          </w:p>
        </w:tc>
      </w:tr>
      <w:tr w:rsidR="00C932DC" w:rsidRPr="00F647C7" w14:paraId="3EBDEF6C" w14:textId="77777777" w:rsidTr="00E61184">
        <w:trPr>
          <w:trHeight w:val="212"/>
        </w:trPr>
        <w:tc>
          <w:tcPr>
            <w:tcW w:w="2552" w:type="dxa"/>
          </w:tcPr>
          <w:p w14:paraId="157394A6" w14:textId="77777777" w:rsidR="00C932DC" w:rsidRPr="00C26CDD" w:rsidRDefault="00C932DC" w:rsidP="00C932DC">
            <w:pPr>
              <w:pStyle w:val="Tabletextboldleft"/>
              <w:spacing w:before="20" w:after="20"/>
              <w:rPr>
                <w:b w:val="0"/>
                <w:i/>
              </w:rPr>
            </w:pPr>
            <w:r>
              <w:rPr>
                <w:b w:val="0"/>
                <w:i/>
              </w:rPr>
              <w:t>Sub-t</w:t>
            </w:r>
            <w:r w:rsidRPr="00C26CDD">
              <w:rPr>
                <w:b w:val="0"/>
                <w:i/>
              </w:rPr>
              <w:t>otal (excluding gynaecological cytology)</w:t>
            </w:r>
          </w:p>
        </w:tc>
        <w:tc>
          <w:tcPr>
            <w:tcW w:w="1162" w:type="dxa"/>
          </w:tcPr>
          <w:p w14:paraId="0E1A7468" w14:textId="19F1705A" w:rsidR="00C932DC" w:rsidRPr="00C932DC" w:rsidRDefault="00C932DC" w:rsidP="00C932DC">
            <w:pPr>
              <w:pStyle w:val="Tabletextboldleft"/>
              <w:spacing w:before="20" w:after="20"/>
              <w:jc w:val="right"/>
              <w:rPr>
                <w:b w:val="0"/>
                <w:i/>
              </w:rPr>
            </w:pPr>
            <w:r w:rsidRPr="00C932DC">
              <w:rPr>
                <w:b w:val="0"/>
                <w:i/>
                <w:color w:val="000000"/>
              </w:rPr>
              <w:t>$2,923,732</w:t>
            </w:r>
          </w:p>
        </w:tc>
        <w:tc>
          <w:tcPr>
            <w:tcW w:w="1162" w:type="dxa"/>
          </w:tcPr>
          <w:p w14:paraId="27F073ED" w14:textId="0775ECF3" w:rsidR="00C932DC" w:rsidRPr="00C932DC" w:rsidRDefault="00C932DC" w:rsidP="00C932DC">
            <w:pPr>
              <w:pStyle w:val="Tabletextboldleft"/>
              <w:spacing w:before="20" w:after="20"/>
              <w:jc w:val="right"/>
              <w:rPr>
                <w:b w:val="0"/>
                <w:i/>
              </w:rPr>
            </w:pPr>
            <w:r w:rsidRPr="00C932DC">
              <w:rPr>
                <w:b w:val="0"/>
                <w:i/>
                <w:color w:val="000000"/>
              </w:rPr>
              <w:t>$3,027,860</w:t>
            </w:r>
          </w:p>
        </w:tc>
        <w:tc>
          <w:tcPr>
            <w:tcW w:w="1162" w:type="dxa"/>
          </w:tcPr>
          <w:p w14:paraId="4E9C2323" w14:textId="45F08979" w:rsidR="00C932DC" w:rsidRPr="00C932DC" w:rsidRDefault="00C932DC" w:rsidP="00C932DC">
            <w:pPr>
              <w:pStyle w:val="Tabletextboldleft"/>
              <w:spacing w:before="20" w:after="20"/>
              <w:jc w:val="right"/>
              <w:rPr>
                <w:b w:val="0"/>
                <w:i/>
              </w:rPr>
            </w:pPr>
            <w:r w:rsidRPr="00C932DC">
              <w:rPr>
                <w:b w:val="0"/>
                <w:i/>
                <w:color w:val="000000"/>
              </w:rPr>
              <w:t>$3,131,989</w:t>
            </w:r>
          </w:p>
        </w:tc>
        <w:tc>
          <w:tcPr>
            <w:tcW w:w="1162" w:type="dxa"/>
          </w:tcPr>
          <w:p w14:paraId="56FCDFF6" w14:textId="4624D2F8" w:rsidR="00C932DC" w:rsidRPr="00C932DC" w:rsidRDefault="00C932DC" w:rsidP="00C932DC">
            <w:pPr>
              <w:pStyle w:val="Tabletextboldleft"/>
              <w:spacing w:before="20" w:after="20"/>
              <w:jc w:val="right"/>
              <w:rPr>
                <w:b w:val="0"/>
                <w:i/>
              </w:rPr>
            </w:pPr>
            <w:r w:rsidRPr="00C932DC">
              <w:rPr>
                <w:b w:val="0"/>
                <w:i/>
                <w:color w:val="000000"/>
              </w:rPr>
              <w:t>$3,236,119</w:t>
            </w:r>
          </w:p>
        </w:tc>
        <w:tc>
          <w:tcPr>
            <w:tcW w:w="1163" w:type="dxa"/>
          </w:tcPr>
          <w:p w14:paraId="3E28CFF0" w14:textId="58E319F1" w:rsidR="00C932DC" w:rsidRPr="00C932DC" w:rsidRDefault="00C932DC" w:rsidP="00C932DC">
            <w:pPr>
              <w:pStyle w:val="Tabletextboldleft"/>
              <w:spacing w:before="20" w:after="20"/>
              <w:jc w:val="right"/>
              <w:rPr>
                <w:b w:val="0"/>
                <w:i/>
              </w:rPr>
            </w:pPr>
            <w:r w:rsidRPr="00C932DC">
              <w:rPr>
                <w:b w:val="0"/>
                <w:i/>
                <w:color w:val="000000"/>
              </w:rPr>
              <w:t>$3,340,249</w:t>
            </w:r>
          </w:p>
        </w:tc>
      </w:tr>
      <w:tr w:rsidR="00C932DC" w:rsidRPr="00F647C7" w14:paraId="236DE921" w14:textId="77777777" w:rsidTr="00E61184">
        <w:trPr>
          <w:trHeight w:val="212"/>
        </w:trPr>
        <w:tc>
          <w:tcPr>
            <w:tcW w:w="2552" w:type="dxa"/>
          </w:tcPr>
          <w:p w14:paraId="1796D5C8" w14:textId="77777777" w:rsidR="00C932DC" w:rsidRPr="00C26CDD" w:rsidRDefault="00C932DC" w:rsidP="00C932DC">
            <w:pPr>
              <w:pStyle w:val="Tabletextboldleft"/>
              <w:spacing w:before="20" w:after="20"/>
              <w:rPr>
                <w:b w:val="0"/>
                <w:i/>
              </w:rPr>
            </w:pPr>
            <w:r>
              <w:rPr>
                <w:b w:val="0"/>
                <w:i/>
              </w:rPr>
              <w:t>Sub-t</w:t>
            </w:r>
            <w:r w:rsidRPr="00C26CDD">
              <w:rPr>
                <w:b w:val="0"/>
                <w:i/>
              </w:rPr>
              <w:t>otal (including all cytology)</w:t>
            </w:r>
          </w:p>
        </w:tc>
        <w:tc>
          <w:tcPr>
            <w:tcW w:w="1162" w:type="dxa"/>
          </w:tcPr>
          <w:p w14:paraId="10942171" w14:textId="5F583BB3" w:rsidR="00C932DC" w:rsidRPr="00C932DC" w:rsidRDefault="00C932DC" w:rsidP="00C932DC">
            <w:pPr>
              <w:pStyle w:val="Tabletextboldleft"/>
              <w:spacing w:before="20" w:after="20"/>
              <w:jc w:val="right"/>
              <w:rPr>
                <w:b w:val="0"/>
                <w:i/>
              </w:rPr>
            </w:pPr>
            <w:r w:rsidRPr="00C932DC">
              <w:rPr>
                <w:b w:val="0"/>
                <w:i/>
                <w:color w:val="000000"/>
              </w:rPr>
              <w:t>$4,662,830</w:t>
            </w:r>
          </w:p>
        </w:tc>
        <w:tc>
          <w:tcPr>
            <w:tcW w:w="1162" w:type="dxa"/>
          </w:tcPr>
          <w:p w14:paraId="1DD39FFA" w14:textId="6402C224" w:rsidR="00C932DC" w:rsidRPr="00C932DC" w:rsidRDefault="00C932DC" w:rsidP="00C932DC">
            <w:pPr>
              <w:pStyle w:val="Tabletextboldleft"/>
              <w:spacing w:before="20" w:after="20"/>
              <w:jc w:val="right"/>
              <w:rPr>
                <w:b w:val="0"/>
                <w:i/>
              </w:rPr>
            </w:pPr>
            <w:r w:rsidRPr="00C932DC">
              <w:rPr>
                <w:b w:val="0"/>
                <w:i/>
                <w:color w:val="000000"/>
              </w:rPr>
              <w:t>$4,781,442</w:t>
            </w:r>
          </w:p>
        </w:tc>
        <w:tc>
          <w:tcPr>
            <w:tcW w:w="1162" w:type="dxa"/>
          </w:tcPr>
          <w:p w14:paraId="5AAD0EF0" w14:textId="77D56E16" w:rsidR="00C932DC" w:rsidRPr="00C932DC" w:rsidRDefault="00C932DC" w:rsidP="00C932DC">
            <w:pPr>
              <w:pStyle w:val="Tabletextboldleft"/>
              <w:spacing w:before="20" w:after="20"/>
              <w:jc w:val="right"/>
              <w:rPr>
                <w:b w:val="0"/>
                <w:i/>
              </w:rPr>
            </w:pPr>
            <w:r w:rsidRPr="00C932DC">
              <w:rPr>
                <w:b w:val="0"/>
                <w:i/>
                <w:color w:val="000000"/>
              </w:rPr>
              <w:t>$4,900,053</w:t>
            </w:r>
          </w:p>
        </w:tc>
        <w:tc>
          <w:tcPr>
            <w:tcW w:w="1162" w:type="dxa"/>
          </w:tcPr>
          <w:p w14:paraId="3C22F437" w14:textId="1422E028" w:rsidR="00C932DC" w:rsidRPr="00C932DC" w:rsidRDefault="00C932DC" w:rsidP="00C932DC">
            <w:pPr>
              <w:pStyle w:val="Tabletextboldleft"/>
              <w:spacing w:before="20" w:after="20"/>
              <w:jc w:val="right"/>
              <w:rPr>
                <w:b w:val="0"/>
                <w:i/>
              </w:rPr>
            </w:pPr>
            <w:r w:rsidRPr="00C932DC">
              <w:rPr>
                <w:b w:val="0"/>
                <w:i/>
                <w:color w:val="000000"/>
              </w:rPr>
              <w:t>$5,018,665</w:t>
            </w:r>
          </w:p>
        </w:tc>
        <w:tc>
          <w:tcPr>
            <w:tcW w:w="1163" w:type="dxa"/>
          </w:tcPr>
          <w:p w14:paraId="23FFB275" w14:textId="69BD1D97" w:rsidR="00C932DC" w:rsidRPr="00C932DC" w:rsidRDefault="00C932DC" w:rsidP="00C932DC">
            <w:pPr>
              <w:pStyle w:val="Tabletextboldleft"/>
              <w:spacing w:before="20" w:after="20"/>
              <w:jc w:val="right"/>
              <w:rPr>
                <w:b w:val="0"/>
                <w:i/>
              </w:rPr>
            </w:pPr>
            <w:r w:rsidRPr="00C932DC">
              <w:rPr>
                <w:b w:val="0"/>
                <w:i/>
                <w:color w:val="000000"/>
              </w:rPr>
              <w:t>$5,137,278</w:t>
            </w:r>
          </w:p>
        </w:tc>
      </w:tr>
      <w:tr w:rsidR="00C932DC" w:rsidRPr="00F647C7" w14:paraId="48B4E2CA" w14:textId="77777777" w:rsidTr="00E61184">
        <w:trPr>
          <w:trHeight w:val="212"/>
        </w:trPr>
        <w:tc>
          <w:tcPr>
            <w:tcW w:w="2552" w:type="dxa"/>
            <w:shd w:val="clear" w:color="auto" w:fill="D0CECE" w:themeFill="background2" w:themeFillShade="E6"/>
          </w:tcPr>
          <w:p w14:paraId="4A955A6C" w14:textId="77777777" w:rsidR="00C932DC" w:rsidRDefault="00C932DC" w:rsidP="00C932DC">
            <w:pPr>
              <w:pStyle w:val="Tabletextboldleft"/>
              <w:spacing w:before="20" w:after="20"/>
            </w:pPr>
            <w:r w:rsidRPr="00F411CD">
              <w:t xml:space="preserve">TOTAL </w:t>
            </w:r>
          </w:p>
          <w:p w14:paraId="5EBACD5B" w14:textId="77777777" w:rsidR="00C932DC" w:rsidRPr="009D63D8" w:rsidRDefault="00C932DC" w:rsidP="00C932DC">
            <w:pPr>
              <w:pStyle w:val="Tabletextboldleft"/>
              <w:spacing w:before="20" w:after="20"/>
              <w:rPr>
                <w:b w:val="0"/>
              </w:rPr>
            </w:pPr>
            <w:r w:rsidRPr="009D63D8">
              <w:rPr>
                <w:b w:val="0"/>
              </w:rPr>
              <w:t>(</w:t>
            </w:r>
            <w:r w:rsidRPr="009D63D8">
              <w:rPr>
                <w:b w:val="0"/>
                <w:i/>
              </w:rPr>
              <w:t>S1</w:t>
            </w:r>
            <w:r w:rsidRPr="009D63D8">
              <w:rPr>
                <w:b w:val="0"/>
              </w:rPr>
              <w:t xml:space="preserve"> and S</w:t>
            </w:r>
            <w:r w:rsidRPr="009D63D8">
              <w:rPr>
                <w:b w:val="0"/>
                <w:i/>
              </w:rPr>
              <w:t>2</w:t>
            </w:r>
            <w:r w:rsidRPr="009D63D8">
              <w:rPr>
                <w:b w:val="0"/>
              </w:rPr>
              <w:t xml:space="preserve"> – excluding gynaecological cytology)</w:t>
            </w:r>
          </w:p>
        </w:tc>
        <w:tc>
          <w:tcPr>
            <w:tcW w:w="1162" w:type="dxa"/>
            <w:shd w:val="clear" w:color="auto" w:fill="D0CECE" w:themeFill="background2" w:themeFillShade="E6"/>
          </w:tcPr>
          <w:p w14:paraId="3F64FA05" w14:textId="0CE10D54" w:rsidR="00C932DC" w:rsidRPr="00C932DC" w:rsidRDefault="00C932DC" w:rsidP="00C932DC">
            <w:pPr>
              <w:pStyle w:val="Tabletextboldleft"/>
              <w:spacing w:before="20" w:after="20"/>
              <w:jc w:val="right"/>
            </w:pPr>
            <w:r w:rsidRPr="00C932DC">
              <w:rPr>
                <w:color w:val="000000"/>
              </w:rPr>
              <w:t>$12,505,092</w:t>
            </w:r>
          </w:p>
        </w:tc>
        <w:tc>
          <w:tcPr>
            <w:tcW w:w="1162" w:type="dxa"/>
            <w:shd w:val="clear" w:color="auto" w:fill="D0CECE" w:themeFill="background2" w:themeFillShade="E6"/>
          </w:tcPr>
          <w:p w14:paraId="1FD8631E" w14:textId="2C5C06BD" w:rsidR="00C932DC" w:rsidRPr="00C932DC" w:rsidRDefault="00C932DC" w:rsidP="00C932DC">
            <w:pPr>
              <w:pStyle w:val="Tabletextboldleft"/>
              <w:spacing w:before="20" w:after="20"/>
              <w:jc w:val="right"/>
            </w:pPr>
            <w:r w:rsidRPr="00C932DC">
              <w:rPr>
                <w:color w:val="000000"/>
              </w:rPr>
              <w:t>$12,953,716</w:t>
            </w:r>
          </w:p>
        </w:tc>
        <w:tc>
          <w:tcPr>
            <w:tcW w:w="1162" w:type="dxa"/>
            <w:shd w:val="clear" w:color="auto" w:fill="D0CECE" w:themeFill="background2" w:themeFillShade="E6"/>
          </w:tcPr>
          <w:p w14:paraId="4B5F2C72" w14:textId="50AE1BD0" w:rsidR="00C932DC" w:rsidRPr="00C932DC" w:rsidRDefault="00C932DC" w:rsidP="00C932DC">
            <w:pPr>
              <w:pStyle w:val="Tabletextboldleft"/>
              <w:spacing w:before="20" w:after="20"/>
              <w:jc w:val="right"/>
            </w:pPr>
            <w:r w:rsidRPr="00C932DC">
              <w:rPr>
                <w:color w:val="000000"/>
              </w:rPr>
              <w:t>$13,402,349</w:t>
            </w:r>
          </w:p>
        </w:tc>
        <w:tc>
          <w:tcPr>
            <w:tcW w:w="1162" w:type="dxa"/>
            <w:shd w:val="clear" w:color="auto" w:fill="D0CECE" w:themeFill="background2" w:themeFillShade="E6"/>
          </w:tcPr>
          <w:p w14:paraId="1D38F43F" w14:textId="0DCD1ED0" w:rsidR="00C932DC" w:rsidRPr="00C932DC" w:rsidRDefault="00C932DC" w:rsidP="00C932DC">
            <w:pPr>
              <w:pStyle w:val="Tabletextboldleft"/>
              <w:spacing w:before="20" w:after="20"/>
              <w:jc w:val="right"/>
            </w:pPr>
            <w:r w:rsidRPr="00C932DC">
              <w:rPr>
                <w:color w:val="000000"/>
              </w:rPr>
              <w:t>$13,850,984</w:t>
            </w:r>
          </w:p>
        </w:tc>
        <w:tc>
          <w:tcPr>
            <w:tcW w:w="1163" w:type="dxa"/>
            <w:shd w:val="clear" w:color="auto" w:fill="D0CECE" w:themeFill="background2" w:themeFillShade="E6"/>
          </w:tcPr>
          <w:p w14:paraId="2CFEDEC4" w14:textId="256495A2" w:rsidR="00C932DC" w:rsidRPr="00C932DC" w:rsidRDefault="00C932DC" w:rsidP="00C932DC">
            <w:pPr>
              <w:pStyle w:val="Tabletextboldleft"/>
              <w:spacing w:before="20" w:after="20"/>
              <w:jc w:val="right"/>
            </w:pPr>
            <w:r w:rsidRPr="00C932DC">
              <w:rPr>
                <w:color w:val="000000"/>
              </w:rPr>
              <w:t>$14,299,615</w:t>
            </w:r>
          </w:p>
        </w:tc>
      </w:tr>
      <w:tr w:rsidR="00C932DC" w:rsidRPr="00F647C7" w14:paraId="65F4343B" w14:textId="77777777" w:rsidTr="00E61184">
        <w:trPr>
          <w:trHeight w:val="212"/>
        </w:trPr>
        <w:tc>
          <w:tcPr>
            <w:tcW w:w="2552" w:type="dxa"/>
            <w:shd w:val="clear" w:color="auto" w:fill="D0CECE" w:themeFill="background2" w:themeFillShade="E6"/>
          </w:tcPr>
          <w:p w14:paraId="5E6D3433" w14:textId="77777777" w:rsidR="00C932DC" w:rsidRDefault="00C932DC" w:rsidP="00C932DC">
            <w:pPr>
              <w:pStyle w:val="Tabletextboldleft"/>
              <w:spacing w:before="20" w:after="20"/>
            </w:pPr>
            <w:r w:rsidRPr="00F411CD">
              <w:t xml:space="preserve">TOTAL </w:t>
            </w:r>
          </w:p>
          <w:p w14:paraId="1E787A0C" w14:textId="77777777" w:rsidR="00C932DC" w:rsidRPr="009D63D8" w:rsidRDefault="00C932DC" w:rsidP="00C932DC">
            <w:pPr>
              <w:pStyle w:val="Tabletextboldleft"/>
              <w:spacing w:before="20" w:after="20"/>
              <w:rPr>
                <w:b w:val="0"/>
              </w:rPr>
            </w:pPr>
            <w:r w:rsidRPr="009D63D8">
              <w:rPr>
                <w:b w:val="0"/>
              </w:rPr>
              <w:t>(</w:t>
            </w:r>
            <w:r w:rsidRPr="009D63D8">
              <w:rPr>
                <w:b w:val="0"/>
                <w:i/>
              </w:rPr>
              <w:t>S1</w:t>
            </w:r>
            <w:r w:rsidRPr="009D63D8">
              <w:rPr>
                <w:b w:val="0"/>
              </w:rPr>
              <w:t xml:space="preserve"> and </w:t>
            </w:r>
            <w:r w:rsidRPr="009D63D8">
              <w:rPr>
                <w:b w:val="0"/>
                <w:i/>
              </w:rPr>
              <w:t xml:space="preserve">S2 </w:t>
            </w:r>
            <w:r w:rsidRPr="009D63D8">
              <w:rPr>
                <w:b w:val="0"/>
              </w:rPr>
              <w:t xml:space="preserve">– all cytology) </w:t>
            </w:r>
          </w:p>
        </w:tc>
        <w:tc>
          <w:tcPr>
            <w:tcW w:w="1162" w:type="dxa"/>
            <w:shd w:val="clear" w:color="auto" w:fill="D0CECE" w:themeFill="background2" w:themeFillShade="E6"/>
          </w:tcPr>
          <w:p w14:paraId="0EEED8F5" w14:textId="404498AB" w:rsidR="00C932DC" w:rsidRPr="00C932DC" w:rsidRDefault="00C932DC" w:rsidP="00C932DC">
            <w:pPr>
              <w:pStyle w:val="Tabletextboldleft"/>
              <w:spacing w:before="20" w:after="20"/>
              <w:jc w:val="right"/>
            </w:pPr>
            <w:r w:rsidRPr="00C932DC">
              <w:rPr>
                <w:color w:val="000000"/>
              </w:rPr>
              <w:t>$16,804,327</w:t>
            </w:r>
          </w:p>
        </w:tc>
        <w:tc>
          <w:tcPr>
            <w:tcW w:w="1162" w:type="dxa"/>
            <w:shd w:val="clear" w:color="auto" w:fill="D0CECE" w:themeFill="background2" w:themeFillShade="E6"/>
          </w:tcPr>
          <w:p w14:paraId="7C05E420" w14:textId="2E1E5418" w:rsidR="00C932DC" w:rsidRPr="00C932DC" w:rsidRDefault="00C932DC" w:rsidP="00C932DC">
            <w:pPr>
              <w:pStyle w:val="Tabletextboldleft"/>
              <w:spacing w:before="20" w:after="20"/>
              <w:jc w:val="right"/>
            </w:pPr>
            <w:r w:rsidRPr="00C932DC">
              <w:rPr>
                <w:color w:val="000000"/>
              </w:rPr>
              <w:t>$17,288,756</w:t>
            </w:r>
          </w:p>
        </w:tc>
        <w:tc>
          <w:tcPr>
            <w:tcW w:w="1162" w:type="dxa"/>
            <w:shd w:val="clear" w:color="auto" w:fill="D0CECE" w:themeFill="background2" w:themeFillShade="E6"/>
          </w:tcPr>
          <w:p w14:paraId="090D9784" w14:textId="26AD9FB1" w:rsidR="00C932DC" w:rsidRPr="00C932DC" w:rsidRDefault="00C932DC" w:rsidP="00C932DC">
            <w:pPr>
              <w:pStyle w:val="Tabletextboldleft"/>
              <w:spacing w:before="20" w:after="20"/>
              <w:jc w:val="right"/>
            </w:pPr>
            <w:r w:rsidRPr="00C932DC">
              <w:rPr>
                <w:color w:val="000000"/>
              </w:rPr>
              <w:t>$17,773,190</w:t>
            </w:r>
          </w:p>
        </w:tc>
        <w:tc>
          <w:tcPr>
            <w:tcW w:w="1162" w:type="dxa"/>
            <w:shd w:val="clear" w:color="auto" w:fill="D0CECE" w:themeFill="background2" w:themeFillShade="E6"/>
          </w:tcPr>
          <w:p w14:paraId="697A480A" w14:textId="7CA5C125" w:rsidR="00C932DC" w:rsidRPr="00C932DC" w:rsidRDefault="00C932DC" w:rsidP="00C932DC">
            <w:pPr>
              <w:pStyle w:val="Tabletextboldleft"/>
              <w:spacing w:before="20" w:after="20"/>
              <w:jc w:val="right"/>
            </w:pPr>
            <w:r w:rsidRPr="00C932DC">
              <w:rPr>
                <w:color w:val="000000"/>
              </w:rPr>
              <w:t>$18,257,625</w:t>
            </w:r>
          </w:p>
        </w:tc>
        <w:tc>
          <w:tcPr>
            <w:tcW w:w="1163" w:type="dxa"/>
            <w:shd w:val="clear" w:color="auto" w:fill="D0CECE" w:themeFill="background2" w:themeFillShade="E6"/>
          </w:tcPr>
          <w:p w14:paraId="132AA477" w14:textId="6EBB0CF6" w:rsidR="00C932DC" w:rsidRPr="00C932DC" w:rsidRDefault="00C932DC" w:rsidP="00C932DC">
            <w:pPr>
              <w:pStyle w:val="Tabletextboldleft"/>
              <w:spacing w:before="20" w:after="20"/>
              <w:jc w:val="right"/>
            </w:pPr>
            <w:r w:rsidRPr="00C932DC">
              <w:rPr>
                <w:color w:val="000000"/>
              </w:rPr>
              <w:t>$18,742,061</w:t>
            </w:r>
          </w:p>
        </w:tc>
      </w:tr>
    </w:tbl>
    <w:p w14:paraId="6484B4D1" w14:textId="77777777" w:rsidR="00B51828"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&lt;Total MBS costs&gt;</w:t>
      </w:r>
    </w:p>
    <w:p w14:paraId="521999A8" w14:textId="77777777" w:rsidR="00B51828" w:rsidRPr="001D2CEB" w:rsidRDefault="00B51828" w:rsidP="002101D2">
      <w:pPr>
        <w:spacing w:before="20" w:after="0"/>
        <w:ind w:left="0" w:firstLine="720"/>
        <w:rPr>
          <w:rFonts w:ascii="Arial Narrow" w:hAnsi="Arial Narrow"/>
          <w:sz w:val="18"/>
          <w:szCs w:val="18"/>
        </w:rPr>
      </w:pPr>
      <w:r>
        <w:rPr>
          <w:rFonts w:ascii="Arial Narrow" w:hAnsi="Arial Narrow"/>
          <w:sz w:val="18"/>
          <w:szCs w:val="18"/>
        </w:rPr>
        <w:t xml:space="preserve">Abbreviations: S1, </w:t>
      </w:r>
      <w:r w:rsidRPr="001D2CEB">
        <w:rPr>
          <w:rFonts w:ascii="Arial Narrow" w:hAnsi="Arial Narrow"/>
          <w:i/>
          <w:sz w:val="18"/>
          <w:szCs w:val="18"/>
        </w:rPr>
        <w:t>Scenario 1</w:t>
      </w:r>
      <w:r>
        <w:rPr>
          <w:rFonts w:ascii="Arial Narrow" w:hAnsi="Arial Narrow"/>
          <w:sz w:val="18"/>
          <w:szCs w:val="18"/>
        </w:rPr>
        <w:t xml:space="preserve">; S2, </w:t>
      </w:r>
      <w:r w:rsidRPr="001D2CEB">
        <w:rPr>
          <w:rFonts w:ascii="Arial Narrow" w:hAnsi="Arial Narrow"/>
          <w:i/>
          <w:sz w:val="18"/>
          <w:szCs w:val="18"/>
        </w:rPr>
        <w:t>Scenario 2.</w:t>
      </w:r>
      <w:r>
        <w:rPr>
          <w:rFonts w:ascii="Arial Narrow" w:hAnsi="Arial Narrow"/>
          <w:sz w:val="18"/>
          <w:szCs w:val="18"/>
        </w:rPr>
        <w:t xml:space="preserve"> </w:t>
      </w:r>
    </w:p>
    <w:p w14:paraId="3B2892CE" w14:textId="77777777" w:rsidR="00B51828" w:rsidRDefault="00B51828" w:rsidP="002101D2">
      <w:pPr>
        <w:spacing w:after="0"/>
        <w:ind w:left="0" w:firstLine="720"/>
        <w:rPr>
          <w:rFonts w:ascii="Arial Narrow" w:hAnsi="Arial Narrow"/>
          <w:sz w:val="18"/>
          <w:szCs w:val="18"/>
        </w:rPr>
      </w:pPr>
      <w:r w:rsidRPr="00DB0F9B">
        <w:rPr>
          <w:rFonts w:ascii="Arial Narrow" w:hAnsi="Arial Narrow"/>
          <w:sz w:val="18"/>
          <w:szCs w:val="18"/>
          <w:vertAlign w:val="superscript"/>
        </w:rPr>
        <w:t>a</w:t>
      </w:r>
      <w:r>
        <w:rPr>
          <w:rFonts w:ascii="Arial Narrow" w:hAnsi="Arial Narrow"/>
          <w:sz w:val="18"/>
          <w:szCs w:val="18"/>
        </w:rPr>
        <w:t xml:space="preserve"> Includes bone marrow items</w:t>
      </w:r>
    </w:p>
    <w:p w14:paraId="1E94BB56" w14:textId="77777777" w:rsidR="00B51828" w:rsidRPr="00F50E45" w:rsidRDefault="00B51828" w:rsidP="002101D2">
      <w:pPr>
        <w:spacing w:before="20" w:after="20"/>
        <w:ind w:left="0" w:firstLine="720"/>
        <w:rPr>
          <w:rFonts w:ascii="Arial Narrow" w:hAnsi="Arial Narrow"/>
          <w:b/>
          <w:sz w:val="18"/>
          <w:szCs w:val="18"/>
        </w:rPr>
      </w:pPr>
      <w:r w:rsidRPr="00F50E45">
        <w:rPr>
          <w:rFonts w:ascii="Arial Narrow" w:hAnsi="Arial Narrow"/>
          <w:sz w:val="18"/>
          <w:szCs w:val="18"/>
          <w:vertAlign w:val="superscript"/>
        </w:rPr>
        <w:t>b</w:t>
      </w:r>
      <w:r w:rsidRPr="00F50E45">
        <w:rPr>
          <w:rFonts w:ascii="Arial Narrow" w:hAnsi="Arial Narrow"/>
          <w:sz w:val="18"/>
          <w:szCs w:val="18"/>
        </w:rPr>
        <w:t xml:space="preserve"> MBS item 73940</w:t>
      </w:r>
    </w:p>
    <w:p w14:paraId="4AE38531" w14:textId="77777777" w:rsidR="00B51828" w:rsidRPr="00F50E45" w:rsidRDefault="00B51828" w:rsidP="002101D2">
      <w:pPr>
        <w:spacing w:before="20" w:after="20"/>
        <w:ind w:left="0" w:firstLine="720"/>
        <w:rPr>
          <w:rFonts w:ascii="Arial Narrow" w:hAnsi="Arial Narrow"/>
          <w:sz w:val="18"/>
          <w:szCs w:val="18"/>
        </w:rPr>
      </w:pPr>
      <w:r w:rsidRPr="00F50E45">
        <w:rPr>
          <w:rFonts w:ascii="Arial Narrow" w:hAnsi="Arial Narrow"/>
          <w:b/>
          <w:sz w:val="18"/>
          <w:szCs w:val="18"/>
          <w:vertAlign w:val="superscript"/>
        </w:rPr>
        <w:t>c</w:t>
      </w:r>
      <w:r w:rsidRPr="00F50E45">
        <w:rPr>
          <w:rFonts w:ascii="Arial Narrow" w:hAnsi="Arial Narrow"/>
          <w:b/>
          <w:sz w:val="18"/>
          <w:szCs w:val="18"/>
        </w:rPr>
        <w:t xml:space="preserve"> </w:t>
      </w:r>
      <w:r w:rsidRPr="00F50E45">
        <w:rPr>
          <w:rFonts w:ascii="Arial Narrow" w:hAnsi="Arial Narrow"/>
          <w:sz w:val="18"/>
          <w:szCs w:val="18"/>
        </w:rPr>
        <w:t>MBS item 74996</w:t>
      </w:r>
    </w:p>
    <w:p w14:paraId="748C7D1B" w14:textId="77777777" w:rsidR="00B51828" w:rsidRDefault="00B51828" w:rsidP="002101D2">
      <w:r>
        <w:lastRenderedPageBreak/>
        <w:t xml:space="preserve">The estimated costs presented in </w:t>
      </w:r>
      <w:r>
        <w:fldChar w:fldCharType="begin"/>
      </w:r>
      <w:r>
        <w:instrText xml:space="preserve"> REF _Ref394934801 \h </w:instrText>
      </w:r>
      <w:r>
        <w:fldChar w:fldCharType="separate"/>
      </w:r>
      <w:r w:rsidR="0044620B">
        <w:t xml:space="preserve">Table </w:t>
      </w:r>
      <w:r w:rsidR="0044620B">
        <w:rPr>
          <w:noProof/>
        </w:rPr>
        <w:t>E.4</w:t>
      </w:r>
      <w:r w:rsidR="0044620B">
        <w:noBreakHyphen/>
      </w:r>
      <w:r w:rsidR="0044620B">
        <w:rPr>
          <w:noProof/>
        </w:rPr>
        <w:t>1</w:t>
      </w:r>
      <w:r>
        <w:fldChar w:fldCharType="end"/>
      </w:r>
      <w:r>
        <w:t xml:space="preserve"> also represent the total incremental cost of the proposed and associated services to the MBS, given that under current funding arrangements the relevant services are provided either without MBS reimbursement or not at all (i.e. specimen referred fee and bulk billing incentive). A simplified version is presented in </w:t>
      </w:r>
      <w:r>
        <w:fldChar w:fldCharType="begin"/>
      </w:r>
      <w:r>
        <w:instrText xml:space="preserve"> REF _Ref395270612 \h </w:instrText>
      </w:r>
      <w:r>
        <w:fldChar w:fldCharType="separate"/>
      </w:r>
      <w:r w:rsidR="0044620B">
        <w:t xml:space="preserve">Table </w:t>
      </w:r>
      <w:r w:rsidR="0044620B">
        <w:rPr>
          <w:noProof/>
        </w:rPr>
        <w:t>E.4</w:t>
      </w:r>
      <w:r w:rsidR="0044620B">
        <w:noBreakHyphen/>
      </w:r>
      <w:r w:rsidR="0044620B">
        <w:rPr>
          <w:noProof/>
        </w:rPr>
        <w:t>2</w:t>
      </w:r>
      <w:r>
        <w:fldChar w:fldCharType="end"/>
      </w:r>
      <w:r>
        <w:t xml:space="preserve">, which shows the total incremental costs including both </w:t>
      </w:r>
      <w:r>
        <w:rPr>
          <w:i/>
        </w:rPr>
        <w:t xml:space="preserve">Scenario 1 </w:t>
      </w:r>
      <w:r>
        <w:t xml:space="preserve">and </w:t>
      </w:r>
      <w:r>
        <w:rPr>
          <w:i/>
        </w:rPr>
        <w:t>Scenario 2</w:t>
      </w:r>
      <w:r>
        <w:t xml:space="preserve"> (pathologist- and clinician-initiated referrals), excluding and including gynaecological cytology. </w:t>
      </w:r>
    </w:p>
    <w:p w14:paraId="4CA866C6" w14:textId="77777777" w:rsidR="00B51828" w:rsidRDefault="00B51828" w:rsidP="002101D2">
      <w:pPr>
        <w:pStyle w:val="Caption"/>
      </w:pPr>
      <w:bookmarkStart w:id="359" w:name="_Ref395270612"/>
      <w:bookmarkStart w:id="360" w:name="_Ref394998660"/>
      <w:bookmarkStart w:id="361" w:name="_Toc396211785"/>
      <w:r>
        <w:t xml:space="preserve">Table </w:t>
      </w:r>
      <w:fldSimple w:instr=" STYLEREF 2 \s ">
        <w:r w:rsidR="0044620B">
          <w:rPr>
            <w:noProof/>
          </w:rPr>
          <w:t>E.4</w:t>
        </w:r>
      </w:fldSimple>
      <w:r>
        <w:noBreakHyphen/>
      </w:r>
      <w:fldSimple w:instr=" SEQ Table \* ARABIC \s 2 ">
        <w:r w:rsidR="0044620B">
          <w:rPr>
            <w:noProof/>
          </w:rPr>
          <w:t>2</w:t>
        </w:r>
      </w:fldSimple>
      <w:bookmarkEnd w:id="359"/>
      <w:bookmarkEnd w:id="360"/>
      <w:r>
        <w:tab/>
        <w:t>Summary of total incremental cost of second, expert opinion and associated services, over the first five years of the proposed MBS listing</w:t>
      </w:r>
      <w:bookmarkEnd w:id="361"/>
    </w:p>
    <w:tbl>
      <w:tblPr>
        <w:tblStyle w:val="TableGrid"/>
        <w:tblW w:w="8363" w:type="dxa"/>
        <w:tblInd w:w="704" w:type="dxa"/>
        <w:tblLayout w:type="fixed"/>
        <w:tblLook w:val="04A0" w:firstRow="1" w:lastRow="0" w:firstColumn="1" w:lastColumn="0" w:noHBand="0" w:noVBand="1"/>
        <w:tblCaption w:val="Total incremental cost"/>
        <w:tblDescription w:val="Summary of total incremental cost of second, expert opinion and associated services, over the first five years of the proposed MBS listing. Two total costs are shown - one that excludes gynaecological cytology and one that includes those cases. "/>
      </w:tblPr>
      <w:tblGrid>
        <w:gridCol w:w="2552"/>
        <w:gridCol w:w="1162"/>
        <w:gridCol w:w="1162"/>
        <w:gridCol w:w="1162"/>
        <w:gridCol w:w="1162"/>
        <w:gridCol w:w="1163"/>
      </w:tblGrid>
      <w:tr w:rsidR="00B51828" w14:paraId="7CD5884A" w14:textId="77777777" w:rsidTr="00E61184">
        <w:trPr>
          <w:trHeight w:val="212"/>
          <w:tblHeader/>
        </w:trPr>
        <w:tc>
          <w:tcPr>
            <w:tcW w:w="2552" w:type="dxa"/>
          </w:tcPr>
          <w:p w14:paraId="737B9E68" w14:textId="77777777" w:rsidR="00B51828" w:rsidRDefault="00B51828" w:rsidP="002101D2">
            <w:pPr>
              <w:pStyle w:val="Tabletextboldleft"/>
              <w:spacing w:before="20" w:after="20"/>
            </w:pPr>
            <w:r>
              <w:t>Total incremental cost</w:t>
            </w:r>
          </w:p>
        </w:tc>
        <w:tc>
          <w:tcPr>
            <w:tcW w:w="1162" w:type="dxa"/>
          </w:tcPr>
          <w:p w14:paraId="6878EBDF" w14:textId="77777777" w:rsidR="00B51828" w:rsidRDefault="00B51828" w:rsidP="002101D2">
            <w:pPr>
              <w:pStyle w:val="Tabletextboldleft"/>
              <w:spacing w:before="20" w:after="20"/>
              <w:jc w:val="right"/>
            </w:pPr>
            <w:r>
              <w:t>Year 1</w:t>
            </w:r>
          </w:p>
          <w:p w14:paraId="01FDC007" w14:textId="77777777" w:rsidR="00B51828" w:rsidRDefault="00B51828" w:rsidP="002101D2">
            <w:pPr>
              <w:pStyle w:val="Tabletextboldleft"/>
              <w:spacing w:before="20" w:after="20"/>
              <w:jc w:val="right"/>
            </w:pPr>
            <w:r>
              <w:t>(2015-16)</w:t>
            </w:r>
          </w:p>
        </w:tc>
        <w:tc>
          <w:tcPr>
            <w:tcW w:w="1162" w:type="dxa"/>
          </w:tcPr>
          <w:p w14:paraId="7EBC833D" w14:textId="77777777" w:rsidR="00B51828" w:rsidRDefault="00B51828" w:rsidP="002101D2">
            <w:pPr>
              <w:pStyle w:val="Tabletextboldleft"/>
              <w:spacing w:before="20" w:after="20"/>
              <w:jc w:val="right"/>
            </w:pPr>
            <w:r>
              <w:t>Year 2</w:t>
            </w:r>
          </w:p>
          <w:p w14:paraId="2103ABEF" w14:textId="77777777" w:rsidR="00B51828" w:rsidRDefault="00B51828" w:rsidP="002101D2">
            <w:pPr>
              <w:pStyle w:val="Tabletextboldleft"/>
              <w:spacing w:before="20" w:after="20"/>
              <w:jc w:val="right"/>
            </w:pPr>
            <w:r>
              <w:t>(2016-17)</w:t>
            </w:r>
          </w:p>
        </w:tc>
        <w:tc>
          <w:tcPr>
            <w:tcW w:w="1162" w:type="dxa"/>
          </w:tcPr>
          <w:p w14:paraId="24E7A21A" w14:textId="77777777" w:rsidR="00B51828" w:rsidRDefault="00B51828" w:rsidP="002101D2">
            <w:pPr>
              <w:pStyle w:val="Tabletextboldleft"/>
              <w:spacing w:before="20" w:after="20"/>
              <w:jc w:val="right"/>
            </w:pPr>
            <w:r>
              <w:t>Year 3</w:t>
            </w:r>
          </w:p>
          <w:p w14:paraId="654294B6" w14:textId="77777777" w:rsidR="00B51828" w:rsidRDefault="00B51828" w:rsidP="002101D2">
            <w:pPr>
              <w:pStyle w:val="Tabletextboldleft"/>
              <w:spacing w:before="20" w:after="20"/>
              <w:jc w:val="right"/>
            </w:pPr>
            <w:r>
              <w:t>(2017-18)</w:t>
            </w:r>
          </w:p>
        </w:tc>
        <w:tc>
          <w:tcPr>
            <w:tcW w:w="1162" w:type="dxa"/>
          </w:tcPr>
          <w:p w14:paraId="464FFF15" w14:textId="77777777" w:rsidR="00B51828" w:rsidRDefault="00B51828" w:rsidP="002101D2">
            <w:pPr>
              <w:pStyle w:val="Tabletextboldleft"/>
              <w:spacing w:before="20" w:after="20"/>
              <w:jc w:val="right"/>
            </w:pPr>
            <w:r>
              <w:t>Year 4</w:t>
            </w:r>
          </w:p>
          <w:p w14:paraId="05F990DD" w14:textId="77777777" w:rsidR="00B51828" w:rsidRDefault="00B51828" w:rsidP="002101D2">
            <w:pPr>
              <w:pStyle w:val="Tabletextboldleft"/>
              <w:spacing w:before="20" w:after="20"/>
              <w:jc w:val="right"/>
            </w:pPr>
            <w:r>
              <w:t>(2018-19)</w:t>
            </w:r>
          </w:p>
        </w:tc>
        <w:tc>
          <w:tcPr>
            <w:tcW w:w="1163" w:type="dxa"/>
          </w:tcPr>
          <w:p w14:paraId="523725A8" w14:textId="77777777" w:rsidR="00B51828" w:rsidRDefault="00B51828" w:rsidP="002101D2">
            <w:pPr>
              <w:pStyle w:val="Tabletextboldleft"/>
              <w:spacing w:before="20" w:after="20"/>
              <w:jc w:val="right"/>
            </w:pPr>
            <w:r>
              <w:t>Year 5</w:t>
            </w:r>
          </w:p>
          <w:p w14:paraId="28AC80CA" w14:textId="77777777" w:rsidR="00B51828" w:rsidRDefault="00B51828" w:rsidP="002101D2">
            <w:pPr>
              <w:pStyle w:val="Tabletextboldleft"/>
              <w:spacing w:before="20" w:after="20"/>
              <w:jc w:val="right"/>
            </w:pPr>
            <w:r>
              <w:t>(2019-20)</w:t>
            </w:r>
          </w:p>
        </w:tc>
      </w:tr>
      <w:tr w:rsidR="00132BD2" w:rsidRPr="00F647C7" w14:paraId="085C21B1" w14:textId="77777777" w:rsidTr="00E61184">
        <w:trPr>
          <w:trHeight w:val="212"/>
        </w:trPr>
        <w:tc>
          <w:tcPr>
            <w:tcW w:w="2552" w:type="dxa"/>
          </w:tcPr>
          <w:p w14:paraId="26DA86F4" w14:textId="77777777" w:rsidR="00132BD2" w:rsidRPr="002D48BB" w:rsidRDefault="00132BD2" w:rsidP="00132BD2">
            <w:pPr>
              <w:pStyle w:val="Tabletextboldleft"/>
              <w:spacing w:before="20" w:after="20"/>
              <w:rPr>
                <w:b w:val="0"/>
              </w:rPr>
            </w:pPr>
            <w:r>
              <w:rPr>
                <w:b w:val="0"/>
              </w:rPr>
              <w:t>Excluding gynaecological cytology</w:t>
            </w:r>
          </w:p>
        </w:tc>
        <w:tc>
          <w:tcPr>
            <w:tcW w:w="1162" w:type="dxa"/>
          </w:tcPr>
          <w:p w14:paraId="28781316" w14:textId="34413CB4" w:rsidR="00132BD2" w:rsidRPr="00132BD2" w:rsidRDefault="00132BD2" w:rsidP="00132BD2">
            <w:pPr>
              <w:pStyle w:val="Tabletextboldleft"/>
              <w:spacing w:before="20" w:after="20"/>
              <w:jc w:val="right"/>
              <w:rPr>
                <w:b w:val="0"/>
              </w:rPr>
            </w:pPr>
            <w:r w:rsidRPr="00132BD2">
              <w:rPr>
                <w:b w:val="0"/>
                <w:color w:val="000000"/>
              </w:rPr>
              <w:t>$12,505,092</w:t>
            </w:r>
          </w:p>
        </w:tc>
        <w:tc>
          <w:tcPr>
            <w:tcW w:w="1162" w:type="dxa"/>
          </w:tcPr>
          <w:p w14:paraId="218101AB" w14:textId="56C97783" w:rsidR="00132BD2" w:rsidRPr="00132BD2" w:rsidRDefault="00132BD2" w:rsidP="00132BD2">
            <w:pPr>
              <w:pStyle w:val="Tabletextboldleft"/>
              <w:spacing w:before="20" w:after="20"/>
              <w:jc w:val="right"/>
              <w:rPr>
                <w:b w:val="0"/>
              </w:rPr>
            </w:pPr>
            <w:r w:rsidRPr="00132BD2">
              <w:rPr>
                <w:b w:val="0"/>
                <w:color w:val="000000"/>
              </w:rPr>
              <w:t>$12,953,716</w:t>
            </w:r>
          </w:p>
        </w:tc>
        <w:tc>
          <w:tcPr>
            <w:tcW w:w="1162" w:type="dxa"/>
          </w:tcPr>
          <w:p w14:paraId="6D29CC51" w14:textId="76151F03" w:rsidR="00132BD2" w:rsidRPr="00132BD2" w:rsidRDefault="00132BD2" w:rsidP="00132BD2">
            <w:pPr>
              <w:pStyle w:val="Tabletextboldleft"/>
              <w:spacing w:before="20" w:after="20"/>
              <w:jc w:val="right"/>
              <w:rPr>
                <w:b w:val="0"/>
              </w:rPr>
            </w:pPr>
            <w:r w:rsidRPr="00132BD2">
              <w:rPr>
                <w:b w:val="0"/>
                <w:color w:val="000000"/>
              </w:rPr>
              <w:t>$13,402,349</w:t>
            </w:r>
          </w:p>
        </w:tc>
        <w:tc>
          <w:tcPr>
            <w:tcW w:w="1162" w:type="dxa"/>
          </w:tcPr>
          <w:p w14:paraId="77903F66" w14:textId="5D1AD1DA" w:rsidR="00132BD2" w:rsidRPr="00132BD2" w:rsidRDefault="00132BD2" w:rsidP="00132BD2">
            <w:pPr>
              <w:pStyle w:val="Tabletextboldleft"/>
              <w:spacing w:before="20" w:after="20"/>
              <w:jc w:val="right"/>
              <w:rPr>
                <w:b w:val="0"/>
              </w:rPr>
            </w:pPr>
            <w:r w:rsidRPr="00132BD2">
              <w:rPr>
                <w:b w:val="0"/>
                <w:color w:val="000000"/>
              </w:rPr>
              <w:t>$13,850,984</w:t>
            </w:r>
          </w:p>
        </w:tc>
        <w:tc>
          <w:tcPr>
            <w:tcW w:w="1163" w:type="dxa"/>
          </w:tcPr>
          <w:p w14:paraId="73DD358C" w14:textId="13909F59" w:rsidR="00132BD2" w:rsidRPr="00132BD2" w:rsidRDefault="00132BD2" w:rsidP="00132BD2">
            <w:pPr>
              <w:pStyle w:val="Tabletextboldleft"/>
              <w:spacing w:before="20" w:after="20"/>
              <w:jc w:val="right"/>
              <w:rPr>
                <w:b w:val="0"/>
              </w:rPr>
            </w:pPr>
            <w:r w:rsidRPr="00132BD2">
              <w:rPr>
                <w:b w:val="0"/>
                <w:color w:val="000000"/>
              </w:rPr>
              <w:t>$14,299,615</w:t>
            </w:r>
          </w:p>
        </w:tc>
      </w:tr>
      <w:tr w:rsidR="00132BD2" w:rsidRPr="00F647C7" w14:paraId="60DD5624" w14:textId="77777777" w:rsidTr="00E61184">
        <w:trPr>
          <w:trHeight w:val="212"/>
        </w:trPr>
        <w:tc>
          <w:tcPr>
            <w:tcW w:w="2552" w:type="dxa"/>
          </w:tcPr>
          <w:p w14:paraId="51853115" w14:textId="77777777" w:rsidR="00132BD2" w:rsidRDefault="00132BD2" w:rsidP="00132BD2">
            <w:pPr>
              <w:pStyle w:val="Tabletextboldleft"/>
              <w:spacing w:before="20" w:after="20"/>
              <w:rPr>
                <w:b w:val="0"/>
              </w:rPr>
            </w:pPr>
            <w:r>
              <w:rPr>
                <w:b w:val="0"/>
              </w:rPr>
              <w:t>Including gynaecological cytology</w:t>
            </w:r>
          </w:p>
        </w:tc>
        <w:tc>
          <w:tcPr>
            <w:tcW w:w="1162" w:type="dxa"/>
          </w:tcPr>
          <w:p w14:paraId="7DB8CBCA" w14:textId="142ECFA4" w:rsidR="00132BD2" w:rsidRPr="00132BD2" w:rsidRDefault="00132BD2" w:rsidP="00132BD2">
            <w:pPr>
              <w:pStyle w:val="Tabletextboldleft"/>
              <w:spacing w:before="20" w:after="20"/>
              <w:jc w:val="right"/>
              <w:rPr>
                <w:b w:val="0"/>
                <w:color w:val="000000"/>
              </w:rPr>
            </w:pPr>
            <w:r w:rsidRPr="00132BD2">
              <w:rPr>
                <w:b w:val="0"/>
                <w:color w:val="000000"/>
              </w:rPr>
              <w:t>$16,804,327</w:t>
            </w:r>
          </w:p>
        </w:tc>
        <w:tc>
          <w:tcPr>
            <w:tcW w:w="1162" w:type="dxa"/>
          </w:tcPr>
          <w:p w14:paraId="356F0A6E" w14:textId="5A74C8B6" w:rsidR="00132BD2" w:rsidRPr="00132BD2" w:rsidRDefault="00132BD2" w:rsidP="00132BD2">
            <w:pPr>
              <w:pStyle w:val="Tabletextboldleft"/>
              <w:spacing w:before="20" w:after="20"/>
              <w:jc w:val="right"/>
              <w:rPr>
                <w:b w:val="0"/>
                <w:color w:val="000000"/>
              </w:rPr>
            </w:pPr>
            <w:r w:rsidRPr="00132BD2">
              <w:rPr>
                <w:b w:val="0"/>
                <w:color w:val="000000"/>
              </w:rPr>
              <w:t>$17,288,756</w:t>
            </w:r>
          </w:p>
        </w:tc>
        <w:tc>
          <w:tcPr>
            <w:tcW w:w="1162" w:type="dxa"/>
          </w:tcPr>
          <w:p w14:paraId="7FEFF626" w14:textId="64A91D4D" w:rsidR="00132BD2" w:rsidRPr="00132BD2" w:rsidRDefault="00132BD2" w:rsidP="00132BD2">
            <w:pPr>
              <w:pStyle w:val="Tabletextboldleft"/>
              <w:spacing w:before="20" w:after="20"/>
              <w:jc w:val="right"/>
              <w:rPr>
                <w:b w:val="0"/>
                <w:color w:val="000000"/>
              </w:rPr>
            </w:pPr>
            <w:r w:rsidRPr="00132BD2">
              <w:rPr>
                <w:b w:val="0"/>
                <w:color w:val="000000"/>
              </w:rPr>
              <w:t>$17,773,190</w:t>
            </w:r>
          </w:p>
        </w:tc>
        <w:tc>
          <w:tcPr>
            <w:tcW w:w="1162" w:type="dxa"/>
          </w:tcPr>
          <w:p w14:paraId="33C307FE" w14:textId="1A3DBE77" w:rsidR="00132BD2" w:rsidRPr="00132BD2" w:rsidRDefault="00132BD2" w:rsidP="00132BD2">
            <w:pPr>
              <w:pStyle w:val="Tabletextboldleft"/>
              <w:spacing w:before="20" w:after="20"/>
              <w:jc w:val="right"/>
              <w:rPr>
                <w:b w:val="0"/>
                <w:color w:val="000000"/>
              </w:rPr>
            </w:pPr>
            <w:r w:rsidRPr="00132BD2">
              <w:rPr>
                <w:b w:val="0"/>
                <w:color w:val="000000"/>
              </w:rPr>
              <w:t>$18,257,625</w:t>
            </w:r>
          </w:p>
        </w:tc>
        <w:tc>
          <w:tcPr>
            <w:tcW w:w="1163" w:type="dxa"/>
          </w:tcPr>
          <w:p w14:paraId="5C165C3C" w14:textId="738235A2" w:rsidR="00132BD2" w:rsidRPr="00132BD2" w:rsidRDefault="00132BD2" w:rsidP="00132BD2">
            <w:pPr>
              <w:pStyle w:val="Tabletextboldleft"/>
              <w:spacing w:before="20" w:after="20"/>
              <w:jc w:val="right"/>
              <w:rPr>
                <w:b w:val="0"/>
                <w:color w:val="000000"/>
              </w:rPr>
            </w:pPr>
            <w:r w:rsidRPr="00132BD2">
              <w:rPr>
                <w:b w:val="0"/>
                <w:color w:val="000000"/>
              </w:rPr>
              <w:t>$18,742,061</w:t>
            </w:r>
          </w:p>
        </w:tc>
      </w:tr>
    </w:tbl>
    <w:p w14:paraId="263E95F2" w14:textId="77777777" w:rsidR="00B51828" w:rsidRPr="003238AA" w:rsidRDefault="00B51828" w:rsidP="002101D2">
      <w:pPr>
        <w:spacing w:before="20" w:after="0"/>
        <w:ind w:left="0" w:firstLine="720"/>
        <w:rPr>
          <w:rFonts w:ascii="Arial Narrow" w:hAnsi="Arial Narrow"/>
          <w:sz w:val="18"/>
          <w:szCs w:val="18"/>
        </w:rPr>
      </w:pPr>
      <w:r>
        <w:rPr>
          <w:rFonts w:ascii="Arial Narrow" w:hAnsi="Arial Narrow"/>
          <w:sz w:val="18"/>
          <w:szCs w:val="18"/>
        </w:rPr>
        <w:t>Source: Excel Section E workbook &lt;Incremental costs (all items)&gt;</w:t>
      </w:r>
    </w:p>
    <w:p w14:paraId="4A0B29D9" w14:textId="77777777" w:rsidR="00B51828" w:rsidRPr="00C41D41" w:rsidRDefault="00B51828" w:rsidP="002101D2"/>
    <w:p w14:paraId="295147DE" w14:textId="77777777" w:rsidR="00B51828" w:rsidRDefault="00B51828" w:rsidP="00B51828">
      <w:pPr>
        <w:pStyle w:val="Heading2"/>
        <w:numPr>
          <w:ilvl w:val="1"/>
          <w:numId w:val="1"/>
        </w:numPr>
      </w:pPr>
      <w:bookmarkStart w:id="362" w:name="_Toc396211715"/>
      <w:r>
        <w:t>Estimated financial implications for Government health budgets</w:t>
      </w:r>
      <w:bookmarkEnd w:id="362"/>
    </w:p>
    <w:p w14:paraId="2E3EE7EA" w14:textId="77777777" w:rsidR="00B51828" w:rsidRDefault="00B51828" w:rsidP="002101D2">
      <w:r>
        <w:t>As discussed in Section E.3, the financial analysis does not attempt to capture the potential downstream costs or cost-savings that could be attributed to the proposed listing.  For example, the revision of a diagnosis from malignant to benign could result in savings to other Government health budgets through the avoidance of unnecessary treatment (e.g. chemotherapy). Conversely, Government health budgets may face increased costs in some cases where a previously benign provisional diagnosis is changed to malignant. In such cases, increased downstream treatment costs would result from a need for therapy (chemotherapy, for example) that would otherwise have been withheld. On the other hand, where a previously benign provisional diagnosis is changed to malignant, there may be reduced costs to the MBS and other Government health budgets from treating early-stage cancer rather than advanced cancer.</w:t>
      </w:r>
    </w:p>
    <w:p w14:paraId="3E53D4CC" w14:textId="77777777" w:rsidR="00B51828" w:rsidRDefault="00B51828" w:rsidP="00B51828">
      <w:pPr>
        <w:pStyle w:val="Heading2"/>
        <w:numPr>
          <w:ilvl w:val="1"/>
          <w:numId w:val="1"/>
        </w:numPr>
      </w:pPr>
      <w:bookmarkStart w:id="363" w:name="_Ref394404227"/>
      <w:bookmarkStart w:id="364" w:name="_Ref394571889"/>
      <w:bookmarkStart w:id="365" w:name="_Toc396211716"/>
      <w:r>
        <w:t>Identification, estimation and reduction of uncertainty</w:t>
      </w:r>
      <w:bookmarkEnd w:id="363"/>
      <w:bookmarkEnd w:id="364"/>
      <w:bookmarkEnd w:id="365"/>
    </w:p>
    <w:p w14:paraId="31177951" w14:textId="77777777" w:rsidR="00B51828" w:rsidRDefault="00B51828" w:rsidP="002101D2">
      <w:pPr>
        <w:spacing w:after="360"/>
      </w:pPr>
      <w:r>
        <w:t xml:space="preserve">Sensitivity analyses were performed to examine how robust the main findings of the financial analysis are to possible variations in key assumptions. Section </w:t>
      </w:r>
      <w:r>
        <w:fldChar w:fldCharType="begin"/>
      </w:r>
      <w:r>
        <w:instrText xml:space="preserve"> REF _Ref394404227 \w \h </w:instrText>
      </w:r>
      <w:r>
        <w:fldChar w:fldCharType="separate"/>
      </w:r>
      <w:r w:rsidR="0044620B">
        <w:t>E.6</w:t>
      </w:r>
      <w:r>
        <w:fldChar w:fldCharType="end"/>
      </w:r>
      <w:r>
        <w:t xml:space="preserve"> presents a number of sensitivity analyses using a base case in which gynaecological cytology cases (‘core’ MBS items 73053, 73055 and 73057) are excluded from the proposed listing. </w:t>
      </w:r>
    </w:p>
    <w:p w14:paraId="6C95DEC8" w14:textId="70A856A0" w:rsidR="00B51828" w:rsidRDefault="00B51828" w:rsidP="002101D2">
      <w:pPr>
        <w:spacing w:after="360"/>
      </w:pPr>
      <w:r>
        <w:t xml:space="preserve">In contrast, the base case adopted in Section </w:t>
      </w:r>
      <w:r>
        <w:fldChar w:fldCharType="begin"/>
      </w:r>
      <w:r>
        <w:instrText xml:space="preserve"> REF _Ref395187238 \w \h </w:instrText>
      </w:r>
      <w:r>
        <w:fldChar w:fldCharType="separate"/>
      </w:r>
      <w:r w:rsidR="0044620B">
        <w:t>E.6.2</w:t>
      </w:r>
      <w:r>
        <w:fldChar w:fldCharType="end"/>
      </w:r>
      <w:r>
        <w:t xml:space="preserve"> assumes that all cytology cases (along with all bone marrow and tissue pathology cases) are eligible for MBS reimbursement of second, expert opinions. The main reason for the separate analysis in Section </w:t>
      </w:r>
      <w:r>
        <w:fldChar w:fldCharType="begin"/>
      </w:r>
      <w:r>
        <w:instrText xml:space="preserve"> REF _Ref395187238 \w \h </w:instrText>
      </w:r>
      <w:r>
        <w:fldChar w:fldCharType="separate"/>
      </w:r>
      <w:r w:rsidR="0044620B">
        <w:t>E.6.2</w:t>
      </w:r>
      <w:r>
        <w:fldChar w:fldCharType="end"/>
      </w:r>
      <w:r>
        <w:t xml:space="preserve"> is to show the financial impact of proposed changes to the NCSP.</w:t>
      </w:r>
      <w:bookmarkStart w:id="366" w:name="_Ref394999592"/>
    </w:p>
    <w:p w14:paraId="4C908E00" w14:textId="77777777" w:rsidR="00B51828" w:rsidRDefault="00B51828" w:rsidP="00B51828">
      <w:pPr>
        <w:pStyle w:val="Heading3"/>
        <w:numPr>
          <w:ilvl w:val="2"/>
          <w:numId w:val="1"/>
        </w:numPr>
      </w:pPr>
      <w:r>
        <w:t xml:space="preserve">Sensitivity analyses – base case excludes gynaecological cytology </w:t>
      </w:r>
    </w:p>
    <w:bookmarkEnd w:id="366"/>
    <w:p w14:paraId="60A46CD7" w14:textId="77777777" w:rsidR="00B51828" w:rsidRDefault="00B51828" w:rsidP="002101D2">
      <w:r>
        <w:t xml:space="preserve">It was anticipated that the financial estimates would be most sensitive to variations in the proportion of cases referred for second, expert opinion. In particular, the proportion of cases referred for second, expert opinion under the proposed funding arrangements are highly uncertain, given that the best available estimates rely on an Expert Opinion Survey </w:t>
      </w:r>
      <w:r>
        <w:lastRenderedPageBreak/>
        <w:t xml:space="preserve">with a very small number of respondents (although representing large pathology practices; see </w:t>
      </w:r>
      <w:r>
        <w:fldChar w:fldCharType="begin"/>
      </w:r>
      <w:r>
        <w:instrText xml:space="preserve"> REF _Ref394406621 \w \h </w:instrText>
      </w:r>
      <w:r>
        <w:fldChar w:fldCharType="separate"/>
      </w:r>
      <w:r w:rsidR="0044620B">
        <w:t>Appendix 1</w:t>
      </w:r>
      <w:r>
        <w:fldChar w:fldCharType="end"/>
      </w:r>
      <w:r>
        <w:t xml:space="preserve">). As such, four different sensitivity analyses were conducted using higher and lower estimates (see </w:t>
      </w:r>
      <w:r>
        <w:fldChar w:fldCharType="begin"/>
      </w:r>
      <w:r>
        <w:instrText xml:space="preserve"> REF _Ref395020611 \h </w:instrText>
      </w:r>
      <w:r>
        <w:fldChar w:fldCharType="separate"/>
      </w:r>
      <w:r w:rsidR="0044620B">
        <w:t xml:space="preserve">Table </w:t>
      </w:r>
      <w:r w:rsidR="0044620B">
        <w:rPr>
          <w:noProof/>
        </w:rPr>
        <w:t>E.6</w:t>
      </w:r>
      <w:r w:rsidR="0044620B">
        <w:noBreakHyphen/>
      </w:r>
      <w:r w:rsidR="0044620B">
        <w:rPr>
          <w:noProof/>
        </w:rPr>
        <w:t>1</w:t>
      </w:r>
      <w:r>
        <w:fldChar w:fldCharType="end"/>
      </w:r>
      <w:r>
        <w:t xml:space="preserve">).  </w:t>
      </w:r>
    </w:p>
    <w:p w14:paraId="1EF061F4" w14:textId="77777777" w:rsidR="00B51828" w:rsidRDefault="00B51828" w:rsidP="002101D2">
      <w:r>
        <w:t>In</w:t>
      </w:r>
      <w:r>
        <w:rPr>
          <w:i/>
        </w:rPr>
        <w:t xml:space="preserve"> </w:t>
      </w:r>
      <w:r w:rsidRPr="00BD502E">
        <w:rPr>
          <w:i/>
        </w:rPr>
        <w:t>Sensitivity analysis 1</w:t>
      </w:r>
      <w:r>
        <w:t xml:space="preserve"> the median was used to summarise the results of the Expert Opinion Survey rather than the mean. The rationale for </w:t>
      </w:r>
      <w:r>
        <w:rPr>
          <w:i/>
        </w:rPr>
        <w:t xml:space="preserve">Sensitivity analysis 1 </w:t>
      </w:r>
      <w:r>
        <w:t xml:space="preserve">was that the results of the Expert Opinion Survey did not appear to be normally distributed and could arguably be better summarised using the median. </w:t>
      </w:r>
    </w:p>
    <w:p w14:paraId="06EA8C0F" w14:textId="77777777" w:rsidR="00B51828" w:rsidRPr="00A84540" w:rsidRDefault="00B51828" w:rsidP="002101D2">
      <w:pPr>
        <w:rPr>
          <w:i/>
        </w:rPr>
      </w:pPr>
      <w:r>
        <w:t>Furthermore, one set of expert responses contained several outliers and a sensitivity analysis (</w:t>
      </w:r>
      <w:r w:rsidRPr="00B430B3">
        <w:rPr>
          <w:i/>
        </w:rPr>
        <w:t>Sensitivity analysis 2</w:t>
      </w:r>
      <w:r w:rsidRPr="00B430B3">
        <w:t>)</w:t>
      </w:r>
      <w:r>
        <w:t xml:space="preserve"> was therefore conducted using calculated averages which excluded their estimates. In order to maintain internal consistency, all of the responses from the respondent in question (not only the estimate of proportion of cases referred for second, expert opinion) were excluded from the averages. The same approach was adopted in </w:t>
      </w:r>
      <w:r>
        <w:rPr>
          <w:i/>
        </w:rPr>
        <w:t>Sensitivity analyses 1</w:t>
      </w:r>
      <w:r>
        <w:t xml:space="preserve"> and </w:t>
      </w:r>
      <w:r>
        <w:rPr>
          <w:i/>
        </w:rPr>
        <w:t>3.</w:t>
      </w:r>
    </w:p>
    <w:p w14:paraId="6F0BDAB0" w14:textId="77777777" w:rsidR="00B51828" w:rsidRDefault="00B51828" w:rsidP="002101D2">
      <w:r>
        <w:rPr>
          <w:i/>
        </w:rPr>
        <w:t>Sensitivity analysis 3</w:t>
      </w:r>
      <w:r>
        <w:t xml:space="preserve"> used the estimates from one of the HESP members assigned to MSAC Application 1332. These estimates were generally towards the lower end of the range of responses. </w:t>
      </w:r>
    </w:p>
    <w:p w14:paraId="34D17777" w14:textId="77777777" w:rsidR="00B51828" w:rsidRDefault="00B51828" w:rsidP="002101D2">
      <w:r>
        <w:t xml:space="preserve">Finally, a sensitivity analysis was conducted using estimates for the proportion of cases referred that were higher than the mean. </w:t>
      </w:r>
      <w:r>
        <w:rPr>
          <w:i/>
        </w:rPr>
        <w:t>Sensitivity analysis 4</w:t>
      </w:r>
      <w:r>
        <w:t xml:space="preserve"> used an estimated referral rate of 2% under proposed funding arrangements – equal to the higher end of the range provided by the Applicant in their pre-assessment documentation and also equal to the highest estimate for tissue pathology under the proposed funding arrangements (aside from the aforementioned outlier of who estimated “&lt;5%”). In </w:t>
      </w:r>
      <w:r>
        <w:rPr>
          <w:i/>
        </w:rPr>
        <w:t>Sensitivity analysis 4</w:t>
      </w:r>
      <w:r>
        <w:t xml:space="preserve">, only the estimate for the proportion of cases referred for second, expert opinion under the proposed funding arrangements was altered. Changes to the proportion referred under current funding arrangements would have no impact on the total or incremental cost of the listing, as the service bears no cost to the MBS under current funding arrangements. </w:t>
      </w:r>
    </w:p>
    <w:p w14:paraId="62E0EEDD" w14:textId="77777777" w:rsidR="00B51828" w:rsidRPr="00EB10B8" w:rsidRDefault="00B51828" w:rsidP="002101D2">
      <w:r>
        <w:t xml:space="preserve">The results of the sensitivity analyses are presented in </w:t>
      </w:r>
      <w:r>
        <w:fldChar w:fldCharType="begin"/>
      </w:r>
      <w:r>
        <w:instrText xml:space="preserve"> REF _Ref395084609 \h </w:instrText>
      </w:r>
      <w:r>
        <w:fldChar w:fldCharType="separate"/>
      </w:r>
      <w:r w:rsidR="0044620B">
        <w:t xml:space="preserve">Table </w:t>
      </w:r>
      <w:r w:rsidR="0044620B">
        <w:rPr>
          <w:noProof/>
        </w:rPr>
        <w:t>E.6</w:t>
      </w:r>
      <w:r w:rsidR="0044620B">
        <w:noBreakHyphen/>
      </w:r>
      <w:r w:rsidR="0044620B">
        <w:rPr>
          <w:noProof/>
        </w:rPr>
        <w:t>2</w:t>
      </w:r>
      <w:r>
        <w:fldChar w:fldCharType="end"/>
      </w:r>
      <w:r>
        <w:t>.</w:t>
      </w:r>
    </w:p>
    <w:p w14:paraId="6A387DEF" w14:textId="77777777" w:rsidR="00B51828" w:rsidRDefault="00B51828" w:rsidP="002101D2">
      <w:pPr>
        <w:pStyle w:val="Caption"/>
      </w:pPr>
      <w:bookmarkStart w:id="367" w:name="_Ref395020611"/>
      <w:bookmarkStart w:id="368" w:name="_Toc396211786"/>
      <w:r>
        <w:lastRenderedPageBreak/>
        <w:t xml:space="preserve">Table </w:t>
      </w:r>
      <w:fldSimple w:instr=" STYLEREF 2 \s ">
        <w:r w:rsidR="0044620B">
          <w:rPr>
            <w:noProof/>
          </w:rPr>
          <w:t>E.6</w:t>
        </w:r>
      </w:fldSimple>
      <w:r>
        <w:noBreakHyphen/>
      </w:r>
      <w:fldSimple w:instr=" SEQ Table \* ARABIC \s 2 ">
        <w:r w:rsidR="0044620B">
          <w:rPr>
            <w:noProof/>
          </w:rPr>
          <w:t>1</w:t>
        </w:r>
      </w:fldSimple>
      <w:bookmarkEnd w:id="367"/>
      <w:r>
        <w:tab/>
        <w:t>Proportion of cases referred for second, expert opinion under the proposed funding arrangements – estimates used in sensitivity analyses</w:t>
      </w:r>
      <w:bookmarkEnd w:id="368"/>
    </w:p>
    <w:tbl>
      <w:tblPr>
        <w:tblStyle w:val="TableGrid"/>
        <w:tblW w:w="8347" w:type="dxa"/>
        <w:tblInd w:w="720" w:type="dxa"/>
        <w:tblLayout w:type="fixed"/>
        <w:tblLook w:val="04A0" w:firstRow="1" w:lastRow="0" w:firstColumn="1" w:lastColumn="0" w:noHBand="0" w:noVBand="1"/>
        <w:tblCaption w:val="Proportion of cases referred for second, expert opinion under the proposed funding arrangements – estimates used in sensitivity analyses"/>
        <w:tblDescription w:val="A variety of estimates for the proportion of cases referred for second, expert opinion under the proposed funding arrangements. The estimates are used in sensitivity analyses. "/>
      </w:tblPr>
      <w:tblGrid>
        <w:gridCol w:w="1118"/>
        <w:gridCol w:w="3544"/>
        <w:gridCol w:w="1843"/>
        <w:gridCol w:w="1842"/>
      </w:tblGrid>
      <w:tr w:rsidR="00B51828" w14:paraId="4A828E0A" w14:textId="77777777" w:rsidTr="00E61184">
        <w:trPr>
          <w:trHeight w:val="210"/>
          <w:tblHeader/>
        </w:trPr>
        <w:tc>
          <w:tcPr>
            <w:tcW w:w="1118" w:type="dxa"/>
          </w:tcPr>
          <w:p w14:paraId="14441803" w14:textId="77777777" w:rsidR="00B51828" w:rsidRDefault="00B51828" w:rsidP="002101D2">
            <w:pPr>
              <w:pStyle w:val="Tabletextboldleft"/>
              <w:spacing w:before="20" w:after="20"/>
            </w:pPr>
            <w:r>
              <w:t>Analysis</w:t>
            </w:r>
          </w:p>
        </w:tc>
        <w:tc>
          <w:tcPr>
            <w:tcW w:w="3544" w:type="dxa"/>
          </w:tcPr>
          <w:p w14:paraId="1359EAEF" w14:textId="77777777" w:rsidR="00B51828" w:rsidRDefault="00B51828" w:rsidP="002101D2">
            <w:pPr>
              <w:pStyle w:val="Tabletextboldleft"/>
              <w:spacing w:before="20" w:after="20"/>
            </w:pPr>
            <w:r>
              <w:t>Assumption</w:t>
            </w:r>
          </w:p>
        </w:tc>
        <w:tc>
          <w:tcPr>
            <w:tcW w:w="1843" w:type="dxa"/>
          </w:tcPr>
          <w:p w14:paraId="7B967D01" w14:textId="77777777" w:rsidR="00B51828" w:rsidRDefault="00B51828" w:rsidP="002101D2">
            <w:pPr>
              <w:pStyle w:val="Tabletextboldleft"/>
              <w:spacing w:before="20" w:after="20"/>
              <w:jc w:val="right"/>
            </w:pPr>
            <w:r>
              <w:t>Proportion referred (%) – Tissue pathology</w:t>
            </w:r>
          </w:p>
        </w:tc>
        <w:tc>
          <w:tcPr>
            <w:tcW w:w="1842" w:type="dxa"/>
          </w:tcPr>
          <w:p w14:paraId="574699AE" w14:textId="77777777" w:rsidR="00B51828" w:rsidRDefault="00B51828" w:rsidP="002101D2">
            <w:pPr>
              <w:pStyle w:val="Tabletextboldleft"/>
              <w:spacing w:before="20" w:after="20"/>
              <w:jc w:val="right"/>
            </w:pPr>
            <w:r>
              <w:t>Proportion referred (%) – Cytology</w:t>
            </w:r>
          </w:p>
        </w:tc>
      </w:tr>
      <w:tr w:rsidR="00B51828" w14:paraId="216FB813" w14:textId="77777777" w:rsidTr="00E61184">
        <w:trPr>
          <w:trHeight w:val="84"/>
        </w:trPr>
        <w:tc>
          <w:tcPr>
            <w:tcW w:w="1118" w:type="dxa"/>
            <w:shd w:val="clear" w:color="auto" w:fill="D0CECE" w:themeFill="background2" w:themeFillShade="E6"/>
          </w:tcPr>
          <w:p w14:paraId="0D8FE9B5" w14:textId="77777777" w:rsidR="00B51828" w:rsidRDefault="00B51828" w:rsidP="002101D2">
            <w:pPr>
              <w:pStyle w:val="Tabletextboldleft"/>
              <w:spacing w:before="20" w:after="20"/>
            </w:pPr>
            <w:r>
              <w:t>Base case</w:t>
            </w:r>
          </w:p>
        </w:tc>
        <w:tc>
          <w:tcPr>
            <w:tcW w:w="3544" w:type="dxa"/>
            <w:shd w:val="clear" w:color="auto" w:fill="D0CECE" w:themeFill="background2" w:themeFillShade="E6"/>
          </w:tcPr>
          <w:p w14:paraId="65057096" w14:textId="6E87D527" w:rsidR="00B51828" w:rsidRPr="00701236" w:rsidRDefault="007C2877" w:rsidP="002101D2">
            <w:pPr>
              <w:pStyle w:val="Tabletextboldleft"/>
              <w:spacing w:before="20" w:after="20"/>
            </w:pPr>
            <w:r>
              <w:fldChar w:fldCharType="begin"/>
            </w:r>
            <w:r>
              <w:instrText xml:space="preserve"> REF _Ref395267293 \h </w:instrText>
            </w:r>
            <w:r>
              <w:fldChar w:fldCharType="separate"/>
            </w:r>
            <w:r w:rsidR="0044620B">
              <w:t xml:space="preserve">Table </w:t>
            </w:r>
            <w:r w:rsidR="0044620B">
              <w:rPr>
                <w:noProof/>
              </w:rPr>
              <w:t>E.1</w:t>
            </w:r>
            <w:r w:rsidR="0044620B">
              <w:noBreakHyphen/>
            </w:r>
            <w:r w:rsidR="0044620B">
              <w:rPr>
                <w:noProof/>
              </w:rPr>
              <w:t>3</w:t>
            </w:r>
            <w:r>
              <w:fldChar w:fldCharType="end"/>
            </w:r>
          </w:p>
        </w:tc>
        <w:tc>
          <w:tcPr>
            <w:tcW w:w="1843" w:type="dxa"/>
            <w:shd w:val="clear" w:color="auto" w:fill="D0CECE" w:themeFill="background2" w:themeFillShade="E6"/>
          </w:tcPr>
          <w:p w14:paraId="1CBD0E4D" w14:textId="77777777" w:rsidR="00B51828" w:rsidRPr="00582A9D" w:rsidRDefault="00B51828" w:rsidP="002101D2">
            <w:pPr>
              <w:pStyle w:val="Tabletextboldleft"/>
              <w:spacing w:before="20" w:after="20"/>
              <w:jc w:val="right"/>
            </w:pPr>
            <w:r w:rsidRPr="00582A9D">
              <w:t>1.41%</w:t>
            </w:r>
          </w:p>
        </w:tc>
        <w:tc>
          <w:tcPr>
            <w:tcW w:w="1842" w:type="dxa"/>
            <w:shd w:val="clear" w:color="auto" w:fill="D0CECE" w:themeFill="background2" w:themeFillShade="E6"/>
          </w:tcPr>
          <w:p w14:paraId="1BDA515A" w14:textId="77777777" w:rsidR="00B51828" w:rsidRPr="00582A9D" w:rsidRDefault="00B51828" w:rsidP="002101D2">
            <w:pPr>
              <w:pStyle w:val="Tabletextboldleft"/>
              <w:spacing w:before="20" w:after="20"/>
              <w:jc w:val="right"/>
            </w:pPr>
            <w:r w:rsidRPr="00582A9D">
              <w:t>1.17%</w:t>
            </w:r>
          </w:p>
        </w:tc>
      </w:tr>
      <w:tr w:rsidR="00B51828" w14:paraId="506C9A4D" w14:textId="77777777" w:rsidTr="00E61184">
        <w:trPr>
          <w:trHeight w:val="210"/>
        </w:trPr>
        <w:tc>
          <w:tcPr>
            <w:tcW w:w="1118" w:type="dxa"/>
          </w:tcPr>
          <w:p w14:paraId="55F5643A" w14:textId="77777777" w:rsidR="00B51828" w:rsidRPr="00701236" w:rsidRDefault="00B51828" w:rsidP="002101D2">
            <w:pPr>
              <w:pStyle w:val="Tabletextboldleft"/>
              <w:spacing w:before="20" w:after="20"/>
              <w:rPr>
                <w:b w:val="0"/>
                <w:i/>
              </w:rPr>
            </w:pPr>
            <w:r w:rsidRPr="00701236">
              <w:rPr>
                <w:b w:val="0"/>
                <w:i/>
              </w:rPr>
              <w:t xml:space="preserve">Sensitivity </w:t>
            </w:r>
            <w:r>
              <w:rPr>
                <w:b w:val="0"/>
                <w:i/>
              </w:rPr>
              <w:t xml:space="preserve">analysis </w:t>
            </w:r>
            <w:r w:rsidRPr="00701236">
              <w:rPr>
                <w:b w:val="0"/>
                <w:i/>
              </w:rPr>
              <w:t>1</w:t>
            </w:r>
          </w:p>
        </w:tc>
        <w:tc>
          <w:tcPr>
            <w:tcW w:w="3544" w:type="dxa"/>
          </w:tcPr>
          <w:p w14:paraId="4212EF2B" w14:textId="77777777" w:rsidR="00B51828" w:rsidRDefault="00B51828" w:rsidP="002101D2">
            <w:pPr>
              <w:pStyle w:val="Tabletextboldleft"/>
              <w:spacing w:before="20" w:after="20"/>
              <w:rPr>
                <w:b w:val="0"/>
              </w:rPr>
            </w:pPr>
            <w:r>
              <w:rPr>
                <w:b w:val="0"/>
              </w:rPr>
              <w:t>Expert opinion survey results summarised using the median response (the mean was used in the base case).</w:t>
            </w:r>
          </w:p>
        </w:tc>
        <w:tc>
          <w:tcPr>
            <w:tcW w:w="1843" w:type="dxa"/>
          </w:tcPr>
          <w:p w14:paraId="6B6E2640" w14:textId="77777777" w:rsidR="00B51828" w:rsidRPr="00CE1870" w:rsidRDefault="00B51828" w:rsidP="002101D2">
            <w:pPr>
              <w:pStyle w:val="Tabletextboldleft"/>
              <w:spacing w:before="20" w:after="20"/>
              <w:jc w:val="right"/>
              <w:rPr>
                <w:b w:val="0"/>
              </w:rPr>
            </w:pPr>
            <w:r>
              <w:rPr>
                <w:b w:val="0"/>
              </w:rPr>
              <w:t>1.00%</w:t>
            </w:r>
          </w:p>
        </w:tc>
        <w:tc>
          <w:tcPr>
            <w:tcW w:w="1842" w:type="dxa"/>
          </w:tcPr>
          <w:p w14:paraId="7BBE5916" w14:textId="77777777" w:rsidR="00B51828" w:rsidRPr="00CE1870" w:rsidRDefault="00B51828" w:rsidP="002101D2">
            <w:pPr>
              <w:pStyle w:val="Tabletextboldleft"/>
              <w:spacing w:before="20" w:after="20"/>
              <w:jc w:val="right"/>
              <w:rPr>
                <w:b w:val="0"/>
              </w:rPr>
            </w:pPr>
            <w:r>
              <w:rPr>
                <w:b w:val="0"/>
              </w:rPr>
              <w:t>0.50%</w:t>
            </w:r>
          </w:p>
        </w:tc>
      </w:tr>
      <w:tr w:rsidR="00B51828" w14:paraId="38B7880D" w14:textId="77777777" w:rsidTr="00E61184">
        <w:trPr>
          <w:trHeight w:val="210"/>
        </w:trPr>
        <w:tc>
          <w:tcPr>
            <w:tcW w:w="1118" w:type="dxa"/>
          </w:tcPr>
          <w:p w14:paraId="716858CE" w14:textId="77777777" w:rsidR="00B51828" w:rsidRPr="00701236" w:rsidRDefault="00B51828" w:rsidP="002101D2">
            <w:pPr>
              <w:pStyle w:val="Tabletextboldleft"/>
              <w:spacing w:before="20" w:after="20"/>
              <w:rPr>
                <w:b w:val="0"/>
                <w:i/>
              </w:rPr>
            </w:pPr>
            <w:r w:rsidRPr="00701236">
              <w:rPr>
                <w:b w:val="0"/>
                <w:i/>
              </w:rPr>
              <w:t>Sensitivity</w:t>
            </w:r>
            <w:r>
              <w:rPr>
                <w:b w:val="0"/>
                <w:i/>
              </w:rPr>
              <w:t xml:space="preserve"> analysis</w:t>
            </w:r>
            <w:r w:rsidRPr="00701236">
              <w:rPr>
                <w:b w:val="0"/>
                <w:i/>
              </w:rPr>
              <w:t xml:space="preserve"> </w:t>
            </w:r>
            <w:r>
              <w:rPr>
                <w:b w:val="0"/>
                <w:i/>
              </w:rPr>
              <w:t>2</w:t>
            </w:r>
          </w:p>
        </w:tc>
        <w:tc>
          <w:tcPr>
            <w:tcW w:w="3544" w:type="dxa"/>
          </w:tcPr>
          <w:p w14:paraId="4B23D910" w14:textId="77777777" w:rsidR="00B51828" w:rsidRDefault="00B51828" w:rsidP="002101D2">
            <w:pPr>
              <w:pStyle w:val="Tabletextboldleft"/>
              <w:spacing w:before="20" w:after="20"/>
              <w:rPr>
                <w:b w:val="0"/>
              </w:rPr>
            </w:pPr>
            <w:r>
              <w:rPr>
                <w:b w:val="0"/>
              </w:rPr>
              <w:t>Calculated averages excluded one respondent’s estimates which contained several outliers.</w:t>
            </w:r>
          </w:p>
        </w:tc>
        <w:tc>
          <w:tcPr>
            <w:tcW w:w="1843" w:type="dxa"/>
          </w:tcPr>
          <w:p w14:paraId="394B08F7" w14:textId="77777777" w:rsidR="00B51828" w:rsidRDefault="00B51828" w:rsidP="002101D2">
            <w:pPr>
              <w:pStyle w:val="Tabletextboldleft"/>
              <w:spacing w:before="20" w:after="20"/>
              <w:jc w:val="right"/>
              <w:rPr>
                <w:b w:val="0"/>
              </w:rPr>
            </w:pPr>
            <w:r>
              <w:rPr>
                <w:b w:val="0"/>
              </w:rPr>
              <w:t>0.90%</w:t>
            </w:r>
          </w:p>
        </w:tc>
        <w:tc>
          <w:tcPr>
            <w:tcW w:w="1842" w:type="dxa"/>
          </w:tcPr>
          <w:p w14:paraId="0EA3B085" w14:textId="77777777" w:rsidR="00B51828" w:rsidRDefault="00B51828" w:rsidP="002101D2">
            <w:pPr>
              <w:pStyle w:val="Tabletextboldleft"/>
              <w:spacing w:before="20" w:after="20"/>
              <w:jc w:val="right"/>
              <w:rPr>
                <w:b w:val="0"/>
              </w:rPr>
            </w:pPr>
            <w:r>
              <w:rPr>
                <w:b w:val="0"/>
              </w:rPr>
              <w:t>0.53%</w:t>
            </w:r>
          </w:p>
        </w:tc>
      </w:tr>
      <w:tr w:rsidR="00B51828" w14:paraId="7BB171FD" w14:textId="77777777" w:rsidTr="00E61184">
        <w:trPr>
          <w:trHeight w:val="210"/>
        </w:trPr>
        <w:tc>
          <w:tcPr>
            <w:tcW w:w="1118" w:type="dxa"/>
          </w:tcPr>
          <w:p w14:paraId="73EB3B3A" w14:textId="77777777" w:rsidR="00B51828" w:rsidRPr="00701236" w:rsidRDefault="00B51828" w:rsidP="002101D2">
            <w:pPr>
              <w:pStyle w:val="Tabletextboldleft"/>
              <w:spacing w:before="20" w:after="20"/>
              <w:rPr>
                <w:b w:val="0"/>
                <w:i/>
              </w:rPr>
            </w:pPr>
            <w:r w:rsidRPr="00701236">
              <w:rPr>
                <w:b w:val="0"/>
                <w:i/>
              </w:rPr>
              <w:t>Sensitivity</w:t>
            </w:r>
            <w:r>
              <w:rPr>
                <w:b w:val="0"/>
                <w:i/>
              </w:rPr>
              <w:t xml:space="preserve"> analysis 3</w:t>
            </w:r>
            <w:r w:rsidRPr="00701236">
              <w:rPr>
                <w:b w:val="0"/>
                <w:i/>
              </w:rPr>
              <w:t xml:space="preserve"> </w:t>
            </w:r>
          </w:p>
        </w:tc>
        <w:tc>
          <w:tcPr>
            <w:tcW w:w="3544" w:type="dxa"/>
          </w:tcPr>
          <w:p w14:paraId="224C1E7A" w14:textId="77777777" w:rsidR="00B51828" w:rsidRPr="008D65FD" w:rsidRDefault="00B51828" w:rsidP="002101D2">
            <w:pPr>
              <w:pStyle w:val="Tabletextboldleft"/>
              <w:spacing w:before="20" w:after="20"/>
              <w:rPr>
                <w:b w:val="0"/>
              </w:rPr>
            </w:pPr>
            <w:r>
              <w:rPr>
                <w:b w:val="0"/>
              </w:rPr>
              <w:t>Assume that calculated averages in the base case were generally overestimates. The sensitivity analysis uses lower estimates (provided by one of the HESP members who completed the survey).</w:t>
            </w:r>
          </w:p>
        </w:tc>
        <w:tc>
          <w:tcPr>
            <w:tcW w:w="1843" w:type="dxa"/>
          </w:tcPr>
          <w:p w14:paraId="5D39F247" w14:textId="77777777" w:rsidR="00B51828" w:rsidRPr="00CE1870" w:rsidRDefault="00B51828" w:rsidP="002101D2">
            <w:pPr>
              <w:pStyle w:val="Tabletextboldleft"/>
              <w:spacing w:before="20" w:after="20"/>
              <w:jc w:val="right"/>
              <w:rPr>
                <w:b w:val="0"/>
              </w:rPr>
            </w:pPr>
            <w:r>
              <w:rPr>
                <w:b w:val="0"/>
              </w:rPr>
              <w:t>0.30%</w:t>
            </w:r>
          </w:p>
        </w:tc>
        <w:tc>
          <w:tcPr>
            <w:tcW w:w="1842" w:type="dxa"/>
          </w:tcPr>
          <w:p w14:paraId="13108455" w14:textId="77777777" w:rsidR="00B51828" w:rsidRPr="00CE1870" w:rsidRDefault="00B51828" w:rsidP="002101D2">
            <w:pPr>
              <w:pStyle w:val="Tabletextboldleft"/>
              <w:spacing w:before="20" w:after="20"/>
              <w:jc w:val="right"/>
              <w:rPr>
                <w:b w:val="0"/>
              </w:rPr>
            </w:pPr>
            <w:r>
              <w:rPr>
                <w:b w:val="0"/>
              </w:rPr>
              <w:t>0.10%</w:t>
            </w:r>
          </w:p>
        </w:tc>
      </w:tr>
      <w:tr w:rsidR="00B51828" w14:paraId="6FDC01F6" w14:textId="77777777" w:rsidTr="00E61184">
        <w:trPr>
          <w:trHeight w:val="70"/>
        </w:trPr>
        <w:tc>
          <w:tcPr>
            <w:tcW w:w="1118" w:type="dxa"/>
          </w:tcPr>
          <w:p w14:paraId="616EF131" w14:textId="77777777" w:rsidR="00B51828" w:rsidRPr="00701236" w:rsidRDefault="00B51828" w:rsidP="002101D2">
            <w:pPr>
              <w:pStyle w:val="Tabletextboldleft"/>
              <w:spacing w:before="20" w:after="20"/>
              <w:rPr>
                <w:b w:val="0"/>
                <w:i/>
              </w:rPr>
            </w:pPr>
            <w:r>
              <w:rPr>
                <w:b w:val="0"/>
                <w:i/>
              </w:rPr>
              <w:t>Sensitivity analysis 4</w:t>
            </w:r>
          </w:p>
        </w:tc>
        <w:tc>
          <w:tcPr>
            <w:tcW w:w="3544" w:type="dxa"/>
          </w:tcPr>
          <w:p w14:paraId="7827CF6C" w14:textId="77777777" w:rsidR="00B51828" w:rsidRPr="00701236" w:rsidRDefault="00B51828" w:rsidP="002101D2">
            <w:pPr>
              <w:pStyle w:val="Tabletextboldleft"/>
              <w:spacing w:before="20" w:after="20"/>
              <w:rPr>
                <w:b w:val="0"/>
              </w:rPr>
            </w:pPr>
            <w:r>
              <w:rPr>
                <w:b w:val="0"/>
              </w:rPr>
              <w:t>Assume that the base case proportion of cases that would be referred to an expert under proposed funding arrangements was an underestimate. The sensitivity analysis tests a higher referral rate than the base case.</w:t>
            </w:r>
          </w:p>
        </w:tc>
        <w:tc>
          <w:tcPr>
            <w:tcW w:w="1843" w:type="dxa"/>
          </w:tcPr>
          <w:p w14:paraId="2A4D4E48" w14:textId="77777777" w:rsidR="00B51828" w:rsidRPr="00CE1870" w:rsidRDefault="00B51828" w:rsidP="002101D2">
            <w:pPr>
              <w:pStyle w:val="Tabletextboldleft"/>
              <w:spacing w:before="20" w:after="20"/>
              <w:jc w:val="right"/>
              <w:rPr>
                <w:b w:val="0"/>
                <w:color w:val="000000"/>
              </w:rPr>
            </w:pPr>
            <w:r>
              <w:rPr>
                <w:b w:val="0"/>
                <w:color w:val="000000"/>
              </w:rPr>
              <w:t>2.00%</w:t>
            </w:r>
          </w:p>
        </w:tc>
        <w:tc>
          <w:tcPr>
            <w:tcW w:w="1842" w:type="dxa"/>
          </w:tcPr>
          <w:p w14:paraId="72C0F74C" w14:textId="77777777" w:rsidR="00B51828" w:rsidRPr="00CE1870" w:rsidRDefault="00B51828" w:rsidP="002101D2">
            <w:pPr>
              <w:pStyle w:val="Tabletextboldleft"/>
              <w:spacing w:before="20" w:after="20"/>
              <w:jc w:val="right"/>
              <w:rPr>
                <w:b w:val="0"/>
                <w:color w:val="000000"/>
              </w:rPr>
            </w:pPr>
            <w:r>
              <w:rPr>
                <w:b w:val="0"/>
                <w:color w:val="000000"/>
              </w:rPr>
              <w:t>2.00%</w:t>
            </w:r>
          </w:p>
        </w:tc>
      </w:tr>
    </w:tbl>
    <w:p w14:paraId="6644352C" w14:textId="77777777" w:rsidR="00B51828" w:rsidRDefault="00B51828" w:rsidP="002101D2"/>
    <w:p w14:paraId="61B8CE18" w14:textId="77777777" w:rsidR="00B51828" w:rsidRDefault="00B51828" w:rsidP="002101D2">
      <w:pPr>
        <w:spacing w:after="120"/>
      </w:pPr>
      <w:r>
        <w:t>In addition, several other sensitivity analyses were conducted in which other key assumptions were altered:</w:t>
      </w:r>
    </w:p>
    <w:p w14:paraId="09C76B41" w14:textId="77777777" w:rsidR="00B51828" w:rsidRDefault="00B51828" w:rsidP="00B51828">
      <w:pPr>
        <w:pStyle w:val="ListParagraph"/>
        <w:numPr>
          <w:ilvl w:val="0"/>
          <w:numId w:val="49"/>
        </w:numPr>
        <w:spacing w:before="120"/>
        <w:ind w:left="1434" w:hanging="357"/>
      </w:pPr>
      <w:r>
        <w:t>Assume no distinction between ‘complex’ and ‘non-complex’ second, expert opinions; thus only one MBS Schedule fee would be used. The sensitivity analysis assumes a Schedule fee of $200 and 85% benefit of $170 (</w:t>
      </w:r>
      <w:r>
        <w:rPr>
          <w:i/>
        </w:rPr>
        <w:t>Sensitivity analysis 5</w:t>
      </w:r>
      <w:r>
        <w:t>).</w:t>
      </w:r>
    </w:p>
    <w:p w14:paraId="426A4BBE" w14:textId="77777777" w:rsidR="00B51828" w:rsidRDefault="00B51828" w:rsidP="00B51828">
      <w:pPr>
        <w:pStyle w:val="ListParagraph"/>
        <w:numPr>
          <w:ilvl w:val="0"/>
          <w:numId w:val="49"/>
        </w:numPr>
        <w:spacing w:before="240"/>
      </w:pPr>
      <w:r>
        <w:t xml:space="preserve">Assume that 100% of pathologist-initiated second, expert opinions on tissue pathology samples require more than 30 minutes of the expert pathologist’s time to review and produce a written report – i.e. 100% of </w:t>
      </w:r>
      <w:r>
        <w:rPr>
          <w:i/>
        </w:rPr>
        <w:t xml:space="preserve">Scenario 1 </w:t>
      </w:r>
      <w:r>
        <w:t>tissue pathology cases would be charged according to the proposed ‘complex’ MBS item fee (</w:t>
      </w:r>
      <w:r>
        <w:rPr>
          <w:i/>
        </w:rPr>
        <w:t>Sensitivity analysis 6</w:t>
      </w:r>
      <w:r>
        <w:t>).</w:t>
      </w:r>
    </w:p>
    <w:p w14:paraId="02E89B88" w14:textId="77777777" w:rsidR="00B51828" w:rsidRDefault="00B51828" w:rsidP="00B51828">
      <w:pPr>
        <w:pStyle w:val="ListParagraph"/>
        <w:numPr>
          <w:ilvl w:val="0"/>
          <w:numId w:val="49"/>
        </w:numPr>
      </w:pPr>
      <w:r>
        <w:t>Assume that second, expert opinions would not be requested for complexity 2 or 3 items – MBS items 72813-72818 (</w:t>
      </w:r>
      <w:r>
        <w:rPr>
          <w:i/>
        </w:rPr>
        <w:t>Sensitivity analysis 7</w:t>
      </w:r>
      <w:r>
        <w:t xml:space="preserve">). </w:t>
      </w:r>
    </w:p>
    <w:p w14:paraId="30A36C46" w14:textId="77777777" w:rsidR="00B51828" w:rsidRDefault="00B51828" w:rsidP="002101D2">
      <w:r>
        <w:t xml:space="preserve">The rationale for </w:t>
      </w:r>
      <w:r>
        <w:rPr>
          <w:i/>
        </w:rPr>
        <w:t xml:space="preserve">Sensitivity analysis 7 </w:t>
      </w:r>
      <w:r>
        <w:t xml:space="preserve">is based on the possibility that the Expert Opinion Survey overestimated the proportion of all initial pathology cases that would be referred for second, expert opinion. It is reasonable to assume that expert pathologists (who often work in large hospital laboratories) may have overlooked the large number of initial opinions for relatively straightforward skin and </w:t>
      </w:r>
      <w:r w:rsidRPr="0000444D">
        <w:t>gastrointestinal tract (GIT) biopsies</w:t>
      </w:r>
      <w:r>
        <w:t xml:space="preserve"> that are conducted in private laboratories around Australia. Therefore, </w:t>
      </w:r>
      <w:r>
        <w:rPr>
          <w:i/>
        </w:rPr>
        <w:t xml:space="preserve">Sensitivity analysis 7 </w:t>
      </w:r>
      <w:r>
        <w:t xml:space="preserve">was conducted by removing the number of initial pathology opinions that are charged to the lower complexity items (i.e. MBS items 72813-72818) and applying the base case estimates for the proportion of cases referred to a smaller overall number of services. </w:t>
      </w:r>
    </w:p>
    <w:p w14:paraId="087D984C" w14:textId="77777777" w:rsidR="00B51828" w:rsidRDefault="00B51828" w:rsidP="002101D2">
      <w:r>
        <w:fldChar w:fldCharType="begin"/>
      </w:r>
      <w:r>
        <w:instrText xml:space="preserve"> REF _Ref395084609 \h </w:instrText>
      </w:r>
      <w:r>
        <w:fldChar w:fldCharType="separate"/>
      </w:r>
      <w:r w:rsidR="0044620B">
        <w:t xml:space="preserve">Table </w:t>
      </w:r>
      <w:r w:rsidR="0044620B">
        <w:rPr>
          <w:noProof/>
        </w:rPr>
        <w:t>E.6</w:t>
      </w:r>
      <w:r w:rsidR="0044620B">
        <w:noBreakHyphen/>
      </w:r>
      <w:r w:rsidR="0044620B">
        <w:rPr>
          <w:noProof/>
        </w:rPr>
        <w:t>2</w:t>
      </w:r>
      <w:r>
        <w:fldChar w:fldCharType="end"/>
      </w:r>
      <w:r>
        <w:t xml:space="preserve"> presents the results for the seven sensitivity analyses. </w:t>
      </w:r>
    </w:p>
    <w:p w14:paraId="55483E13" w14:textId="77777777" w:rsidR="00B51828" w:rsidRDefault="00B51828" w:rsidP="002101D2">
      <w:pPr>
        <w:pStyle w:val="Caption"/>
      </w:pPr>
      <w:bookmarkStart w:id="369" w:name="_Ref395084609"/>
      <w:bookmarkStart w:id="370" w:name="_Toc396211787"/>
      <w:r>
        <w:lastRenderedPageBreak/>
        <w:t xml:space="preserve">Table </w:t>
      </w:r>
      <w:fldSimple w:instr=" STYLEREF 2 \s ">
        <w:r w:rsidR="0044620B">
          <w:rPr>
            <w:noProof/>
          </w:rPr>
          <w:t>E.6</w:t>
        </w:r>
      </w:fldSimple>
      <w:r>
        <w:noBreakHyphen/>
      </w:r>
      <w:fldSimple w:instr=" SEQ Table \* ARABIC \s 2 ">
        <w:r w:rsidR="0044620B">
          <w:rPr>
            <w:noProof/>
          </w:rPr>
          <w:t>2</w:t>
        </w:r>
      </w:fldSimple>
      <w:bookmarkEnd w:id="369"/>
      <w:r>
        <w:tab/>
        <w:t>Estimated total incremental costs of the proposed and associated services over the first five years of the proposed MBS listing: Results of sensitivity analyses</w:t>
      </w:r>
      <w:bookmarkEnd w:id="370"/>
    </w:p>
    <w:tbl>
      <w:tblPr>
        <w:tblStyle w:val="TableGrid"/>
        <w:tblW w:w="8347" w:type="dxa"/>
        <w:tblInd w:w="720" w:type="dxa"/>
        <w:tblLayout w:type="fixed"/>
        <w:tblLook w:val="04A0" w:firstRow="1" w:lastRow="0" w:firstColumn="1" w:lastColumn="0" w:noHBand="0" w:noVBand="1"/>
        <w:tblCaption w:val="Results of the sensitivity analyses"/>
        <w:tblDescription w:val="Estimated total incremental costs of the proposed and associated services over the first five years of the proposed MBS listing: Results of sensitivity analyses"/>
      </w:tblPr>
      <w:tblGrid>
        <w:gridCol w:w="1118"/>
        <w:gridCol w:w="1559"/>
        <w:gridCol w:w="1134"/>
        <w:gridCol w:w="1134"/>
        <w:gridCol w:w="1134"/>
        <w:gridCol w:w="1134"/>
        <w:gridCol w:w="1134"/>
      </w:tblGrid>
      <w:tr w:rsidR="0099795D" w:rsidRPr="0099795D" w14:paraId="178BDBEA" w14:textId="77777777" w:rsidTr="00E61184">
        <w:trPr>
          <w:trHeight w:val="210"/>
          <w:tblHeader/>
        </w:trPr>
        <w:tc>
          <w:tcPr>
            <w:tcW w:w="1118" w:type="dxa"/>
          </w:tcPr>
          <w:p w14:paraId="07E7166D" w14:textId="77777777" w:rsidR="0099795D" w:rsidRPr="0099795D" w:rsidRDefault="0099795D" w:rsidP="0099795D">
            <w:pPr>
              <w:pStyle w:val="Tabletextboldleft"/>
              <w:spacing w:before="20" w:after="20"/>
            </w:pPr>
            <w:bookmarkStart w:id="371" w:name="_Ref395000704"/>
            <w:bookmarkStart w:id="372" w:name="_Ref394999602"/>
            <w:r w:rsidRPr="0099795D">
              <w:t>Analysis</w:t>
            </w:r>
          </w:p>
        </w:tc>
        <w:tc>
          <w:tcPr>
            <w:tcW w:w="1559" w:type="dxa"/>
          </w:tcPr>
          <w:p w14:paraId="47540C05" w14:textId="77777777" w:rsidR="0099795D" w:rsidRPr="0099795D" w:rsidRDefault="0099795D" w:rsidP="0099795D">
            <w:pPr>
              <w:pStyle w:val="Tabletextboldleft"/>
              <w:spacing w:before="20" w:after="20"/>
            </w:pPr>
            <w:r w:rsidRPr="0099795D">
              <w:t>Assumption</w:t>
            </w:r>
          </w:p>
        </w:tc>
        <w:tc>
          <w:tcPr>
            <w:tcW w:w="1134" w:type="dxa"/>
          </w:tcPr>
          <w:p w14:paraId="7E5DED09" w14:textId="77777777" w:rsidR="0099795D" w:rsidRPr="0099795D" w:rsidRDefault="0099795D" w:rsidP="0099795D">
            <w:pPr>
              <w:pStyle w:val="Tabletextboldleft"/>
              <w:spacing w:before="20" w:after="20"/>
              <w:jc w:val="right"/>
            </w:pPr>
            <w:r w:rsidRPr="0099795D">
              <w:t>Year 1</w:t>
            </w:r>
          </w:p>
          <w:p w14:paraId="745B6E93" w14:textId="77777777" w:rsidR="0099795D" w:rsidRPr="0099795D" w:rsidRDefault="0099795D" w:rsidP="0099795D">
            <w:pPr>
              <w:pStyle w:val="Tabletextboldleft"/>
              <w:spacing w:before="20" w:after="20"/>
              <w:jc w:val="right"/>
            </w:pPr>
            <w:r w:rsidRPr="0099795D">
              <w:t>(2015-16)</w:t>
            </w:r>
          </w:p>
        </w:tc>
        <w:tc>
          <w:tcPr>
            <w:tcW w:w="1134" w:type="dxa"/>
          </w:tcPr>
          <w:p w14:paraId="72ADE46D" w14:textId="77777777" w:rsidR="0099795D" w:rsidRPr="0099795D" w:rsidRDefault="0099795D" w:rsidP="0099795D">
            <w:pPr>
              <w:pStyle w:val="Tabletextboldleft"/>
              <w:spacing w:before="20" w:after="20"/>
              <w:jc w:val="right"/>
            </w:pPr>
            <w:r w:rsidRPr="0099795D">
              <w:t>Year 2</w:t>
            </w:r>
          </w:p>
          <w:p w14:paraId="14212083" w14:textId="77777777" w:rsidR="0099795D" w:rsidRPr="0099795D" w:rsidRDefault="0099795D" w:rsidP="0099795D">
            <w:pPr>
              <w:pStyle w:val="Tabletextboldleft"/>
              <w:spacing w:before="20" w:after="20"/>
              <w:jc w:val="right"/>
            </w:pPr>
            <w:r w:rsidRPr="0099795D">
              <w:t>(2016-17)</w:t>
            </w:r>
          </w:p>
        </w:tc>
        <w:tc>
          <w:tcPr>
            <w:tcW w:w="1134" w:type="dxa"/>
          </w:tcPr>
          <w:p w14:paraId="55E8FF41" w14:textId="77777777" w:rsidR="0099795D" w:rsidRPr="0099795D" w:rsidRDefault="0099795D" w:rsidP="0099795D">
            <w:pPr>
              <w:pStyle w:val="Tabletextboldleft"/>
              <w:spacing w:before="20" w:after="20"/>
              <w:jc w:val="right"/>
            </w:pPr>
            <w:r w:rsidRPr="0099795D">
              <w:t>Year 3</w:t>
            </w:r>
          </w:p>
          <w:p w14:paraId="66954D42" w14:textId="77777777" w:rsidR="0099795D" w:rsidRPr="0099795D" w:rsidRDefault="0099795D" w:rsidP="0099795D">
            <w:pPr>
              <w:pStyle w:val="Tabletextboldleft"/>
              <w:spacing w:before="20" w:after="20"/>
              <w:jc w:val="right"/>
            </w:pPr>
            <w:r w:rsidRPr="0099795D">
              <w:t>(2017-18)</w:t>
            </w:r>
          </w:p>
        </w:tc>
        <w:tc>
          <w:tcPr>
            <w:tcW w:w="1134" w:type="dxa"/>
          </w:tcPr>
          <w:p w14:paraId="08C1C55B" w14:textId="77777777" w:rsidR="0099795D" w:rsidRPr="0099795D" w:rsidRDefault="0099795D" w:rsidP="0099795D">
            <w:pPr>
              <w:pStyle w:val="Tabletextboldleft"/>
              <w:spacing w:before="20" w:after="20"/>
              <w:jc w:val="right"/>
            </w:pPr>
            <w:r w:rsidRPr="0099795D">
              <w:t>Year 4</w:t>
            </w:r>
          </w:p>
          <w:p w14:paraId="0CBCE883" w14:textId="77777777" w:rsidR="0099795D" w:rsidRPr="0099795D" w:rsidRDefault="0099795D" w:rsidP="0099795D">
            <w:pPr>
              <w:pStyle w:val="Tabletextboldleft"/>
              <w:spacing w:before="20" w:after="20"/>
              <w:jc w:val="right"/>
            </w:pPr>
            <w:r w:rsidRPr="0099795D">
              <w:t>(2018-19)</w:t>
            </w:r>
          </w:p>
        </w:tc>
        <w:tc>
          <w:tcPr>
            <w:tcW w:w="1134" w:type="dxa"/>
          </w:tcPr>
          <w:p w14:paraId="4630A2C3" w14:textId="77777777" w:rsidR="0099795D" w:rsidRPr="0099795D" w:rsidRDefault="0099795D" w:rsidP="0099795D">
            <w:pPr>
              <w:pStyle w:val="Tabletextboldleft"/>
              <w:spacing w:before="20" w:after="20"/>
              <w:jc w:val="right"/>
            </w:pPr>
            <w:r w:rsidRPr="0099795D">
              <w:t>Year 5</w:t>
            </w:r>
          </w:p>
          <w:p w14:paraId="52E0DD05" w14:textId="77777777" w:rsidR="0099795D" w:rsidRPr="0099795D" w:rsidRDefault="0099795D" w:rsidP="0099795D">
            <w:pPr>
              <w:pStyle w:val="Tabletextboldleft"/>
              <w:spacing w:before="20" w:after="20"/>
              <w:jc w:val="right"/>
            </w:pPr>
            <w:r w:rsidRPr="0099795D">
              <w:t>(2019-20)</w:t>
            </w:r>
          </w:p>
        </w:tc>
      </w:tr>
      <w:tr w:rsidR="0099795D" w:rsidRPr="0099795D" w14:paraId="20678942" w14:textId="77777777" w:rsidTr="00E61184">
        <w:trPr>
          <w:trHeight w:val="84"/>
        </w:trPr>
        <w:tc>
          <w:tcPr>
            <w:tcW w:w="1118" w:type="dxa"/>
            <w:shd w:val="clear" w:color="auto" w:fill="D0CECE" w:themeFill="background2" w:themeFillShade="E6"/>
          </w:tcPr>
          <w:p w14:paraId="6B806457" w14:textId="77777777" w:rsidR="0099795D" w:rsidRPr="0099795D" w:rsidRDefault="0099795D" w:rsidP="0099795D">
            <w:pPr>
              <w:pStyle w:val="Tabletextboldleft"/>
              <w:spacing w:before="20" w:after="20"/>
            </w:pPr>
            <w:r w:rsidRPr="0099795D">
              <w:t>Base case</w:t>
            </w:r>
          </w:p>
        </w:tc>
        <w:tc>
          <w:tcPr>
            <w:tcW w:w="1559" w:type="dxa"/>
            <w:shd w:val="clear" w:color="auto" w:fill="D0CECE" w:themeFill="background2" w:themeFillShade="E6"/>
          </w:tcPr>
          <w:p w14:paraId="3796509F" w14:textId="77777777" w:rsidR="0099795D" w:rsidRPr="0099795D" w:rsidRDefault="0099795D" w:rsidP="0099795D">
            <w:pPr>
              <w:pStyle w:val="Tabletextboldleft"/>
              <w:spacing w:before="20" w:after="20"/>
            </w:pPr>
            <w:r w:rsidRPr="0099795D">
              <w:fldChar w:fldCharType="begin"/>
            </w:r>
            <w:r w:rsidRPr="0099795D">
              <w:instrText xml:space="preserve"> REF _Ref394998660 \h  \* MERGEFORMAT </w:instrText>
            </w:r>
            <w:r w:rsidRPr="0099795D">
              <w:fldChar w:fldCharType="separate"/>
            </w:r>
            <w:r w:rsidR="0044620B">
              <w:t>Table E.4</w:t>
            </w:r>
            <w:r w:rsidR="0044620B">
              <w:noBreakHyphen/>
              <w:t>2</w:t>
            </w:r>
            <w:r w:rsidRPr="0099795D">
              <w:fldChar w:fldCharType="end"/>
            </w:r>
          </w:p>
        </w:tc>
        <w:tc>
          <w:tcPr>
            <w:tcW w:w="1134" w:type="dxa"/>
            <w:shd w:val="clear" w:color="auto" w:fill="D0CECE" w:themeFill="background2" w:themeFillShade="E6"/>
            <w:vAlign w:val="bottom"/>
          </w:tcPr>
          <w:p w14:paraId="1C9FB6B6" w14:textId="77777777" w:rsidR="0099795D" w:rsidRPr="0099795D" w:rsidRDefault="0099795D" w:rsidP="0099795D">
            <w:pPr>
              <w:pStyle w:val="Tabletextboldleft"/>
              <w:spacing w:before="20" w:after="20"/>
              <w:jc w:val="right"/>
            </w:pPr>
            <w:r w:rsidRPr="0099795D">
              <w:t>$12,505,092</w:t>
            </w:r>
          </w:p>
        </w:tc>
        <w:tc>
          <w:tcPr>
            <w:tcW w:w="1134" w:type="dxa"/>
            <w:shd w:val="clear" w:color="auto" w:fill="D0CECE" w:themeFill="background2" w:themeFillShade="E6"/>
            <w:vAlign w:val="bottom"/>
          </w:tcPr>
          <w:p w14:paraId="36311A84" w14:textId="77777777" w:rsidR="0099795D" w:rsidRPr="0099795D" w:rsidRDefault="0099795D" w:rsidP="0099795D">
            <w:pPr>
              <w:pStyle w:val="Tabletextboldleft"/>
              <w:spacing w:before="20" w:after="20"/>
              <w:jc w:val="right"/>
            </w:pPr>
            <w:r w:rsidRPr="0099795D">
              <w:t>$12,953,716</w:t>
            </w:r>
          </w:p>
        </w:tc>
        <w:tc>
          <w:tcPr>
            <w:tcW w:w="1134" w:type="dxa"/>
            <w:shd w:val="clear" w:color="auto" w:fill="D0CECE" w:themeFill="background2" w:themeFillShade="E6"/>
            <w:vAlign w:val="bottom"/>
          </w:tcPr>
          <w:p w14:paraId="14D30EDA" w14:textId="77777777" w:rsidR="0099795D" w:rsidRPr="0099795D" w:rsidRDefault="0099795D" w:rsidP="0099795D">
            <w:pPr>
              <w:pStyle w:val="Tabletextboldleft"/>
              <w:spacing w:before="20" w:after="20"/>
              <w:jc w:val="right"/>
            </w:pPr>
            <w:r w:rsidRPr="0099795D">
              <w:t>$13,402,349</w:t>
            </w:r>
          </w:p>
        </w:tc>
        <w:tc>
          <w:tcPr>
            <w:tcW w:w="1134" w:type="dxa"/>
            <w:shd w:val="clear" w:color="auto" w:fill="D0CECE" w:themeFill="background2" w:themeFillShade="E6"/>
            <w:vAlign w:val="bottom"/>
          </w:tcPr>
          <w:p w14:paraId="7FED6CF3" w14:textId="77777777" w:rsidR="0099795D" w:rsidRPr="0099795D" w:rsidRDefault="0099795D" w:rsidP="0099795D">
            <w:pPr>
              <w:pStyle w:val="Tabletextboldleft"/>
              <w:spacing w:before="20" w:after="20"/>
              <w:jc w:val="right"/>
            </w:pPr>
            <w:r w:rsidRPr="0099795D">
              <w:t>$13,850,984</w:t>
            </w:r>
          </w:p>
        </w:tc>
        <w:tc>
          <w:tcPr>
            <w:tcW w:w="1134" w:type="dxa"/>
            <w:shd w:val="clear" w:color="auto" w:fill="D0CECE" w:themeFill="background2" w:themeFillShade="E6"/>
            <w:vAlign w:val="bottom"/>
          </w:tcPr>
          <w:p w14:paraId="5279A97A" w14:textId="77777777" w:rsidR="0099795D" w:rsidRPr="0099795D" w:rsidRDefault="0099795D" w:rsidP="0099795D">
            <w:pPr>
              <w:pStyle w:val="Tabletextboldleft"/>
              <w:spacing w:before="20" w:after="20"/>
              <w:jc w:val="right"/>
            </w:pPr>
            <w:r w:rsidRPr="0099795D">
              <w:t>$14,299,615</w:t>
            </w:r>
          </w:p>
        </w:tc>
      </w:tr>
      <w:tr w:rsidR="0099795D" w:rsidRPr="0099795D" w14:paraId="479B7F8C" w14:textId="77777777" w:rsidTr="00E61184">
        <w:trPr>
          <w:trHeight w:val="210"/>
        </w:trPr>
        <w:tc>
          <w:tcPr>
            <w:tcW w:w="1118" w:type="dxa"/>
            <w:shd w:val="clear" w:color="auto" w:fill="FFFFFF" w:themeFill="background1"/>
          </w:tcPr>
          <w:p w14:paraId="3F097DF2" w14:textId="77777777" w:rsidR="0099795D" w:rsidRPr="0099795D" w:rsidRDefault="0099795D" w:rsidP="0099795D">
            <w:pPr>
              <w:pStyle w:val="Tabletextboldleft"/>
              <w:spacing w:before="20" w:after="20"/>
              <w:rPr>
                <w:b w:val="0"/>
                <w:i/>
              </w:rPr>
            </w:pPr>
            <w:r w:rsidRPr="0099795D">
              <w:rPr>
                <w:b w:val="0"/>
                <w:i/>
              </w:rPr>
              <w:t>Sensitivity analysis 1</w:t>
            </w:r>
          </w:p>
        </w:tc>
        <w:tc>
          <w:tcPr>
            <w:tcW w:w="1559" w:type="dxa"/>
            <w:shd w:val="clear" w:color="auto" w:fill="FFFFFF" w:themeFill="background1"/>
          </w:tcPr>
          <w:p w14:paraId="6A318600" w14:textId="77777777" w:rsidR="0099795D" w:rsidRPr="0099795D" w:rsidRDefault="0099795D" w:rsidP="0099795D">
            <w:pPr>
              <w:pStyle w:val="Tabletextboldleft"/>
              <w:spacing w:before="20" w:after="20"/>
              <w:rPr>
                <w:b w:val="0"/>
              </w:rPr>
            </w:pPr>
            <w:r w:rsidRPr="0099795D">
              <w:rPr>
                <w:b w:val="0"/>
              </w:rPr>
              <w:t>Expert opinion survey results summarised using the median.</w:t>
            </w:r>
          </w:p>
        </w:tc>
        <w:tc>
          <w:tcPr>
            <w:tcW w:w="1134" w:type="dxa"/>
            <w:shd w:val="clear" w:color="auto" w:fill="FFFFFF" w:themeFill="background1"/>
          </w:tcPr>
          <w:p w14:paraId="08EEAD15" w14:textId="77777777" w:rsidR="0099795D" w:rsidRPr="0099795D" w:rsidRDefault="0099795D" w:rsidP="0099795D">
            <w:pPr>
              <w:pStyle w:val="Tabletextboldleft"/>
              <w:spacing w:before="20" w:after="20"/>
              <w:jc w:val="right"/>
              <w:rPr>
                <w:b w:val="0"/>
              </w:rPr>
            </w:pPr>
            <w:r w:rsidRPr="0099795D">
              <w:rPr>
                <w:b w:val="0"/>
                <w:color w:val="000000"/>
              </w:rPr>
              <w:t>$8,976,757</w:t>
            </w:r>
          </w:p>
        </w:tc>
        <w:tc>
          <w:tcPr>
            <w:tcW w:w="1134" w:type="dxa"/>
            <w:shd w:val="clear" w:color="auto" w:fill="FFFFFF" w:themeFill="background1"/>
          </w:tcPr>
          <w:p w14:paraId="4772B481" w14:textId="77777777" w:rsidR="0099795D" w:rsidRPr="0099795D" w:rsidRDefault="0099795D" w:rsidP="0099795D">
            <w:pPr>
              <w:pStyle w:val="Tabletextboldleft"/>
              <w:spacing w:before="20" w:after="20"/>
              <w:jc w:val="right"/>
              <w:rPr>
                <w:b w:val="0"/>
              </w:rPr>
            </w:pPr>
            <w:r w:rsidRPr="0099795D">
              <w:rPr>
                <w:b w:val="0"/>
                <w:color w:val="000000"/>
              </w:rPr>
              <w:t>$9,300,238</w:t>
            </w:r>
          </w:p>
        </w:tc>
        <w:tc>
          <w:tcPr>
            <w:tcW w:w="1134" w:type="dxa"/>
            <w:shd w:val="clear" w:color="auto" w:fill="FFFFFF" w:themeFill="background1"/>
          </w:tcPr>
          <w:p w14:paraId="16838358" w14:textId="77777777" w:rsidR="0099795D" w:rsidRPr="0099795D" w:rsidRDefault="0099795D" w:rsidP="0099795D">
            <w:pPr>
              <w:pStyle w:val="Tabletextboldleft"/>
              <w:spacing w:before="20" w:after="20"/>
              <w:jc w:val="right"/>
              <w:rPr>
                <w:b w:val="0"/>
              </w:rPr>
            </w:pPr>
            <w:r w:rsidRPr="0099795D">
              <w:rPr>
                <w:b w:val="0"/>
                <w:color w:val="000000"/>
              </w:rPr>
              <w:t>$9,623,726</w:t>
            </w:r>
          </w:p>
        </w:tc>
        <w:tc>
          <w:tcPr>
            <w:tcW w:w="1134" w:type="dxa"/>
            <w:shd w:val="clear" w:color="auto" w:fill="FFFFFF" w:themeFill="background1"/>
          </w:tcPr>
          <w:p w14:paraId="4E528F93" w14:textId="77777777" w:rsidR="0099795D" w:rsidRPr="0099795D" w:rsidRDefault="0099795D" w:rsidP="0099795D">
            <w:pPr>
              <w:pStyle w:val="Tabletextboldleft"/>
              <w:spacing w:before="20" w:after="20"/>
              <w:jc w:val="right"/>
              <w:rPr>
                <w:b w:val="0"/>
              </w:rPr>
            </w:pPr>
            <w:r w:rsidRPr="0099795D">
              <w:rPr>
                <w:b w:val="0"/>
                <w:color w:val="000000"/>
              </w:rPr>
              <w:t>$9,947,215</w:t>
            </w:r>
          </w:p>
        </w:tc>
        <w:tc>
          <w:tcPr>
            <w:tcW w:w="1134" w:type="dxa"/>
            <w:shd w:val="clear" w:color="auto" w:fill="FFFFFF" w:themeFill="background1"/>
          </w:tcPr>
          <w:p w14:paraId="505AD49E" w14:textId="77777777" w:rsidR="0099795D" w:rsidRPr="0099795D" w:rsidRDefault="0099795D" w:rsidP="0099795D">
            <w:pPr>
              <w:pStyle w:val="Tabletextboldleft"/>
              <w:spacing w:before="20" w:after="20"/>
              <w:jc w:val="right"/>
              <w:rPr>
                <w:b w:val="0"/>
              </w:rPr>
            </w:pPr>
            <w:r w:rsidRPr="0099795D">
              <w:rPr>
                <w:b w:val="0"/>
                <w:color w:val="000000"/>
              </w:rPr>
              <w:t>$10,270,701</w:t>
            </w:r>
          </w:p>
        </w:tc>
      </w:tr>
      <w:tr w:rsidR="0099795D" w:rsidRPr="0099795D" w14:paraId="26F1C554" w14:textId="77777777" w:rsidTr="00E61184">
        <w:trPr>
          <w:trHeight w:val="210"/>
        </w:trPr>
        <w:tc>
          <w:tcPr>
            <w:tcW w:w="1118" w:type="dxa"/>
          </w:tcPr>
          <w:p w14:paraId="33790902" w14:textId="77777777" w:rsidR="0099795D" w:rsidRPr="0099795D" w:rsidRDefault="0099795D" w:rsidP="0099795D">
            <w:pPr>
              <w:pStyle w:val="Tabletextboldleft"/>
              <w:spacing w:before="20" w:after="20"/>
              <w:rPr>
                <w:b w:val="0"/>
                <w:i/>
              </w:rPr>
            </w:pPr>
            <w:r w:rsidRPr="0099795D">
              <w:rPr>
                <w:b w:val="0"/>
                <w:i/>
              </w:rPr>
              <w:t>Sensitivity analysis 2</w:t>
            </w:r>
          </w:p>
        </w:tc>
        <w:tc>
          <w:tcPr>
            <w:tcW w:w="1559" w:type="dxa"/>
          </w:tcPr>
          <w:p w14:paraId="455B61D3" w14:textId="77777777" w:rsidR="0099795D" w:rsidRPr="0099795D" w:rsidRDefault="0099795D" w:rsidP="0099795D">
            <w:pPr>
              <w:pStyle w:val="Tabletextboldleft"/>
              <w:spacing w:before="20" w:after="20"/>
              <w:rPr>
                <w:b w:val="0"/>
              </w:rPr>
            </w:pPr>
            <w:r w:rsidRPr="0099795D">
              <w:rPr>
                <w:b w:val="0"/>
              </w:rPr>
              <w:t>Calculated averages excluded one respondent’s set of estimates, which contained several outliers.</w:t>
            </w:r>
          </w:p>
        </w:tc>
        <w:tc>
          <w:tcPr>
            <w:tcW w:w="1134" w:type="dxa"/>
          </w:tcPr>
          <w:p w14:paraId="5DC4BC29" w14:textId="77777777" w:rsidR="0099795D" w:rsidRPr="0099795D" w:rsidRDefault="0099795D" w:rsidP="0099795D">
            <w:pPr>
              <w:pStyle w:val="Tabletextboldleft"/>
              <w:spacing w:before="20" w:after="20"/>
              <w:jc w:val="right"/>
              <w:rPr>
                <w:b w:val="0"/>
                <w:color w:val="000000"/>
              </w:rPr>
            </w:pPr>
            <w:r w:rsidRPr="0099795D">
              <w:rPr>
                <w:b w:val="0"/>
                <w:color w:val="000000"/>
              </w:rPr>
              <w:t>$8,234,843</w:t>
            </w:r>
          </w:p>
        </w:tc>
        <w:tc>
          <w:tcPr>
            <w:tcW w:w="1134" w:type="dxa"/>
          </w:tcPr>
          <w:p w14:paraId="5F7348EF" w14:textId="77777777" w:rsidR="0099795D" w:rsidRPr="0099795D" w:rsidRDefault="0099795D" w:rsidP="0099795D">
            <w:pPr>
              <w:pStyle w:val="Tabletextboldleft"/>
              <w:spacing w:before="20" w:after="20"/>
              <w:jc w:val="right"/>
              <w:rPr>
                <w:b w:val="0"/>
                <w:color w:val="000000"/>
              </w:rPr>
            </w:pPr>
            <w:r w:rsidRPr="0099795D">
              <w:rPr>
                <w:b w:val="0"/>
                <w:color w:val="000000"/>
              </w:rPr>
              <w:t>$8,531,116</w:t>
            </w:r>
          </w:p>
        </w:tc>
        <w:tc>
          <w:tcPr>
            <w:tcW w:w="1134" w:type="dxa"/>
          </w:tcPr>
          <w:p w14:paraId="64C1E312" w14:textId="77777777" w:rsidR="0099795D" w:rsidRPr="0099795D" w:rsidRDefault="0099795D" w:rsidP="0099795D">
            <w:pPr>
              <w:pStyle w:val="Tabletextboldleft"/>
              <w:spacing w:before="20" w:after="20"/>
              <w:jc w:val="right"/>
              <w:rPr>
                <w:b w:val="0"/>
                <w:color w:val="000000"/>
              </w:rPr>
            </w:pPr>
            <w:r w:rsidRPr="0099795D">
              <w:rPr>
                <w:b w:val="0"/>
                <w:color w:val="000000"/>
              </w:rPr>
              <w:t>$8,827,395</w:t>
            </w:r>
          </w:p>
        </w:tc>
        <w:tc>
          <w:tcPr>
            <w:tcW w:w="1134" w:type="dxa"/>
          </w:tcPr>
          <w:p w14:paraId="7D31191B" w14:textId="77777777" w:rsidR="0099795D" w:rsidRPr="0099795D" w:rsidRDefault="0099795D" w:rsidP="0099795D">
            <w:pPr>
              <w:pStyle w:val="Tabletextboldleft"/>
              <w:spacing w:before="20" w:after="20"/>
              <w:jc w:val="right"/>
              <w:rPr>
                <w:b w:val="0"/>
                <w:color w:val="000000"/>
              </w:rPr>
            </w:pPr>
            <w:r w:rsidRPr="0099795D">
              <w:rPr>
                <w:b w:val="0"/>
                <w:color w:val="000000"/>
              </w:rPr>
              <w:t>$9,123,675</w:t>
            </w:r>
          </w:p>
        </w:tc>
        <w:tc>
          <w:tcPr>
            <w:tcW w:w="1134" w:type="dxa"/>
          </w:tcPr>
          <w:p w14:paraId="5F9D0C67" w14:textId="77777777" w:rsidR="0099795D" w:rsidRPr="0099795D" w:rsidRDefault="0099795D" w:rsidP="0099795D">
            <w:pPr>
              <w:pStyle w:val="Tabletextboldleft"/>
              <w:spacing w:before="20" w:after="20"/>
              <w:jc w:val="right"/>
              <w:rPr>
                <w:b w:val="0"/>
                <w:color w:val="000000"/>
              </w:rPr>
            </w:pPr>
            <w:r w:rsidRPr="0099795D">
              <w:rPr>
                <w:b w:val="0"/>
                <w:color w:val="000000"/>
              </w:rPr>
              <w:t>$9,419,953</w:t>
            </w:r>
          </w:p>
        </w:tc>
      </w:tr>
      <w:tr w:rsidR="0099795D" w:rsidRPr="0099795D" w14:paraId="7CB5A2C7" w14:textId="77777777" w:rsidTr="00E61184">
        <w:trPr>
          <w:trHeight w:val="210"/>
        </w:trPr>
        <w:tc>
          <w:tcPr>
            <w:tcW w:w="1118" w:type="dxa"/>
          </w:tcPr>
          <w:p w14:paraId="242BEF4D" w14:textId="77777777" w:rsidR="0099795D" w:rsidRPr="0099795D" w:rsidRDefault="0099795D" w:rsidP="0099795D">
            <w:pPr>
              <w:pStyle w:val="Tabletextboldleft"/>
              <w:spacing w:before="20" w:after="20"/>
              <w:rPr>
                <w:b w:val="0"/>
                <w:i/>
              </w:rPr>
            </w:pPr>
            <w:r w:rsidRPr="0099795D">
              <w:rPr>
                <w:b w:val="0"/>
                <w:i/>
              </w:rPr>
              <w:t>Sensitivity analysis 3</w:t>
            </w:r>
          </w:p>
        </w:tc>
        <w:tc>
          <w:tcPr>
            <w:tcW w:w="1559" w:type="dxa"/>
          </w:tcPr>
          <w:p w14:paraId="448810E6" w14:textId="77777777" w:rsidR="0099795D" w:rsidRPr="0099795D" w:rsidRDefault="0099795D" w:rsidP="0099795D">
            <w:pPr>
              <w:pStyle w:val="Tabletextboldleft"/>
              <w:spacing w:before="20" w:after="20"/>
              <w:rPr>
                <w:b w:val="0"/>
              </w:rPr>
            </w:pPr>
            <w:r w:rsidRPr="0099795D">
              <w:rPr>
                <w:b w:val="0"/>
              </w:rPr>
              <w:t>The sensitivity analysis uses responses from one of a HESP member who completed the survey.</w:t>
            </w:r>
          </w:p>
        </w:tc>
        <w:tc>
          <w:tcPr>
            <w:tcW w:w="1134" w:type="dxa"/>
          </w:tcPr>
          <w:p w14:paraId="32FD1CAD" w14:textId="77777777" w:rsidR="0099795D" w:rsidRPr="0099795D" w:rsidRDefault="0099795D" w:rsidP="0099795D">
            <w:pPr>
              <w:pStyle w:val="Tabletextboldleft"/>
              <w:spacing w:before="20" w:after="20"/>
              <w:jc w:val="right"/>
              <w:rPr>
                <w:b w:val="0"/>
              </w:rPr>
            </w:pPr>
            <w:r w:rsidRPr="0099795D">
              <w:rPr>
                <w:b w:val="0"/>
                <w:color w:val="000000"/>
              </w:rPr>
              <w:t>$2,545,984</w:t>
            </w:r>
          </w:p>
        </w:tc>
        <w:tc>
          <w:tcPr>
            <w:tcW w:w="1134" w:type="dxa"/>
          </w:tcPr>
          <w:p w14:paraId="3341D983" w14:textId="77777777" w:rsidR="0099795D" w:rsidRPr="0099795D" w:rsidRDefault="0099795D" w:rsidP="0099795D">
            <w:pPr>
              <w:pStyle w:val="Tabletextboldleft"/>
              <w:spacing w:before="20" w:after="20"/>
              <w:jc w:val="right"/>
              <w:rPr>
                <w:b w:val="0"/>
              </w:rPr>
            </w:pPr>
            <w:r w:rsidRPr="0099795D">
              <w:rPr>
                <w:b w:val="0"/>
                <w:color w:val="000000"/>
              </w:rPr>
              <w:t>$2,637,846</w:t>
            </w:r>
          </w:p>
        </w:tc>
        <w:tc>
          <w:tcPr>
            <w:tcW w:w="1134" w:type="dxa"/>
          </w:tcPr>
          <w:p w14:paraId="00424711" w14:textId="77777777" w:rsidR="0099795D" w:rsidRPr="0099795D" w:rsidRDefault="0099795D" w:rsidP="0099795D">
            <w:pPr>
              <w:pStyle w:val="Tabletextboldleft"/>
              <w:spacing w:before="20" w:after="20"/>
              <w:jc w:val="right"/>
              <w:rPr>
                <w:b w:val="0"/>
              </w:rPr>
            </w:pPr>
            <w:r w:rsidRPr="0099795D">
              <w:rPr>
                <w:b w:val="0"/>
                <w:color w:val="000000"/>
              </w:rPr>
              <w:t>$2,729,710</w:t>
            </w:r>
          </w:p>
        </w:tc>
        <w:tc>
          <w:tcPr>
            <w:tcW w:w="1134" w:type="dxa"/>
          </w:tcPr>
          <w:p w14:paraId="09AD0DCD" w14:textId="77777777" w:rsidR="0099795D" w:rsidRPr="0099795D" w:rsidRDefault="0099795D" w:rsidP="0099795D">
            <w:pPr>
              <w:pStyle w:val="Tabletextboldleft"/>
              <w:spacing w:before="20" w:after="20"/>
              <w:jc w:val="right"/>
              <w:rPr>
                <w:b w:val="0"/>
              </w:rPr>
            </w:pPr>
            <w:r w:rsidRPr="0099795D">
              <w:rPr>
                <w:b w:val="0"/>
                <w:color w:val="000000"/>
              </w:rPr>
              <w:t>$2,821,575</w:t>
            </w:r>
          </w:p>
        </w:tc>
        <w:tc>
          <w:tcPr>
            <w:tcW w:w="1134" w:type="dxa"/>
          </w:tcPr>
          <w:p w14:paraId="4EF734E9" w14:textId="77777777" w:rsidR="0099795D" w:rsidRPr="0099795D" w:rsidRDefault="0099795D" w:rsidP="0099795D">
            <w:pPr>
              <w:pStyle w:val="Tabletextboldleft"/>
              <w:spacing w:before="20" w:after="20"/>
              <w:jc w:val="right"/>
              <w:rPr>
                <w:b w:val="0"/>
              </w:rPr>
            </w:pPr>
            <w:r w:rsidRPr="0099795D">
              <w:rPr>
                <w:b w:val="0"/>
                <w:color w:val="000000"/>
              </w:rPr>
              <w:t>$2,913,439</w:t>
            </w:r>
          </w:p>
        </w:tc>
      </w:tr>
      <w:tr w:rsidR="0099795D" w:rsidRPr="0099795D" w14:paraId="683E74B6" w14:textId="77777777" w:rsidTr="00E61184">
        <w:trPr>
          <w:trHeight w:val="70"/>
        </w:trPr>
        <w:tc>
          <w:tcPr>
            <w:tcW w:w="1118" w:type="dxa"/>
          </w:tcPr>
          <w:p w14:paraId="5F329C89" w14:textId="77777777" w:rsidR="0099795D" w:rsidRPr="0099795D" w:rsidRDefault="0099795D" w:rsidP="0099795D">
            <w:pPr>
              <w:pStyle w:val="Tabletextboldleft"/>
              <w:spacing w:before="20" w:after="20"/>
              <w:rPr>
                <w:b w:val="0"/>
                <w:i/>
              </w:rPr>
            </w:pPr>
            <w:r w:rsidRPr="0099795D">
              <w:rPr>
                <w:b w:val="0"/>
                <w:i/>
              </w:rPr>
              <w:t>Sensitivity analysis 4</w:t>
            </w:r>
          </w:p>
        </w:tc>
        <w:tc>
          <w:tcPr>
            <w:tcW w:w="1559" w:type="dxa"/>
          </w:tcPr>
          <w:p w14:paraId="33AC1182" w14:textId="77777777" w:rsidR="0099795D" w:rsidRPr="0099795D" w:rsidRDefault="0099795D" w:rsidP="0099795D">
            <w:pPr>
              <w:pStyle w:val="Tabletextboldleft"/>
              <w:spacing w:before="20" w:after="20"/>
              <w:rPr>
                <w:b w:val="0"/>
              </w:rPr>
            </w:pPr>
            <w:r w:rsidRPr="0099795D">
              <w:rPr>
                <w:b w:val="0"/>
              </w:rPr>
              <w:t>The sensitivity analysis tests a higher second, expert opinion rate (under proposed funding arrangements) than the base case.</w:t>
            </w:r>
          </w:p>
        </w:tc>
        <w:tc>
          <w:tcPr>
            <w:tcW w:w="1134" w:type="dxa"/>
          </w:tcPr>
          <w:p w14:paraId="6B28649E" w14:textId="77777777" w:rsidR="0099795D" w:rsidRPr="0099795D" w:rsidRDefault="0099795D" w:rsidP="0099795D">
            <w:pPr>
              <w:pStyle w:val="Tabletextboldleft"/>
              <w:spacing w:before="20" w:after="20"/>
              <w:jc w:val="right"/>
              <w:rPr>
                <w:b w:val="0"/>
              </w:rPr>
            </w:pPr>
            <w:r w:rsidRPr="0099795D">
              <w:rPr>
                <w:b w:val="0"/>
              </w:rPr>
              <w:t>$17,886,453</w:t>
            </w:r>
          </w:p>
        </w:tc>
        <w:tc>
          <w:tcPr>
            <w:tcW w:w="1134" w:type="dxa"/>
          </w:tcPr>
          <w:p w14:paraId="07A8EAAD" w14:textId="77777777" w:rsidR="0099795D" w:rsidRPr="0099795D" w:rsidRDefault="0099795D" w:rsidP="0099795D">
            <w:pPr>
              <w:pStyle w:val="Tabletextboldleft"/>
              <w:spacing w:before="20" w:after="20"/>
              <w:jc w:val="right"/>
              <w:rPr>
                <w:b w:val="0"/>
              </w:rPr>
            </w:pPr>
            <w:r w:rsidRPr="0099795D">
              <w:rPr>
                <w:b w:val="0"/>
              </w:rPr>
              <w:t>$18,526,898</w:t>
            </w:r>
          </w:p>
        </w:tc>
        <w:tc>
          <w:tcPr>
            <w:tcW w:w="1134" w:type="dxa"/>
          </w:tcPr>
          <w:p w14:paraId="763FAA43" w14:textId="77777777" w:rsidR="0099795D" w:rsidRPr="0099795D" w:rsidRDefault="0099795D" w:rsidP="0099795D">
            <w:pPr>
              <w:pStyle w:val="Tabletextboldleft"/>
              <w:spacing w:before="20" w:after="20"/>
              <w:jc w:val="right"/>
              <w:rPr>
                <w:b w:val="0"/>
              </w:rPr>
            </w:pPr>
            <w:r w:rsidRPr="0099795D">
              <w:rPr>
                <w:b w:val="0"/>
              </w:rPr>
              <w:t>$19,167,356</w:t>
            </w:r>
          </w:p>
        </w:tc>
        <w:tc>
          <w:tcPr>
            <w:tcW w:w="1134" w:type="dxa"/>
          </w:tcPr>
          <w:p w14:paraId="0373CE1F" w14:textId="77777777" w:rsidR="0099795D" w:rsidRPr="0099795D" w:rsidRDefault="0099795D" w:rsidP="0099795D">
            <w:pPr>
              <w:pStyle w:val="Tabletextboldleft"/>
              <w:spacing w:before="20" w:after="20"/>
              <w:jc w:val="right"/>
              <w:rPr>
                <w:b w:val="0"/>
              </w:rPr>
            </w:pPr>
            <w:r w:rsidRPr="0099795D">
              <w:rPr>
                <w:b w:val="0"/>
              </w:rPr>
              <w:t>$19,807,817</w:t>
            </w:r>
          </w:p>
        </w:tc>
        <w:tc>
          <w:tcPr>
            <w:tcW w:w="1134" w:type="dxa"/>
          </w:tcPr>
          <w:p w14:paraId="0CB71F75" w14:textId="77777777" w:rsidR="0099795D" w:rsidRPr="0099795D" w:rsidRDefault="0099795D" w:rsidP="0099795D">
            <w:pPr>
              <w:pStyle w:val="Tabletextboldleft"/>
              <w:spacing w:before="20" w:after="20"/>
              <w:jc w:val="right"/>
              <w:rPr>
                <w:b w:val="0"/>
              </w:rPr>
            </w:pPr>
            <w:r w:rsidRPr="0099795D">
              <w:rPr>
                <w:b w:val="0"/>
              </w:rPr>
              <w:t>$20,448,273</w:t>
            </w:r>
          </w:p>
        </w:tc>
      </w:tr>
      <w:tr w:rsidR="0099795D" w:rsidRPr="0099795D" w14:paraId="3FA94559" w14:textId="77777777" w:rsidTr="00E61184">
        <w:trPr>
          <w:trHeight w:val="70"/>
        </w:trPr>
        <w:tc>
          <w:tcPr>
            <w:tcW w:w="1118" w:type="dxa"/>
          </w:tcPr>
          <w:p w14:paraId="3F106693" w14:textId="77777777" w:rsidR="0099795D" w:rsidRPr="0099795D" w:rsidRDefault="0099795D" w:rsidP="0099795D">
            <w:pPr>
              <w:pStyle w:val="Tabletextboldleft"/>
              <w:spacing w:before="20" w:after="20"/>
              <w:rPr>
                <w:b w:val="0"/>
                <w:i/>
              </w:rPr>
            </w:pPr>
            <w:r w:rsidRPr="0099795D">
              <w:rPr>
                <w:b w:val="0"/>
                <w:i/>
              </w:rPr>
              <w:t>Sensitivity analysis 5</w:t>
            </w:r>
          </w:p>
        </w:tc>
        <w:tc>
          <w:tcPr>
            <w:tcW w:w="1559" w:type="dxa"/>
          </w:tcPr>
          <w:p w14:paraId="733BE3ED" w14:textId="77777777" w:rsidR="0099795D" w:rsidRPr="0099795D" w:rsidRDefault="0099795D" w:rsidP="0099795D">
            <w:pPr>
              <w:pStyle w:val="Tabletextboldleft"/>
              <w:spacing w:before="20" w:after="20"/>
              <w:rPr>
                <w:b w:val="0"/>
              </w:rPr>
            </w:pPr>
            <w:r w:rsidRPr="0099795D">
              <w:rPr>
                <w:b w:val="0"/>
              </w:rPr>
              <w:t>Assume a one-tier fee structure – Schedule fee $200; 85% benefit $170.</w:t>
            </w:r>
          </w:p>
        </w:tc>
        <w:tc>
          <w:tcPr>
            <w:tcW w:w="1134" w:type="dxa"/>
          </w:tcPr>
          <w:p w14:paraId="5BA3E2B9" w14:textId="77777777" w:rsidR="0099795D" w:rsidRPr="0099795D" w:rsidRDefault="0099795D" w:rsidP="0099795D">
            <w:pPr>
              <w:pStyle w:val="Tabletextboldleft"/>
              <w:spacing w:before="20" w:after="20"/>
              <w:jc w:val="right"/>
              <w:rPr>
                <w:b w:val="0"/>
              </w:rPr>
            </w:pPr>
            <w:r w:rsidRPr="0099795D">
              <w:rPr>
                <w:b w:val="0"/>
              </w:rPr>
              <w:t>$9,805,126</w:t>
            </w:r>
          </w:p>
        </w:tc>
        <w:tc>
          <w:tcPr>
            <w:tcW w:w="1134" w:type="dxa"/>
          </w:tcPr>
          <w:p w14:paraId="393DB524" w14:textId="77777777" w:rsidR="0099795D" w:rsidRPr="0099795D" w:rsidRDefault="0099795D" w:rsidP="0099795D">
            <w:pPr>
              <w:pStyle w:val="Tabletextboldleft"/>
              <w:spacing w:before="20" w:after="20"/>
              <w:jc w:val="right"/>
              <w:rPr>
                <w:b w:val="0"/>
              </w:rPr>
            </w:pPr>
            <w:r w:rsidRPr="0099795D">
              <w:rPr>
                <w:b w:val="0"/>
              </w:rPr>
              <w:t>$10,156,207</w:t>
            </w:r>
          </w:p>
        </w:tc>
        <w:tc>
          <w:tcPr>
            <w:tcW w:w="1134" w:type="dxa"/>
          </w:tcPr>
          <w:p w14:paraId="0F5AE911" w14:textId="77777777" w:rsidR="0099795D" w:rsidRPr="0099795D" w:rsidRDefault="0099795D" w:rsidP="0099795D">
            <w:pPr>
              <w:pStyle w:val="Tabletextboldleft"/>
              <w:spacing w:before="20" w:after="20"/>
              <w:jc w:val="right"/>
              <w:rPr>
                <w:b w:val="0"/>
              </w:rPr>
            </w:pPr>
            <w:r w:rsidRPr="0099795D">
              <w:rPr>
                <w:b w:val="0"/>
              </w:rPr>
              <w:t>$10,507,295</w:t>
            </w:r>
          </w:p>
        </w:tc>
        <w:tc>
          <w:tcPr>
            <w:tcW w:w="1134" w:type="dxa"/>
          </w:tcPr>
          <w:p w14:paraId="2DABF37D" w14:textId="77777777" w:rsidR="0099795D" w:rsidRPr="0099795D" w:rsidRDefault="0099795D" w:rsidP="0099795D">
            <w:pPr>
              <w:pStyle w:val="Tabletextboldleft"/>
              <w:spacing w:before="20" w:after="20"/>
              <w:jc w:val="right"/>
              <w:rPr>
                <w:b w:val="0"/>
              </w:rPr>
            </w:pPr>
            <w:r w:rsidRPr="0099795D">
              <w:rPr>
                <w:b w:val="0"/>
              </w:rPr>
              <w:t>$10,858,386</w:t>
            </w:r>
          </w:p>
        </w:tc>
        <w:tc>
          <w:tcPr>
            <w:tcW w:w="1134" w:type="dxa"/>
          </w:tcPr>
          <w:p w14:paraId="38A8D2BC" w14:textId="77777777" w:rsidR="0099795D" w:rsidRPr="0099795D" w:rsidRDefault="0099795D" w:rsidP="0099795D">
            <w:pPr>
              <w:pStyle w:val="Tabletextboldleft"/>
              <w:spacing w:before="20" w:after="20"/>
              <w:jc w:val="right"/>
              <w:rPr>
                <w:b w:val="0"/>
              </w:rPr>
            </w:pPr>
            <w:r w:rsidRPr="0099795D">
              <w:rPr>
                <w:b w:val="0"/>
              </w:rPr>
              <w:t>$11,209,473</w:t>
            </w:r>
          </w:p>
        </w:tc>
      </w:tr>
      <w:tr w:rsidR="0099795D" w:rsidRPr="0099795D" w14:paraId="380D6F8D" w14:textId="77777777" w:rsidTr="00E61184">
        <w:trPr>
          <w:trHeight w:val="70"/>
        </w:trPr>
        <w:tc>
          <w:tcPr>
            <w:tcW w:w="1118" w:type="dxa"/>
          </w:tcPr>
          <w:p w14:paraId="5BD63302" w14:textId="77777777" w:rsidR="0099795D" w:rsidRPr="0099795D" w:rsidRDefault="0099795D" w:rsidP="0099795D">
            <w:pPr>
              <w:pStyle w:val="Tabletextboldleft"/>
              <w:spacing w:before="20" w:after="20"/>
              <w:rPr>
                <w:b w:val="0"/>
                <w:i/>
              </w:rPr>
            </w:pPr>
            <w:r w:rsidRPr="0099795D">
              <w:rPr>
                <w:b w:val="0"/>
                <w:i/>
              </w:rPr>
              <w:t>Sensitivity analysis 6</w:t>
            </w:r>
          </w:p>
        </w:tc>
        <w:tc>
          <w:tcPr>
            <w:tcW w:w="1559" w:type="dxa"/>
          </w:tcPr>
          <w:p w14:paraId="436FBF19" w14:textId="77777777" w:rsidR="0099795D" w:rsidRPr="0099795D" w:rsidRDefault="0099795D" w:rsidP="0099795D">
            <w:pPr>
              <w:pStyle w:val="Tabletextboldleft"/>
              <w:spacing w:before="20" w:after="20"/>
              <w:rPr>
                <w:b w:val="0"/>
              </w:rPr>
            </w:pPr>
            <w:r w:rsidRPr="0099795D">
              <w:rPr>
                <w:b w:val="0"/>
              </w:rPr>
              <w:t>Assume that all Scenario 1 tissue pathology cases are ‘complex’ – involving more than 30 minutes of expert pathologist’s time.</w:t>
            </w:r>
          </w:p>
        </w:tc>
        <w:tc>
          <w:tcPr>
            <w:tcW w:w="1134" w:type="dxa"/>
          </w:tcPr>
          <w:p w14:paraId="31030716" w14:textId="77777777" w:rsidR="0099795D" w:rsidRPr="0099795D" w:rsidRDefault="0099795D" w:rsidP="0099795D">
            <w:pPr>
              <w:pStyle w:val="Tabletextboldleft"/>
              <w:spacing w:before="20" w:after="20"/>
              <w:jc w:val="right"/>
              <w:rPr>
                <w:b w:val="0"/>
              </w:rPr>
            </w:pPr>
            <w:r w:rsidRPr="0099795D">
              <w:rPr>
                <w:b w:val="0"/>
              </w:rPr>
              <w:t>$15,334,763</w:t>
            </w:r>
          </w:p>
        </w:tc>
        <w:tc>
          <w:tcPr>
            <w:tcW w:w="1134" w:type="dxa"/>
          </w:tcPr>
          <w:p w14:paraId="5C33AB23" w14:textId="77777777" w:rsidR="0099795D" w:rsidRPr="0099795D" w:rsidRDefault="0099795D" w:rsidP="0099795D">
            <w:pPr>
              <w:pStyle w:val="Tabletextboldleft"/>
              <w:spacing w:before="20" w:after="20"/>
              <w:jc w:val="right"/>
              <w:rPr>
                <w:b w:val="0"/>
              </w:rPr>
            </w:pPr>
            <w:r w:rsidRPr="0099795D">
              <w:rPr>
                <w:b w:val="0"/>
              </w:rPr>
              <w:t>$15,885,912</w:t>
            </w:r>
          </w:p>
        </w:tc>
        <w:tc>
          <w:tcPr>
            <w:tcW w:w="1134" w:type="dxa"/>
          </w:tcPr>
          <w:p w14:paraId="453936E1" w14:textId="77777777" w:rsidR="0099795D" w:rsidRPr="0099795D" w:rsidRDefault="0099795D" w:rsidP="0099795D">
            <w:pPr>
              <w:pStyle w:val="Tabletextboldleft"/>
              <w:spacing w:before="20" w:after="20"/>
              <w:jc w:val="right"/>
              <w:rPr>
                <w:b w:val="0"/>
              </w:rPr>
            </w:pPr>
            <w:r w:rsidRPr="0099795D">
              <w:rPr>
                <w:b w:val="0"/>
              </w:rPr>
              <w:t>$16,437,073</w:t>
            </w:r>
          </w:p>
        </w:tc>
        <w:tc>
          <w:tcPr>
            <w:tcW w:w="1134" w:type="dxa"/>
          </w:tcPr>
          <w:p w14:paraId="3EFB356C" w14:textId="77777777" w:rsidR="0099795D" w:rsidRPr="0099795D" w:rsidRDefault="0099795D" w:rsidP="0099795D">
            <w:pPr>
              <w:pStyle w:val="Tabletextboldleft"/>
              <w:spacing w:before="20" w:after="20"/>
              <w:jc w:val="right"/>
              <w:rPr>
                <w:b w:val="0"/>
              </w:rPr>
            </w:pPr>
            <w:r w:rsidRPr="0099795D">
              <w:rPr>
                <w:b w:val="0"/>
              </w:rPr>
              <w:t>$16,988,236</w:t>
            </w:r>
          </w:p>
        </w:tc>
        <w:tc>
          <w:tcPr>
            <w:tcW w:w="1134" w:type="dxa"/>
          </w:tcPr>
          <w:p w14:paraId="463D485A" w14:textId="77777777" w:rsidR="0099795D" w:rsidRPr="0099795D" w:rsidRDefault="0099795D" w:rsidP="0099795D">
            <w:pPr>
              <w:pStyle w:val="Tabletextboldleft"/>
              <w:spacing w:before="20" w:after="20"/>
              <w:jc w:val="right"/>
              <w:rPr>
                <w:b w:val="0"/>
              </w:rPr>
            </w:pPr>
            <w:r w:rsidRPr="0099795D">
              <w:rPr>
                <w:b w:val="0"/>
              </w:rPr>
              <w:t>$17,539,394</w:t>
            </w:r>
          </w:p>
        </w:tc>
      </w:tr>
      <w:tr w:rsidR="0099795D" w14:paraId="65BEABEC" w14:textId="77777777" w:rsidTr="00E61184">
        <w:trPr>
          <w:trHeight w:val="70"/>
        </w:trPr>
        <w:tc>
          <w:tcPr>
            <w:tcW w:w="1118" w:type="dxa"/>
          </w:tcPr>
          <w:p w14:paraId="767D394E" w14:textId="77777777" w:rsidR="0099795D" w:rsidRPr="0099795D" w:rsidRDefault="0099795D" w:rsidP="0099795D">
            <w:pPr>
              <w:pStyle w:val="Tabletextboldleft"/>
              <w:spacing w:before="20" w:after="20"/>
              <w:rPr>
                <w:b w:val="0"/>
                <w:i/>
              </w:rPr>
            </w:pPr>
            <w:r w:rsidRPr="0099795D">
              <w:rPr>
                <w:b w:val="0"/>
                <w:i/>
              </w:rPr>
              <w:t>Sensitivity analysis 7</w:t>
            </w:r>
          </w:p>
        </w:tc>
        <w:tc>
          <w:tcPr>
            <w:tcW w:w="1559" w:type="dxa"/>
          </w:tcPr>
          <w:p w14:paraId="3D0C514F" w14:textId="77777777" w:rsidR="0099795D" w:rsidRPr="0099795D" w:rsidRDefault="0099795D" w:rsidP="0099795D">
            <w:pPr>
              <w:pStyle w:val="Tabletextboldleft"/>
              <w:spacing w:before="20" w:after="20"/>
              <w:rPr>
                <w:b w:val="0"/>
              </w:rPr>
            </w:pPr>
            <w:r w:rsidRPr="0099795D">
              <w:rPr>
                <w:b w:val="0"/>
              </w:rPr>
              <w:t>Assume that second, expert opinion is not requested for complexity 2 or 3 items (MBS items 72813-72818).</w:t>
            </w:r>
          </w:p>
        </w:tc>
        <w:tc>
          <w:tcPr>
            <w:tcW w:w="1134" w:type="dxa"/>
          </w:tcPr>
          <w:p w14:paraId="1C9813CD" w14:textId="77777777" w:rsidR="0099795D" w:rsidRPr="0099795D" w:rsidRDefault="0099795D" w:rsidP="0099795D">
            <w:pPr>
              <w:pStyle w:val="Tabletextboldleft"/>
              <w:spacing w:before="20" w:after="20"/>
              <w:jc w:val="right"/>
              <w:rPr>
                <w:b w:val="0"/>
              </w:rPr>
            </w:pPr>
            <w:r w:rsidRPr="0099795D">
              <w:rPr>
                <w:b w:val="0"/>
              </w:rPr>
              <w:t>$5,984,984</w:t>
            </w:r>
          </w:p>
        </w:tc>
        <w:tc>
          <w:tcPr>
            <w:tcW w:w="1134" w:type="dxa"/>
          </w:tcPr>
          <w:p w14:paraId="113C599F" w14:textId="77777777" w:rsidR="0099795D" w:rsidRPr="0099795D" w:rsidRDefault="0099795D" w:rsidP="0099795D">
            <w:pPr>
              <w:pStyle w:val="Tabletextboldleft"/>
              <w:spacing w:before="20" w:after="20"/>
              <w:jc w:val="right"/>
              <w:rPr>
                <w:b w:val="0"/>
              </w:rPr>
            </w:pPr>
            <w:r w:rsidRPr="0099795D">
              <w:rPr>
                <w:b w:val="0"/>
              </w:rPr>
              <w:t>$6,267,373</w:t>
            </w:r>
          </w:p>
        </w:tc>
        <w:tc>
          <w:tcPr>
            <w:tcW w:w="1134" w:type="dxa"/>
          </w:tcPr>
          <w:p w14:paraId="5346DA70" w14:textId="77777777" w:rsidR="0099795D" w:rsidRPr="0099795D" w:rsidRDefault="0099795D" w:rsidP="0099795D">
            <w:pPr>
              <w:pStyle w:val="Tabletextboldleft"/>
              <w:spacing w:before="20" w:after="20"/>
              <w:jc w:val="right"/>
              <w:rPr>
                <w:b w:val="0"/>
              </w:rPr>
            </w:pPr>
            <w:r w:rsidRPr="0099795D">
              <w:rPr>
                <w:b w:val="0"/>
              </w:rPr>
              <w:t>$6,549,767</w:t>
            </w:r>
          </w:p>
        </w:tc>
        <w:tc>
          <w:tcPr>
            <w:tcW w:w="1134" w:type="dxa"/>
          </w:tcPr>
          <w:p w14:paraId="6036E4EF" w14:textId="77777777" w:rsidR="0099795D" w:rsidRPr="0099795D" w:rsidRDefault="0099795D" w:rsidP="0099795D">
            <w:pPr>
              <w:pStyle w:val="Tabletextboldleft"/>
              <w:spacing w:before="20" w:after="20"/>
              <w:jc w:val="right"/>
              <w:rPr>
                <w:b w:val="0"/>
              </w:rPr>
            </w:pPr>
            <w:r w:rsidRPr="0099795D">
              <w:rPr>
                <w:b w:val="0"/>
              </w:rPr>
              <w:t>$6,832,168</w:t>
            </w:r>
          </w:p>
        </w:tc>
        <w:tc>
          <w:tcPr>
            <w:tcW w:w="1134" w:type="dxa"/>
          </w:tcPr>
          <w:p w14:paraId="34F99465" w14:textId="77777777" w:rsidR="0099795D" w:rsidRPr="0099795D" w:rsidRDefault="0099795D" w:rsidP="0099795D">
            <w:pPr>
              <w:pStyle w:val="Tabletextboldleft"/>
              <w:spacing w:before="20" w:after="20"/>
              <w:jc w:val="right"/>
              <w:rPr>
                <w:b w:val="0"/>
              </w:rPr>
            </w:pPr>
            <w:r w:rsidRPr="0099795D">
              <w:rPr>
                <w:b w:val="0"/>
              </w:rPr>
              <w:t>$7,114,561</w:t>
            </w:r>
          </w:p>
        </w:tc>
      </w:tr>
    </w:tbl>
    <w:p w14:paraId="54588BFA" w14:textId="77777777" w:rsidR="00B51828" w:rsidRPr="009D1CCE" w:rsidRDefault="00B51828" w:rsidP="002101D2">
      <w:pPr>
        <w:rPr>
          <w:rFonts w:ascii="Arial Narrow" w:hAnsi="Arial Narrow"/>
          <w:b/>
          <w:sz w:val="18"/>
          <w:szCs w:val="18"/>
        </w:rPr>
        <w:sectPr w:rsidR="00B51828" w:rsidRPr="009D1CCE" w:rsidSect="002101D2">
          <w:footerReference w:type="default" r:id="rId36"/>
          <w:pgSz w:w="11906" w:h="16838" w:code="9"/>
          <w:pgMar w:top="1440" w:right="1440" w:bottom="1440" w:left="1440" w:header="680" w:footer="1021" w:gutter="0"/>
          <w:cols w:space="708"/>
          <w:docGrid w:linePitch="360"/>
        </w:sectPr>
      </w:pPr>
      <w:r w:rsidRPr="009D1CCE">
        <w:rPr>
          <w:rFonts w:ascii="Arial Narrow" w:hAnsi="Arial Narrow"/>
          <w:sz w:val="18"/>
          <w:szCs w:val="18"/>
        </w:rPr>
        <w:t>Source: Excel Section E workbook &lt;Incremental costs (all items)&gt;</w:t>
      </w:r>
    </w:p>
    <w:p w14:paraId="63FEE53D" w14:textId="77777777" w:rsidR="00B51828" w:rsidRPr="00A2787B" w:rsidRDefault="00B51828" w:rsidP="00B51828">
      <w:pPr>
        <w:pStyle w:val="Heading3"/>
        <w:numPr>
          <w:ilvl w:val="2"/>
          <w:numId w:val="1"/>
        </w:numPr>
      </w:pPr>
      <w:bookmarkStart w:id="373" w:name="_Ref395187238"/>
      <w:r>
        <w:lastRenderedPageBreak/>
        <w:t>Sensitivity analyses – base case includes gynaecological cytology</w:t>
      </w:r>
      <w:bookmarkEnd w:id="371"/>
      <w:bookmarkEnd w:id="373"/>
    </w:p>
    <w:bookmarkEnd w:id="372"/>
    <w:p w14:paraId="44AD32D2" w14:textId="497CC7B6" w:rsidR="00B51828" w:rsidRDefault="00B51828" w:rsidP="002101D2">
      <w:r>
        <w:fldChar w:fldCharType="begin"/>
      </w:r>
      <w:r>
        <w:instrText xml:space="preserve"> REF _Ref395010250 \h  \* MERGEFORMAT </w:instrText>
      </w:r>
      <w:r>
        <w:fldChar w:fldCharType="separate"/>
      </w:r>
      <w:r w:rsidR="0044620B">
        <w:t>Table E.6</w:t>
      </w:r>
      <w:r w:rsidR="0044620B">
        <w:noBreakHyphen/>
        <w:t>3</w:t>
      </w:r>
      <w:r>
        <w:fldChar w:fldCharType="end"/>
      </w:r>
      <w:r>
        <w:t xml:space="preserve"> shows a base case in which all bone marrow, tissue pathology and cytology cases (including gynaecological cytology) are eligible for MBS reimbursement for second, expert opinions. As outlined in Section </w:t>
      </w:r>
      <w:r>
        <w:fldChar w:fldCharType="begin"/>
      </w:r>
      <w:r>
        <w:instrText xml:space="preserve"> REF _Ref385171883 \w \h  \* MERGEFORMAT </w:instrText>
      </w:r>
      <w:r>
        <w:fldChar w:fldCharType="separate"/>
      </w:r>
      <w:r w:rsidR="0044620B">
        <w:t>A.2.5</w:t>
      </w:r>
      <w:r>
        <w:fldChar w:fldCharType="end"/>
      </w:r>
      <w:r>
        <w:t xml:space="preserve">, it is anticipated that a substantial decrease in overall cytology utilisation could occur in 2016, when proposed changes to the NCSP (recommended by MSAC in April 2014) could come into effect. </w:t>
      </w:r>
    </w:p>
    <w:p w14:paraId="43837E14" w14:textId="77777777" w:rsidR="00B51828" w:rsidRDefault="00B51828" w:rsidP="002101D2">
      <w:r>
        <w:t>The renewed screening pathway involves five-yearly screening with HPV testing as the primary screening test. According to the Public Summary Document from the April 2014 MSAC meeting</w:t>
      </w:r>
      <w:r w:rsidRPr="001922B7">
        <w:rPr>
          <w:vertAlign w:val="superscript"/>
        </w:rPr>
        <w:footnoteReference w:id="12"/>
      </w:r>
      <w:r>
        <w:t>, the estimated use of cytology for cervical screening is expected to decrease from 2.4 million per year in 2016 to 0.34 million per year. The estimated reduction equates to an 86% decrease.</w:t>
      </w:r>
    </w:p>
    <w:p w14:paraId="26888C4D" w14:textId="473FEB0D" w:rsidR="00B51828" w:rsidRDefault="00B51828" w:rsidP="002101D2">
      <w:r>
        <w:t>A sensitivity analysis (</w:t>
      </w:r>
      <w:r w:rsidRPr="001922B7">
        <w:rPr>
          <w:i/>
        </w:rPr>
        <w:t>Sensitivity analysis 8</w:t>
      </w:r>
      <w:r>
        <w:t>) was conducted to show the impact that the proposed changes to the screening pathway may have on the cost to the MBS of second, expert opinions. The projected number of initial cytology services to Year 5 were recalculated based on the projected utilisation estimates for all ‘core’ cytology items (</w:t>
      </w:r>
      <w:r>
        <w:fldChar w:fldCharType="begin"/>
      </w:r>
      <w:r>
        <w:instrText xml:space="preserve"> REF _Ref394487293 \h  \* MERGEFORMAT </w:instrText>
      </w:r>
      <w:r>
        <w:fldChar w:fldCharType="separate"/>
      </w:r>
      <w:r w:rsidR="0044620B">
        <w:t>Table E.1</w:t>
      </w:r>
      <w:r w:rsidR="0044620B">
        <w:noBreakHyphen/>
        <w:t>2</w:t>
      </w:r>
      <w:r>
        <w:fldChar w:fldCharType="end"/>
      </w:r>
      <w:r>
        <w:t xml:space="preserve">), with an 86% decrease applied to MBS items 73053 and 73055 from 2016 (i.e. halfway through Year 1). The total incremental cost under the proposed changes is therefore lower, as the costs are applied to a smaller number </w:t>
      </w:r>
      <w:r w:rsidR="0099795D">
        <w:t xml:space="preserve">of </w:t>
      </w:r>
      <w:r>
        <w:t>services (</w:t>
      </w:r>
      <w:r w:rsidRPr="001922B7">
        <w:rPr>
          <w:i/>
        </w:rPr>
        <w:t xml:space="preserve">Sensitivity </w:t>
      </w:r>
      <w:r>
        <w:rPr>
          <w:i/>
        </w:rPr>
        <w:t xml:space="preserve">analysis </w:t>
      </w:r>
      <w:r w:rsidRPr="001922B7">
        <w:rPr>
          <w:i/>
        </w:rPr>
        <w:t>8</w:t>
      </w:r>
      <w:r w:rsidRPr="001922B7">
        <w:t xml:space="preserve">, </w:t>
      </w:r>
      <w:r>
        <w:fldChar w:fldCharType="begin"/>
      </w:r>
      <w:r w:rsidRPr="00DD5BBB">
        <w:instrText xml:space="preserve"> REF _Ref395010250 \h </w:instrText>
      </w:r>
      <w:r>
        <w:fldChar w:fldCharType="separate"/>
      </w:r>
      <w:r w:rsidR="0044620B">
        <w:t xml:space="preserve">Table </w:t>
      </w:r>
      <w:r w:rsidR="0044620B">
        <w:rPr>
          <w:noProof/>
        </w:rPr>
        <w:t>E.6</w:t>
      </w:r>
      <w:r w:rsidR="0044620B">
        <w:noBreakHyphen/>
      </w:r>
      <w:r w:rsidR="0044620B">
        <w:rPr>
          <w:noProof/>
        </w:rPr>
        <w:t>3</w:t>
      </w:r>
      <w:r>
        <w:fldChar w:fldCharType="end"/>
      </w:r>
      <w:r>
        <w:t xml:space="preserve">). </w:t>
      </w:r>
    </w:p>
    <w:p w14:paraId="5F7B20F1" w14:textId="77777777" w:rsidR="00B51828" w:rsidRDefault="00B51828" w:rsidP="002101D2">
      <w:pPr>
        <w:pStyle w:val="Caption"/>
      </w:pPr>
      <w:bookmarkStart w:id="374" w:name="_Ref395010250"/>
      <w:bookmarkStart w:id="375" w:name="_Toc396211788"/>
      <w:r>
        <w:t xml:space="preserve">Table </w:t>
      </w:r>
      <w:fldSimple w:instr=" STYLEREF 2 \s ">
        <w:r w:rsidR="0044620B">
          <w:rPr>
            <w:noProof/>
          </w:rPr>
          <w:t>E.6</w:t>
        </w:r>
      </w:fldSimple>
      <w:r>
        <w:noBreakHyphen/>
      </w:r>
      <w:fldSimple w:instr=" SEQ Table \* ARABIC \s 2 ">
        <w:r w:rsidR="0044620B">
          <w:rPr>
            <w:noProof/>
          </w:rPr>
          <w:t>3</w:t>
        </w:r>
      </w:fldSimple>
      <w:bookmarkEnd w:id="374"/>
      <w:r>
        <w:tab/>
        <w:t>Estimated total incremental costs of the proposed and associated services over the first five years of the proposed MBS listing: Results of sensitivity analysis</w:t>
      </w:r>
      <w:bookmarkEnd w:id="375"/>
    </w:p>
    <w:tbl>
      <w:tblPr>
        <w:tblStyle w:val="TableGrid"/>
        <w:tblW w:w="8347" w:type="dxa"/>
        <w:tblInd w:w="720" w:type="dxa"/>
        <w:tblLayout w:type="fixed"/>
        <w:tblLook w:val="04A0" w:firstRow="1" w:lastRow="0" w:firstColumn="1" w:lastColumn="0" w:noHBand="0" w:noVBand="1"/>
        <w:tblCaption w:val="Results of the senstivity anlaysis where the base case includes gynaecological cytology"/>
        <w:tblDescription w:val="Estimated total incremental costs of the proposed and associated services over the first five years of the proposed MBS listing. Results of a sensitivity analysis showing proposed changes to the National Cervical Screening Program."/>
      </w:tblPr>
      <w:tblGrid>
        <w:gridCol w:w="1118"/>
        <w:gridCol w:w="1559"/>
        <w:gridCol w:w="1134"/>
        <w:gridCol w:w="1134"/>
        <w:gridCol w:w="1134"/>
        <w:gridCol w:w="1134"/>
        <w:gridCol w:w="1134"/>
      </w:tblGrid>
      <w:tr w:rsidR="0099795D" w:rsidRPr="0099795D" w14:paraId="56257FA9" w14:textId="77777777" w:rsidTr="00E61184">
        <w:trPr>
          <w:trHeight w:val="210"/>
          <w:tblHeader/>
        </w:trPr>
        <w:tc>
          <w:tcPr>
            <w:tcW w:w="1118" w:type="dxa"/>
          </w:tcPr>
          <w:p w14:paraId="3944A360" w14:textId="77777777" w:rsidR="0099795D" w:rsidRPr="0099795D" w:rsidRDefault="0099795D" w:rsidP="0099795D">
            <w:pPr>
              <w:pStyle w:val="Tabletextboldleft"/>
              <w:spacing w:before="20" w:after="20"/>
            </w:pPr>
            <w:r w:rsidRPr="0099795D">
              <w:t>Analysis</w:t>
            </w:r>
          </w:p>
        </w:tc>
        <w:tc>
          <w:tcPr>
            <w:tcW w:w="1559" w:type="dxa"/>
          </w:tcPr>
          <w:p w14:paraId="193C701F" w14:textId="77777777" w:rsidR="0099795D" w:rsidRPr="0099795D" w:rsidRDefault="0099795D" w:rsidP="0099795D">
            <w:pPr>
              <w:pStyle w:val="Tabletextboldleft"/>
              <w:spacing w:before="20" w:after="20"/>
            </w:pPr>
            <w:r w:rsidRPr="0099795D">
              <w:t>Assumption</w:t>
            </w:r>
          </w:p>
        </w:tc>
        <w:tc>
          <w:tcPr>
            <w:tcW w:w="1134" w:type="dxa"/>
          </w:tcPr>
          <w:p w14:paraId="3EA6225D" w14:textId="77777777" w:rsidR="0099795D" w:rsidRPr="0099795D" w:rsidRDefault="0099795D" w:rsidP="0099795D">
            <w:pPr>
              <w:pStyle w:val="Tabletextboldleft"/>
              <w:spacing w:before="20" w:after="20"/>
              <w:jc w:val="right"/>
            </w:pPr>
            <w:r w:rsidRPr="0099795D">
              <w:t>Year 1</w:t>
            </w:r>
          </w:p>
          <w:p w14:paraId="0681201B" w14:textId="77777777" w:rsidR="0099795D" w:rsidRPr="0099795D" w:rsidRDefault="0099795D" w:rsidP="0099795D">
            <w:pPr>
              <w:pStyle w:val="Tabletextboldleft"/>
              <w:spacing w:before="20" w:after="20"/>
              <w:jc w:val="right"/>
            </w:pPr>
            <w:r w:rsidRPr="0099795D">
              <w:t>(2015-16)</w:t>
            </w:r>
          </w:p>
        </w:tc>
        <w:tc>
          <w:tcPr>
            <w:tcW w:w="1134" w:type="dxa"/>
          </w:tcPr>
          <w:p w14:paraId="22B968E1" w14:textId="77777777" w:rsidR="0099795D" w:rsidRPr="0099795D" w:rsidRDefault="0099795D" w:rsidP="0099795D">
            <w:pPr>
              <w:pStyle w:val="Tabletextboldleft"/>
              <w:spacing w:before="20" w:after="20"/>
              <w:jc w:val="right"/>
            </w:pPr>
            <w:r w:rsidRPr="0099795D">
              <w:t>Year 2</w:t>
            </w:r>
          </w:p>
          <w:p w14:paraId="3DF934A3" w14:textId="77777777" w:rsidR="0099795D" w:rsidRPr="0099795D" w:rsidRDefault="0099795D" w:rsidP="0099795D">
            <w:pPr>
              <w:pStyle w:val="Tabletextboldleft"/>
              <w:spacing w:before="20" w:after="20"/>
              <w:jc w:val="right"/>
            </w:pPr>
            <w:r w:rsidRPr="0099795D">
              <w:t>(2016-17)</w:t>
            </w:r>
          </w:p>
        </w:tc>
        <w:tc>
          <w:tcPr>
            <w:tcW w:w="1134" w:type="dxa"/>
          </w:tcPr>
          <w:p w14:paraId="1C653433" w14:textId="77777777" w:rsidR="0099795D" w:rsidRPr="0099795D" w:rsidRDefault="0099795D" w:rsidP="0099795D">
            <w:pPr>
              <w:pStyle w:val="Tabletextboldleft"/>
              <w:spacing w:before="20" w:after="20"/>
              <w:jc w:val="right"/>
            </w:pPr>
            <w:r w:rsidRPr="0099795D">
              <w:t>Year 3</w:t>
            </w:r>
          </w:p>
          <w:p w14:paraId="719039FA" w14:textId="77777777" w:rsidR="0099795D" w:rsidRPr="0099795D" w:rsidRDefault="0099795D" w:rsidP="0099795D">
            <w:pPr>
              <w:pStyle w:val="Tabletextboldleft"/>
              <w:spacing w:before="20" w:after="20"/>
              <w:jc w:val="right"/>
            </w:pPr>
            <w:r w:rsidRPr="0099795D">
              <w:t>(2017-18)</w:t>
            </w:r>
          </w:p>
        </w:tc>
        <w:tc>
          <w:tcPr>
            <w:tcW w:w="1134" w:type="dxa"/>
          </w:tcPr>
          <w:p w14:paraId="450D2787" w14:textId="77777777" w:rsidR="0099795D" w:rsidRPr="0099795D" w:rsidRDefault="0099795D" w:rsidP="0099795D">
            <w:pPr>
              <w:pStyle w:val="Tabletextboldleft"/>
              <w:spacing w:before="20" w:after="20"/>
              <w:jc w:val="right"/>
            </w:pPr>
            <w:r w:rsidRPr="0099795D">
              <w:t>Year 4</w:t>
            </w:r>
          </w:p>
          <w:p w14:paraId="24B23BB0" w14:textId="77777777" w:rsidR="0099795D" w:rsidRPr="0099795D" w:rsidRDefault="0099795D" w:rsidP="0099795D">
            <w:pPr>
              <w:pStyle w:val="Tabletextboldleft"/>
              <w:spacing w:before="20" w:after="20"/>
              <w:jc w:val="right"/>
            </w:pPr>
            <w:r w:rsidRPr="0099795D">
              <w:t>(2018-19)</w:t>
            </w:r>
          </w:p>
        </w:tc>
        <w:tc>
          <w:tcPr>
            <w:tcW w:w="1134" w:type="dxa"/>
          </w:tcPr>
          <w:p w14:paraId="64A89A04" w14:textId="77777777" w:rsidR="0099795D" w:rsidRPr="0099795D" w:rsidRDefault="0099795D" w:rsidP="0099795D">
            <w:pPr>
              <w:pStyle w:val="Tabletextboldleft"/>
              <w:spacing w:before="20" w:after="20"/>
              <w:jc w:val="right"/>
            </w:pPr>
            <w:r w:rsidRPr="0099795D">
              <w:t>Year 5</w:t>
            </w:r>
          </w:p>
          <w:p w14:paraId="33296571" w14:textId="77777777" w:rsidR="0099795D" w:rsidRPr="0099795D" w:rsidRDefault="0099795D" w:rsidP="0099795D">
            <w:pPr>
              <w:pStyle w:val="Tabletextboldleft"/>
              <w:spacing w:before="20" w:after="20"/>
              <w:jc w:val="right"/>
            </w:pPr>
            <w:r w:rsidRPr="0099795D">
              <w:t>(2019-20)</w:t>
            </w:r>
          </w:p>
        </w:tc>
      </w:tr>
      <w:tr w:rsidR="0099795D" w:rsidRPr="0099795D" w14:paraId="220F1178" w14:textId="77777777" w:rsidTr="00E61184">
        <w:trPr>
          <w:trHeight w:val="84"/>
        </w:trPr>
        <w:tc>
          <w:tcPr>
            <w:tcW w:w="1118" w:type="dxa"/>
            <w:shd w:val="clear" w:color="auto" w:fill="D0CECE" w:themeFill="background2" w:themeFillShade="E6"/>
          </w:tcPr>
          <w:p w14:paraId="779F478A" w14:textId="77777777" w:rsidR="0099795D" w:rsidRPr="0099795D" w:rsidRDefault="0099795D" w:rsidP="0099795D">
            <w:pPr>
              <w:pStyle w:val="Tabletextboldleft"/>
              <w:spacing w:before="20" w:after="20"/>
            </w:pPr>
            <w:r w:rsidRPr="0099795D">
              <w:t>Base case</w:t>
            </w:r>
          </w:p>
        </w:tc>
        <w:tc>
          <w:tcPr>
            <w:tcW w:w="1559" w:type="dxa"/>
            <w:shd w:val="clear" w:color="auto" w:fill="D0CECE" w:themeFill="background2" w:themeFillShade="E6"/>
          </w:tcPr>
          <w:p w14:paraId="34886E79" w14:textId="0390B227" w:rsidR="0099795D" w:rsidRPr="0099795D" w:rsidRDefault="007C2877" w:rsidP="0099795D">
            <w:pPr>
              <w:pStyle w:val="Tabletextboldleft"/>
              <w:spacing w:before="20" w:after="20"/>
            </w:pPr>
            <w:r>
              <w:fldChar w:fldCharType="begin"/>
            </w:r>
            <w:r>
              <w:instrText xml:space="preserve"> REF _Ref395270612 \h </w:instrText>
            </w:r>
            <w:r>
              <w:fldChar w:fldCharType="separate"/>
            </w:r>
            <w:r w:rsidR="0044620B">
              <w:t xml:space="preserve">Table </w:t>
            </w:r>
            <w:r w:rsidR="0044620B">
              <w:rPr>
                <w:noProof/>
              </w:rPr>
              <w:t>E.4</w:t>
            </w:r>
            <w:r w:rsidR="0044620B">
              <w:noBreakHyphen/>
            </w:r>
            <w:r w:rsidR="0044620B">
              <w:rPr>
                <w:noProof/>
              </w:rPr>
              <w:t>2</w:t>
            </w:r>
            <w:r>
              <w:fldChar w:fldCharType="end"/>
            </w:r>
          </w:p>
        </w:tc>
        <w:tc>
          <w:tcPr>
            <w:tcW w:w="1134" w:type="dxa"/>
            <w:shd w:val="clear" w:color="auto" w:fill="D0CECE" w:themeFill="background2" w:themeFillShade="E6"/>
            <w:vAlign w:val="bottom"/>
          </w:tcPr>
          <w:p w14:paraId="7102DCD0" w14:textId="77777777" w:rsidR="0099795D" w:rsidRPr="0099795D" w:rsidRDefault="0099795D" w:rsidP="0099795D">
            <w:pPr>
              <w:pStyle w:val="Tabletextboldleft"/>
              <w:spacing w:before="20" w:after="20"/>
              <w:jc w:val="right"/>
            </w:pPr>
            <w:r w:rsidRPr="0099795D">
              <w:t>$16,804,327</w:t>
            </w:r>
          </w:p>
        </w:tc>
        <w:tc>
          <w:tcPr>
            <w:tcW w:w="1134" w:type="dxa"/>
            <w:shd w:val="clear" w:color="auto" w:fill="D0CECE" w:themeFill="background2" w:themeFillShade="E6"/>
            <w:vAlign w:val="bottom"/>
          </w:tcPr>
          <w:p w14:paraId="15DE14FF" w14:textId="77777777" w:rsidR="0099795D" w:rsidRPr="0099795D" w:rsidRDefault="0099795D" w:rsidP="0099795D">
            <w:pPr>
              <w:pStyle w:val="Tabletextboldleft"/>
              <w:spacing w:before="20" w:after="20"/>
              <w:jc w:val="right"/>
            </w:pPr>
            <w:r w:rsidRPr="0099795D">
              <w:t>$17,288,756</w:t>
            </w:r>
          </w:p>
        </w:tc>
        <w:tc>
          <w:tcPr>
            <w:tcW w:w="1134" w:type="dxa"/>
            <w:shd w:val="clear" w:color="auto" w:fill="D0CECE" w:themeFill="background2" w:themeFillShade="E6"/>
            <w:vAlign w:val="bottom"/>
          </w:tcPr>
          <w:p w14:paraId="03D830D0" w14:textId="77777777" w:rsidR="0099795D" w:rsidRPr="0099795D" w:rsidRDefault="0099795D" w:rsidP="0099795D">
            <w:pPr>
              <w:pStyle w:val="Tabletextboldleft"/>
              <w:spacing w:before="20" w:after="20"/>
              <w:jc w:val="right"/>
            </w:pPr>
            <w:r w:rsidRPr="0099795D">
              <w:t>$17,773,190</w:t>
            </w:r>
          </w:p>
        </w:tc>
        <w:tc>
          <w:tcPr>
            <w:tcW w:w="1134" w:type="dxa"/>
            <w:shd w:val="clear" w:color="auto" w:fill="D0CECE" w:themeFill="background2" w:themeFillShade="E6"/>
            <w:vAlign w:val="bottom"/>
          </w:tcPr>
          <w:p w14:paraId="17D55B8E" w14:textId="77777777" w:rsidR="0099795D" w:rsidRPr="0099795D" w:rsidRDefault="0099795D" w:rsidP="0099795D">
            <w:pPr>
              <w:pStyle w:val="Tabletextboldleft"/>
              <w:spacing w:before="20" w:after="20"/>
              <w:jc w:val="right"/>
            </w:pPr>
            <w:r w:rsidRPr="0099795D">
              <w:t>$18,257,625</w:t>
            </w:r>
          </w:p>
        </w:tc>
        <w:tc>
          <w:tcPr>
            <w:tcW w:w="1134" w:type="dxa"/>
            <w:shd w:val="clear" w:color="auto" w:fill="D0CECE" w:themeFill="background2" w:themeFillShade="E6"/>
            <w:vAlign w:val="bottom"/>
          </w:tcPr>
          <w:p w14:paraId="6F260EB4" w14:textId="77777777" w:rsidR="0099795D" w:rsidRPr="0099795D" w:rsidRDefault="0099795D" w:rsidP="0099795D">
            <w:pPr>
              <w:pStyle w:val="Tabletextboldleft"/>
              <w:spacing w:before="20" w:after="20"/>
              <w:jc w:val="right"/>
            </w:pPr>
            <w:r w:rsidRPr="0099795D">
              <w:t>$18,742,061</w:t>
            </w:r>
          </w:p>
        </w:tc>
      </w:tr>
      <w:tr w:rsidR="0099795D" w14:paraId="4396440A" w14:textId="77777777" w:rsidTr="00E61184">
        <w:trPr>
          <w:trHeight w:val="210"/>
        </w:trPr>
        <w:tc>
          <w:tcPr>
            <w:tcW w:w="1118" w:type="dxa"/>
          </w:tcPr>
          <w:p w14:paraId="371DE8A9" w14:textId="77777777" w:rsidR="0099795D" w:rsidRPr="0099795D" w:rsidRDefault="0099795D" w:rsidP="0099795D">
            <w:pPr>
              <w:pStyle w:val="Tabletextboldleft"/>
              <w:spacing w:before="20" w:after="20"/>
              <w:rPr>
                <w:b w:val="0"/>
                <w:i/>
              </w:rPr>
            </w:pPr>
            <w:r w:rsidRPr="0099795D">
              <w:rPr>
                <w:b w:val="0"/>
                <w:i/>
              </w:rPr>
              <w:t>Sensitivity analysis 8</w:t>
            </w:r>
          </w:p>
        </w:tc>
        <w:tc>
          <w:tcPr>
            <w:tcW w:w="1559" w:type="dxa"/>
          </w:tcPr>
          <w:p w14:paraId="11735A7D" w14:textId="77777777" w:rsidR="0099795D" w:rsidRPr="0099795D" w:rsidRDefault="0099795D" w:rsidP="0099795D">
            <w:pPr>
              <w:pStyle w:val="Tabletextboldleft"/>
              <w:spacing w:before="20" w:after="20"/>
              <w:rPr>
                <w:b w:val="0"/>
              </w:rPr>
            </w:pPr>
            <w:r w:rsidRPr="0099795D">
              <w:rPr>
                <w:b w:val="0"/>
              </w:rPr>
              <w:t xml:space="preserve">Assume that proposed changes to the NCSP come into effect at the beginning of 2016. Assume an immediate 86% decrease in use of MBS items 73053 and 73055. </w:t>
            </w:r>
          </w:p>
        </w:tc>
        <w:tc>
          <w:tcPr>
            <w:tcW w:w="1134" w:type="dxa"/>
          </w:tcPr>
          <w:p w14:paraId="11631EA4" w14:textId="77777777" w:rsidR="0099795D" w:rsidRPr="0099795D" w:rsidRDefault="0099795D" w:rsidP="0099795D">
            <w:pPr>
              <w:pStyle w:val="Tabletextboldleft"/>
              <w:spacing w:before="20" w:after="20"/>
              <w:jc w:val="right"/>
              <w:rPr>
                <w:b w:val="0"/>
              </w:rPr>
            </w:pPr>
            <w:r w:rsidRPr="0099795D">
              <w:rPr>
                <w:b w:val="0"/>
              </w:rPr>
              <w:t>$14,983,693</w:t>
            </w:r>
          </w:p>
        </w:tc>
        <w:tc>
          <w:tcPr>
            <w:tcW w:w="1134" w:type="dxa"/>
          </w:tcPr>
          <w:p w14:paraId="229B3A05" w14:textId="77777777" w:rsidR="0099795D" w:rsidRPr="0099795D" w:rsidRDefault="0099795D" w:rsidP="0099795D">
            <w:pPr>
              <w:pStyle w:val="Tabletextboldleft"/>
              <w:spacing w:before="20" w:after="20"/>
              <w:jc w:val="right"/>
              <w:rPr>
                <w:b w:val="0"/>
              </w:rPr>
            </w:pPr>
            <w:r w:rsidRPr="0099795D">
              <w:rPr>
                <w:b w:val="0"/>
              </w:rPr>
              <w:t>$13,614,312</w:t>
            </w:r>
          </w:p>
        </w:tc>
        <w:tc>
          <w:tcPr>
            <w:tcW w:w="1134" w:type="dxa"/>
          </w:tcPr>
          <w:p w14:paraId="380D8D63" w14:textId="77777777" w:rsidR="0099795D" w:rsidRPr="0099795D" w:rsidRDefault="0099795D" w:rsidP="0099795D">
            <w:pPr>
              <w:pStyle w:val="Tabletextboldleft"/>
              <w:spacing w:before="20" w:after="20"/>
              <w:jc w:val="right"/>
              <w:rPr>
                <w:b w:val="0"/>
              </w:rPr>
            </w:pPr>
            <w:r w:rsidRPr="0099795D">
              <w:rPr>
                <w:b w:val="0"/>
              </w:rPr>
              <w:t>$14,065,575</w:t>
            </w:r>
          </w:p>
        </w:tc>
        <w:tc>
          <w:tcPr>
            <w:tcW w:w="1134" w:type="dxa"/>
          </w:tcPr>
          <w:p w14:paraId="7AF5D1F3" w14:textId="77777777" w:rsidR="0099795D" w:rsidRPr="0099795D" w:rsidRDefault="0099795D" w:rsidP="0099795D">
            <w:pPr>
              <w:pStyle w:val="Tabletextboldleft"/>
              <w:spacing w:before="20" w:after="20"/>
              <w:jc w:val="right"/>
              <w:rPr>
                <w:b w:val="0"/>
              </w:rPr>
            </w:pPr>
            <w:r w:rsidRPr="0099795D">
              <w:rPr>
                <w:b w:val="0"/>
              </w:rPr>
              <w:t>$14,516,839</w:t>
            </w:r>
          </w:p>
        </w:tc>
        <w:tc>
          <w:tcPr>
            <w:tcW w:w="1134" w:type="dxa"/>
          </w:tcPr>
          <w:p w14:paraId="43843FF4" w14:textId="77777777" w:rsidR="0099795D" w:rsidRPr="0099795D" w:rsidRDefault="0099795D" w:rsidP="0099795D">
            <w:pPr>
              <w:pStyle w:val="Tabletextboldleft"/>
              <w:spacing w:before="20" w:after="20"/>
              <w:jc w:val="right"/>
              <w:rPr>
                <w:b w:val="0"/>
              </w:rPr>
            </w:pPr>
            <w:r w:rsidRPr="0099795D">
              <w:rPr>
                <w:b w:val="0"/>
              </w:rPr>
              <w:t>$14,968,101</w:t>
            </w:r>
          </w:p>
        </w:tc>
      </w:tr>
    </w:tbl>
    <w:p w14:paraId="42AAB956" w14:textId="77777777" w:rsidR="00B51828" w:rsidRDefault="00B51828" w:rsidP="002101D2">
      <w:pPr>
        <w:spacing w:after="0"/>
        <w:ind w:left="0" w:firstLine="720"/>
        <w:rPr>
          <w:rFonts w:ascii="Arial Narrow" w:hAnsi="Arial Narrow"/>
          <w:sz w:val="18"/>
          <w:szCs w:val="18"/>
        </w:rPr>
      </w:pPr>
      <w:r w:rsidRPr="00AB735A">
        <w:rPr>
          <w:rFonts w:ascii="Arial Narrow" w:hAnsi="Arial Narrow"/>
          <w:sz w:val="18"/>
          <w:szCs w:val="18"/>
        </w:rPr>
        <w:t xml:space="preserve">Source: </w:t>
      </w:r>
      <w:r>
        <w:rPr>
          <w:rFonts w:ascii="Arial Narrow" w:hAnsi="Arial Narrow"/>
          <w:sz w:val="18"/>
          <w:szCs w:val="18"/>
        </w:rPr>
        <w:t>Excel Section E workbook &lt;Incremental costs (all items)&gt;</w:t>
      </w:r>
    </w:p>
    <w:p w14:paraId="2A94EE56" w14:textId="77777777" w:rsidR="00B51828" w:rsidRPr="00AB735A" w:rsidRDefault="00B51828" w:rsidP="002101D2">
      <w:pPr>
        <w:spacing w:after="360"/>
        <w:ind w:left="0" w:firstLine="720"/>
        <w:rPr>
          <w:rFonts w:ascii="Arial Narrow" w:hAnsi="Arial Narrow"/>
          <w:sz w:val="18"/>
          <w:szCs w:val="18"/>
        </w:rPr>
        <w:sectPr w:rsidR="00B51828" w:rsidRPr="00AB735A" w:rsidSect="002101D2">
          <w:pgSz w:w="11906" w:h="16838" w:code="9"/>
          <w:pgMar w:top="1440" w:right="1440" w:bottom="1440" w:left="1440" w:header="680" w:footer="1021" w:gutter="0"/>
          <w:cols w:space="708"/>
          <w:docGrid w:linePitch="360"/>
        </w:sectPr>
      </w:pPr>
      <w:r>
        <w:rPr>
          <w:rFonts w:ascii="Arial Narrow" w:hAnsi="Arial Narrow"/>
          <w:sz w:val="18"/>
          <w:szCs w:val="18"/>
        </w:rPr>
        <w:t>Abbreviations: NCSP, National Cervical Screening Program</w:t>
      </w:r>
    </w:p>
    <w:p w14:paraId="2E8827C5" w14:textId="77777777" w:rsidR="00B51828" w:rsidRDefault="00B51828" w:rsidP="00B51828">
      <w:pPr>
        <w:pStyle w:val="Heading1"/>
        <w:numPr>
          <w:ilvl w:val="0"/>
          <w:numId w:val="1"/>
        </w:numPr>
      </w:pPr>
      <w:bookmarkStart w:id="376" w:name="_Toc396211717"/>
      <w:r w:rsidRPr="00F710E2">
        <w:lastRenderedPageBreak/>
        <w:t>Options</w:t>
      </w:r>
      <w:r>
        <w:t xml:space="preserve"> to present additional relevant information</w:t>
      </w:r>
      <w:bookmarkEnd w:id="376"/>
    </w:p>
    <w:p w14:paraId="386A71D4" w14:textId="77777777" w:rsidR="00B51828" w:rsidRDefault="00B51828" w:rsidP="00B51828">
      <w:pPr>
        <w:pStyle w:val="Heading2"/>
        <w:numPr>
          <w:ilvl w:val="1"/>
          <w:numId w:val="1"/>
        </w:numPr>
      </w:pPr>
      <w:bookmarkStart w:id="377" w:name="_Toc396211718"/>
      <w:r>
        <w:t>Issues relating to equity principles</w:t>
      </w:r>
      <w:bookmarkEnd w:id="377"/>
    </w:p>
    <w:p w14:paraId="669DB3DF" w14:textId="77777777" w:rsidR="00B51828" w:rsidRPr="00435129" w:rsidRDefault="00B51828" w:rsidP="002101D2">
      <w:pPr>
        <w:rPr>
          <w:szCs w:val="24"/>
        </w:rPr>
      </w:pPr>
      <w:r>
        <w:t>The introduction of the proposed service for second, expert opinions is likely to be of particular value in regional and remote areas of Australia. Under current funding arrangements, p</w:t>
      </w:r>
      <w:r w:rsidRPr="00435129">
        <w:t xml:space="preserve">athologists working in </w:t>
      </w:r>
      <w:r>
        <w:t xml:space="preserve">small or single-pathologist laboratories in remote areas have little or no access to expert pathologists and may be less able to provide a primary or definitive diagnosis than pathologists in metropolitan areas who have a greater opportunity to approach colleagues for intra-institutional second and/or expert opinion. In addition, there may be a financial disincentive to seek a second, expert opinion because the patient or their laboratory/hospital are likely to be charged for the service, plus any associated transportation costs. </w:t>
      </w:r>
      <w:r w:rsidRPr="00435129">
        <w:t xml:space="preserve">As such, there is a </w:t>
      </w:r>
      <w:r>
        <w:t>justifiable</w:t>
      </w:r>
      <w:r w:rsidRPr="00435129">
        <w:t xml:space="preserve"> argument for the </w:t>
      </w:r>
      <w:r w:rsidRPr="00435129">
        <w:rPr>
          <w:szCs w:val="24"/>
        </w:rPr>
        <w:t xml:space="preserve">funding of </w:t>
      </w:r>
      <w:r>
        <w:rPr>
          <w:szCs w:val="24"/>
        </w:rPr>
        <w:t>second, expert</w:t>
      </w:r>
      <w:r w:rsidRPr="00435129">
        <w:rPr>
          <w:szCs w:val="24"/>
        </w:rPr>
        <w:t xml:space="preserve"> opinions for morphological pathology</w:t>
      </w:r>
      <w:r>
        <w:rPr>
          <w:szCs w:val="24"/>
        </w:rPr>
        <w:t xml:space="preserve"> to address issues of inequity</w:t>
      </w:r>
      <w:r w:rsidRPr="00435129">
        <w:rPr>
          <w:szCs w:val="24"/>
        </w:rPr>
        <w:t>.</w:t>
      </w:r>
    </w:p>
    <w:p w14:paraId="4B0A5464" w14:textId="77777777" w:rsidR="00B51828" w:rsidRPr="00414562" w:rsidRDefault="00B51828" w:rsidP="002101D2"/>
    <w:p w14:paraId="66546D1F" w14:textId="77777777" w:rsidR="00B51828" w:rsidRDefault="00B51828" w:rsidP="00B51828">
      <w:pPr>
        <w:pStyle w:val="Heading1"/>
        <w:numPr>
          <w:ilvl w:val="0"/>
          <w:numId w:val="7"/>
        </w:numPr>
      </w:pPr>
      <w:bookmarkStart w:id="378" w:name="_Ref395097800"/>
      <w:bookmarkStart w:id="379" w:name="_Toc396211719"/>
      <w:r>
        <w:lastRenderedPageBreak/>
        <w:t>Health Expert Standing Panel and Assessment Group</w:t>
      </w:r>
      <w:bookmarkEnd w:id="378"/>
      <w:bookmarkEnd w:id="379"/>
    </w:p>
    <w:p w14:paraId="4FEB3493" w14:textId="77777777" w:rsidR="00B51828" w:rsidRPr="0095400D" w:rsidRDefault="00B51828" w:rsidP="00B47A7E">
      <w:pPr>
        <w:tabs>
          <w:tab w:val="left" w:pos="4395"/>
        </w:tabs>
        <w:rPr>
          <w:rFonts w:ascii="Tahoma" w:hAnsi="Tahoma" w:cs="Tahoma"/>
          <w:b/>
          <w:sz w:val="28"/>
          <w:szCs w:val="28"/>
        </w:rPr>
      </w:pPr>
      <w:r w:rsidRPr="0095400D">
        <w:rPr>
          <w:rFonts w:ascii="Tahoma" w:hAnsi="Tahoma" w:cs="Tahoma"/>
          <w:b/>
          <w:sz w:val="28"/>
          <w:szCs w:val="28"/>
        </w:rPr>
        <w:t>Health Expert Standing Panel</w:t>
      </w:r>
    </w:p>
    <w:p w14:paraId="0D4CBDFA" w14:textId="6836556E" w:rsidR="00B51828" w:rsidRPr="009936BA" w:rsidRDefault="00B47A7E" w:rsidP="00B47A7E">
      <w:pPr>
        <w:tabs>
          <w:tab w:val="left" w:pos="4253"/>
        </w:tabs>
        <w:rPr>
          <w:b/>
        </w:rPr>
      </w:pPr>
      <w:r>
        <w:rPr>
          <w:b/>
        </w:rPr>
        <w:t>Member</w:t>
      </w:r>
      <w:r>
        <w:rPr>
          <w:b/>
        </w:rPr>
        <w:tab/>
      </w:r>
      <w:r>
        <w:rPr>
          <w:b/>
        </w:rPr>
        <w:tab/>
      </w:r>
      <w:r w:rsidR="00B51828" w:rsidRPr="009936BA">
        <w:rPr>
          <w:b/>
        </w:rPr>
        <w:t>Expertise or Affiliation</w:t>
      </w:r>
    </w:p>
    <w:p w14:paraId="5420D9BD" w14:textId="77777777" w:rsidR="00B51828" w:rsidRDefault="00B51828" w:rsidP="002101D2">
      <w:pPr>
        <w:ind w:left="4320" w:hanging="3600"/>
      </w:pPr>
      <w:r>
        <w:t>Professor Adrienne Morey</w:t>
      </w:r>
      <w:r>
        <w:tab/>
        <w:t>Expert on HER2 in breast cancer, Gastric anatomical pathology, Chair of the RCPA Anatomical Pathology Advisory Committee</w:t>
      </w:r>
    </w:p>
    <w:p w14:paraId="0B4E112A" w14:textId="77777777" w:rsidR="00B51828" w:rsidRDefault="00B51828" w:rsidP="002101D2">
      <w:pPr>
        <w:ind w:left="4320" w:hanging="3600"/>
      </w:pPr>
      <w:r>
        <w:t>Professor Jane Dahlstrom</w:t>
      </w:r>
      <w:r>
        <w:tab/>
        <w:t>Anatomical Pathology and Autopsy Pathology</w:t>
      </w:r>
    </w:p>
    <w:p w14:paraId="4CF52224" w14:textId="77777777" w:rsidR="00B51828" w:rsidRPr="0095400D" w:rsidRDefault="00B51828" w:rsidP="0095400D">
      <w:pPr>
        <w:rPr>
          <w:rFonts w:ascii="Tahoma" w:hAnsi="Tahoma" w:cs="Tahoma"/>
          <w:b/>
          <w:sz w:val="28"/>
          <w:szCs w:val="28"/>
        </w:rPr>
      </w:pPr>
      <w:r w:rsidRPr="0095400D">
        <w:rPr>
          <w:rFonts w:ascii="Tahoma" w:hAnsi="Tahoma" w:cs="Tahoma"/>
          <w:b/>
          <w:sz w:val="28"/>
          <w:szCs w:val="28"/>
        </w:rPr>
        <w:t>Assessment Group</w:t>
      </w:r>
    </w:p>
    <w:p w14:paraId="732BAD85" w14:textId="0BFBE241" w:rsidR="00B51828" w:rsidRPr="00746DD2" w:rsidRDefault="00B51828" w:rsidP="00B47A7E">
      <w:pPr>
        <w:tabs>
          <w:tab w:val="left" w:pos="4253"/>
        </w:tabs>
        <w:rPr>
          <w:b/>
        </w:rPr>
      </w:pPr>
      <w:r>
        <w:rPr>
          <w:b/>
        </w:rPr>
        <w:t>Name</w:t>
      </w:r>
      <w:r w:rsidR="00B47A7E">
        <w:rPr>
          <w:b/>
        </w:rPr>
        <w:tab/>
      </w:r>
      <w:r w:rsidR="00B47A7E">
        <w:rPr>
          <w:b/>
        </w:rPr>
        <w:tab/>
      </w:r>
      <w:r>
        <w:rPr>
          <w:b/>
        </w:rPr>
        <w:t>Organisation</w:t>
      </w:r>
    </w:p>
    <w:p w14:paraId="6DACBD7A" w14:textId="77777777" w:rsidR="00B51828" w:rsidRDefault="00B51828" w:rsidP="002101D2">
      <w:r>
        <w:t>Ms Kate Applegarth</w:t>
      </w:r>
      <w:r>
        <w:tab/>
      </w:r>
      <w:r>
        <w:tab/>
      </w:r>
      <w:r>
        <w:tab/>
        <w:t>HealthConsult Pty Ltd</w:t>
      </w:r>
    </w:p>
    <w:p w14:paraId="16EDDC65" w14:textId="77777777" w:rsidR="00B51828" w:rsidRDefault="00B51828" w:rsidP="002101D2">
      <w:r>
        <w:t>Dr Suzanne Campbell</w:t>
      </w:r>
      <w:r>
        <w:tab/>
      </w:r>
      <w:r>
        <w:tab/>
      </w:r>
      <w:r>
        <w:tab/>
        <w:t>HealthConsult Pty Ltd</w:t>
      </w:r>
    </w:p>
    <w:p w14:paraId="3E2CD7E6" w14:textId="77777777" w:rsidR="00B51828" w:rsidRDefault="00B51828" w:rsidP="002101D2">
      <w:r>
        <w:t>Dr Lisa Fodero</w:t>
      </w:r>
      <w:r>
        <w:tab/>
      </w:r>
      <w:r>
        <w:tab/>
      </w:r>
      <w:r>
        <w:tab/>
        <w:t>HealthConsult Pty Ltd</w:t>
      </w:r>
    </w:p>
    <w:p w14:paraId="596357CA" w14:textId="433A076D" w:rsidR="00B51828" w:rsidRDefault="00B51828" w:rsidP="00B47A7E">
      <w:pPr>
        <w:tabs>
          <w:tab w:val="left" w:pos="4253"/>
        </w:tabs>
      </w:pPr>
      <w:r>
        <w:t xml:space="preserve">Mr Joe Scuteri </w:t>
      </w:r>
      <w:r>
        <w:tab/>
      </w:r>
      <w:r>
        <w:tab/>
        <w:t>HealthConsult Pty Ltd</w:t>
      </w:r>
    </w:p>
    <w:p w14:paraId="532BB3ED" w14:textId="77777777" w:rsidR="00B51828" w:rsidRDefault="00B51828" w:rsidP="002101D2">
      <w:r>
        <w:t>Mr Paul Mernagh</w:t>
      </w:r>
      <w:r>
        <w:tab/>
      </w:r>
      <w:r>
        <w:tab/>
      </w:r>
      <w:r>
        <w:tab/>
        <w:t>Subcontractor for HealthConsult Pty Ltd</w:t>
      </w:r>
    </w:p>
    <w:p w14:paraId="4EA2793E" w14:textId="77777777" w:rsidR="00B51828" w:rsidRDefault="00B51828" w:rsidP="002101D2"/>
    <w:p w14:paraId="4A1219D0" w14:textId="77777777" w:rsidR="00B51828" w:rsidRDefault="00B51828" w:rsidP="00B51828">
      <w:pPr>
        <w:pStyle w:val="Heading1"/>
        <w:numPr>
          <w:ilvl w:val="0"/>
          <w:numId w:val="7"/>
        </w:numPr>
      </w:pPr>
      <w:bookmarkStart w:id="380" w:name="_Ref382313577"/>
      <w:bookmarkStart w:id="381" w:name="_Toc396211720"/>
      <w:r>
        <w:lastRenderedPageBreak/>
        <w:t>Item numbers and descriptors</w:t>
      </w:r>
      <w:bookmarkEnd w:id="380"/>
      <w:bookmarkEnd w:id="381"/>
    </w:p>
    <w:p w14:paraId="337515AF" w14:textId="77777777" w:rsidR="00B51828" w:rsidRPr="00DD5BBB" w:rsidRDefault="00B51828" w:rsidP="002101D2">
      <w:r>
        <w:t xml:space="preserve">MBS item descriptors and fees are reproduced below for </w:t>
      </w:r>
      <w:r w:rsidRPr="00DD5BBB">
        <w:t>Group P1 (Haematology), Group P5 (Tissue pathology) and Group P6 (Cytology)</w:t>
      </w:r>
      <w:r>
        <w:t>. The related Explanatory Notes are provided thereafter.</w:t>
      </w:r>
    </w:p>
    <w:tbl>
      <w:tblPr>
        <w:tblW w:w="9155" w:type="dxa"/>
        <w:tblLayout w:type="fixed"/>
        <w:tblCellMar>
          <w:left w:w="60" w:type="dxa"/>
          <w:right w:w="60" w:type="dxa"/>
        </w:tblCellMar>
        <w:tblLook w:val="04A0" w:firstRow="1" w:lastRow="0" w:firstColumn="1" w:lastColumn="0" w:noHBand="0" w:noVBand="1"/>
        <w:tblCaption w:val="Bone marrow items within Group P1 - Haematology"/>
        <w:tblDescription w:val="The MBS item descriptors and fees for Group P1 bone marrow items. "/>
      </w:tblPr>
      <w:tblGrid>
        <w:gridCol w:w="760"/>
        <w:gridCol w:w="8395"/>
      </w:tblGrid>
      <w:tr w:rsidR="00B51828" w:rsidRPr="001447A0" w14:paraId="1B347AD7" w14:textId="77777777" w:rsidTr="002101D2">
        <w:trPr>
          <w:tblHeader/>
        </w:trPr>
        <w:tc>
          <w:tcPr>
            <w:tcW w:w="760" w:type="dxa"/>
            <w:tcBorders>
              <w:top w:val="single" w:sz="4" w:space="0" w:color="auto"/>
              <w:left w:val="single" w:sz="4" w:space="0" w:color="auto"/>
              <w:bottom w:val="single" w:sz="4" w:space="0" w:color="auto"/>
              <w:right w:val="single" w:sz="4" w:space="0" w:color="auto"/>
            </w:tcBorders>
          </w:tcPr>
          <w:p w14:paraId="2DCD9B3D" w14:textId="77777777" w:rsidR="00B51828" w:rsidRPr="001447A0" w:rsidRDefault="00B51828" w:rsidP="002101D2">
            <w:pPr>
              <w:spacing w:after="0"/>
              <w:ind w:left="0"/>
              <w:jc w:val="center"/>
              <w:rPr>
                <w:rFonts w:ascii="Tahoma" w:eastAsia="Times New Roman" w:hAnsi="Tahoma" w:cs="Tahoma"/>
                <w:b/>
                <w:sz w:val="20"/>
                <w:szCs w:val="20"/>
                <w:lang w:eastAsia="en-AU"/>
              </w:rPr>
            </w:pPr>
          </w:p>
        </w:tc>
        <w:tc>
          <w:tcPr>
            <w:tcW w:w="8395" w:type="dxa"/>
            <w:tcBorders>
              <w:top w:val="single" w:sz="4" w:space="0" w:color="auto"/>
              <w:left w:val="single" w:sz="4" w:space="0" w:color="auto"/>
              <w:bottom w:val="single" w:sz="4" w:space="0" w:color="auto"/>
              <w:right w:val="single" w:sz="4" w:space="0" w:color="auto"/>
            </w:tcBorders>
          </w:tcPr>
          <w:p w14:paraId="43C943A2" w14:textId="77777777" w:rsidR="00B51828" w:rsidRPr="001447A0" w:rsidRDefault="00B51828" w:rsidP="002101D2">
            <w:pPr>
              <w:pStyle w:val="Tabletextboldleft"/>
              <w:rPr>
                <w:rFonts w:ascii="Tahoma" w:hAnsi="Tahoma" w:cs="Tahoma"/>
                <w:lang w:eastAsia="en-AU"/>
              </w:rPr>
            </w:pPr>
            <w:r w:rsidRPr="001447A0">
              <w:rPr>
                <w:bCs/>
                <w:smallCaps/>
                <w:kern w:val="32"/>
                <w:lang w:eastAsia="en-AU"/>
              </w:rPr>
              <w:t>GROUP P1 - HAEMATOLOGY</w:t>
            </w:r>
          </w:p>
        </w:tc>
      </w:tr>
      <w:tr w:rsidR="00B51828" w:rsidRPr="001447A0" w14:paraId="618F0F04" w14:textId="77777777" w:rsidTr="002101D2">
        <w:tc>
          <w:tcPr>
            <w:tcW w:w="760" w:type="dxa"/>
            <w:tcBorders>
              <w:top w:val="single" w:sz="4" w:space="0" w:color="auto"/>
              <w:left w:val="single" w:sz="4" w:space="0" w:color="auto"/>
              <w:bottom w:val="single" w:sz="4" w:space="0" w:color="auto"/>
              <w:right w:val="single" w:sz="4" w:space="0" w:color="auto"/>
            </w:tcBorders>
          </w:tcPr>
          <w:p w14:paraId="47594D8A" w14:textId="77777777" w:rsidR="00B51828" w:rsidRPr="001447A0" w:rsidRDefault="00B51828" w:rsidP="002101D2">
            <w:pPr>
              <w:pStyle w:val="Tabletextboldleft"/>
              <w:rPr>
                <w:rFonts w:ascii="Tahoma" w:hAnsi="Tahoma" w:cs="Tahoma"/>
                <w:lang w:eastAsia="en-AU"/>
              </w:rPr>
            </w:pPr>
            <w:r w:rsidRPr="001447A0">
              <w:rPr>
                <w:rFonts w:eastAsia="SimSun"/>
                <w:b w:val="0"/>
                <w:lang w:eastAsia="zh-CN"/>
              </w:rPr>
              <w:t>65084</w:t>
            </w:r>
          </w:p>
        </w:tc>
        <w:tc>
          <w:tcPr>
            <w:tcW w:w="8395" w:type="dxa"/>
            <w:tcBorders>
              <w:top w:val="single" w:sz="4" w:space="0" w:color="auto"/>
              <w:left w:val="single" w:sz="4" w:space="0" w:color="auto"/>
              <w:bottom w:val="single" w:sz="4" w:space="0" w:color="auto"/>
              <w:right w:val="single" w:sz="4" w:space="0" w:color="auto"/>
            </w:tcBorders>
          </w:tcPr>
          <w:p w14:paraId="48009341" w14:textId="77777777" w:rsidR="00B51828" w:rsidRPr="001447A0" w:rsidRDefault="00B51828" w:rsidP="002101D2">
            <w:pPr>
              <w:pStyle w:val="Tabletextboldleft"/>
              <w:rPr>
                <w:rFonts w:eastAsia="SimSun"/>
                <w:b w:val="0"/>
                <w:lang w:eastAsia="zh-CN"/>
              </w:rPr>
            </w:pPr>
          </w:p>
          <w:p w14:paraId="591E0292" w14:textId="77777777" w:rsidR="00B51828" w:rsidRPr="001447A0" w:rsidRDefault="00B51828" w:rsidP="002101D2">
            <w:pPr>
              <w:pStyle w:val="Tabletextboldleft"/>
              <w:rPr>
                <w:rFonts w:eastAsia="SimSun"/>
                <w:b w:val="0"/>
                <w:lang w:eastAsia="zh-CN"/>
              </w:rPr>
            </w:pPr>
            <w:r w:rsidRPr="001447A0">
              <w:rPr>
                <w:rFonts w:eastAsia="SimSun"/>
                <w:b w:val="0"/>
                <w:lang w:eastAsia="zh-CN"/>
              </w:rPr>
              <w:t xml:space="preserve">Bone marrow trephine biopsy - histopathological examination of sections of bone marrow and examination of aspirated material (including clot sections where necessary), including (if performed): </w:t>
            </w:r>
          </w:p>
          <w:p w14:paraId="6F5592B2" w14:textId="77777777" w:rsidR="00B51828" w:rsidRPr="001447A0" w:rsidRDefault="00B51828" w:rsidP="002101D2">
            <w:pPr>
              <w:pStyle w:val="Tabletextboldleft"/>
              <w:rPr>
                <w:rFonts w:eastAsia="SimSun"/>
                <w:b w:val="0"/>
                <w:lang w:eastAsia="zh-CN"/>
              </w:rPr>
            </w:pPr>
            <w:r w:rsidRPr="001447A0">
              <w:rPr>
                <w:rFonts w:eastAsia="SimSun"/>
                <w:b w:val="0"/>
                <w:lang w:eastAsia="zh-CN"/>
              </w:rPr>
              <w:t xml:space="preserve">any test described in item 65060, 65066 or 65070 </w:t>
            </w:r>
            <w:r w:rsidRPr="001447A0">
              <w:rPr>
                <w:rFonts w:eastAsia="SimSun"/>
                <w:b w:val="0"/>
                <w:lang w:eastAsia="zh-CN"/>
              </w:rPr>
              <w:cr/>
            </w:r>
          </w:p>
          <w:p w14:paraId="40E9B9F0" w14:textId="77777777" w:rsidR="00B51828" w:rsidRPr="001447A0" w:rsidRDefault="00B51828" w:rsidP="002101D2">
            <w:pPr>
              <w:pStyle w:val="Tabletextboldleft"/>
              <w:rPr>
                <w:rFonts w:ascii="Tahoma" w:hAnsi="Tahoma" w:cs="Tahoma"/>
                <w:lang w:eastAsia="en-AU"/>
              </w:rPr>
            </w:pPr>
            <w:r w:rsidRPr="001447A0">
              <w:rPr>
                <w:rFonts w:eastAsia="SimSun"/>
                <w:lang w:eastAsia="zh-CN"/>
              </w:rPr>
              <w:t>Fee</w:t>
            </w:r>
            <w:r w:rsidRPr="001447A0">
              <w:rPr>
                <w:rFonts w:eastAsia="SimSun"/>
                <w:b w:val="0"/>
                <w:lang w:eastAsia="zh-CN"/>
              </w:rPr>
              <w:t>: $165.85</w:t>
            </w:r>
            <w:r w:rsidRPr="001447A0">
              <w:rPr>
                <w:rFonts w:eastAsia="SimSun"/>
                <w:b w:val="0"/>
                <w:lang w:eastAsia="zh-CN"/>
              </w:rPr>
              <w:tab/>
            </w:r>
            <w:r w:rsidRPr="001447A0">
              <w:rPr>
                <w:rFonts w:eastAsia="SimSun"/>
                <w:lang w:eastAsia="zh-CN"/>
              </w:rPr>
              <w:t>Benefit</w:t>
            </w:r>
            <w:r w:rsidRPr="001447A0">
              <w:rPr>
                <w:rFonts w:eastAsia="SimSun"/>
                <w:b w:val="0"/>
                <w:lang w:eastAsia="zh-CN"/>
              </w:rPr>
              <w:t>: 75% = $124.40</w:t>
            </w:r>
            <w:r w:rsidRPr="001447A0">
              <w:rPr>
                <w:rFonts w:eastAsia="SimSun"/>
                <w:b w:val="0"/>
                <w:lang w:eastAsia="zh-CN"/>
              </w:rPr>
              <w:tab/>
              <w:t>85% = $141.00</w:t>
            </w:r>
          </w:p>
        </w:tc>
      </w:tr>
      <w:tr w:rsidR="00B51828" w:rsidRPr="001447A0" w14:paraId="4F0D6177" w14:textId="77777777" w:rsidTr="002101D2">
        <w:tc>
          <w:tcPr>
            <w:tcW w:w="760" w:type="dxa"/>
            <w:tcBorders>
              <w:top w:val="single" w:sz="4" w:space="0" w:color="auto"/>
              <w:left w:val="single" w:sz="4" w:space="0" w:color="auto"/>
              <w:bottom w:val="single" w:sz="4" w:space="0" w:color="auto"/>
              <w:right w:val="single" w:sz="4" w:space="0" w:color="auto"/>
            </w:tcBorders>
          </w:tcPr>
          <w:p w14:paraId="483FFCB2" w14:textId="77777777" w:rsidR="00B51828" w:rsidRPr="001447A0" w:rsidRDefault="00B51828" w:rsidP="002101D2">
            <w:pPr>
              <w:pStyle w:val="Tabletextboldleft"/>
              <w:rPr>
                <w:rFonts w:ascii="Tahoma" w:hAnsi="Tahoma" w:cs="Tahoma"/>
                <w:lang w:eastAsia="en-AU"/>
              </w:rPr>
            </w:pPr>
            <w:r w:rsidRPr="001447A0">
              <w:rPr>
                <w:rFonts w:eastAsia="SimSun"/>
                <w:b w:val="0"/>
                <w:lang w:eastAsia="zh-CN"/>
              </w:rPr>
              <w:t>65087</w:t>
            </w:r>
          </w:p>
        </w:tc>
        <w:tc>
          <w:tcPr>
            <w:tcW w:w="8395" w:type="dxa"/>
            <w:tcBorders>
              <w:top w:val="single" w:sz="4" w:space="0" w:color="auto"/>
              <w:left w:val="single" w:sz="4" w:space="0" w:color="auto"/>
              <w:bottom w:val="single" w:sz="4" w:space="0" w:color="auto"/>
              <w:right w:val="single" w:sz="4" w:space="0" w:color="auto"/>
            </w:tcBorders>
          </w:tcPr>
          <w:p w14:paraId="59CE1640" w14:textId="77777777" w:rsidR="00B51828" w:rsidRPr="001447A0" w:rsidRDefault="00B51828" w:rsidP="002101D2">
            <w:pPr>
              <w:pStyle w:val="Tabletextboldleft"/>
              <w:rPr>
                <w:rFonts w:eastAsia="SimSun"/>
                <w:b w:val="0"/>
                <w:lang w:eastAsia="zh-CN"/>
              </w:rPr>
            </w:pPr>
          </w:p>
          <w:p w14:paraId="52386A11" w14:textId="77777777" w:rsidR="00B51828" w:rsidRPr="001447A0" w:rsidRDefault="00B51828" w:rsidP="002101D2">
            <w:pPr>
              <w:pStyle w:val="Tabletextboldleft"/>
              <w:rPr>
                <w:rFonts w:eastAsia="SimSun"/>
                <w:b w:val="0"/>
                <w:lang w:eastAsia="zh-CN"/>
              </w:rPr>
            </w:pPr>
            <w:r w:rsidRPr="001447A0">
              <w:rPr>
                <w:rFonts w:eastAsia="SimSun"/>
                <w:b w:val="0"/>
                <w:lang w:eastAsia="zh-CN"/>
              </w:rPr>
              <w:t xml:space="preserve">Bone marrow - examination of aspirated material (including clot sections where necessary), including (if performed): </w:t>
            </w:r>
          </w:p>
          <w:p w14:paraId="5949FFB1" w14:textId="77777777" w:rsidR="00B51828" w:rsidRPr="001447A0" w:rsidRDefault="00B51828" w:rsidP="002101D2">
            <w:pPr>
              <w:pStyle w:val="Tabletextboldleft"/>
              <w:rPr>
                <w:rFonts w:eastAsia="SimSun"/>
                <w:b w:val="0"/>
                <w:lang w:eastAsia="zh-CN"/>
              </w:rPr>
            </w:pPr>
            <w:r w:rsidRPr="001447A0">
              <w:rPr>
                <w:rFonts w:eastAsia="SimSun"/>
                <w:b w:val="0"/>
                <w:lang w:eastAsia="zh-CN"/>
              </w:rPr>
              <w:t xml:space="preserve">any test described in item 65060, 65066 or 65070 </w:t>
            </w:r>
            <w:r w:rsidRPr="001447A0">
              <w:rPr>
                <w:rFonts w:eastAsia="SimSun"/>
                <w:b w:val="0"/>
                <w:lang w:eastAsia="zh-CN"/>
              </w:rPr>
              <w:cr/>
            </w:r>
          </w:p>
          <w:p w14:paraId="06E30A43" w14:textId="77777777" w:rsidR="00B51828" w:rsidRPr="001447A0" w:rsidRDefault="00B51828" w:rsidP="002101D2">
            <w:pPr>
              <w:pStyle w:val="Tabletextboldleft"/>
              <w:rPr>
                <w:rFonts w:ascii="Tahoma" w:hAnsi="Tahoma" w:cs="Tahoma"/>
                <w:lang w:eastAsia="en-AU"/>
              </w:rPr>
            </w:pPr>
            <w:r w:rsidRPr="001447A0">
              <w:rPr>
                <w:rFonts w:eastAsia="SimSun"/>
                <w:lang w:eastAsia="zh-CN"/>
              </w:rPr>
              <w:t>Fee</w:t>
            </w:r>
            <w:r w:rsidRPr="001447A0">
              <w:rPr>
                <w:rFonts w:eastAsia="SimSun"/>
                <w:b w:val="0"/>
                <w:lang w:eastAsia="zh-CN"/>
              </w:rPr>
              <w:t>: $83.10</w:t>
            </w:r>
            <w:r w:rsidRPr="001447A0">
              <w:rPr>
                <w:rFonts w:eastAsia="SimSun"/>
                <w:b w:val="0"/>
                <w:lang w:eastAsia="zh-CN"/>
              </w:rPr>
              <w:tab/>
            </w:r>
            <w:r w:rsidRPr="001447A0">
              <w:rPr>
                <w:rFonts w:eastAsia="SimSun"/>
                <w:lang w:eastAsia="zh-CN"/>
              </w:rPr>
              <w:t>Benefit</w:t>
            </w:r>
            <w:r w:rsidRPr="001447A0">
              <w:rPr>
                <w:rFonts w:eastAsia="SimSun"/>
                <w:b w:val="0"/>
                <w:lang w:eastAsia="zh-CN"/>
              </w:rPr>
              <w:t>: 75% = $62.35</w:t>
            </w:r>
            <w:r w:rsidRPr="001447A0">
              <w:rPr>
                <w:rFonts w:eastAsia="SimSun"/>
                <w:b w:val="0"/>
                <w:lang w:eastAsia="zh-CN"/>
              </w:rPr>
              <w:tab/>
              <w:t>85% = $70.65</w:t>
            </w:r>
          </w:p>
        </w:tc>
      </w:tr>
    </w:tbl>
    <w:p w14:paraId="4F60E3C0" w14:textId="77777777" w:rsidR="00B51828" w:rsidRDefault="00B51828" w:rsidP="002101D2">
      <w:pPr>
        <w:spacing w:after="360"/>
        <w:ind w:left="0"/>
        <w:rPr>
          <w:rFonts w:ascii="Arial Narrow" w:hAnsi="Arial Narrow"/>
          <w:sz w:val="16"/>
          <w:szCs w:val="16"/>
        </w:rPr>
      </w:pPr>
      <w:r>
        <w:rPr>
          <w:rFonts w:ascii="Arial Narrow" w:hAnsi="Arial Narrow"/>
          <w:sz w:val="16"/>
          <w:szCs w:val="16"/>
        </w:rPr>
        <w:t>Source: MBS Online, accessed 10 June 2014</w:t>
      </w:r>
    </w:p>
    <w:tbl>
      <w:tblPr>
        <w:tblW w:w="9155" w:type="dxa"/>
        <w:tblLayout w:type="fixed"/>
        <w:tblCellMar>
          <w:left w:w="60" w:type="dxa"/>
          <w:right w:w="60" w:type="dxa"/>
        </w:tblCellMar>
        <w:tblLook w:val="04A0" w:firstRow="1" w:lastRow="0" w:firstColumn="1" w:lastColumn="0" w:noHBand="0" w:noVBand="1"/>
        <w:tblCaption w:val="Group P5 - Tissue Pathology"/>
        <w:tblDescription w:val="The item descriptors and fees associated with tissue pathology items in Group P5 of the MBS."/>
      </w:tblPr>
      <w:tblGrid>
        <w:gridCol w:w="760"/>
        <w:gridCol w:w="8395"/>
      </w:tblGrid>
      <w:tr w:rsidR="00B51828" w:rsidRPr="001A4190" w14:paraId="183F2173" w14:textId="77777777" w:rsidTr="002101D2">
        <w:trPr>
          <w:tblHeader/>
        </w:trPr>
        <w:tc>
          <w:tcPr>
            <w:tcW w:w="760" w:type="dxa"/>
            <w:tcBorders>
              <w:top w:val="single" w:sz="4" w:space="0" w:color="auto"/>
              <w:left w:val="single" w:sz="4" w:space="0" w:color="auto"/>
              <w:bottom w:val="single" w:sz="4" w:space="0" w:color="auto"/>
              <w:right w:val="single" w:sz="4" w:space="0" w:color="auto"/>
            </w:tcBorders>
          </w:tcPr>
          <w:p w14:paraId="530E2E91" w14:textId="77777777" w:rsidR="00B51828" w:rsidRPr="001A4190" w:rsidRDefault="00B51828" w:rsidP="002101D2">
            <w:pPr>
              <w:widowControl w:val="0"/>
              <w:spacing w:after="0"/>
              <w:ind w:left="0"/>
              <w:jc w:val="center"/>
              <w:rPr>
                <w:rFonts w:ascii="Tahoma" w:eastAsia="Times New Roman" w:hAnsi="Tahoma" w:cs="Tahoma"/>
                <w:b/>
                <w:sz w:val="20"/>
                <w:szCs w:val="20"/>
                <w:lang w:eastAsia="en-AU"/>
              </w:rPr>
            </w:pPr>
          </w:p>
        </w:tc>
        <w:tc>
          <w:tcPr>
            <w:tcW w:w="8395" w:type="dxa"/>
            <w:tcBorders>
              <w:top w:val="single" w:sz="4" w:space="0" w:color="auto"/>
              <w:left w:val="single" w:sz="4" w:space="0" w:color="auto"/>
              <w:bottom w:val="single" w:sz="4" w:space="0" w:color="auto"/>
              <w:right w:val="single" w:sz="4" w:space="0" w:color="auto"/>
            </w:tcBorders>
          </w:tcPr>
          <w:p w14:paraId="621D4724" w14:textId="77777777" w:rsidR="00B51828" w:rsidRPr="001A4190" w:rsidRDefault="00B51828" w:rsidP="002101D2">
            <w:pPr>
              <w:pStyle w:val="Tabletextboldleft"/>
              <w:keepNext w:val="0"/>
              <w:widowControl w:val="0"/>
              <w:rPr>
                <w:rFonts w:ascii="Tahoma" w:hAnsi="Tahoma" w:cs="Tahoma"/>
                <w:lang w:eastAsia="en-AU"/>
              </w:rPr>
            </w:pPr>
            <w:r w:rsidRPr="001A4190">
              <w:rPr>
                <w:bCs/>
                <w:smallCaps/>
                <w:kern w:val="32"/>
                <w:lang w:eastAsia="en-AU"/>
              </w:rPr>
              <w:t>GROUP P5 – TISSUE PATHOLOGY</w:t>
            </w:r>
          </w:p>
        </w:tc>
      </w:tr>
      <w:tr w:rsidR="00B51828" w:rsidRPr="001A4190" w14:paraId="74E59C89" w14:textId="77777777" w:rsidTr="002101D2">
        <w:tc>
          <w:tcPr>
            <w:tcW w:w="760" w:type="dxa"/>
            <w:tcBorders>
              <w:top w:val="single" w:sz="4" w:space="0" w:color="auto"/>
              <w:left w:val="single" w:sz="4" w:space="0" w:color="auto"/>
              <w:bottom w:val="single" w:sz="4" w:space="0" w:color="auto"/>
              <w:right w:val="single" w:sz="4" w:space="0" w:color="auto"/>
            </w:tcBorders>
          </w:tcPr>
          <w:p w14:paraId="48F2E56F"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72813</w:t>
            </w:r>
          </w:p>
        </w:tc>
        <w:tc>
          <w:tcPr>
            <w:tcW w:w="8395" w:type="dxa"/>
            <w:tcBorders>
              <w:top w:val="single" w:sz="4" w:space="0" w:color="auto"/>
              <w:left w:val="single" w:sz="4" w:space="0" w:color="auto"/>
              <w:bottom w:val="single" w:sz="4" w:space="0" w:color="auto"/>
              <w:right w:val="single" w:sz="4" w:space="0" w:color="auto"/>
            </w:tcBorders>
          </w:tcPr>
          <w:p w14:paraId="2958B70E" w14:textId="77777777" w:rsidR="00B51828" w:rsidRPr="001A4190" w:rsidRDefault="00B51828" w:rsidP="002101D2">
            <w:pPr>
              <w:pStyle w:val="Tabletextboldleft"/>
              <w:keepNext w:val="0"/>
              <w:widowControl w:val="0"/>
              <w:rPr>
                <w:rFonts w:eastAsia="SimSun"/>
                <w:b w:val="0"/>
                <w:lang w:eastAsia="zh-CN"/>
              </w:rPr>
            </w:pPr>
          </w:p>
          <w:p w14:paraId="4B7364DC"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2 biopsy material with 1 or more tissue blocks, including specimen dissection, all tissue processing, staining, light microscopy and professional opinion or opinions - 1 or more separately identified specimens</w:t>
            </w:r>
          </w:p>
          <w:p w14:paraId="24F11E6B" w14:textId="77777777" w:rsidR="00B51828" w:rsidRPr="001A4190" w:rsidRDefault="00B51828" w:rsidP="002101D2">
            <w:pPr>
              <w:pStyle w:val="Tabletextboldleft"/>
              <w:keepNext w:val="0"/>
              <w:widowControl w:val="0"/>
              <w:rPr>
                <w:rFonts w:eastAsia="SimSun"/>
                <w:b w:val="0"/>
                <w:lang w:eastAsia="zh-CN"/>
              </w:rPr>
            </w:pPr>
          </w:p>
          <w:p w14:paraId="5128C82F"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2494A0B2"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$71.50</w:t>
            </w:r>
            <w:r w:rsidRPr="001A4190">
              <w:rPr>
                <w:rFonts w:eastAsia="SimSun"/>
                <w:b w:val="0"/>
                <w:lang w:eastAsia="zh-CN"/>
              </w:rPr>
              <w:tab/>
            </w:r>
            <w:r w:rsidRPr="001A4190">
              <w:rPr>
                <w:rFonts w:eastAsia="SimSun"/>
                <w:lang w:eastAsia="zh-CN"/>
              </w:rPr>
              <w:t>Benefit</w:t>
            </w:r>
            <w:r w:rsidRPr="001A4190">
              <w:rPr>
                <w:rFonts w:eastAsia="SimSun"/>
                <w:b w:val="0"/>
                <w:lang w:eastAsia="zh-CN"/>
              </w:rPr>
              <w:t>: 75% = $53.65</w:t>
            </w:r>
            <w:r w:rsidRPr="001A4190">
              <w:rPr>
                <w:rFonts w:eastAsia="SimSun"/>
                <w:b w:val="0"/>
                <w:lang w:eastAsia="zh-CN"/>
              </w:rPr>
              <w:tab/>
              <w:t>85% = $60.80</w:t>
            </w:r>
          </w:p>
        </w:tc>
      </w:tr>
      <w:tr w:rsidR="00B51828" w:rsidRPr="001A4190" w14:paraId="01EA1120" w14:textId="77777777" w:rsidTr="002101D2">
        <w:tc>
          <w:tcPr>
            <w:tcW w:w="760" w:type="dxa"/>
            <w:tcBorders>
              <w:top w:val="single" w:sz="4" w:space="0" w:color="auto"/>
              <w:left w:val="single" w:sz="4" w:space="0" w:color="auto"/>
              <w:bottom w:val="single" w:sz="4" w:space="0" w:color="auto"/>
              <w:right w:val="single" w:sz="4" w:space="0" w:color="auto"/>
            </w:tcBorders>
          </w:tcPr>
          <w:p w14:paraId="27B325BD"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72816</w:t>
            </w:r>
          </w:p>
        </w:tc>
        <w:tc>
          <w:tcPr>
            <w:tcW w:w="8395" w:type="dxa"/>
            <w:tcBorders>
              <w:top w:val="single" w:sz="4" w:space="0" w:color="auto"/>
              <w:left w:val="single" w:sz="4" w:space="0" w:color="auto"/>
              <w:bottom w:val="single" w:sz="4" w:space="0" w:color="auto"/>
              <w:right w:val="single" w:sz="4" w:space="0" w:color="auto"/>
            </w:tcBorders>
          </w:tcPr>
          <w:p w14:paraId="1EBB81C7" w14:textId="77777777" w:rsidR="00B51828" w:rsidRPr="001A4190" w:rsidRDefault="00B51828" w:rsidP="002101D2">
            <w:pPr>
              <w:pStyle w:val="Tabletextboldleft"/>
              <w:keepNext w:val="0"/>
              <w:widowControl w:val="0"/>
              <w:rPr>
                <w:rFonts w:eastAsia="SimSun"/>
                <w:b w:val="0"/>
                <w:lang w:eastAsia="zh-CN"/>
              </w:rPr>
            </w:pPr>
          </w:p>
          <w:p w14:paraId="1A6E7906"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3 biopsy material with 1 or more tissue blocks, including specimen dissection, all tissue processing, staining, light microscopy and professional opinion or opinions - 1 separately identified specimen</w:t>
            </w:r>
          </w:p>
          <w:p w14:paraId="1B25AAD5" w14:textId="77777777" w:rsidR="00B51828" w:rsidRPr="001A4190" w:rsidRDefault="00B51828" w:rsidP="002101D2">
            <w:pPr>
              <w:pStyle w:val="Tabletextboldleft"/>
              <w:keepNext w:val="0"/>
              <w:widowControl w:val="0"/>
              <w:rPr>
                <w:rFonts w:eastAsia="SimSun"/>
                <w:b w:val="0"/>
                <w:lang w:eastAsia="zh-CN"/>
              </w:rPr>
            </w:pPr>
          </w:p>
          <w:p w14:paraId="0F176414"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0F671DAC"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$86.35</w:t>
            </w:r>
            <w:r w:rsidRPr="001A4190">
              <w:rPr>
                <w:rFonts w:eastAsia="SimSun"/>
                <w:b w:val="0"/>
                <w:lang w:eastAsia="zh-CN"/>
              </w:rPr>
              <w:tab/>
            </w:r>
            <w:r w:rsidRPr="001A4190">
              <w:rPr>
                <w:rFonts w:eastAsia="SimSun"/>
                <w:lang w:eastAsia="zh-CN"/>
              </w:rPr>
              <w:t>Benefit</w:t>
            </w:r>
            <w:r w:rsidRPr="001A4190">
              <w:rPr>
                <w:rFonts w:eastAsia="SimSun"/>
                <w:b w:val="0"/>
                <w:lang w:eastAsia="zh-CN"/>
              </w:rPr>
              <w:t>: 75% = $64.80</w:t>
            </w:r>
            <w:r w:rsidRPr="001A4190">
              <w:rPr>
                <w:rFonts w:eastAsia="SimSun"/>
                <w:b w:val="0"/>
                <w:lang w:eastAsia="zh-CN"/>
              </w:rPr>
              <w:tab/>
              <w:t>85% = $73.40</w:t>
            </w:r>
          </w:p>
        </w:tc>
      </w:tr>
      <w:tr w:rsidR="00B51828" w:rsidRPr="001A4190" w14:paraId="2475F8A7" w14:textId="77777777" w:rsidTr="002101D2">
        <w:tc>
          <w:tcPr>
            <w:tcW w:w="760" w:type="dxa"/>
            <w:tcBorders>
              <w:top w:val="single" w:sz="4" w:space="0" w:color="auto"/>
              <w:left w:val="single" w:sz="4" w:space="0" w:color="auto"/>
              <w:bottom w:val="single" w:sz="4" w:space="0" w:color="auto"/>
              <w:right w:val="single" w:sz="4" w:space="0" w:color="auto"/>
            </w:tcBorders>
          </w:tcPr>
          <w:p w14:paraId="0B9FB09A"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72817</w:t>
            </w:r>
          </w:p>
        </w:tc>
        <w:tc>
          <w:tcPr>
            <w:tcW w:w="8395" w:type="dxa"/>
            <w:tcBorders>
              <w:top w:val="single" w:sz="4" w:space="0" w:color="auto"/>
              <w:left w:val="single" w:sz="4" w:space="0" w:color="auto"/>
              <w:bottom w:val="single" w:sz="4" w:space="0" w:color="auto"/>
              <w:right w:val="single" w:sz="4" w:space="0" w:color="auto"/>
            </w:tcBorders>
          </w:tcPr>
          <w:p w14:paraId="0846AB5D" w14:textId="77777777" w:rsidR="00B51828" w:rsidRPr="001A4190" w:rsidRDefault="00B51828" w:rsidP="002101D2">
            <w:pPr>
              <w:pStyle w:val="Tabletextboldleft"/>
              <w:keepNext w:val="0"/>
              <w:widowControl w:val="0"/>
              <w:rPr>
                <w:rFonts w:eastAsia="SimSun"/>
                <w:b w:val="0"/>
                <w:lang w:eastAsia="zh-CN"/>
              </w:rPr>
            </w:pPr>
          </w:p>
          <w:p w14:paraId="1A28C7B9"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3 biopsy material with 1 or more tissue blocks, including specimen dissection, all tissue processing, staining, light microscopy and professional opinion or opinions - 2 to 4 separately identified specimens</w:t>
            </w:r>
          </w:p>
          <w:p w14:paraId="2982D097" w14:textId="77777777" w:rsidR="00B51828" w:rsidRPr="001A4190" w:rsidRDefault="00B51828" w:rsidP="002101D2">
            <w:pPr>
              <w:pStyle w:val="Tabletextboldleft"/>
              <w:keepNext w:val="0"/>
              <w:widowControl w:val="0"/>
              <w:rPr>
                <w:rFonts w:eastAsia="SimSun"/>
                <w:b w:val="0"/>
                <w:lang w:eastAsia="zh-CN"/>
              </w:rPr>
            </w:pPr>
          </w:p>
          <w:p w14:paraId="1A88EF46"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12500FAC"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$96.80</w:t>
            </w:r>
            <w:r w:rsidRPr="001A4190">
              <w:rPr>
                <w:rFonts w:eastAsia="SimSun"/>
                <w:b w:val="0"/>
                <w:lang w:eastAsia="zh-CN"/>
              </w:rPr>
              <w:tab/>
            </w:r>
            <w:r w:rsidRPr="001A4190">
              <w:rPr>
                <w:rFonts w:eastAsia="SimSun"/>
                <w:lang w:eastAsia="zh-CN"/>
              </w:rPr>
              <w:t>Benefit</w:t>
            </w:r>
            <w:r w:rsidRPr="001A4190">
              <w:rPr>
                <w:rFonts w:eastAsia="SimSun"/>
                <w:b w:val="0"/>
                <w:lang w:eastAsia="zh-CN"/>
              </w:rPr>
              <w:t>: 75% = $72.60</w:t>
            </w:r>
            <w:r w:rsidRPr="001A4190">
              <w:rPr>
                <w:rFonts w:eastAsia="SimSun"/>
                <w:b w:val="0"/>
                <w:lang w:eastAsia="zh-CN"/>
              </w:rPr>
              <w:tab/>
              <w:t>85% = $82.30</w:t>
            </w:r>
          </w:p>
        </w:tc>
      </w:tr>
      <w:tr w:rsidR="00B51828" w:rsidRPr="001A4190" w14:paraId="5A49E797" w14:textId="77777777" w:rsidTr="002101D2">
        <w:tc>
          <w:tcPr>
            <w:tcW w:w="760" w:type="dxa"/>
            <w:tcBorders>
              <w:top w:val="single" w:sz="4" w:space="0" w:color="auto"/>
              <w:left w:val="single" w:sz="4" w:space="0" w:color="auto"/>
              <w:bottom w:val="single" w:sz="4" w:space="0" w:color="auto"/>
              <w:right w:val="single" w:sz="4" w:space="0" w:color="auto"/>
            </w:tcBorders>
          </w:tcPr>
          <w:p w14:paraId="5CD0D6DD" w14:textId="77777777" w:rsidR="00B51828" w:rsidRPr="001A4190" w:rsidRDefault="00B51828" w:rsidP="002101D2">
            <w:pPr>
              <w:pStyle w:val="Tabletextboldleft"/>
              <w:widowControl w:val="0"/>
              <w:rPr>
                <w:rFonts w:eastAsia="SimSun"/>
                <w:b w:val="0"/>
                <w:lang w:eastAsia="zh-CN"/>
              </w:rPr>
            </w:pPr>
            <w:r w:rsidRPr="001A4190">
              <w:rPr>
                <w:rFonts w:eastAsia="SimSun"/>
                <w:b w:val="0"/>
                <w:lang w:eastAsia="zh-CN"/>
              </w:rPr>
              <w:t>72818</w:t>
            </w:r>
          </w:p>
        </w:tc>
        <w:tc>
          <w:tcPr>
            <w:tcW w:w="8395" w:type="dxa"/>
            <w:tcBorders>
              <w:top w:val="single" w:sz="4" w:space="0" w:color="auto"/>
              <w:left w:val="single" w:sz="4" w:space="0" w:color="auto"/>
              <w:bottom w:val="single" w:sz="4" w:space="0" w:color="auto"/>
              <w:right w:val="single" w:sz="4" w:space="0" w:color="auto"/>
            </w:tcBorders>
          </w:tcPr>
          <w:p w14:paraId="52CFBEF7" w14:textId="77777777" w:rsidR="00B51828" w:rsidRPr="001A4190" w:rsidRDefault="00B51828" w:rsidP="002101D2">
            <w:pPr>
              <w:pStyle w:val="Tabletextboldleft"/>
              <w:widowControl w:val="0"/>
              <w:rPr>
                <w:rFonts w:eastAsia="SimSun"/>
                <w:b w:val="0"/>
                <w:lang w:eastAsia="zh-CN"/>
              </w:rPr>
            </w:pPr>
          </w:p>
          <w:p w14:paraId="06DDEC0A" w14:textId="77777777" w:rsidR="00B51828" w:rsidRPr="001A4190" w:rsidRDefault="00B51828" w:rsidP="002101D2">
            <w:pPr>
              <w:pStyle w:val="Tabletextboldleft"/>
              <w:widowControl w:val="0"/>
              <w:rPr>
                <w:rFonts w:eastAsia="SimSun"/>
                <w:b w:val="0"/>
                <w:lang w:eastAsia="zh-CN"/>
              </w:rPr>
            </w:pPr>
            <w:r w:rsidRPr="001A4190">
              <w:rPr>
                <w:rFonts w:eastAsia="SimSun"/>
                <w:b w:val="0"/>
                <w:lang w:eastAsia="zh-CN"/>
              </w:rPr>
              <w:t>Examination of complexity level 3 biopsy material with 1 or more tissue blocks, including specimen dissection, all tissue processing, staining, light microscopy and professional opinion or opinions - 5 or more separately identified specimens</w:t>
            </w:r>
          </w:p>
          <w:p w14:paraId="0AB4FB1A" w14:textId="77777777" w:rsidR="00B51828" w:rsidRPr="001A4190" w:rsidRDefault="00B51828" w:rsidP="002101D2">
            <w:pPr>
              <w:pStyle w:val="Tabletextboldleft"/>
              <w:widowControl w:val="0"/>
              <w:rPr>
                <w:rFonts w:eastAsia="SimSun"/>
                <w:b w:val="0"/>
                <w:lang w:eastAsia="zh-CN"/>
              </w:rPr>
            </w:pPr>
          </w:p>
          <w:p w14:paraId="5C11C226" w14:textId="77777777" w:rsidR="00B51828" w:rsidRPr="001A4190" w:rsidRDefault="00B51828" w:rsidP="002101D2">
            <w:pPr>
              <w:pStyle w:val="Tabletextboldleft"/>
              <w:widowControl w:val="0"/>
              <w:rPr>
                <w:rFonts w:eastAsia="SimSun"/>
                <w:b w:val="0"/>
                <w:lang w:eastAsia="zh-CN"/>
              </w:rPr>
            </w:pPr>
            <w:r w:rsidRPr="001A4190">
              <w:rPr>
                <w:rFonts w:eastAsia="SimSun"/>
                <w:b w:val="0"/>
                <w:lang w:eastAsia="zh-CN"/>
              </w:rPr>
              <w:t>(Item is subject to rule 13)</w:t>
            </w:r>
          </w:p>
          <w:p w14:paraId="3052245E" w14:textId="77777777" w:rsidR="00B51828" w:rsidRPr="001A4190" w:rsidRDefault="00B51828" w:rsidP="002101D2">
            <w:pPr>
              <w:pStyle w:val="Tabletextboldleft"/>
              <w:widowControl w:val="0"/>
              <w:rPr>
                <w:rFonts w:eastAsia="SimSun"/>
                <w:b w:val="0"/>
                <w:lang w:eastAsia="zh-CN"/>
              </w:rPr>
            </w:pPr>
            <w:r w:rsidRPr="001A4190">
              <w:rPr>
                <w:rFonts w:eastAsia="SimSun"/>
                <w:lang w:eastAsia="zh-CN"/>
              </w:rPr>
              <w:t>Fee</w:t>
            </w:r>
            <w:r w:rsidRPr="001A4190">
              <w:rPr>
                <w:rFonts w:eastAsia="SimSun"/>
                <w:b w:val="0"/>
                <w:lang w:eastAsia="zh-CN"/>
              </w:rPr>
              <w:t>: $107.05</w:t>
            </w:r>
            <w:r w:rsidRPr="001A4190">
              <w:rPr>
                <w:rFonts w:eastAsia="SimSun"/>
                <w:b w:val="0"/>
                <w:lang w:eastAsia="zh-CN"/>
              </w:rPr>
              <w:tab/>
            </w:r>
            <w:r w:rsidRPr="001A4190">
              <w:rPr>
                <w:rFonts w:eastAsia="SimSun"/>
                <w:lang w:eastAsia="zh-CN"/>
              </w:rPr>
              <w:t>Benefit</w:t>
            </w:r>
            <w:r w:rsidRPr="001A4190">
              <w:rPr>
                <w:rFonts w:eastAsia="SimSun"/>
                <w:b w:val="0"/>
                <w:lang w:eastAsia="zh-CN"/>
              </w:rPr>
              <w:t>: 75% = $80.30</w:t>
            </w:r>
            <w:r w:rsidRPr="001A4190">
              <w:rPr>
                <w:rFonts w:eastAsia="SimSun"/>
                <w:b w:val="0"/>
                <w:lang w:eastAsia="zh-CN"/>
              </w:rPr>
              <w:tab/>
              <w:t>85% = $91.00</w:t>
            </w:r>
          </w:p>
        </w:tc>
      </w:tr>
      <w:tr w:rsidR="00B51828" w:rsidRPr="001A4190" w14:paraId="7C88924D" w14:textId="77777777" w:rsidTr="002101D2">
        <w:tc>
          <w:tcPr>
            <w:tcW w:w="760" w:type="dxa"/>
            <w:tcBorders>
              <w:top w:val="single" w:sz="4" w:space="0" w:color="auto"/>
              <w:left w:val="single" w:sz="4" w:space="0" w:color="auto"/>
              <w:bottom w:val="single" w:sz="4" w:space="0" w:color="auto"/>
              <w:right w:val="single" w:sz="4" w:space="0" w:color="auto"/>
            </w:tcBorders>
          </w:tcPr>
          <w:p w14:paraId="60466398"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72823</w:t>
            </w:r>
          </w:p>
        </w:tc>
        <w:tc>
          <w:tcPr>
            <w:tcW w:w="8395" w:type="dxa"/>
            <w:tcBorders>
              <w:top w:val="single" w:sz="4" w:space="0" w:color="auto"/>
              <w:left w:val="single" w:sz="4" w:space="0" w:color="auto"/>
              <w:bottom w:val="single" w:sz="4" w:space="0" w:color="auto"/>
              <w:right w:val="single" w:sz="4" w:space="0" w:color="auto"/>
            </w:tcBorders>
          </w:tcPr>
          <w:p w14:paraId="0767B2F6" w14:textId="77777777" w:rsidR="00B51828" w:rsidRPr="001A4190" w:rsidRDefault="00B51828" w:rsidP="002101D2">
            <w:pPr>
              <w:pStyle w:val="Tabletextboldleft"/>
              <w:keepNext w:val="0"/>
              <w:widowControl w:val="0"/>
              <w:rPr>
                <w:rFonts w:eastAsia="SimSun"/>
                <w:b w:val="0"/>
                <w:lang w:eastAsia="zh-CN"/>
              </w:rPr>
            </w:pPr>
          </w:p>
          <w:p w14:paraId="30493AB2"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4 biopsy material with 1 or more tissue blocks, including specimen dissection, all tissue processing, staining, light microscopy and professional opinion or opinions - 1 separately identified specimen</w:t>
            </w:r>
          </w:p>
          <w:p w14:paraId="045D8267" w14:textId="77777777" w:rsidR="00B51828" w:rsidRPr="001A4190" w:rsidRDefault="00B51828" w:rsidP="002101D2">
            <w:pPr>
              <w:pStyle w:val="Tabletextboldleft"/>
              <w:keepNext w:val="0"/>
              <w:widowControl w:val="0"/>
              <w:rPr>
                <w:rFonts w:eastAsia="SimSun"/>
                <w:b w:val="0"/>
                <w:lang w:eastAsia="zh-CN"/>
              </w:rPr>
            </w:pPr>
          </w:p>
          <w:p w14:paraId="126064B0"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1703816B"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$97.15</w:t>
            </w:r>
            <w:r w:rsidRPr="001A4190">
              <w:rPr>
                <w:rFonts w:eastAsia="SimSun"/>
                <w:b w:val="0"/>
                <w:lang w:eastAsia="zh-CN"/>
              </w:rPr>
              <w:tab/>
            </w:r>
            <w:r w:rsidRPr="001A4190">
              <w:rPr>
                <w:rFonts w:eastAsia="SimSun"/>
                <w:lang w:eastAsia="zh-CN"/>
              </w:rPr>
              <w:t>Benefit</w:t>
            </w:r>
            <w:r w:rsidRPr="001A4190">
              <w:rPr>
                <w:rFonts w:eastAsia="SimSun"/>
                <w:b w:val="0"/>
                <w:lang w:eastAsia="zh-CN"/>
              </w:rPr>
              <w:t>: 75% = $72.90</w:t>
            </w:r>
            <w:r w:rsidRPr="001A4190">
              <w:rPr>
                <w:rFonts w:eastAsia="SimSun"/>
                <w:b w:val="0"/>
                <w:lang w:eastAsia="zh-CN"/>
              </w:rPr>
              <w:tab/>
              <w:t>85% = $82.60</w:t>
            </w:r>
          </w:p>
        </w:tc>
      </w:tr>
      <w:tr w:rsidR="00B51828" w:rsidRPr="001A4190" w14:paraId="1635D0F1" w14:textId="77777777" w:rsidTr="002101D2">
        <w:tc>
          <w:tcPr>
            <w:tcW w:w="760" w:type="dxa"/>
            <w:tcBorders>
              <w:top w:val="single" w:sz="4" w:space="0" w:color="auto"/>
              <w:left w:val="single" w:sz="4" w:space="0" w:color="auto"/>
              <w:bottom w:val="single" w:sz="4" w:space="0" w:color="auto"/>
              <w:right w:val="single" w:sz="4" w:space="0" w:color="auto"/>
            </w:tcBorders>
          </w:tcPr>
          <w:p w14:paraId="1E61892A"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lastRenderedPageBreak/>
              <w:t>72824</w:t>
            </w:r>
          </w:p>
        </w:tc>
        <w:tc>
          <w:tcPr>
            <w:tcW w:w="8395" w:type="dxa"/>
            <w:tcBorders>
              <w:top w:val="single" w:sz="4" w:space="0" w:color="auto"/>
              <w:left w:val="single" w:sz="4" w:space="0" w:color="auto"/>
              <w:bottom w:val="single" w:sz="4" w:space="0" w:color="auto"/>
              <w:right w:val="single" w:sz="4" w:space="0" w:color="auto"/>
            </w:tcBorders>
          </w:tcPr>
          <w:p w14:paraId="1ED7C708" w14:textId="77777777" w:rsidR="00B51828" w:rsidRPr="001A4190" w:rsidRDefault="00B51828" w:rsidP="002101D2">
            <w:pPr>
              <w:pStyle w:val="Tabletextboldleft"/>
              <w:keepNext w:val="0"/>
              <w:widowControl w:val="0"/>
              <w:rPr>
                <w:rFonts w:eastAsia="SimSun"/>
                <w:b w:val="0"/>
                <w:lang w:eastAsia="zh-CN"/>
              </w:rPr>
            </w:pPr>
          </w:p>
          <w:p w14:paraId="56FB4F47"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4 biopsy material with 1 or more tissue blocks, including specimen dissection, all tissue processing, staining, light microscopy and professional opinion or opinions - 2 to 4 separately identified specimens</w:t>
            </w:r>
          </w:p>
          <w:p w14:paraId="021D3AAD" w14:textId="77777777" w:rsidR="00B51828" w:rsidRPr="001A4190" w:rsidRDefault="00B51828" w:rsidP="002101D2">
            <w:pPr>
              <w:pStyle w:val="Tabletextboldleft"/>
              <w:keepNext w:val="0"/>
              <w:widowControl w:val="0"/>
              <w:rPr>
                <w:rFonts w:eastAsia="SimSun"/>
                <w:b w:val="0"/>
                <w:lang w:eastAsia="zh-CN"/>
              </w:rPr>
            </w:pPr>
          </w:p>
          <w:p w14:paraId="3660B732"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3760C36C"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$141.35</w:t>
            </w:r>
            <w:r w:rsidRPr="001A4190">
              <w:rPr>
                <w:rFonts w:eastAsia="SimSun"/>
                <w:b w:val="0"/>
                <w:lang w:eastAsia="zh-CN"/>
              </w:rPr>
              <w:tab/>
            </w:r>
            <w:r w:rsidRPr="001A4190">
              <w:rPr>
                <w:rFonts w:eastAsia="SimSun"/>
                <w:lang w:eastAsia="zh-CN"/>
              </w:rPr>
              <w:t>Benefit</w:t>
            </w:r>
            <w:r w:rsidRPr="001A4190">
              <w:rPr>
                <w:rFonts w:eastAsia="SimSun"/>
                <w:b w:val="0"/>
                <w:lang w:eastAsia="zh-CN"/>
              </w:rPr>
              <w:t>: 75% = $106.05</w:t>
            </w:r>
            <w:r w:rsidRPr="001A4190">
              <w:rPr>
                <w:rFonts w:eastAsia="SimSun"/>
                <w:b w:val="0"/>
                <w:lang w:eastAsia="zh-CN"/>
              </w:rPr>
              <w:tab/>
              <w:t>85% = $120.15</w:t>
            </w:r>
          </w:p>
        </w:tc>
      </w:tr>
      <w:tr w:rsidR="00B51828" w:rsidRPr="001A4190" w14:paraId="26A2F993" w14:textId="77777777" w:rsidTr="002101D2">
        <w:tc>
          <w:tcPr>
            <w:tcW w:w="760" w:type="dxa"/>
            <w:tcBorders>
              <w:top w:val="single" w:sz="4" w:space="0" w:color="auto"/>
              <w:left w:val="single" w:sz="4" w:space="0" w:color="auto"/>
              <w:bottom w:val="single" w:sz="4" w:space="0" w:color="auto"/>
              <w:right w:val="single" w:sz="4" w:space="0" w:color="auto"/>
            </w:tcBorders>
          </w:tcPr>
          <w:p w14:paraId="299D64B3"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72825</w:t>
            </w:r>
          </w:p>
        </w:tc>
        <w:tc>
          <w:tcPr>
            <w:tcW w:w="8395" w:type="dxa"/>
            <w:tcBorders>
              <w:top w:val="single" w:sz="4" w:space="0" w:color="auto"/>
              <w:left w:val="single" w:sz="4" w:space="0" w:color="auto"/>
              <w:bottom w:val="single" w:sz="4" w:space="0" w:color="auto"/>
              <w:right w:val="single" w:sz="4" w:space="0" w:color="auto"/>
            </w:tcBorders>
          </w:tcPr>
          <w:p w14:paraId="162CF4E1" w14:textId="77777777" w:rsidR="00B51828" w:rsidRPr="001A4190" w:rsidRDefault="00B51828" w:rsidP="002101D2">
            <w:pPr>
              <w:pStyle w:val="Tabletextboldleft"/>
              <w:keepNext w:val="0"/>
              <w:widowControl w:val="0"/>
              <w:rPr>
                <w:rFonts w:eastAsia="SimSun"/>
                <w:b w:val="0"/>
                <w:lang w:eastAsia="zh-CN"/>
              </w:rPr>
            </w:pPr>
          </w:p>
          <w:p w14:paraId="55BB2B03"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4 biopsy material with 1 or more tissue blocks, including specimen dissection, all tissue processing, staining, light microscopy and professional opinion or opinions - 5 to 7 separately identified specimens</w:t>
            </w:r>
          </w:p>
          <w:p w14:paraId="086DF2AD" w14:textId="77777777" w:rsidR="00B51828" w:rsidRPr="001A4190" w:rsidRDefault="00B51828" w:rsidP="002101D2">
            <w:pPr>
              <w:pStyle w:val="Tabletextboldleft"/>
              <w:keepNext w:val="0"/>
              <w:widowControl w:val="0"/>
              <w:rPr>
                <w:rFonts w:eastAsia="SimSun"/>
                <w:b w:val="0"/>
                <w:lang w:eastAsia="zh-CN"/>
              </w:rPr>
            </w:pPr>
          </w:p>
          <w:p w14:paraId="7D038F7D"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0CA4BAE7"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$180.25</w:t>
            </w:r>
            <w:r w:rsidRPr="001A4190">
              <w:rPr>
                <w:rFonts w:eastAsia="SimSun"/>
                <w:b w:val="0"/>
                <w:lang w:eastAsia="zh-CN"/>
              </w:rPr>
              <w:tab/>
            </w:r>
            <w:r w:rsidRPr="001A4190">
              <w:rPr>
                <w:rFonts w:eastAsia="SimSun"/>
                <w:lang w:eastAsia="zh-CN"/>
              </w:rPr>
              <w:t>Benefit</w:t>
            </w:r>
            <w:r w:rsidRPr="001A4190">
              <w:rPr>
                <w:rFonts w:eastAsia="SimSun"/>
                <w:b w:val="0"/>
                <w:lang w:eastAsia="zh-CN"/>
              </w:rPr>
              <w:t>: 75% = $135.20</w:t>
            </w:r>
            <w:r w:rsidRPr="001A4190">
              <w:rPr>
                <w:rFonts w:eastAsia="SimSun"/>
                <w:b w:val="0"/>
                <w:lang w:eastAsia="zh-CN"/>
              </w:rPr>
              <w:tab/>
              <w:t>85% = $153.25</w:t>
            </w:r>
          </w:p>
        </w:tc>
      </w:tr>
      <w:tr w:rsidR="00B51828" w:rsidRPr="001A4190" w14:paraId="731EB0AB" w14:textId="77777777" w:rsidTr="002101D2">
        <w:tc>
          <w:tcPr>
            <w:tcW w:w="760" w:type="dxa"/>
            <w:tcBorders>
              <w:top w:val="single" w:sz="4" w:space="0" w:color="auto"/>
              <w:left w:val="single" w:sz="4" w:space="0" w:color="auto"/>
              <w:bottom w:val="single" w:sz="4" w:space="0" w:color="auto"/>
              <w:right w:val="single" w:sz="4" w:space="0" w:color="auto"/>
            </w:tcBorders>
          </w:tcPr>
          <w:p w14:paraId="554D4515"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72826</w:t>
            </w:r>
          </w:p>
        </w:tc>
        <w:tc>
          <w:tcPr>
            <w:tcW w:w="8395" w:type="dxa"/>
            <w:tcBorders>
              <w:top w:val="single" w:sz="4" w:space="0" w:color="auto"/>
              <w:left w:val="single" w:sz="4" w:space="0" w:color="auto"/>
              <w:bottom w:val="single" w:sz="4" w:space="0" w:color="auto"/>
              <w:right w:val="single" w:sz="4" w:space="0" w:color="auto"/>
            </w:tcBorders>
          </w:tcPr>
          <w:p w14:paraId="106017D0" w14:textId="77777777" w:rsidR="00B51828" w:rsidRPr="001A4190" w:rsidRDefault="00B51828" w:rsidP="002101D2">
            <w:pPr>
              <w:pStyle w:val="Tabletextboldleft"/>
              <w:keepNext w:val="0"/>
              <w:widowControl w:val="0"/>
              <w:rPr>
                <w:rFonts w:eastAsia="SimSun"/>
                <w:b w:val="0"/>
                <w:lang w:eastAsia="zh-CN"/>
              </w:rPr>
            </w:pPr>
          </w:p>
          <w:p w14:paraId="517E5097"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4 biopsy material with 1 or more tissue blocks, including specimen dissection, all tissue processing, staining, light microscopy and professional opinion or opinions - 8 to 11 separately identified specimens</w:t>
            </w:r>
          </w:p>
          <w:p w14:paraId="75E69C60" w14:textId="77777777" w:rsidR="00B51828" w:rsidRPr="001A4190" w:rsidRDefault="00B51828" w:rsidP="002101D2">
            <w:pPr>
              <w:pStyle w:val="Tabletextboldleft"/>
              <w:keepNext w:val="0"/>
              <w:widowControl w:val="0"/>
              <w:rPr>
                <w:rFonts w:eastAsia="SimSun"/>
                <w:b w:val="0"/>
                <w:lang w:eastAsia="zh-CN"/>
              </w:rPr>
            </w:pPr>
          </w:p>
          <w:p w14:paraId="2B0A01D1"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39F47AFB"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$194.60</w:t>
            </w:r>
            <w:r w:rsidRPr="001A4190">
              <w:rPr>
                <w:rFonts w:eastAsia="SimSun"/>
                <w:b w:val="0"/>
                <w:lang w:eastAsia="zh-CN"/>
              </w:rPr>
              <w:tab/>
            </w:r>
            <w:r w:rsidRPr="001A4190">
              <w:rPr>
                <w:rFonts w:eastAsia="SimSun"/>
                <w:lang w:eastAsia="zh-CN"/>
              </w:rPr>
              <w:t>Benefit</w:t>
            </w:r>
            <w:r w:rsidRPr="001A4190">
              <w:rPr>
                <w:rFonts w:eastAsia="SimSun"/>
                <w:b w:val="0"/>
                <w:lang w:eastAsia="zh-CN"/>
              </w:rPr>
              <w:t>: 75% = $145.95</w:t>
            </w:r>
            <w:r w:rsidRPr="001A4190">
              <w:rPr>
                <w:rFonts w:eastAsia="SimSun"/>
                <w:b w:val="0"/>
                <w:lang w:eastAsia="zh-CN"/>
              </w:rPr>
              <w:tab/>
              <w:t>85% = $165.45</w:t>
            </w:r>
          </w:p>
        </w:tc>
      </w:tr>
      <w:tr w:rsidR="00B51828" w:rsidRPr="001A4190" w14:paraId="48A0172A" w14:textId="77777777" w:rsidTr="002101D2">
        <w:tc>
          <w:tcPr>
            <w:tcW w:w="760" w:type="dxa"/>
            <w:tcBorders>
              <w:top w:val="single" w:sz="4" w:space="0" w:color="auto"/>
              <w:left w:val="single" w:sz="4" w:space="0" w:color="auto"/>
              <w:bottom w:val="single" w:sz="4" w:space="0" w:color="auto"/>
              <w:right w:val="single" w:sz="4" w:space="0" w:color="auto"/>
            </w:tcBorders>
          </w:tcPr>
          <w:p w14:paraId="7B6C86E1"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72827</w:t>
            </w:r>
          </w:p>
        </w:tc>
        <w:tc>
          <w:tcPr>
            <w:tcW w:w="8395" w:type="dxa"/>
            <w:tcBorders>
              <w:top w:val="single" w:sz="4" w:space="0" w:color="auto"/>
              <w:left w:val="single" w:sz="4" w:space="0" w:color="auto"/>
              <w:bottom w:val="single" w:sz="4" w:space="0" w:color="auto"/>
              <w:right w:val="single" w:sz="4" w:space="0" w:color="auto"/>
            </w:tcBorders>
          </w:tcPr>
          <w:p w14:paraId="0D7F6233" w14:textId="77777777" w:rsidR="00B51828" w:rsidRPr="001A4190" w:rsidRDefault="00B51828" w:rsidP="002101D2">
            <w:pPr>
              <w:pStyle w:val="Tabletextboldleft"/>
              <w:keepNext w:val="0"/>
              <w:widowControl w:val="0"/>
              <w:rPr>
                <w:rFonts w:eastAsia="SimSun"/>
                <w:b w:val="0"/>
                <w:lang w:eastAsia="zh-CN"/>
              </w:rPr>
            </w:pPr>
          </w:p>
          <w:p w14:paraId="6AE6E6C3"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4 biopsy material with 1 or more tissue blocks, including specimen dissection, all tissue processing, staining, light microscopy and professional opinion or opinions – 12 to 17 separately identified specimens</w:t>
            </w:r>
          </w:p>
          <w:p w14:paraId="372FB56F" w14:textId="77777777" w:rsidR="00B51828" w:rsidRPr="001A4190" w:rsidRDefault="00B51828" w:rsidP="002101D2">
            <w:pPr>
              <w:pStyle w:val="Tabletextboldleft"/>
              <w:keepNext w:val="0"/>
              <w:widowControl w:val="0"/>
              <w:rPr>
                <w:rFonts w:eastAsia="SimSun"/>
                <w:b w:val="0"/>
                <w:lang w:eastAsia="zh-CN"/>
              </w:rPr>
            </w:pPr>
          </w:p>
          <w:p w14:paraId="3C50410F"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6DDCBF34"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$208.95</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$156.75</w:t>
            </w:r>
            <w:r w:rsidRPr="001A4190">
              <w:rPr>
                <w:rFonts w:eastAsia="SimSun"/>
                <w:b w:val="0"/>
                <w:lang w:eastAsia="zh-CN"/>
              </w:rPr>
              <w:tab/>
              <w:t>85% = $177.65</w:t>
            </w:r>
          </w:p>
        </w:tc>
      </w:tr>
      <w:tr w:rsidR="00B51828" w:rsidRPr="001A4190" w14:paraId="65CCC83F" w14:textId="77777777" w:rsidTr="002101D2">
        <w:tc>
          <w:tcPr>
            <w:tcW w:w="760" w:type="dxa"/>
            <w:tcBorders>
              <w:top w:val="single" w:sz="4" w:space="0" w:color="auto"/>
              <w:left w:val="single" w:sz="4" w:space="0" w:color="auto"/>
              <w:bottom w:val="single" w:sz="4" w:space="0" w:color="auto"/>
              <w:right w:val="single" w:sz="4" w:space="0" w:color="auto"/>
            </w:tcBorders>
          </w:tcPr>
          <w:p w14:paraId="40A5880A"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72828</w:t>
            </w:r>
          </w:p>
        </w:tc>
        <w:tc>
          <w:tcPr>
            <w:tcW w:w="8395" w:type="dxa"/>
            <w:tcBorders>
              <w:top w:val="single" w:sz="4" w:space="0" w:color="auto"/>
              <w:left w:val="single" w:sz="4" w:space="0" w:color="auto"/>
              <w:bottom w:val="single" w:sz="4" w:space="0" w:color="auto"/>
              <w:right w:val="single" w:sz="4" w:space="0" w:color="auto"/>
            </w:tcBorders>
          </w:tcPr>
          <w:p w14:paraId="2960C30C" w14:textId="77777777" w:rsidR="00B51828" w:rsidRPr="001A4190" w:rsidRDefault="00B51828" w:rsidP="002101D2">
            <w:pPr>
              <w:pStyle w:val="Tabletextboldleft"/>
              <w:keepNext w:val="0"/>
              <w:widowControl w:val="0"/>
              <w:rPr>
                <w:rFonts w:eastAsia="SimSun"/>
                <w:b w:val="0"/>
                <w:lang w:eastAsia="zh-CN"/>
              </w:rPr>
            </w:pPr>
          </w:p>
          <w:p w14:paraId="00276DEB"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4 biopsy material with 1 or more tissue blocks, including specimen dissection, all tissue processing, staining, light microscopy and professional opinion or opinions –  18 or more separately identified specimens</w:t>
            </w:r>
          </w:p>
          <w:p w14:paraId="03B07996" w14:textId="77777777" w:rsidR="00B51828" w:rsidRPr="001A4190" w:rsidRDefault="00B51828" w:rsidP="002101D2">
            <w:pPr>
              <w:pStyle w:val="Tabletextboldleft"/>
              <w:keepNext w:val="0"/>
              <w:widowControl w:val="0"/>
              <w:rPr>
                <w:rFonts w:eastAsia="SimSun"/>
                <w:b w:val="0"/>
                <w:lang w:eastAsia="zh-CN"/>
              </w:rPr>
            </w:pPr>
          </w:p>
          <w:p w14:paraId="24351F3A"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24FBAA9B"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$223.30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$167.50</w:t>
            </w:r>
            <w:r w:rsidRPr="001A4190">
              <w:rPr>
                <w:rFonts w:eastAsia="SimSun"/>
                <w:b w:val="0"/>
                <w:lang w:eastAsia="zh-CN"/>
              </w:rPr>
              <w:tab/>
              <w:t>85% = $189.85</w:t>
            </w:r>
          </w:p>
        </w:tc>
      </w:tr>
      <w:tr w:rsidR="00B51828" w:rsidRPr="001A4190" w14:paraId="153E94D1" w14:textId="77777777" w:rsidTr="002101D2">
        <w:tc>
          <w:tcPr>
            <w:tcW w:w="760" w:type="dxa"/>
            <w:tcBorders>
              <w:top w:val="single" w:sz="4" w:space="0" w:color="auto"/>
              <w:left w:val="single" w:sz="4" w:space="0" w:color="auto"/>
              <w:bottom w:val="single" w:sz="4" w:space="0" w:color="auto"/>
              <w:right w:val="single" w:sz="4" w:space="0" w:color="auto"/>
            </w:tcBorders>
          </w:tcPr>
          <w:p w14:paraId="7C2B0977"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72830</w:t>
            </w:r>
          </w:p>
        </w:tc>
        <w:tc>
          <w:tcPr>
            <w:tcW w:w="8395" w:type="dxa"/>
            <w:tcBorders>
              <w:top w:val="single" w:sz="4" w:space="0" w:color="auto"/>
              <w:left w:val="single" w:sz="4" w:space="0" w:color="auto"/>
              <w:bottom w:val="single" w:sz="4" w:space="0" w:color="auto"/>
              <w:right w:val="single" w:sz="4" w:space="0" w:color="auto"/>
            </w:tcBorders>
          </w:tcPr>
          <w:p w14:paraId="1A170408" w14:textId="77777777" w:rsidR="00B51828" w:rsidRPr="001A4190" w:rsidRDefault="00B51828" w:rsidP="002101D2">
            <w:pPr>
              <w:pStyle w:val="Tabletextboldleft"/>
              <w:keepNext w:val="0"/>
              <w:widowControl w:val="0"/>
              <w:rPr>
                <w:rFonts w:eastAsia="SimSun"/>
                <w:b w:val="0"/>
                <w:lang w:eastAsia="zh-CN"/>
              </w:rPr>
            </w:pPr>
          </w:p>
          <w:p w14:paraId="00026CAB"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5 biopsy material with 1 or more tissue blocks, including specimen dissection, all tissue processing, staining, light microscopy and professional opinion or opinions - 1 or more separately identified specimens</w:t>
            </w:r>
          </w:p>
          <w:p w14:paraId="780F93B7" w14:textId="77777777" w:rsidR="00B51828" w:rsidRPr="001A4190" w:rsidRDefault="00B51828" w:rsidP="002101D2">
            <w:pPr>
              <w:pStyle w:val="Tabletextboldleft"/>
              <w:keepNext w:val="0"/>
              <w:widowControl w:val="0"/>
              <w:rPr>
                <w:rFonts w:eastAsia="SimSun"/>
                <w:b w:val="0"/>
                <w:lang w:eastAsia="zh-CN"/>
              </w:rPr>
            </w:pPr>
          </w:p>
          <w:p w14:paraId="08A2CB25"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68580ED9"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$274.15</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$205.65</w:t>
            </w:r>
            <w:r w:rsidRPr="001A4190">
              <w:rPr>
                <w:rFonts w:eastAsia="SimSun"/>
                <w:b w:val="0"/>
                <w:lang w:eastAsia="zh-CN"/>
              </w:rPr>
              <w:tab/>
              <w:t>85% = $233.05</w:t>
            </w:r>
          </w:p>
        </w:tc>
      </w:tr>
      <w:tr w:rsidR="00B51828" w:rsidRPr="001A4190" w14:paraId="09559B88" w14:textId="77777777" w:rsidTr="002101D2">
        <w:tc>
          <w:tcPr>
            <w:tcW w:w="760" w:type="dxa"/>
            <w:tcBorders>
              <w:top w:val="single" w:sz="4" w:space="0" w:color="auto"/>
              <w:left w:val="single" w:sz="4" w:space="0" w:color="auto"/>
              <w:bottom w:val="single" w:sz="4" w:space="0" w:color="auto"/>
              <w:right w:val="single" w:sz="4" w:space="0" w:color="auto"/>
            </w:tcBorders>
          </w:tcPr>
          <w:p w14:paraId="1CDFE4AE" w14:textId="77777777" w:rsidR="00B51828" w:rsidRPr="001A4190" w:rsidRDefault="00B51828" w:rsidP="002101D2">
            <w:pPr>
              <w:pStyle w:val="Tabletextboldleft"/>
              <w:rPr>
                <w:rFonts w:eastAsia="SimSun"/>
                <w:b w:val="0"/>
                <w:lang w:eastAsia="zh-CN"/>
              </w:rPr>
            </w:pPr>
            <w:r w:rsidRPr="001A4190">
              <w:rPr>
                <w:rFonts w:eastAsia="SimSun"/>
                <w:b w:val="0"/>
                <w:lang w:eastAsia="zh-CN"/>
              </w:rPr>
              <w:t>72836</w:t>
            </w:r>
          </w:p>
        </w:tc>
        <w:tc>
          <w:tcPr>
            <w:tcW w:w="8395" w:type="dxa"/>
            <w:tcBorders>
              <w:top w:val="single" w:sz="4" w:space="0" w:color="auto"/>
              <w:left w:val="single" w:sz="4" w:space="0" w:color="auto"/>
              <w:bottom w:val="single" w:sz="4" w:space="0" w:color="auto"/>
              <w:right w:val="single" w:sz="4" w:space="0" w:color="auto"/>
            </w:tcBorders>
          </w:tcPr>
          <w:p w14:paraId="54549704" w14:textId="77777777" w:rsidR="00B51828" w:rsidRPr="001A4190" w:rsidRDefault="00B51828" w:rsidP="002101D2">
            <w:pPr>
              <w:pStyle w:val="Tabletextboldleft"/>
              <w:rPr>
                <w:rFonts w:eastAsia="SimSun"/>
                <w:b w:val="0"/>
                <w:lang w:eastAsia="zh-CN"/>
              </w:rPr>
            </w:pPr>
          </w:p>
          <w:p w14:paraId="4C3249F2" w14:textId="77777777" w:rsidR="00B51828" w:rsidRPr="001A4190" w:rsidRDefault="00B51828" w:rsidP="002101D2">
            <w:pPr>
              <w:pStyle w:val="Tabletextboldleft"/>
              <w:rPr>
                <w:rFonts w:eastAsia="SimSun"/>
                <w:b w:val="0"/>
                <w:lang w:eastAsia="zh-CN"/>
              </w:rPr>
            </w:pPr>
            <w:r w:rsidRPr="001A4190">
              <w:rPr>
                <w:rFonts w:eastAsia="SimSun"/>
                <w:b w:val="0"/>
                <w:lang w:eastAsia="zh-CN"/>
              </w:rPr>
              <w:t>Examination of complexity level 6 biopsy material with 1 or more tissue blocks, including specimen dissection, all tissue processing, staining, light microscopy and professional opinion or opinions - 1 or more separately identified specimens</w:t>
            </w:r>
          </w:p>
          <w:p w14:paraId="404BAC6B" w14:textId="77777777" w:rsidR="00B51828" w:rsidRPr="001A4190" w:rsidRDefault="00B51828" w:rsidP="002101D2">
            <w:pPr>
              <w:pStyle w:val="Tabletextboldleft"/>
              <w:rPr>
                <w:rFonts w:eastAsia="SimSun"/>
                <w:b w:val="0"/>
                <w:lang w:eastAsia="zh-CN"/>
              </w:rPr>
            </w:pPr>
          </w:p>
          <w:p w14:paraId="3222671A" w14:textId="77777777" w:rsidR="00B51828" w:rsidRPr="001A4190" w:rsidRDefault="00B51828" w:rsidP="002101D2">
            <w:pPr>
              <w:pStyle w:val="Tabletextboldleft"/>
              <w:rPr>
                <w:rFonts w:eastAsia="SimSun"/>
                <w:b w:val="0"/>
                <w:lang w:eastAsia="zh-CN"/>
              </w:rPr>
            </w:pPr>
            <w:r w:rsidRPr="001A4190">
              <w:rPr>
                <w:rFonts w:eastAsia="SimSun"/>
                <w:b w:val="0"/>
                <w:lang w:eastAsia="zh-CN"/>
              </w:rPr>
              <w:t>(Item is subject to rule 13)</w:t>
            </w:r>
          </w:p>
          <w:p w14:paraId="6CDA2F4D" w14:textId="77777777" w:rsidR="00B51828" w:rsidRPr="001A4190" w:rsidRDefault="00B51828" w:rsidP="002101D2">
            <w:pPr>
              <w:pStyle w:val="Tabletextboldleft"/>
              <w:rPr>
                <w:rFonts w:eastAsia="SimSun"/>
                <w:b w:val="0"/>
                <w:lang w:eastAsia="zh-CN"/>
              </w:rPr>
            </w:pPr>
            <w:r w:rsidRPr="001A4190">
              <w:rPr>
                <w:rFonts w:eastAsia="SimSun"/>
                <w:lang w:eastAsia="zh-CN"/>
              </w:rPr>
              <w:t>Fee</w:t>
            </w:r>
            <w:r w:rsidRPr="001A4190">
              <w:rPr>
                <w:rFonts w:eastAsia="SimSun"/>
                <w:b w:val="0"/>
                <w:lang w:eastAsia="zh-CN"/>
              </w:rPr>
              <w:t>: $417.20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$312.90</w:t>
            </w:r>
            <w:r w:rsidRPr="001A4190">
              <w:rPr>
                <w:rFonts w:eastAsia="SimSun"/>
                <w:b w:val="0"/>
                <w:lang w:eastAsia="zh-CN"/>
              </w:rPr>
              <w:tab/>
              <w:t>85% = $354.65</w:t>
            </w:r>
          </w:p>
        </w:tc>
      </w:tr>
      <w:tr w:rsidR="00B51828" w:rsidRPr="001A4190" w14:paraId="5CB2D8F1" w14:textId="77777777" w:rsidTr="002101D2">
        <w:tc>
          <w:tcPr>
            <w:tcW w:w="760" w:type="dxa"/>
            <w:tcBorders>
              <w:top w:val="single" w:sz="4" w:space="0" w:color="auto"/>
              <w:left w:val="single" w:sz="4" w:space="0" w:color="auto"/>
              <w:bottom w:val="single" w:sz="4" w:space="0" w:color="auto"/>
              <w:right w:val="single" w:sz="4" w:space="0" w:color="auto"/>
            </w:tcBorders>
          </w:tcPr>
          <w:p w14:paraId="343C5BF1"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72838</w:t>
            </w:r>
          </w:p>
        </w:tc>
        <w:tc>
          <w:tcPr>
            <w:tcW w:w="8395" w:type="dxa"/>
            <w:tcBorders>
              <w:top w:val="single" w:sz="4" w:space="0" w:color="auto"/>
              <w:left w:val="single" w:sz="4" w:space="0" w:color="auto"/>
              <w:bottom w:val="single" w:sz="4" w:space="0" w:color="auto"/>
              <w:right w:val="single" w:sz="4" w:space="0" w:color="auto"/>
            </w:tcBorders>
          </w:tcPr>
          <w:p w14:paraId="0A9FF47C" w14:textId="77777777" w:rsidR="00B51828" w:rsidRPr="001A4190" w:rsidRDefault="00B51828" w:rsidP="002101D2">
            <w:pPr>
              <w:pStyle w:val="Tabletextboldleft"/>
              <w:keepNext w:val="0"/>
              <w:widowControl w:val="0"/>
              <w:rPr>
                <w:rFonts w:eastAsia="SimSun"/>
                <w:b w:val="0"/>
                <w:lang w:eastAsia="zh-CN"/>
              </w:rPr>
            </w:pPr>
          </w:p>
          <w:p w14:paraId="3572FAE9"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Examination of complexity level 7 biopsy material with multiple tissue blocks, including specimen dissection, all tissue processing, staining, light microscopy and professional opinion or opinions - 1 or more separately identified specimens.</w:t>
            </w:r>
          </w:p>
          <w:p w14:paraId="17108986" w14:textId="77777777" w:rsidR="00B51828" w:rsidRPr="001A4190" w:rsidRDefault="00B51828" w:rsidP="002101D2">
            <w:pPr>
              <w:pStyle w:val="Tabletextboldleft"/>
              <w:keepNext w:val="0"/>
              <w:widowControl w:val="0"/>
              <w:rPr>
                <w:rFonts w:eastAsia="SimSun"/>
                <w:b w:val="0"/>
                <w:lang w:eastAsia="zh-CN"/>
              </w:rPr>
            </w:pPr>
          </w:p>
          <w:p w14:paraId="70789B17"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5DE2B126"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$466.85</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$350.15</w:t>
            </w:r>
            <w:r w:rsidRPr="001A4190">
              <w:rPr>
                <w:rFonts w:eastAsia="SimSun"/>
                <w:b w:val="0"/>
                <w:lang w:eastAsia="zh-CN"/>
              </w:rPr>
              <w:tab/>
              <w:t>85% = $396.85</w:t>
            </w:r>
          </w:p>
        </w:tc>
      </w:tr>
      <w:tr w:rsidR="00B51828" w:rsidRPr="001A4190" w14:paraId="7F5C40F9" w14:textId="77777777" w:rsidTr="002101D2">
        <w:tc>
          <w:tcPr>
            <w:tcW w:w="760" w:type="dxa"/>
            <w:tcBorders>
              <w:top w:val="single" w:sz="4" w:space="0" w:color="auto"/>
              <w:left w:val="single" w:sz="4" w:space="0" w:color="auto"/>
              <w:bottom w:val="single" w:sz="4" w:space="0" w:color="auto"/>
              <w:right w:val="single" w:sz="4" w:space="0" w:color="auto"/>
            </w:tcBorders>
          </w:tcPr>
          <w:p w14:paraId="54398318"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lastRenderedPageBreak/>
              <w:t>72844</w:t>
            </w:r>
          </w:p>
        </w:tc>
        <w:tc>
          <w:tcPr>
            <w:tcW w:w="8395" w:type="dxa"/>
            <w:tcBorders>
              <w:top w:val="single" w:sz="4" w:space="0" w:color="auto"/>
              <w:left w:val="single" w:sz="4" w:space="0" w:color="auto"/>
              <w:bottom w:val="single" w:sz="4" w:space="0" w:color="auto"/>
              <w:right w:val="single" w:sz="4" w:space="0" w:color="auto"/>
            </w:tcBorders>
          </w:tcPr>
          <w:p w14:paraId="3D671EFD" w14:textId="77777777" w:rsidR="00B51828" w:rsidRPr="001A4190" w:rsidRDefault="00B51828" w:rsidP="002101D2">
            <w:pPr>
              <w:pStyle w:val="Tabletextboldleft"/>
              <w:keepNext w:val="0"/>
              <w:widowControl w:val="0"/>
              <w:rPr>
                <w:rFonts w:eastAsia="SimSun"/>
                <w:b w:val="0"/>
                <w:lang w:eastAsia="zh-CN"/>
              </w:rPr>
            </w:pPr>
          </w:p>
          <w:p w14:paraId="381C9FA2"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Enzyme histochemistry of skeletal muscle for investigation of primary degenerative or metabolic muscle diseases or of muscle abnormalities secondary to disease of the central or peripheral nervous system - 1 or more tests</w:t>
            </w:r>
          </w:p>
          <w:p w14:paraId="3D24EDE2" w14:textId="77777777" w:rsidR="00B51828" w:rsidRPr="001A4190" w:rsidRDefault="00B51828" w:rsidP="002101D2">
            <w:pPr>
              <w:pStyle w:val="Tabletextboldleft"/>
              <w:keepNext w:val="0"/>
              <w:widowControl w:val="0"/>
              <w:rPr>
                <w:rFonts w:eastAsia="SimSun"/>
                <w:b w:val="0"/>
                <w:lang w:eastAsia="zh-CN"/>
              </w:rPr>
            </w:pPr>
          </w:p>
          <w:p w14:paraId="4CC6BD62"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$30.75</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$23.10</w:t>
            </w:r>
            <w:r w:rsidRPr="001A4190">
              <w:rPr>
                <w:rFonts w:eastAsia="SimSun"/>
                <w:b w:val="0"/>
                <w:lang w:eastAsia="zh-CN"/>
              </w:rPr>
              <w:tab/>
              <w:t>85% = $26.15</w:t>
            </w:r>
          </w:p>
        </w:tc>
      </w:tr>
      <w:tr w:rsidR="00B51828" w:rsidRPr="001A4190" w14:paraId="73723AC1" w14:textId="77777777" w:rsidTr="002101D2">
        <w:tc>
          <w:tcPr>
            <w:tcW w:w="760" w:type="dxa"/>
            <w:tcBorders>
              <w:top w:val="single" w:sz="4" w:space="0" w:color="auto"/>
              <w:left w:val="single" w:sz="4" w:space="0" w:color="auto"/>
              <w:bottom w:val="single" w:sz="4" w:space="0" w:color="auto"/>
              <w:right w:val="single" w:sz="4" w:space="0" w:color="auto"/>
            </w:tcBorders>
          </w:tcPr>
          <w:p w14:paraId="113591A3"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72846</w:t>
            </w:r>
          </w:p>
        </w:tc>
        <w:tc>
          <w:tcPr>
            <w:tcW w:w="8395" w:type="dxa"/>
            <w:tcBorders>
              <w:top w:val="single" w:sz="4" w:space="0" w:color="auto"/>
              <w:left w:val="single" w:sz="4" w:space="0" w:color="auto"/>
              <w:bottom w:val="single" w:sz="4" w:space="0" w:color="auto"/>
              <w:right w:val="single" w:sz="4" w:space="0" w:color="auto"/>
            </w:tcBorders>
          </w:tcPr>
          <w:p w14:paraId="4F20D362" w14:textId="77777777" w:rsidR="00B51828" w:rsidRPr="001A4190" w:rsidRDefault="00B51828" w:rsidP="002101D2">
            <w:pPr>
              <w:pStyle w:val="Tabletextboldleft"/>
              <w:keepNext w:val="0"/>
              <w:widowControl w:val="0"/>
              <w:rPr>
                <w:rFonts w:eastAsia="SimSun"/>
                <w:b w:val="0"/>
                <w:lang w:eastAsia="zh-CN"/>
              </w:rPr>
            </w:pPr>
          </w:p>
          <w:p w14:paraId="395A4725"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Immunohistochemical examination of biopsy material by immunofluorescence, immunoperoxidase or other labelled antibody techniques with multiple antigenic specificities per specimen - 1 to 3 antibodies except those listed in 72848</w:t>
            </w:r>
          </w:p>
          <w:p w14:paraId="57682989" w14:textId="77777777" w:rsidR="00B51828" w:rsidRPr="001A4190" w:rsidRDefault="00B51828" w:rsidP="002101D2">
            <w:pPr>
              <w:pStyle w:val="Tabletextboldleft"/>
              <w:keepNext w:val="0"/>
              <w:widowControl w:val="0"/>
              <w:rPr>
                <w:rFonts w:eastAsia="SimSun"/>
                <w:b w:val="0"/>
                <w:lang w:eastAsia="zh-CN"/>
              </w:rPr>
            </w:pPr>
          </w:p>
          <w:p w14:paraId="520E5777"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0B3E6340"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xml:space="preserve"> $59.60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$44.70</w:t>
            </w:r>
            <w:r w:rsidRPr="001A4190">
              <w:rPr>
                <w:rFonts w:eastAsia="SimSun"/>
                <w:b w:val="0"/>
                <w:lang w:eastAsia="zh-CN"/>
              </w:rPr>
              <w:tab/>
              <w:t>85% = $50.70</w:t>
            </w:r>
          </w:p>
        </w:tc>
      </w:tr>
      <w:tr w:rsidR="00B51828" w:rsidRPr="001A4190" w14:paraId="38888FA7" w14:textId="77777777" w:rsidTr="002101D2">
        <w:tc>
          <w:tcPr>
            <w:tcW w:w="760" w:type="dxa"/>
            <w:tcBorders>
              <w:top w:val="single" w:sz="4" w:space="0" w:color="auto"/>
              <w:left w:val="single" w:sz="4" w:space="0" w:color="auto"/>
              <w:bottom w:val="single" w:sz="4" w:space="0" w:color="auto"/>
              <w:right w:val="single" w:sz="4" w:space="0" w:color="auto"/>
            </w:tcBorders>
          </w:tcPr>
          <w:p w14:paraId="0044FA46"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72847</w:t>
            </w:r>
          </w:p>
        </w:tc>
        <w:tc>
          <w:tcPr>
            <w:tcW w:w="8395" w:type="dxa"/>
            <w:tcBorders>
              <w:top w:val="single" w:sz="4" w:space="0" w:color="auto"/>
              <w:left w:val="single" w:sz="4" w:space="0" w:color="auto"/>
              <w:bottom w:val="single" w:sz="4" w:space="0" w:color="auto"/>
              <w:right w:val="single" w:sz="4" w:space="0" w:color="auto"/>
            </w:tcBorders>
          </w:tcPr>
          <w:p w14:paraId="71420227" w14:textId="77777777" w:rsidR="00B51828" w:rsidRPr="001A4190" w:rsidRDefault="00B51828" w:rsidP="002101D2">
            <w:pPr>
              <w:pStyle w:val="Tabletextboldleft"/>
              <w:keepNext w:val="0"/>
              <w:widowControl w:val="0"/>
              <w:rPr>
                <w:rFonts w:eastAsia="SimSun"/>
                <w:b w:val="0"/>
                <w:lang w:eastAsia="zh-CN"/>
              </w:rPr>
            </w:pPr>
          </w:p>
          <w:p w14:paraId="0C599140"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Immunohistochemical examination of biopsy material by immunofluorescence, immunoperoxidase or other labelled antibody techniques with multiple antigenic specificities per specimen - 4-6 antibodies</w:t>
            </w:r>
          </w:p>
          <w:p w14:paraId="63260882" w14:textId="77777777" w:rsidR="00B51828" w:rsidRPr="001A4190" w:rsidRDefault="00B51828" w:rsidP="002101D2">
            <w:pPr>
              <w:pStyle w:val="Tabletextboldleft"/>
              <w:keepNext w:val="0"/>
              <w:widowControl w:val="0"/>
              <w:rPr>
                <w:rFonts w:eastAsia="SimSun"/>
                <w:b w:val="0"/>
                <w:lang w:eastAsia="zh-CN"/>
              </w:rPr>
            </w:pPr>
          </w:p>
          <w:p w14:paraId="45214F46"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29EB076C"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$89.40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$67.05</w:t>
            </w:r>
            <w:r w:rsidRPr="001A4190">
              <w:rPr>
                <w:rFonts w:eastAsia="SimSun"/>
                <w:b w:val="0"/>
                <w:lang w:eastAsia="zh-CN"/>
              </w:rPr>
              <w:tab/>
              <w:t>85% = $76.00</w:t>
            </w:r>
          </w:p>
        </w:tc>
      </w:tr>
      <w:tr w:rsidR="00B51828" w:rsidRPr="001A4190" w14:paraId="4BD60EE1" w14:textId="77777777" w:rsidTr="002101D2">
        <w:tc>
          <w:tcPr>
            <w:tcW w:w="760" w:type="dxa"/>
            <w:tcBorders>
              <w:top w:val="single" w:sz="4" w:space="0" w:color="auto"/>
              <w:left w:val="single" w:sz="4" w:space="0" w:color="auto"/>
              <w:bottom w:val="single" w:sz="4" w:space="0" w:color="auto"/>
              <w:right w:val="single" w:sz="4" w:space="0" w:color="auto"/>
            </w:tcBorders>
          </w:tcPr>
          <w:p w14:paraId="69FBD634"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72848</w:t>
            </w:r>
          </w:p>
        </w:tc>
        <w:tc>
          <w:tcPr>
            <w:tcW w:w="8395" w:type="dxa"/>
            <w:tcBorders>
              <w:top w:val="single" w:sz="4" w:space="0" w:color="auto"/>
              <w:left w:val="single" w:sz="4" w:space="0" w:color="auto"/>
              <w:bottom w:val="single" w:sz="4" w:space="0" w:color="auto"/>
              <w:right w:val="single" w:sz="4" w:space="0" w:color="auto"/>
            </w:tcBorders>
          </w:tcPr>
          <w:p w14:paraId="7D556F3D" w14:textId="77777777" w:rsidR="00B51828" w:rsidRPr="001A4190" w:rsidRDefault="00B51828" w:rsidP="002101D2">
            <w:pPr>
              <w:pStyle w:val="Tabletextboldleft"/>
              <w:keepNext w:val="0"/>
              <w:widowControl w:val="0"/>
              <w:rPr>
                <w:rFonts w:eastAsia="SimSun"/>
                <w:b w:val="0"/>
                <w:lang w:eastAsia="zh-CN"/>
              </w:rPr>
            </w:pPr>
          </w:p>
          <w:p w14:paraId="51997C02"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Immunohistochemical examination of biopsy material by immunofluorescence, immunoperoxidase or other labelled antibody techniques with multiple antigenic specificities per specimen - 1 to 3 of the following antibodies - oestrogen, progesterone and c-erb-B2 (HER2)</w:t>
            </w:r>
          </w:p>
          <w:p w14:paraId="08373484"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48E672FC"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$74.50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$55.90</w:t>
            </w:r>
            <w:r w:rsidRPr="001A4190">
              <w:rPr>
                <w:rFonts w:eastAsia="SimSun"/>
                <w:b w:val="0"/>
                <w:lang w:eastAsia="zh-CN"/>
              </w:rPr>
              <w:tab/>
              <w:t>85% = $63.35</w:t>
            </w:r>
          </w:p>
        </w:tc>
      </w:tr>
      <w:tr w:rsidR="00B51828" w:rsidRPr="001A4190" w14:paraId="0406B936" w14:textId="77777777" w:rsidTr="002101D2">
        <w:tc>
          <w:tcPr>
            <w:tcW w:w="760" w:type="dxa"/>
            <w:tcBorders>
              <w:top w:val="single" w:sz="4" w:space="0" w:color="auto"/>
              <w:left w:val="single" w:sz="4" w:space="0" w:color="auto"/>
              <w:bottom w:val="single" w:sz="4" w:space="0" w:color="auto"/>
              <w:right w:val="single" w:sz="4" w:space="0" w:color="auto"/>
            </w:tcBorders>
          </w:tcPr>
          <w:p w14:paraId="6E05A5B4"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72849</w:t>
            </w:r>
          </w:p>
        </w:tc>
        <w:tc>
          <w:tcPr>
            <w:tcW w:w="8395" w:type="dxa"/>
            <w:tcBorders>
              <w:top w:val="single" w:sz="4" w:space="0" w:color="auto"/>
              <w:left w:val="single" w:sz="4" w:space="0" w:color="auto"/>
              <w:bottom w:val="single" w:sz="4" w:space="0" w:color="auto"/>
              <w:right w:val="single" w:sz="4" w:space="0" w:color="auto"/>
            </w:tcBorders>
          </w:tcPr>
          <w:p w14:paraId="69B2CDAB" w14:textId="77777777" w:rsidR="00B51828" w:rsidRPr="001A4190" w:rsidRDefault="00B51828" w:rsidP="002101D2">
            <w:pPr>
              <w:pStyle w:val="Tabletextboldleft"/>
              <w:keepNext w:val="0"/>
              <w:widowControl w:val="0"/>
              <w:rPr>
                <w:rFonts w:eastAsia="SimSun"/>
                <w:b w:val="0"/>
                <w:lang w:eastAsia="zh-CN"/>
              </w:rPr>
            </w:pPr>
          </w:p>
          <w:p w14:paraId="0B890CE4"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 xml:space="preserve">Immunohistochemical examination of biopsy material by immunofluorescence, immunoperoxidase or other labelled antibody techniques with multiple antigenic specificities per specimen – 7-10 antibodies </w:t>
            </w:r>
          </w:p>
          <w:p w14:paraId="23C02C4B" w14:textId="77777777" w:rsidR="00B51828" w:rsidRPr="001A4190" w:rsidRDefault="00B51828" w:rsidP="002101D2">
            <w:pPr>
              <w:pStyle w:val="Tabletextboldleft"/>
              <w:keepNext w:val="0"/>
              <w:widowControl w:val="0"/>
              <w:rPr>
                <w:rFonts w:eastAsia="SimSun"/>
                <w:b w:val="0"/>
                <w:lang w:eastAsia="zh-CN"/>
              </w:rPr>
            </w:pPr>
          </w:p>
          <w:p w14:paraId="1E700C32"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4B909090"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$104.30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$78.25</w:t>
            </w:r>
            <w:r w:rsidRPr="001A4190">
              <w:rPr>
                <w:rFonts w:eastAsia="SimSun"/>
                <w:b w:val="0"/>
                <w:lang w:eastAsia="zh-CN"/>
              </w:rPr>
              <w:tab/>
              <w:t>85% = $88.70</w:t>
            </w:r>
          </w:p>
        </w:tc>
      </w:tr>
      <w:tr w:rsidR="00B51828" w:rsidRPr="001A4190" w14:paraId="3BA13AAE" w14:textId="77777777" w:rsidTr="002101D2">
        <w:tc>
          <w:tcPr>
            <w:tcW w:w="760" w:type="dxa"/>
            <w:tcBorders>
              <w:top w:val="single" w:sz="4" w:space="0" w:color="auto"/>
              <w:left w:val="single" w:sz="4" w:space="0" w:color="auto"/>
              <w:bottom w:val="single" w:sz="4" w:space="0" w:color="auto"/>
              <w:right w:val="single" w:sz="4" w:space="0" w:color="auto"/>
            </w:tcBorders>
          </w:tcPr>
          <w:p w14:paraId="10FBF861"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72850</w:t>
            </w:r>
          </w:p>
        </w:tc>
        <w:tc>
          <w:tcPr>
            <w:tcW w:w="8395" w:type="dxa"/>
            <w:tcBorders>
              <w:top w:val="single" w:sz="4" w:space="0" w:color="auto"/>
              <w:left w:val="single" w:sz="4" w:space="0" w:color="auto"/>
              <w:bottom w:val="single" w:sz="4" w:space="0" w:color="auto"/>
              <w:right w:val="single" w:sz="4" w:space="0" w:color="auto"/>
            </w:tcBorders>
          </w:tcPr>
          <w:p w14:paraId="2D7457B6" w14:textId="77777777" w:rsidR="00B51828" w:rsidRPr="001A4190" w:rsidRDefault="00B51828" w:rsidP="002101D2">
            <w:pPr>
              <w:pStyle w:val="Tabletextboldleft"/>
              <w:keepNext w:val="0"/>
              <w:widowControl w:val="0"/>
              <w:rPr>
                <w:rFonts w:eastAsia="SimSun"/>
                <w:b w:val="0"/>
                <w:lang w:eastAsia="zh-CN"/>
              </w:rPr>
            </w:pPr>
          </w:p>
          <w:p w14:paraId="6355BCFA"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 xml:space="preserve">Immunohistochemical examination of biopsy material by immunofluorescence, immunoperoxidase or other labelled antibody techniques with multiple antigenic specificities per specimen – 11 or more antibodies </w:t>
            </w:r>
          </w:p>
          <w:p w14:paraId="6B3FB72E" w14:textId="77777777" w:rsidR="00B51828" w:rsidRPr="001A4190" w:rsidRDefault="00B51828" w:rsidP="002101D2">
            <w:pPr>
              <w:pStyle w:val="Tabletextboldleft"/>
              <w:keepNext w:val="0"/>
              <w:widowControl w:val="0"/>
              <w:rPr>
                <w:rFonts w:eastAsia="SimSun"/>
                <w:b w:val="0"/>
                <w:lang w:eastAsia="zh-CN"/>
              </w:rPr>
            </w:pPr>
          </w:p>
          <w:p w14:paraId="0663634A"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2DE4BFDD"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$119.20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$89.40</w:t>
            </w:r>
            <w:r w:rsidRPr="001A4190">
              <w:rPr>
                <w:rFonts w:eastAsia="SimSun"/>
                <w:b w:val="0"/>
                <w:lang w:eastAsia="zh-CN"/>
              </w:rPr>
              <w:tab/>
              <w:t>85% = $101.35</w:t>
            </w:r>
          </w:p>
        </w:tc>
      </w:tr>
      <w:tr w:rsidR="00B51828" w:rsidRPr="001A4190" w14:paraId="43CAEB33" w14:textId="77777777" w:rsidTr="002101D2">
        <w:tc>
          <w:tcPr>
            <w:tcW w:w="760" w:type="dxa"/>
            <w:tcBorders>
              <w:top w:val="single" w:sz="4" w:space="0" w:color="auto"/>
              <w:left w:val="single" w:sz="4" w:space="0" w:color="auto"/>
              <w:bottom w:val="single" w:sz="4" w:space="0" w:color="auto"/>
              <w:right w:val="single" w:sz="4" w:space="0" w:color="auto"/>
            </w:tcBorders>
          </w:tcPr>
          <w:p w14:paraId="3355044C"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72851</w:t>
            </w:r>
          </w:p>
        </w:tc>
        <w:tc>
          <w:tcPr>
            <w:tcW w:w="8395" w:type="dxa"/>
            <w:tcBorders>
              <w:top w:val="single" w:sz="4" w:space="0" w:color="auto"/>
              <w:left w:val="single" w:sz="4" w:space="0" w:color="auto"/>
              <w:bottom w:val="single" w:sz="4" w:space="0" w:color="auto"/>
              <w:right w:val="single" w:sz="4" w:space="0" w:color="auto"/>
            </w:tcBorders>
          </w:tcPr>
          <w:p w14:paraId="5F929E57" w14:textId="77777777" w:rsidR="00B51828" w:rsidRPr="001A4190" w:rsidRDefault="00B51828" w:rsidP="002101D2">
            <w:pPr>
              <w:pStyle w:val="Tabletextboldleft"/>
              <w:keepNext w:val="0"/>
              <w:widowControl w:val="0"/>
              <w:rPr>
                <w:rFonts w:eastAsia="SimSun"/>
                <w:b w:val="0"/>
                <w:lang w:eastAsia="zh-CN"/>
              </w:rPr>
            </w:pPr>
          </w:p>
          <w:p w14:paraId="16D15B6E"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Electron microscopic examination of biopsy material - 1 separately identified specimen</w:t>
            </w:r>
          </w:p>
          <w:p w14:paraId="78AD4D0B" w14:textId="77777777" w:rsidR="00B51828" w:rsidRPr="001A4190" w:rsidRDefault="00B51828" w:rsidP="002101D2">
            <w:pPr>
              <w:pStyle w:val="Tabletextboldleft"/>
              <w:keepNext w:val="0"/>
              <w:widowControl w:val="0"/>
              <w:rPr>
                <w:rFonts w:eastAsia="SimSun"/>
                <w:b w:val="0"/>
                <w:lang w:eastAsia="zh-CN"/>
              </w:rPr>
            </w:pPr>
          </w:p>
          <w:p w14:paraId="2B71A724"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4225EB91"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$184.35</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$138.30</w:t>
            </w:r>
            <w:r w:rsidRPr="001A4190">
              <w:rPr>
                <w:rFonts w:eastAsia="SimSun"/>
                <w:b w:val="0"/>
                <w:lang w:eastAsia="zh-CN"/>
              </w:rPr>
              <w:tab/>
              <w:t>85% = $156.70</w:t>
            </w:r>
          </w:p>
        </w:tc>
      </w:tr>
      <w:tr w:rsidR="00B51828" w:rsidRPr="001A4190" w14:paraId="64EFE8C4" w14:textId="77777777" w:rsidTr="002101D2">
        <w:tc>
          <w:tcPr>
            <w:tcW w:w="760" w:type="dxa"/>
            <w:tcBorders>
              <w:top w:val="single" w:sz="4" w:space="0" w:color="auto"/>
              <w:left w:val="single" w:sz="4" w:space="0" w:color="auto"/>
              <w:bottom w:val="single" w:sz="4" w:space="0" w:color="auto"/>
              <w:right w:val="single" w:sz="4" w:space="0" w:color="auto"/>
            </w:tcBorders>
          </w:tcPr>
          <w:p w14:paraId="5AADCEFB" w14:textId="77777777" w:rsidR="00B51828" w:rsidRPr="001A4190" w:rsidRDefault="00B51828" w:rsidP="002101D2">
            <w:pPr>
              <w:pStyle w:val="Tabletextboldleft"/>
              <w:rPr>
                <w:rFonts w:eastAsia="SimSun"/>
                <w:b w:val="0"/>
                <w:lang w:eastAsia="zh-CN"/>
              </w:rPr>
            </w:pPr>
            <w:r w:rsidRPr="001A4190">
              <w:rPr>
                <w:rFonts w:eastAsia="SimSun"/>
                <w:b w:val="0"/>
                <w:lang w:eastAsia="zh-CN"/>
              </w:rPr>
              <w:t>72852</w:t>
            </w:r>
          </w:p>
        </w:tc>
        <w:tc>
          <w:tcPr>
            <w:tcW w:w="8395" w:type="dxa"/>
            <w:tcBorders>
              <w:top w:val="single" w:sz="4" w:space="0" w:color="auto"/>
              <w:left w:val="single" w:sz="4" w:space="0" w:color="auto"/>
              <w:bottom w:val="single" w:sz="4" w:space="0" w:color="auto"/>
              <w:right w:val="single" w:sz="4" w:space="0" w:color="auto"/>
            </w:tcBorders>
          </w:tcPr>
          <w:p w14:paraId="58EA49A6" w14:textId="77777777" w:rsidR="00B51828" w:rsidRPr="001A4190" w:rsidRDefault="00B51828" w:rsidP="002101D2">
            <w:pPr>
              <w:pStyle w:val="Tabletextboldleft"/>
              <w:rPr>
                <w:rFonts w:eastAsia="SimSun"/>
                <w:b w:val="0"/>
                <w:lang w:eastAsia="zh-CN"/>
              </w:rPr>
            </w:pPr>
          </w:p>
          <w:p w14:paraId="2F1856AC" w14:textId="77777777" w:rsidR="00B51828" w:rsidRPr="001A4190" w:rsidRDefault="00B51828" w:rsidP="002101D2">
            <w:pPr>
              <w:pStyle w:val="Tabletextboldleft"/>
              <w:rPr>
                <w:rFonts w:eastAsia="SimSun"/>
                <w:b w:val="0"/>
                <w:lang w:eastAsia="zh-CN"/>
              </w:rPr>
            </w:pPr>
            <w:r w:rsidRPr="001A4190">
              <w:rPr>
                <w:rFonts w:eastAsia="SimSun"/>
                <w:b w:val="0"/>
                <w:lang w:eastAsia="zh-CN"/>
              </w:rPr>
              <w:t>Electron microscopic examination of biopsy material - 2 or more separately identified specimens</w:t>
            </w:r>
          </w:p>
          <w:p w14:paraId="53C1D781" w14:textId="77777777" w:rsidR="00B51828" w:rsidRPr="001A4190" w:rsidRDefault="00B51828" w:rsidP="002101D2">
            <w:pPr>
              <w:pStyle w:val="Tabletextboldleft"/>
              <w:rPr>
                <w:rFonts w:eastAsia="SimSun"/>
                <w:b w:val="0"/>
                <w:lang w:eastAsia="zh-CN"/>
              </w:rPr>
            </w:pPr>
          </w:p>
          <w:p w14:paraId="4E755398" w14:textId="77777777" w:rsidR="00B51828" w:rsidRPr="001A4190" w:rsidRDefault="00B51828" w:rsidP="002101D2">
            <w:pPr>
              <w:pStyle w:val="Tabletextboldleft"/>
              <w:rPr>
                <w:rFonts w:eastAsia="SimSun"/>
                <w:b w:val="0"/>
                <w:lang w:eastAsia="zh-CN"/>
              </w:rPr>
            </w:pPr>
            <w:r w:rsidRPr="001A4190">
              <w:rPr>
                <w:rFonts w:eastAsia="SimSun"/>
                <w:b w:val="0"/>
                <w:lang w:eastAsia="zh-CN"/>
              </w:rPr>
              <w:t>(Item is subject to rule 13)</w:t>
            </w:r>
          </w:p>
          <w:p w14:paraId="0614BEFF" w14:textId="77777777" w:rsidR="00B51828" w:rsidRPr="001A4190" w:rsidRDefault="00B51828" w:rsidP="002101D2">
            <w:pPr>
              <w:pStyle w:val="Tabletextboldleft"/>
              <w:rPr>
                <w:rFonts w:eastAsia="SimSun"/>
                <w:b w:val="0"/>
                <w:lang w:eastAsia="zh-CN"/>
              </w:rPr>
            </w:pPr>
            <w:r w:rsidRPr="001A4190">
              <w:rPr>
                <w:rFonts w:eastAsia="SimSun"/>
                <w:lang w:eastAsia="zh-CN"/>
              </w:rPr>
              <w:t>Fee</w:t>
            </w:r>
            <w:r w:rsidRPr="001A4190">
              <w:rPr>
                <w:rFonts w:eastAsia="SimSun"/>
                <w:b w:val="0"/>
                <w:lang w:eastAsia="zh-CN"/>
              </w:rPr>
              <w:t>: $245.80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$184.35</w:t>
            </w:r>
            <w:r w:rsidRPr="001A4190">
              <w:rPr>
                <w:rFonts w:eastAsia="SimSun"/>
                <w:b w:val="0"/>
                <w:lang w:eastAsia="zh-CN"/>
              </w:rPr>
              <w:tab/>
              <w:t>85% = $208.95</w:t>
            </w:r>
          </w:p>
        </w:tc>
      </w:tr>
      <w:tr w:rsidR="00B51828" w:rsidRPr="001A4190" w14:paraId="2437A053" w14:textId="77777777" w:rsidTr="002101D2">
        <w:tc>
          <w:tcPr>
            <w:tcW w:w="760" w:type="dxa"/>
            <w:tcBorders>
              <w:top w:val="single" w:sz="4" w:space="0" w:color="auto"/>
              <w:left w:val="single" w:sz="4" w:space="0" w:color="auto"/>
              <w:bottom w:val="single" w:sz="4" w:space="0" w:color="auto"/>
              <w:right w:val="single" w:sz="4" w:space="0" w:color="auto"/>
            </w:tcBorders>
          </w:tcPr>
          <w:p w14:paraId="62C1A6E1"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72855</w:t>
            </w:r>
          </w:p>
        </w:tc>
        <w:tc>
          <w:tcPr>
            <w:tcW w:w="8395" w:type="dxa"/>
            <w:tcBorders>
              <w:top w:val="single" w:sz="4" w:space="0" w:color="auto"/>
              <w:left w:val="single" w:sz="4" w:space="0" w:color="auto"/>
              <w:bottom w:val="single" w:sz="4" w:space="0" w:color="auto"/>
              <w:right w:val="single" w:sz="4" w:space="0" w:color="auto"/>
            </w:tcBorders>
          </w:tcPr>
          <w:p w14:paraId="3A2BF35C" w14:textId="77777777" w:rsidR="00B51828" w:rsidRPr="001A4190" w:rsidRDefault="00B51828" w:rsidP="002101D2">
            <w:pPr>
              <w:pStyle w:val="Tabletextboldleft"/>
              <w:keepNext w:val="0"/>
              <w:widowControl w:val="0"/>
              <w:rPr>
                <w:rFonts w:eastAsia="SimSun"/>
                <w:b w:val="0"/>
                <w:lang w:eastAsia="zh-CN"/>
              </w:rPr>
            </w:pPr>
          </w:p>
          <w:p w14:paraId="4323E04C"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Intraoperative consultation and examination of biopsy material by frozen section or tissue imprint or smear - 1 separately identified specimen</w:t>
            </w:r>
          </w:p>
          <w:p w14:paraId="52608F36" w14:textId="77777777" w:rsidR="00B51828" w:rsidRPr="001A4190" w:rsidRDefault="00B51828" w:rsidP="002101D2">
            <w:pPr>
              <w:pStyle w:val="Tabletextboldleft"/>
              <w:keepNext w:val="0"/>
              <w:widowControl w:val="0"/>
              <w:rPr>
                <w:rFonts w:eastAsia="SimSun"/>
                <w:b w:val="0"/>
                <w:lang w:eastAsia="zh-CN"/>
              </w:rPr>
            </w:pPr>
          </w:p>
          <w:p w14:paraId="5D62EF05"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37787BF1"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$184.35</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$138.30</w:t>
            </w:r>
            <w:r w:rsidRPr="001A4190">
              <w:rPr>
                <w:rFonts w:eastAsia="SimSun"/>
                <w:b w:val="0"/>
                <w:lang w:eastAsia="zh-CN"/>
              </w:rPr>
              <w:tab/>
              <w:t>85% = $156.70</w:t>
            </w:r>
          </w:p>
        </w:tc>
      </w:tr>
      <w:tr w:rsidR="00B51828" w:rsidRPr="001A4190" w14:paraId="74E3F8D6" w14:textId="77777777" w:rsidTr="002101D2">
        <w:tc>
          <w:tcPr>
            <w:tcW w:w="760" w:type="dxa"/>
            <w:tcBorders>
              <w:top w:val="single" w:sz="4" w:space="0" w:color="auto"/>
              <w:left w:val="single" w:sz="4" w:space="0" w:color="auto"/>
              <w:bottom w:val="single" w:sz="4" w:space="0" w:color="auto"/>
              <w:right w:val="single" w:sz="4" w:space="0" w:color="auto"/>
            </w:tcBorders>
          </w:tcPr>
          <w:p w14:paraId="050E467B"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72856</w:t>
            </w:r>
          </w:p>
        </w:tc>
        <w:tc>
          <w:tcPr>
            <w:tcW w:w="8395" w:type="dxa"/>
            <w:tcBorders>
              <w:top w:val="single" w:sz="4" w:space="0" w:color="auto"/>
              <w:left w:val="single" w:sz="4" w:space="0" w:color="auto"/>
              <w:bottom w:val="single" w:sz="4" w:space="0" w:color="auto"/>
              <w:right w:val="single" w:sz="4" w:space="0" w:color="auto"/>
            </w:tcBorders>
          </w:tcPr>
          <w:p w14:paraId="0FB28440" w14:textId="77777777" w:rsidR="00B51828" w:rsidRPr="001A4190" w:rsidRDefault="00B51828" w:rsidP="002101D2">
            <w:pPr>
              <w:pStyle w:val="Tabletextboldleft"/>
              <w:keepNext w:val="0"/>
              <w:widowControl w:val="0"/>
              <w:rPr>
                <w:rFonts w:eastAsia="SimSun"/>
                <w:b w:val="0"/>
                <w:lang w:eastAsia="zh-CN"/>
              </w:rPr>
            </w:pPr>
          </w:p>
          <w:p w14:paraId="4E883B21"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Intraoperative consultation and examination of biopsy material by frozen section or tissue imprint or smear - 2 to 4 separately identified specimens</w:t>
            </w:r>
          </w:p>
          <w:p w14:paraId="5B513D73" w14:textId="77777777" w:rsidR="00B51828" w:rsidRPr="001A4190" w:rsidRDefault="00B51828" w:rsidP="002101D2">
            <w:pPr>
              <w:pStyle w:val="Tabletextboldleft"/>
              <w:keepNext w:val="0"/>
              <w:widowControl w:val="0"/>
              <w:rPr>
                <w:rFonts w:eastAsia="SimSun"/>
                <w:b w:val="0"/>
                <w:lang w:eastAsia="zh-CN"/>
              </w:rPr>
            </w:pPr>
          </w:p>
          <w:p w14:paraId="56AF4429"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1CD6BB81"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$245.80</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$184.35</w:t>
            </w:r>
            <w:r w:rsidRPr="001A4190">
              <w:rPr>
                <w:rFonts w:eastAsia="SimSun"/>
                <w:b w:val="0"/>
                <w:lang w:eastAsia="zh-CN"/>
              </w:rPr>
              <w:tab/>
              <w:t>85% = $208.95</w:t>
            </w:r>
          </w:p>
        </w:tc>
      </w:tr>
      <w:tr w:rsidR="00B51828" w:rsidRPr="001A4190" w14:paraId="527D58D1" w14:textId="77777777" w:rsidTr="002101D2">
        <w:tc>
          <w:tcPr>
            <w:tcW w:w="760" w:type="dxa"/>
            <w:tcBorders>
              <w:top w:val="single" w:sz="4" w:space="0" w:color="auto"/>
              <w:left w:val="single" w:sz="4" w:space="0" w:color="auto"/>
              <w:bottom w:val="single" w:sz="4" w:space="0" w:color="auto"/>
              <w:right w:val="single" w:sz="4" w:space="0" w:color="auto"/>
            </w:tcBorders>
          </w:tcPr>
          <w:p w14:paraId="68CE13B0"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lastRenderedPageBreak/>
              <w:t>72857</w:t>
            </w:r>
          </w:p>
        </w:tc>
        <w:tc>
          <w:tcPr>
            <w:tcW w:w="8395" w:type="dxa"/>
            <w:tcBorders>
              <w:top w:val="single" w:sz="4" w:space="0" w:color="auto"/>
              <w:left w:val="single" w:sz="4" w:space="0" w:color="auto"/>
              <w:bottom w:val="single" w:sz="4" w:space="0" w:color="auto"/>
              <w:right w:val="single" w:sz="4" w:space="0" w:color="auto"/>
            </w:tcBorders>
          </w:tcPr>
          <w:p w14:paraId="44D64125" w14:textId="77777777" w:rsidR="00B51828" w:rsidRPr="001A4190" w:rsidRDefault="00B51828" w:rsidP="002101D2">
            <w:pPr>
              <w:pStyle w:val="Tabletextboldleft"/>
              <w:keepNext w:val="0"/>
              <w:widowControl w:val="0"/>
              <w:rPr>
                <w:rFonts w:eastAsia="SimSun"/>
                <w:b w:val="0"/>
                <w:lang w:eastAsia="zh-CN"/>
              </w:rPr>
            </w:pPr>
          </w:p>
          <w:p w14:paraId="6A8E0C18"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Intraoperative consultation and examination of biopsy material by frozen section or tissue imprint or smear - 5 or more separately identified specimens</w:t>
            </w:r>
          </w:p>
          <w:p w14:paraId="6672E4E2" w14:textId="77777777" w:rsidR="00B51828" w:rsidRPr="001A4190" w:rsidRDefault="00B51828" w:rsidP="002101D2">
            <w:pPr>
              <w:pStyle w:val="Tabletextboldleft"/>
              <w:keepNext w:val="0"/>
              <w:widowControl w:val="0"/>
              <w:rPr>
                <w:rFonts w:eastAsia="SimSun"/>
                <w:b w:val="0"/>
                <w:lang w:eastAsia="zh-CN"/>
              </w:rPr>
            </w:pPr>
          </w:p>
          <w:p w14:paraId="60C3AF15" w14:textId="77777777" w:rsidR="00B51828" w:rsidRPr="001A4190" w:rsidRDefault="00B51828" w:rsidP="002101D2">
            <w:pPr>
              <w:pStyle w:val="Tabletextboldleft"/>
              <w:keepNext w:val="0"/>
              <w:widowControl w:val="0"/>
              <w:rPr>
                <w:rFonts w:eastAsia="SimSun"/>
                <w:b w:val="0"/>
                <w:lang w:eastAsia="zh-CN"/>
              </w:rPr>
            </w:pPr>
            <w:r w:rsidRPr="001A4190">
              <w:rPr>
                <w:rFonts w:eastAsia="SimSun"/>
                <w:b w:val="0"/>
                <w:lang w:eastAsia="zh-CN"/>
              </w:rPr>
              <w:t>(Item is subject to rule 13)</w:t>
            </w:r>
          </w:p>
          <w:p w14:paraId="4E209191" w14:textId="77777777" w:rsidR="00B51828" w:rsidRPr="001A4190" w:rsidRDefault="00B51828" w:rsidP="002101D2">
            <w:pPr>
              <w:pStyle w:val="Tabletextboldleft"/>
              <w:keepNext w:val="0"/>
              <w:widowControl w:val="0"/>
              <w:rPr>
                <w:rFonts w:eastAsia="SimSun"/>
                <w:b w:val="0"/>
                <w:lang w:eastAsia="zh-CN"/>
              </w:rPr>
            </w:pPr>
            <w:r w:rsidRPr="001A4190">
              <w:rPr>
                <w:rFonts w:eastAsia="SimSun"/>
                <w:lang w:eastAsia="zh-CN"/>
              </w:rPr>
              <w:t>Fee</w:t>
            </w:r>
            <w:r w:rsidRPr="001A4190">
              <w:rPr>
                <w:rFonts w:eastAsia="SimSun"/>
                <w:b w:val="0"/>
                <w:lang w:eastAsia="zh-CN"/>
              </w:rPr>
              <w:t>: $286.75</w:t>
            </w:r>
            <w:r w:rsidRPr="001A4190">
              <w:rPr>
                <w:rFonts w:eastAsia="SimSun"/>
                <w:b w:val="0"/>
                <w:lang w:eastAsia="zh-CN"/>
              </w:rPr>
              <w:tab/>
            </w:r>
            <w:r w:rsidRPr="001A4190">
              <w:rPr>
                <w:rFonts w:eastAsia="SimSun"/>
                <w:lang w:eastAsia="zh-CN"/>
              </w:rPr>
              <w:t>Benefit:</w:t>
            </w:r>
            <w:r w:rsidRPr="001A4190">
              <w:rPr>
                <w:rFonts w:eastAsia="SimSun"/>
                <w:b w:val="0"/>
                <w:lang w:eastAsia="zh-CN"/>
              </w:rPr>
              <w:t xml:space="preserve"> 75% = $215.10</w:t>
            </w:r>
            <w:r w:rsidRPr="001A4190">
              <w:rPr>
                <w:rFonts w:eastAsia="SimSun"/>
                <w:b w:val="0"/>
                <w:lang w:eastAsia="zh-CN"/>
              </w:rPr>
              <w:tab/>
              <w:t>85% = $243.75</w:t>
            </w:r>
          </w:p>
        </w:tc>
      </w:tr>
    </w:tbl>
    <w:p w14:paraId="2DC52E68" w14:textId="77777777" w:rsidR="00B51828" w:rsidRDefault="00B51828" w:rsidP="002101D2">
      <w:pPr>
        <w:ind w:left="0"/>
        <w:rPr>
          <w:rFonts w:ascii="Arial Narrow" w:hAnsi="Arial Narrow"/>
          <w:sz w:val="16"/>
          <w:szCs w:val="16"/>
        </w:rPr>
      </w:pPr>
      <w:r>
        <w:rPr>
          <w:rFonts w:ascii="Arial Narrow" w:hAnsi="Arial Narrow"/>
          <w:sz w:val="16"/>
          <w:szCs w:val="16"/>
        </w:rPr>
        <w:t>Source: MBS Online, accessed 10 June 2014</w:t>
      </w:r>
    </w:p>
    <w:tbl>
      <w:tblPr>
        <w:tblW w:w="9155" w:type="dxa"/>
        <w:tblLayout w:type="fixed"/>
        <w:tblCellMar>
          <w:left w:w="60" w:type="dxa"/>
          <w:right w:w="60" w:type="dxa"/>
        </w:tblCellMar>
        <w:tblLook w:val="04A0" w:firstRow="1" w:lastRow="0" w:firstColumn="1" w:lastColumn="0" w:noHBand="0" w:noVBand="1"/>
        <w:tblCaption w:val="Group P6 - Cytology"/>
        <w:tblDescription w:val="The item descriptors and fees associated with items in Group P6 of the MBS."/>
      </w:tblPr>
      <w:tblGrid>
        <w:gridCol w:w="760"/>
        <w:gridCol w:w="8395"/>
      </w:tblGrid>
      <w:tr w:rsidR="00B51828" w:rsidRPr="00B234A2" w14:paraId="3DD88B39" w14:textId="77777777" w:rsidTr="002101D2">
        <w:trPr>
          <w:tblHeader/>
        </w:trPr>
        <w:tc>
          <w:tcPr>
            <w:tcW w:w="760" w:type="dxa"/>
            <w:tcBorders>
              <w:top w:val="single" w:sz="4" w:space="0" w:color="auto"/>
              <w:left w:val="single" w:sz="4" w:space="0" w:color="auto"/>
              <w:bottom w:val="single" w:sz="4" w:space="0" w:color="auto"/>
              <w:right w:val="single" w:sz="4" w:space="0" w:color="auto"/>
            </w:tcBorders>
          </w:tcPr>
          <w:p w14:paraId="00921584" w14:textId="77777777" w:rsidR="00B51828" w:rsidRPr="00B234A2" w:rsidRDefault="00B51828" w:rsidP="002101D2">
            <w:pPr>
              <w:spacing w:after="0"/>
              <w:ind w:left="0"/>
              <w:jc w:val="center"/>
              <w:rPr>
                <w:rFonts w:ascii="Tahoma" w:eastAsia="SimSun" w:hAnsi="Tahoma" w:cs="Tahoma"/>
                <w:b/>
                <w:sz w:val="20"/>
                <w:szCs w:val="20"/>
                <w:lang w:eastAsia="zh-CN"/>
              </w:rPr>
            </w:pPr>
          </w:p>
        </w:tc>
        <w:tc>
          <w:tcPr>
            <w:tcW w:w="8395" w:type="dxa"/>
            <w:tcBorders>
              <w:top w:val="single" w:sz="4" w:space="0" w:color="auto"/>
              <w:left w:val="single" w:sz="4" w:space="0" w:color="auto"/>
              <w:bottom w:val="single" w:sz="4" w:space="0" w:color="auto"/>
              <w:right w:val="single" w:sz="4" w:space="0" w:color="auto"/>
            </w:tcBorders>
          </w:tcPr>
          <w:p w14:paraId="7F50123C" w14:textId="77777777" w:rsidR="00B51828" w:rsidRPr="00B234A2" w:rsidRDefault="00B51828" w:rsidP="002101D2">
            <w:pPr>
              <w:spacing w:after="0"/>
              <w:ind w:left="0"/>
              <w:jc w:val="both"/>
              <w:rPr>
                <w:rFonts w:ascii="Tahoma" w:eastAsia="SimSun" w:hAnsi="Tahoma" w:cs="Tahoma"/>
                <w:b/>
                <w:sz w:val="18"/>
                <w:szCs w:val="20"/>
                <w:lang w:eastAsia="zh-CN"/>
              </w:rPr>
            </w:pPr>
            <w:r w:rsidRPr="00B234A2">
              <w:rPr>
                <w:rFonts w:ascii="Tahoma" w:eastAsia="SimSun" w:hAnsi="Tahoma" w:cs="Tahoma"/>
                <w:b/>
                <w:sz w:val="18"/>
                <w:szCs w:val="20"/>
                <w:lang w:eastAsia="zh-CN"/>
              </w:rPr>
              <w:t>GROUP P6 - CYTOLOGY</w:t>
            </w:r>
          </w:p>
        </w:tc>
      </w:tr>
      <w:tr w:rsidR="00B51828" w:rsidRPr="00B234A2" w14:paraId="0678D67C" w14:textId="77777777" w:rsidTr="002101D2">
        <w:tc>
          <w:tcPr>
            <w:tcW w:w="760" w:type="dxa"/>
            <w:tcBorders>
              <w:top w:val="single" w:sz="4" w:space="0" w:color="auto"/>
              <w:left w:val="single" w:sz="4" w:space="0" w:color="auto"/>
              <w:bottom w:val="single" w:sz="4" w:space="0" w:color="auto"/>
              <w:right w:val="single" w:sz="4" w:space="0" w:color="auto"/>
            </w:tcBorders>
          </w:tcPr>
          <w:p w14:paraId="3761DFA7"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73043</w:t>
            </w:r>
          </w:p>
        </w:tc>
        <w:tc>
          <w:tcPr>
            <w:tcW w:w="8395" w:type="dxa"/>
            <w:tcBorders>
              <w:top w:val="single" w:sz="4" w:space="0" w:color="auto"/>
              <w:left w:val="single" w:sz="4" w:space="0" w:color="auto"/>
              <w:bottom w:val="single" w:sz="4" w:space="0" w:color="auto"/>
              <w:right w:val="single" w:sz="4" w:space="0" w:color="auto"/>
            </w:tcBorders>
          </w:tcPr>
          <w:p w14:paraId="40CDCA42" w14:textId="77777777" w:rsidR="00B51828" w:rsidRPr="00B234A2" w:rsidRDefault="00B51828" w:rsidP="002101D2">
            <w:pPr>
              <w:pStyle w:val="Tabletextboldleft"/>
              <w:keepNext w:val="0"/>
              <w:widowControl w:val="0"/>
              <w:rPr>
                <w:rFonts w:eastAsia="SimSun"/>
                <w:b w:val="0"/>
                <w:lang w:eastAsia="zh-CN"/>
              </w:rPr>
            </w:pPr>
          </w:p>
          <w:p w14:paraId="31D50F7B"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(including serial examinations) of nipple discharge or smears from skin, lip, mouth, nose or anus for detection of precancerous or cancerous changes  1 or more tests</w:t>
            </w:r>
          </w:p>
          <w:p w14:paraId="55BFC2CA" w14:textId="77777777" w:rsidR="00B51828" w:rsidRPr="00B234A2" w:rsidRDefault="00B51828" w:rsidP="002101D2">
            <w:pPr>
              <w:pStyle w:val="Tabletextboldleft"/>
              <w:keepNext w:val="0"/>
              <w:widowControl w:val="0"/>
              <w:rPr>
                <w:rFonts w:eastAsia="SimSun"/>
                <w:b w:val="0"/>
                <w:lang w:eastAsia="zh-CN"/>
              </w:rPr>
            </w:pPr>
          </w:p>
          <w:p w14:paraId="38A0A8CF" w14:textId="77777777" w:rsidR="00B51828" w:rsidRPr="00B234A2" w:rsidRDefault="00B51828" w:rsidP="002101D2">
            <w:pPr>
              <w:pStyle w:val="Tabletextboldleft"/>
              <w:keepNext w:val="0"/>
              <w:widowControl w:val="0"/>
              <w:rPr>
                <w:rFonts w:eastAsia="SimSun"/>
                <w:b w:val="0"/>
                <w:lang w:eastAsia="zh-CN"/>
              </w:rPr>
            </w:pPr>
            <w:r w:rsidRPr="00B234A2">
              <w:rPr>
                <w:rFonts w:eastAsia="SimSun"/>
                <w:lang w:eastAsia="zh-CN"/>
              </w:rPr>
              <w:t>Fee:</w:t>
            </w:r>
            <w:r w:rsidRPr="00B234A2">
              <w:rPr>
                <w:rFonts w:eastAsia="SimSun"/>
                <w:b w:val="0"/>
                <w:lang w:eastAsia="zh-CN"/>
              </w:rPr>
              <w:t xml:space="preserve"> $22.85</w:t>
            </w:r>
            <w:r w:rsidRPr="00B234A2">
              <w:rPr>
                <w:rFonts w:eastAsia="SimSun"/>
                <w:b w:val="0"/>
                <w:lang w:eastAsia="zh-CN"/>
              </w:rPr>
              <w:tab/>
            </w:r>
            <w:r w:rsidRPr="00B234A2">
              <w:rPr>
                <w:rFonts w:eastAsia="SimSun"/>
                <w:lang w:eastAsia="zh-CN"/>
              </w:rPr>
              <w:t>Benefit:</w:t>
            </w:r>
            <w:r w:rsidRPr="00B234A2">
              <w:rPr>
                <w:rFonts w:eastAsia="SimSun"/>
                <w:b w:val="0"/>
                <w:lang w:eastAsia="zh-CN"/>
              </w:rPr>
              <w:t xml:space="preserve"> 75% = $17.15</w:t>
            </w:r>
            <w:r w:rsidRPr="00B234A2">
              <w:rPr>
                <w:rFonts w:eastAsia="SimSun"/>
                <w:b w:val="0"/>
                <w:lang w:eastAsia="zh-CN"/>
              </w:rPr>
              <w:tab/>
              <w:t>85% = $19.45</w:t>
            </w:r>
          </w:p>
        </w:tc>
      </w:tr>
      <w:tr w:rsidR="00B51828" w:rsidRPr="00B234A2" w14:paraId="54F13B65" w14:textId="77777777" w:rsidTr="002101D2">
        <w:tc>
          <w:tcPr>
            <w:tcW w:w="760" w:type="dxa"/>
            <w:tcBorders>
              <w:top w:val="single" w:sz="4" w:space="0" w:color="auto"/>
              <w:left w:val="single" w:sz="4" w:space="0" w:color="auto"/>
              <w:bottom w:val="single" w:sz="4" w:space="0" w:color="auto"/>
              <w:right w:val="single" w:sz="4" w:space="0" w:color="auto"/>
            </w:tcBorders>
          </w:tcPr>
          <w:p w14:paraId="64C8F8E2"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73045</w:t>
            </w:r>
          </w:p>
        </w:tc>
        <w:tc>
          <w:tcPr>
            <w:tcW w:w="8395" w:type="dxa"/>
            <w:tcBorders>
              <w:top w:val="single" w:sz="4" w:space="0" w:color="auto"/>
              <w:left w:val="single" w:sz="4" w:space="0" w:color="auto"/>
              <w:bottom w:val="single" w:sz="4" w:space="0" w:color="auto"/>
              <w:right w:val="single" w:sz="4" w:space="0" w:color="auto"/>
            </w:tcBorders>
          </w:tcPr>
          <w:p w14:paraId="0D00EBE4" w14:textId="77777777" w:rsidR="00B51828" w:rsidRPr="00B234A2" w:rsidRDefault="00B51828" w:rsidP="002101D2">
            <w:pPr>
              <w:pStyle w:val="Tabletextboldleft"/>
              <w:keepNext w:val="0"/>
              <w:widowControl w:val="0"/>
              <w:rPr>
                <w:rFonts w:eastAsia="SimSun"/>
                <w:b w:val="0"/>
                <w:lang w:eastAsia="zh-CN"/>
              </w:rPr>
            </w:pPr>
          </w:p>
          <w:p w14:paraId="776651FB"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(including serial examinations) for malignancy (other than an examination mentioned in item 73053); and including any Group P5 service, if performed on:</w:t>
            </w:r>
          </w:p>
          <w:p w14:paraId="2B640751"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(a)</w:t>
            </w:r>
            <w:r w:rsidRPr="00B234A2">
              <w:rPr>
                <w:rFonts w:eastAsia="SimSun"/>
                <w:b w:val="0"/>
                <w:lang w:eastAsia="zh-CN"/>
              </w:rPr>
              <w:tab/>
              <w:t>specimens resulting from washings or brushings from sites not specified in item 73043; or</w:t>
            </w:r>
          </w:p>
          <w:p w14:paraId="37796F17"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(b)</w:t>
            </w:r>
            <w:r w:rsidRPr="00B234A2">
              <w:rPr>
                <w:rFonts w:eastAsia="SimSun"/>
                <w:b w:val="0"/>
                <w:lang w:eastAsia="zh-CN"/>
              </w:rPr>
              <w:tab/>
              <w:t>a single specimen of sputum or urine; or</w:t>
            </w:r>
          </w:p>
          <w:p w14:paraId="48A795D4"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w:t>
            </w:r>
            <w:r w:rsidRPr="00B234A2">
              <w:rPr>
                <w:rFonts w:eastAsia="SimSun"/>
                <w:b w:val="0"/>
                <w:lang w:eastAsia="zh-CN"/>
              </w:rPr>
              <w:tab/>
              <w:t>1 or more specimens of other body fluids;</w:t>
            </w:r>
          </w:p>
          <w:p w14:paraId="602BC300"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1 or more tests</w:t>
            </w:r>
          </w:p>
          <w:p w14:paraId="09E4C0CD" w14:textId="77777777" w:rsidR="00B51828" w:rsidRPr="00B234A2" w:rsidRDefault="00B51828" w:rsidP="002101D2">
            <w:pPr>
              <w:pStyle w:val="Tabletextboldleft"/>
              <w:keepNext w:val="0"/>
              <w:widowControl w:val="0"/>
              <w:rPr>
                <w:rFonts w:eastAsia="SimSun"/>
                <w:b w:val="0"/>
                <w:lang w:eastAsia="zh-CN"/>
              </w:rPr>
            </w:pPr>
          </w:p>
          <w:p w14:paraId="27C53E3C" w14:textId="77777777" w:rsidR="00B51828" w:rsidRPr="00B234A2" w:rsidRDefault="00B51828" w:rsidP="002101D2">
            <w:pPr>
              <w:pStyle w:val="Tabletextboldleft"/>
              <w:keepNext w:val="0"/>
              <w:widowControl w:val="0"/>
              <w:rPr>
                <w:rFonts w:eastAsia="SimSun"/>
                <w:b w:val="0"/>
                <w:lang w:eastAsia="zh-CN"/>
              </w:rPr>
            </w:pPr>
            <w:r w:rsidRPr="00B234A2">
              <w:rPr>
                <w:rFonts w:eastAsia="SimSun"/>
                <w:lang w:eastAsia="zh-CN"/>
              </w:rPr>
              <w:t>Fee:</w:t>
            </w:r>
            <w:r w:rsidRPr="00B234A2">
              <w:rPr>
                <w:rFonts w:eastAsia="SimSun"/>
                <w:b w:val="0"/>
                <w:lang w:eastAsia="zh-CN"/>
              </w:rPr>
              <w:t xml:space="preserve"> $48.60</w:t>
            </w:r>
            <w:r w:rsidRPr="00B234A2">
              <w:rPr>
                <w:rFonts w:eastAsia="SimSun"/>
                <w:b w:val="0"/>
                <w:lang w:eastAsia="zh-CN"/>
              </w:rPr>
              <w:tab/>
            </w:r>
            <w:r w:rsidRPr="00B234A2">
              <w:rPr>
                <w:rFonts w:eastAsia="SimSun"/>
                <w:lang w:eastAsia="zh-CN"/>
              </w:rPr>
              <w:t>Benefit:</w:t>
            </w:r>
            <w:r w:rsidRPr="00B234A2">
              <w:rPr>
                <w:rFonts w:eastAsia="SimSun"/>
                <w:b w:val="0"/>
                <w:lang w:eastAsia="zh-CN"/>
              </w:rPr>
              <w:t xml:space="preserve"> 75% = $36.45</w:t>
            </w:r>
            <w:r w:rsidRPr="00B234A2">
              <w:rPr>
                <w:rFonts w:eastAsia="SimSun"/>
                <w:b w:val="0"/>
                <w:lang w:eastAsia="zh-CN"/>
              </w:rPr>
              <w:tab/>
              <w:t>85% = $41.35</w:t>
            </w:r>
          </w:p>
        </w:tc>
      </w:tr>
      <w:tr w:rsidR="00B51828" w:rsidRPr="00B234A2" w14:paraId="65235651" w14:textId="77777777" w:rsidTr="002101D2">
        <w:tc>
          <w:tcPr>
            <w:tcW w:w="760" w:type="dxa"/>
            <w:tcBorders>
              <w:top w:val="single" w:sz="4" w:space="0" w:color="auto"/>
              <w:left w:val="single" w:sz="4" w:space="0" w:color="auto"/>
              <w:bottom w:val="single" w:sz="4" w:space="0" w:color="auto"/>
              <w:right w:val="single" w:sz="4" w:space="0" w:color="auto"/>
            </w:tcBorders>
          </w:tcPr>
          <w:p w14:paraId="458062FD"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73047</w:t>
            </w:r>
          </w:p>
        </w:tc>
        <w:tc>
          <w:tcPr>
            <w:tcW w:w="8395" w:type="dxa"/>
            <w:tcBorders>
              <w:top w:val="single" w:sz="4" w:space="0" w:color="auto"/>
              <w:left w:val="single" w:sz="4" w:space="0" w:color="auto"/>
              <w:bottom w:val="single" w:sz="4" w:space="0" w:color="auto"/>
              <w:right w:val="single" w:sz="4" w:space="0" w:color="auto"/>
            </w:tcBorders>
          </w:tcPr>
          <w:p w14:paraId="696260D2" w14:textId="77777777" w:rsidR="00B51828" w:rsidRPr="00B234A2" w:rsidRDefault="00B51828" w:rsidP="002101D2">
            <w:pPr>
              <w:pStyle w:val="Tabletextboldleft"/>
              <w:keepNext w:val="0"/>
              <w:widowControl w:val="0"/>
              <w:rPr>
                <w:rFonts w:eastAsia="SimSun"/>
                <w:b w:val="0"/>
                <w:lang w:eastAsia="zh-CN"/>
              </w:rPr>
            </w:pPr>
          </w:p>
          <w:p w14:paraId="7E293B1E"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of a series of 3 sputum or urine specimens for malignant cells</w:t>
            </w:r>
          </w:p>
          <w:p w14:paraId="0ECDDE25" w14:textId="77777777" w:rsidR="00B51828" w:rsidRPr="00B234A2" w:rsidRDefault="00B51828" w:rsidP="002101D2">
            <w:pPr>
              <w:pStyle w:val="Tabletextboldleft"/>
              <w:keepNext w:val="0"/>
              <w:widowControl w:val="0"/>
              <w:rPr>
                <w:rFonts w:eastAsia="SimSun"/>
                <w:b w:val="0"/>
                <w:lang w:eastAsia="zh-CN"/>
              </w:rPr>
            </w:pPr>
          </w:p>
          <w:p w14:paraId="0ACFE8D1" w14:textId="77777777" w:rsidR="00B51828" w:rsidRPr="00B234A2" w:rsidRDefault="00B51828" w:rsidP="002101D2">
            <w:pPr>
              <w:pStyle w:val="Tabletextboldleft"/>
              <w:keepNext w:val="0"/>
              <w:widowControl w:val="0"/>
              <w:rPr>
                <w:rFonts w:eastAsia="SimSun"/>
                <w:b w:val="0"/>
                <w:lang w:eastAsia="zh-CN"/>
              </w:rPr>
            </w:pPr>
            <w:r w:rsidRPr="00B234A2">
              <w:rPr>
                <w:rFonts w:eastAsia="SimSun"/>
                <w:lang w:eastAsia="zh-CN"/>
              </w:rPr>
              <w:t>Fee:</w:t>
            </w:r>
            <w:r w:rsidRPr="00B234A2">
              <w:rPr>
                <w:rFonts w:eastAsia="SimSun"/>
                <w:b w:val="0"/>
                <w:lang w:eastAsia="zh-CN"/>
              </w:rPr>
              <w:t xml:space="preserve"> $94.70</w:t>
            </w:r>
            <w:r w:rsidRPr="00B234A2">
              <w:rPr>
                <w:rFonts w:eastAsia="SimSun"/>
                <w:b w:val="0"/>
                <w:lang w:eastAsia="zh-CN"/>
              </w:rPr>
              <w:tab/>
            </w:r>
            <w:r w:rsidRPr="00B234A2">
              <w:rPr>
                <w:rFonts w:eastAsia="SimSun"/>
                <w:lang w:eastAsia="zh-CN"/>
              </w:rPr>
              <w:t>Benefit:</w:t>
            </w:r>
            <w:r w:rsidRPr="00B234A2">
              <w:rPr>
                <w:rFonts w:eastAsia="SimSun"/>
                <w:b w:val="0"/>
                <w:lang w:eastAsia="zh-CN"/>
              </w:rPr>
              <w:t xml:space="preserve"> 75% = $71.05</w:t>
            </w:r>
            <w:r w:rsidRPr="00B234A2">
              <w:rPr>
                <w:rFonts w:eastAsia="SimSun"/>
                <w:b w:val="0"/>
                <w:lang w:eastAsia="zh-CN"/>
              </w:rPr>
              <w:tab/>
              <w:t>85% = $80.50</w:t>
            </w:r>
          </w:p>
        </w:tc>
      </w:tr>
      <w:tr w:rsidR="00B51828" w:rsidRPr="00B234A2" w14:paraId="3C5199AF" w14:textId="77777777" w:rsidTr="002101D2">
        <w:tc>
          <w:tcPr>
            <w:tcW w:w="760" w:type="dxa"/>
            <w:tcBorders>
              <w:top w:val="single" w:sz="4" w:space="0" w:color="auto"/>
              <w:left w:val="single" w:sz="4" w:space="0" w:color="auto"/>
              <w:bottom w:val="single" w:sz="4" w:space="0" w:color="auto"/>
              <w:right w:val="single" w:sz="4" w:space="0" w:color="auto"/>
            </w:tcBorders>
          </w:tcPr>
          <w:p w14:paraId="17B34AB4"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73049</w:t>
            </w:r>
          </w:p>
        </w:tc>
        <w:tc>
          <w:tcPr>
            <w:tcW w:w="8395" w:type="dxa"/>
            <w:tcBorders>
              <w:top w:val="single" w:sz="4" w:space="0" w:color="auto"/>
              <w:left w:val="single" w:sz="4" w:space="0" w:color="auto"/>
              <w:bottom w:val="single" w:sz="4" w:space="0" w:color="auto"/>
              <w:right w:val="single" w:sz="4" w:space="0" w:color="auto"/>
            </w:tcBorders>
          </w:tcPr>
          <w:p w14:paraId="544596BC" w14:textId="77777777" w:rsidR="00B51828" w:rsidRPr="00B234A2" w:rsidRDefault="00B51828" w:rsidP="002101D2">
            <w:pPr>
              <w:pStyle w:val="Tabletextboldleft"/>
              <w:keepNext w:val="0"/>
              <w:widowControl w:val="0"/>
              <w:rPr>
                <w:rFonts w:eastAsia="SimSun"/>
                <w:b w:val="0"/>
                <w:lang w:eastAsia="zh-CN"/>
              </w:rPr>
            </w:pPr>
          </w:p>
          <w:p w14:paraId="0CB47EBF"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of material obtained directly from a patient by fine needle aspiration of solid tissue or tissues - 1 identified site</w:t>
            </w:r>
          </w:p>
          <w:p w14:paraId="036F0DB4" w14:textId="77777777" w:rsidR="00B51828" w:rsidRPr="00B234A2" w:rsidRDefault="00B51828" w:rsidP="002101D2">
            <w:pPr>
              <w:pStyle w:val="Tabletextboldleft"/>
              <w:keepNext w:val="0"/>
              <w:widowControl w:val="0"/>
              <w:rPr>
                <w:rFonts w:eastAsia="SimSun"/>
                <w:b w:val="0"/>
                <w:lang w:eastAsia="zh-CN"/>
              </w:rPr>
            </w:pPr>
          </w:p>
          <w:p w14:paraId="566D5B3A" w14:textId="77777777" w:rsidR="00B51828" w:rsidRPr="00B234A2" w:rsidRDefault="00B51828" w:rsidP="002101D2">
            <w:pPr>
              <w:pStyle w:val="Tabletextboldleft"/>
              <w:keepNext w:val="0"/>
              <w:widowControl w:val="0"/>
              <w:rPr>
                <w:rFonts w:eastAsia="SimSun"/>
                <w:b w:val="0"/>
                <w:lang w:eastAsia="zh-CN"/>
              </w:rPr>
            </w:pPr>
            <w:r w:rsidRPr="00B234A2">
              <w:rPr>
                <w:rFonts w:eastAsia="SimSun"/>
                <w:lang w:eastAsia="zh-CN"/>
              </w:rPr>
              <w:t>Fee:</w:t>
            </w:r>
            <w:r w:rsidRPr="00B234A2">
              <w:rPr>
                <w:rFonts w:eastAsia="SimSun"/>
                <w:b w:val="0"/>
                <w:lang w:eastAsia="zh-CN"/>
              </w:rPr>
              <w:t xml:space="preserve"> $68.15</w:t>
            </w:r>
            <w:r w:rsidRPr="00B234A2">
              <w:rPr>
                <w:rFonts w:eastAsia="SimSun"/>
                <w:b w:val="0"/>
                <w:lang w:eastAsia="zh-CN"/>
              </w:rPr>
              <w:tab/>
            </w:r>
            <w:r w:rsidRPr="00B234A2">
              <w:rPr>
                <w:rFonts w:eastAsia="SimSun"/>
                <w:lang w:eastAsia="zh-CN"/>
              </w:rPr>
              <w:t>Benefit:</w:t>
            </w:r>
            <w:r w:rsidRPr="00B234A2">
              <w:rPr>
                <w:rFonts w:eastAsia="SimSun"/>
                <w:b w:val="0"/>
                <w:lang w:eastAsia="zh-CN"/>
              </w:rPr>
              <w:t xml:space="preserve"> 75% = $51.15</w:t>
            </w:r>
            <w:r w:rsidRPr="00B234A2">
              <w:rPr>
                <w:rFonts w:eastAsia="SimSun"/>
                <w:b w:val="0"/>
                <w:lang w:eastAsia="zh-CN"/>
              </w:rPr>
              <w:tab/>
              <w:t>85% = $57.95</w:t>
            </w:r>
          </w:p>
        </w:tc>
      </w:tr>
      <w:tr w:rsidR="00B51828" w:rsidRPr="00B234A2" w14:paraId="465BF4C8" w14:textId="77777777" w:rsidTr="002101D2">
        <w:tc>
          <w:tcPr>
            <w:tcW w:w="760" w:type="dxa"/>
            <w:tcBorders>
              <w:top w:val="single" w:sz="4" w:space="0" w:color="auto"/>
              <w:left w:val="single" w:sz="4" w:space="0" w:color="auto"/>
              <w:bottom w:val="single" w:sz="4" w:space="0" w:color="auto"/>
              <w:right w:val="single" w:sz="4" w:space="0" w:color="auto"/>
            </w:tcBorders>
          </w:tcPr>
          <w:p w14:paraId="2181B1B5"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73051</w:t>
            </w:r>
          </w:p>
        </w:tc>
        <w:tc>
          <w:tcPr>
            <w:tcW w:w="8395" w:type="dxa"/>
            <w:tcBorders>
              <w:top w:val="single" w:sz="4" w:space="0" w:color="auto"/>
              <w:left w:val="single" w:sz="4" w:space="0" w:color="auto"/>
              <w:bottom w:val="single" w:sz="4" w:space="0" w:color="auto"/>
              <w:right w:val="single" w:sz="4" w:space="0" w:color="auto"/>
            </w:tcBorders>
          </w:tcPr>
          <w:p w14:paraId="078B2C26" w14:textId="77777777" w:rsidR="00B51828" w:rsidRPr="00B234A2" w:rsidRDefault="00B51828" w:rsidP="002101D2">
            <w:pPr>
              <w:pStyle w:val="Tabletextboldleft"/>
              <w:keepNext w:val="0"/>
              <w:widowControl w:val="0"/>
              <w:rPr>
                <w:rFonts w:eastAsia="SimSun"/>
                <w:b w:val="0"/>
                <w:lang w:eastAsia="zh-CN"/>
              </w:rPr>
            </w:pPr>
          </w:p>
          <w:p w14:paraId="0129548C"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of material obtained directly from a patient at one identified site by fine needle aspiration of solid tissue or tissues if a recognized pathologist:</w:t>
            </w:r>
          </w:p>
          <w:p w14:paraId="299D2ED1"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(a)</w:t>
            </w:r>
            <w:r w:rsidRPr="00B234A2">
              <w:rPr>
                <w:rFonts w:eastAsia="SimSun"/>
                <w:b w:val="0"/>
                <w:lang w:eastAsia="zh-CN"/>
              </w:rPr>
              <w:tab/>
              <w:t>performs the aspiration; or</w:t>
            </w:r>
          </w:p>
          <w:p w14:paraId="0E19C4FF"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(b)</w:t>
            </w:r>
            <w:r w:rsidRPr="00B234A2">
              <w:rPr>
                <w:rFonts w:eastAsia="SimSun"/>
                <w:b w:val="0"/>
                <w:lang w:eastAsia="zh-CN"/>
              </w:rPr>
              <w:tab/>
              <w:t>attends the aspiration and performs cytological examination during the attendance</w:t>
            </w:r>
          </w:p>
          <w:p w14:paraId="0DA72B0A" w14:textId="77777777" w:rsidR="00B51828" w:rsidRPr="00B234A2" w:rsidRDefault="00B51828" w:rsidP="002101D2">
            <w:pPr>
              <w:pStyle w:val="Tabletextboldleft"/>
              <w:keepNext w:val="0"/>
              <w:widowControl w:val="0"/>
              <w:rPr>
                <w:rFonts w:eastAsia="SimSun"/>
                <w:b w:val="0"/>
                <w:lang w:eastAsia="zh-CN"/>
              </w:rPr>
            </w:pPr>
          </w:p>
          <w:p w14:paraId="612AE9E6" w14:textId="77777777" w:rsidR="00B51828" w:rsidRPr="00B234A2" w:rsidRDefault="00B51828" w:rsidP="002101D2">
            <w:pPr>
              <w:pStyle w:val="Tabletextboldleft"/>
              <w:keepNext w:val="0"/>
              <w:widowControl w:val="0"/>
              <w:rPr>
                <w:rFonts w:eastAsia="SimSun"/>
                <w:b w:val="0"/>
                <w:lang w:eastAsia="zh-CN"/>
              </w:rPr>
            </w:pPr>
            <w:r w:rsidRPr="00B234A2">
              <w:rPr>
                <w:rFonts w:eastAsia="SimSun"/>
                <w:lang w:eastAsia="zh-CN"/>
              </w:rPr>
              <w:t>Fee:</w:t>
            </w:r>
            <w:r w:rsidRPr="00B234A2">
              <w:rPr>
                <w:rFonts w:eastAsia="SimSun"/>
                <w:b w:val="0"/>
                <w:lang w:eastAsia="zh-CN"/>
              </w:rPr>
              <w:t xml:space="preserve"> $170.35</w:t>
            </w:r>
            <w:r w:rsidRPr="00B234A2">
              <w:rPr>
                <w:rFonts w:eastAsia="SimSun"/>
                <w:b w:val="0"/>
                <w:lang w:eastAsia="zh-CN"/>
              </w:rPr>
              <w:tab/>
            </w:r>
            <w:r w:rsidRPr="00B234A2">
              <w:rPr>
                <w:rFonts w:eastAsia="SimSun"/>
                <w:lang w:eastAsia="zh-CN"/>
              </w:rPr>
              <w:t>Benefit:</w:t>
            </w:r>
            <w:r w:rsidRPr="00B234A2">
              <w:rPr>
                <w:rFonts w:eastAsia="SimSun"/>
                <w:b w:val="0"/>
                <w:lang w:eastAsia="zh-CN"/>
              </w:rPr>
              <w:t xml:space="preserve"> 75% = $127.80</w:t>
            </w:r>
            <w:r w:rsidRPr="00B234A2">
              <w:rPr>
                <w:rFonts w:eastAsia="SimSun"/>
                <w:b w:val="0"/>
                <w:lang w:eastAsia="zh-CN"/>
              </w:rPr>
              <w:tab/>
              <w:t>85% = $144.80</w:t>
            </w:r>
          </w:p>
        </w:tc>
      </w:tr>
      <w:tr w:rsidR="00B51828" w:rsidRPr="00B234A2" w14:paraId="65775964" w14:textId="77777777" w:rsidTr="002101D2">
        <w:tc>
          <w:tcPr>
            <w:tcW w:w="760" w:type="dxa"/>
            <w:tcBorders>
              <w:top w:val="single" w:sz="4" w:space="0" w:color="auto"/>
              <w:left w:val="single" w:sz="4" w:space="0" w:color="auto"/>
              <w:bottom w:val="single" w:sz="4" w:space="0" w:color="auto"/>
              <w:right w:val="single" w:sz="4" w:space="0" w:color="auto"/>
            </w:tcBorders>
          </w:tcPr>
          <w:p w14:paraId="50CA851B" w14:textId="77777777" w:rsidR="00B51828" w:rsidRPr="00B234A2" w:rsidRDefault="00B51828" w:rsidP="002101D2">
            <w:pPr>
              <w:pStyle w:val="Tabletextboldleft"/>
              <w:rPr>
                <w:rFonts w:eastAsia="SimSun"/>
                <w:b w:val="0"/>
                <w:lang w:eastAsia="zh-CN"/>
              </w:rPr>
            </w:pPr>
            <w:r w:rsidRPr="00B234A2">
              <w:rPr>
                <w:rFonts w:eastAsia="SimSun"/>
                <w:b w:val="0"/>
                <w:lang w:eastAsia="zh-CN"/>
              </w:rPr>
              <w:t>73053</w:t>
            </w:r>
          </w:p>
        </w:tc>
        <w:tc>
          <w:tcPr>
            <w:tcW w:w="8395" w:type="dxa"/>
            <w:tcBorders>
              <w:top w:val="single" w:sz="4" w:space="0" w:color="auto"/>
              <w:left w:val="single" w:sz="4" w:space="0" w:color="auto"/>
              <w:bottom w:val="single" w:sz="4" w:space="0" w:color="auto"/>
              <w:right w:val="single" w:sz="4" w:space="0" w:color="auto"/>
            </w:tcBorders>
          </w:tcPr>
          <w:p w14:paraId="04613E98" w14:textId="77777777" w:rsidR="00B51828" w:rsidRPr="00B234A2" w:rsidRDefault="00B51828" w:rsidP="002101D2">
            <w:pPr>
              <w:pStyle w:val="Tabletextboldleft"/>
              <w:rPr>
                <w:rFonts w:eastAsia="SimSun"/>
                <w:b w:val="0"/>
                <w:lang w:eastAsia="zh-CN"/>
              </w:rPr>
            </w:pPr>
          </w:p>
          <w:p w14:paraId="21AB0245" w14:textId="77777777" w:rsidR="00B51828" w:rsidRPr="00B234A2" w:rsidRDefault="00B51828" w:rsidP="002101D2">
            <w:pPr>
              <w:pStyle w:val="Tabletextboldleft"/>
              <w:rPr>
                <w:rFonts w:eastAsia="SimSun"/>
                <w:b w:val="0"/>
                <w:lang w:eastAsia="zh-CN"/>
              </w:rPr>
            </w:pPr>
            <w:r w:rsidRPr="00B234A2">
              <w:rPr>
                <w:rFonts w:eastAsia="SimSun"/>
                <w:b w:val="0"/>
                <w:lang w:eastAsia="zh-CN"/>
              </w:rPr>
              <w:t>Cytology of a smear from cervix where the smear is prepared by direct application of the specimen to a slide, excluding the use of liquid based slide preparation techniques, and the stained smear is microscopically examined by or on behalf of a pathologist - each examination</w:t>
            </w:r>
          </w:p>
          <w:p w14:paraId="3882DB9F" w14:textId="77777777" w:rsidR="00B51828" w:rsidRPr="00B234A2" w:rsidRDefault="00B51828" w:rsidP="002101D2">
            <w:pPr>
              <w:pStyle w:val="Tabletextboldleft"/>
              <w:rPr>
                <w:rFonts w:eastAsia="SimSun"/>
                <w:b w:val="0"/>
                <w:lang w:eastAsia="zh-CN"/>
              </w:rPr>
            </w:pPr>
            <w:r w:rsidRPr="00B234A2">
              <w:rPr>
                <w:rFonts w:eastAsia="SimSun"/>
                <w:b w:val="0"/>
                <w:lang w:eastAsia="zh-CN"/>
              </w:rPr>
              <w:t>(a)</w:t>
            </w:r>
            <w:r w:rsidRPr="00B234A2">
              <w:rPr>
                <w:rFonts w:eastAsia="SimSun"/>
                <w:b w:val="0"/>
                <w:lang w:eastAsia="zh-CN"/>
              </w:rPr>
              <w:tab/>
            </w:r>
            <w:r w:rsidRPr="00B234A2">
              <w:rPr>
                <w:rFonts w:eastAsia="SimSun"/>
                <w:b w:val="0"/>
                <w:lang w:eastAsia="zh-CN"/>
              </w:rPr>
              <w:tab/>
              <w:t>for the detection of precancerous or cancerous changes in women with no symptoms, signs or recent history suggestive of cervical neoplasia, or</w:t>
            </w:r>
          </w:p>
          <w:p w14:paraId="0F303257" w14:textId="77777777" w:rsidR="00B51828" w:rsidRPr="00B234A2" w:rsidRDefault="00B51828" w:rsidP="002101D2">
            <w:pPr>
              <w:pStyle w:val="Tabletextboldleft"/>
              <w:rPr>
                <w:rFonts w:eastAsia="SimSun"/>
                <w:b w:val="0"/>
                <w:lang w:eastAsia="zh-CN"/>
              </w:rPr>
            </w:pPr>
            <w:r w:rsidRPr="00B234A2">
              <w:rPr>
                <w:rFonts w:eastAsia="SimSun"/>
                <w:b w:val="0"/>
                <w:lang w:eastAsia="zh-CN"/>
              </w:rPr>
              <w:t>(b)</w:t>
            </w:r>
            <w:r w:rsidRPr="00B234A2">
              <w:rPr>
                <w:rFonts w:eastAsia="SimSun"/>
                <w:b w:val="0"/>
                <w:lang w:eastAsia="zh-CN"/>
              </w:rPr>
              <w:tab/>
            </w:r>
            <w:r w:rsidRPr="00B234A2">
              <w:rPr>
                <w:rFonts w:eastAsia="SimSun"/>
                <w:b w:val="0"/>
                <w:lang w:eastAsia="zh-CN"/>
              </w:rPr>
              <w:tab/>
              <w:t>if a further specimen is taken due to an unsatisfactory smear taken for the purposes of paragraph (a); or</w:t>
            </w:r>
          </w:p>
          <w:p w14:paraId="4707E356" w14:textId="77777777" w:rsidR="00B51828" w:rsidRPr="00B234A2" w:rsidRDefault="00B51828" w:rsidP="002101D2">
            <w:pPr>
              <w:pStyle w:val="Tabletextboldleft"/>
              <w:rPr>
                <w:rFonts w:eastAsia="SimSun"/>
                <w:b w:val="0"/>
                <w:lang w:eastAsia="zh-CN"/>
              </w:rPr>
            </w:pPr>
            <w:r w:rsidRPr="00B234A2">
              <w:rPr>
                <w:rFonts w:eastAsia="SimSun"/>
                <w:b w:val="0"/>
                <w:lang w:eastAsia="zh-CN"/>
              </w:rPr>
              <w:t>(c)</w:t>
            </w:r>
            <w:r w:rsidRPr="00B234A2">
              <w:rPr>
                <w:rFonts w:eastAsia="SimSun"/>
                <w:b w:val="0"/>
                <w:lang w:eastAsia="zh-CN"/>
              </w:rPr>
              <w:tab/>
            </w:r>
            <w:r w:rsidRPr="00B234A2">
              <w:rPr>
                <w:rFonts w:eastAsia="SimSun"/>
                <w:b w:val="0"/>
                <w:lang w:eastAsia="zh-CN"/>
              </w:rPr>
              <w:tab/>
              <w:t>if there is inadequate information provided to use item 73055;</w:t>
            </w:r>
          </w:p>
          <w:p w14:paraId="14A928C5" w14:textId="77777777" w:rsidR="00B51828" w:rsidRPr="00B234A2" w:rsidRDefault="00B51828" w:rsidP="002101D2">
            <w:pPr>
              <w:pStyle w:val="Tabletextboldleft"/>
              <w:rPr>
                <w:rFonts w:eastAsia="SimSun"/>
                <w:b w:val="0"/>
                <w:lang w:eastAsia="zh-CN"/>
              </w:rPr>
            </w:pPr>
            <w:r w:rsidRPr="00B234A2">
              <w:rPr>
                <w:rFonts w:eastAsia="SimSun"/>
                <w:b w:val="0"/>
                <w:lang w:eastAsia="zh-CN"/>
              </w:rPr>
              <w:t>(See para P16.11 of explanatory notes to this Category)</w:t>
            </w:r>
          </w:p>
          <w:p w14:paraId="388DCED4" w14:textId="77777777" w:rsidR="00B51828" w:rsidRPr="00B234A2" w:rsidRDefault="00B51828" w:rsidP="002101D2">
            <w:pPr>
              <w:pStyle w:val="Tabletextboldleft"/>
              <w:rPr>
                <w:rFonts w:eastAsia="SimSun"/>
                <w:b w:val="0"/>
                <w:lang w:eastAsia="zh-CN"/>
              </w:rPr>
            </w:pPr>
          </w:p>
          <w:p w14:paraId="33447CE0" w14:textId="77777777" w:rsidR="00B51828" w:rsidRPr="00B234A2" w:rsidRDefault="00B51828" w:rsidP="002101D2">
            <w:pPr>
              <w:pStyle w:val="Tabletextboldleft"/>
              <w:rPr>
                <w:rFonts w:eastAsia="SimSun"/>
                <w:b w:val="0"/>
                <w:lang w:eastAsia="zh-CN"/>
              </w:rPr>
            </w:pPr>
            <w:r w:rsidRPr="00B234A2">
              <w:rPr>
                <w:rFonts w:eastAsia="SimSun"/>
                <w:lang w:eastAsia="zh-CN"/>
              </w:rPr>
              <w:t xml:space="preserve">Fee: </w:t>
            </w:r>
            <w:r w:rsidRPr="00B234A2">
              <w:rPr>
                <w:rFonts w:eastAsia="SimSun"/>
                <w:b w:val="0"/>
                <w:lang w:eastAsia="zh-CN"/>
              </w:rPr>
              <w:t>$19.45</w:t>
            </w:r>
            <w:r w:rsidRPr="00B234A2">
              <w:rPr>
                <w:rFonts w:eastAsia="SimSun"/>
                <w:b w:val="0"/>
                <w:lang w:eastAsia="zh-CN"/>
              </w:rPr>
              <w:tab/>
            </w:r>
            <w:r w:rsidRPr="00B234A2">
              <w:rPr>
                <w:rFonts w:eastAsia="SimSun"/>
                <w:lang w:eastAsia="zh-CN"/>
              </w:rPr>
              <w:t>Benefit:</w:t>
            </w:r>
            <w:r w:rsidRPr="00B234A2">
              <w:rPr>
                <w:rFonts w:eastAsia="SimSun"/>
                <w:b w:val="0"/>
                <w:lang w:eastAsia="zh-CN"/>
              </w:rPr>
              <w:t xml:space="preserve"> 75% = $14.60</w:t>
            </w:r>
            <w:r w:rsidRPr="00B234A2">
              <w:rPr>
                <w:rFonts w:eastAsia="SimSun"/>
                <w:b w:val="0"/>
                <w:lang w:eastAsia="zh-CN"/>
              </w:rPr>
              <w:tab/>
              <w:t>85% = $16.55</w:t>
            </w:r>
          </w:p>
        </w:tc>
      </w:tr>
      <w:tr w:rsidR="00B51828" w:rsidRPr="00B234A2" w14:paraId="1E67B736" w14:textId="77777777" w:rsidTr="002101D2">
        <w:tc>
          <w:tcPr>
            <w:tcW w:w="760" w:type="dxa"/>
            <w:tcBorders>
              <w:top w:val="single" w:sz="4" w:space="0" w:color="auto"/>
              <w:left w:val="single" w:sz="4" w:space="0" w:color="auto"/>
              <w:bottom w:val="single" w:sz="4" w:space="0" w:color="auto"/>
              <w:right w:val="single" w:sz="4" w:space="0" w:color="auto"/>
            </w:tcBorders>
          </w:tcPr>
          <w:p w14:paraId="2EAD3E20"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73055</w:t>
            </w:r>
          </w:p>
        </w:tc>
        <w:tc>
          <w:tcPr>
            <w:tcW w:w="8395" w:type="dxa"/>
            <w:tcBorders>
              <w:top w:val="single" w:sz="4" w:space="0" w:color="auto"/>
              <w:left w:val="single" w:sz="4" w:space="0" w:color="auto"/>
              <w:bottom w:val="single" w:sz="4" w:space="0" w:color="auto"/>
              <w:right w:val="single" w:sz="4" w:space="0" w:color="auto"/>
            </w:tcBorders>
          </w:tcPr>
          <w:p w14:paraId="47352193" w14:textId="77777777" w:rsidR="00B51828" w:rsidRPr="00B234A2" w:rsidRDefault="00B51828" w:rsidP="002101D2">
            <w:pPr>
              <w:pStyle w:val="Tabletextboldleft"/>
              <w:keepNext w:val="0"/>
              <w:widowControl w:val="0"/>
              <w:rPr>
                <w:rFonts w:eastAsia="SimSun"/>
                <w:b w:val="0"/>
                <w:lang w:eastAsia="zh-CN"/>
              </w:rPr>
            </w:pPr>
          </w:p>
          <w:p w14:paraId="5C55D6F9"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of a smear from cervix, not associated with item 73053, where the smear is prepared by direct application of the specimen to a slide, excluding the use of liquid based slide preparation techniques, and the stained smear is microscopically examined by or on behalf of a pathologist - each test</w:t>
            </w:r>
          </w:p>
          <w:p w14:paraId="6424EEBD"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(a)</w:t>
            </w:r>
            <w:r w:rsidRPr="00B234A2">
              <w:rPr>
                <w:rFonts w:eastAsia="SimSun"/>
                <w:b w:val="0"/>
                <w:lang w:eastAsia="zh-CN"/>
              </w:rPr>
              <w:tab/>
              <w:t>for the management of previously detected abnormalities including precancerous or cancerous conditions; or</w:t>
            </w:r>
          </w:p>
          <w:p w14:paraId="77E7B228"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(b)</w:t>
            </w:r>
            <w:r w:rsidRPr="00B234A2">
              <w:rPr>
                <w:rFonts w:eastAsia="SimSun"/>
                <w:b w:val="0"/>
                <w:lang w:eastAsia="zh-CN"/>
              </w:rPr>
              <w:tab/>
              <w:t>for the investigation of women with symptoms, signs or recent history suggestive of cervical neoplasia;</w:t>
            </w:r>
          </w:p>
          <w:p w14:paraId="0EAA9F25"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(See para P16.11 of explanatory notes to this Category)</w:t>
            </w:r>
          </w:p>
          <w:p w14:paraId="42A81699" w14:textId="77777777" w:rsidR="00B51828" w:rsidRPr="00B234A2" w:rsidRDefault="00B51828" w:rsidP="002101D2">
            <w:pPr>
              <w:pStyle w:val="Tabletextboldleft"/>
              <w:keepNext w:val="0"/>
              <w:widowControl w:val="0"/>
              <w:rPr>
                <w:rFonts w:eastAsia="SimSun"/>
                <w:b w:val="0"/>
                <w:lang w:eastAsia="zh-CN"/>
              </w:rPr>
            </w:pPr>
          </w:p>
          <w:p w14:paraId="4577C259" w14:textId="77777777" w:rsidR="00B51828" w:rsidRPr="00B234A2" w:rsidRDefault="00B51828" w:rsidP="002101D2">
            <w:pPr>
              <w:pStyle w:val="Tabletextboldleft"/>
              <w:keepNext w:val="0"/>
              <w:widowControl w:val="0"/>
              <w:rPr>
                <w:rFonts w:eastAsia="SimSun"/>
                <w:b w:val="0"/>
                <w:lang w:eastAsia="zh-CN"/>
              </w:rPr>
            </w:pPr>
            <w:r w:rsidRPr="00B234A2">
              <w:rPr>
                <w:rFonts w:eastAsia="SimSun"/>
                <w:lang w:eastAsia="zh-CN"/>
              </w:rPr>
              <w:t>Fee:</w:t>
            </w:r>
            <w:r w:rsidRPr="00B234A2">
              <w:rPr>
                <w:rFonts w:eastAsia="SimSun"/>
                <w:b w:val="0"/>
                <w:lang w:eastAsia="zh-CN"/>
              </w:rPr>
              <w:t xml:space="preserve"> $19.45</w:t>
            </w:r>
            <w:r w:rsidRPr="00B234A2">
              <w:rPr>
                <w:rFonts w:eastAsia="SimSun"/>
                <w:b w:val="0"/>
                <w:lang w:eastAsia="zh-CN"/>
              </w:rPr>
              <w:tab/>
            </w:r>
            <w:r w:rsidRPr="00B234A2">
              <w:rPr>
                <w:rFonts w:eastAsia="SimSun"/>
                <w:lang w:eastAsia="zh-CN"/>
              </w:rPr>
              <w:t>Benefit:</w:t>
            </w:r>
            <w:r w:rsidRPr="00B234A2">
              <w:rPr>
                <w:rFonts w:eastAsia="SimSun"/>
                <w:b w:val="0"/>
                <w:lang w:eastAsia="zh-CN"/>
              </w:rPr>
              <w:t xml:space="preserve"> 75% = $14.60</w:t>
            </w:r>
            <w:r w:rsidRPr="00B234A2">
              <w:rPr>
                <w:rFonts w:eastAsia="SimSun"/>
                <w:b w:val="0"/>
                <w:lang w:eastAsia="zh-CN"/>
              </w:rPr>
              <w:tab/>
              <w:t>85% = $16.55</w:t>
            </w:r>
          </w:p>
        </w:tc>
      </w:tr>
      <w:tr w:rsidR="00B51828" w:rsidRPr="00B234A2" w14:paraId="6AE2A986" w14:textId="77777777" w:rsidTr="002101D2">
        <w:tc>
          <w:tcPr>
            <w:tcW w:w="760" w:type="dxa"/>
            <w:tcBorders>
              <w:top w:val="single" w:sz="4" w:space="0" w:color="auto"/>
              <w:left w:val="single" w:sz="4" w:space="0" w:color="auto"/>
              <w:bottom w:val="single" w:sz="4" w:space="0" w:color="auto"/>
              <w:right w:val="single" w:sz="4" w:space="0" w:color="auto"/>
            </w:tcBorders>
          </w:tcPr>
          <w:p w14:paraId="0BEC5528"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lastRenderedPageBreak/>
              <w:t>73057</w:t>
            </w:r>
          </w:p>
        </w:tc>
        <w:tc>
          <w:tcPr>
            <w:tcW w:w="8395" w:type="dxa"/>
            <w:tcBorders>
              <w:top w:val="single" w:sz="4" w:space="0" w:color="auto"/>
              <w:left w:val="single" w:sz="4" w:space="0" w:color="auto"/>
              <w:bottom w:val="single" w:sz="4" w:space="0" w:color="auto"/>
              <w:right w:val="single" w:sz="4" w:space="0" w:color="auto"/>
            </w:tcBorders>
          </w:tcPr>
          <w:p w14:paraId="048B9E66" w14:textId="77777777" w:rsidR="00B51828" w:rsidRPr="00B234A2" w:rsidRDefault="00B51828" w:rsidP="002101D2">
            <w:pPr>
              <w:pStyle w:val="Tabletextboldleft"/>
              <w:keepNext w:val="0"/>
              <w:widowControl w:val="0"/>
              <w:rPr>
                <w:rFonts w:eastAsia="SimSun"/>
                <w:b w:val="0"/>
                <w:lang w:eastAsia="zh-CN"/>
              </w:rPr>
            </w:pPr>
          </w:p>
          <w:p w14:paraId="7B4871BD"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of smears from vagina, not associated with item 73053 or 73055 and not to monitor hormone replacement therapy, where the smear is prepared by direct application of the specimen to a slide, excluding the use of liquid based slide preparation techniques, and the stained smear is microscopically examined by or on behalf of a pathologist - each test</w:t>
            </w:r>
          </w:p>
          <w:p w14:paraId="254052D4"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(See para P16.11 of explanatory notes to this Category)</w:t>
            </w:r>
          </w:p>
          <w:p w14:paraId="2FB64989" w14:textId="77777777" w:rsidR="00B51828" w:rsidRPr="00B234A2" w:rsidRDefault="00B51828" w:rsidP="002101D2">
            <w:pPr>
              <w:pStyle w:val="Tabletextboldleft"/>
              <w:keepNext w:val="0"/>
              <w:widowControl w:val="0"/>
              <w:rPr>
                <w:rFonts w:eastAsia="SimSun"/>
                <w:b w:val="0"/>
                <w:lang w:eastAsia="zh-CN"/>
              </w:rPr>
            </w:pPr>
          </w:p>
          <w:p w14:paraId="7F2FE149" w14:textId="77777777" w:rsidR="00B51828" w:rsidRPr="00B234A2" w:rsidRDefault="00B51828" w:rsidP="002101D2">
            <w:pPr>
              <w:pStyle w:val="Tabletextboldleft"/>
              <w:keepNext w:val="0"/>
              <w:widowControl w:val="0"/>
              <w:rPr>
                <w:rFonts w:eastAsia="SimSun"/>
                <w:b w:val="0"/>
                <w:lang w:eastAsia="zh-CN"/>
              </w:rPr>
            </w:pPr>
            <w:r w:rsidRPr="00B234A2">
              <w:rPr>
                <w:rFonts w:eastAsia="SimSun"/>
                <w:lang w:eastAsia="zh-CN"/>
              </w:rPr>
              <w:t>Fee:</w:t>
            </w:r>
            <w:r w:rsidRPr="00B234A2">
              <w:rPr>
                <w:rFonts w:eastAsia="SimSun"/>
                <w:b w:val="0"/>
                <w:lang w:eastAsia="zh-CN"/>
              </w:rPr>
              <w:t xml:space="preserve"> $19.45</w:t>
            </w:r>
            <w:r w:rsidRPr="00B234A2">
              <w:rPr>
                <w:rFonts w:eastAsia="SimSun"/>
                <w:b w:val="0"/>
                <w:lang w:eastAsia="zh-CN"/>
              </w:rPr>
              <w:tab/>
            </w:r>
            <w:r w:rsidRPr="00B234A2">
              <w:rPr>
                <w:rFonts w:eastAsia="SimSun"/>
                <w:lang w:eastAsia="zh-CN"/>
              </w:rPr>
              <w:t>Benefit:</w:t>
            </w:r>
            <w:r w:rsidRPr="00B234A2">
              <w:rPr>
                <w:rFonts w:eastAsia="SimSun"/>
                <w:b w:val="0"/>
                <w:lang w:eastAsia="zh-CN"/>
              </w:rPr>
              <w:t xml:space="preserve"> 75% = $14.60</w:t>
            </w:r>
            <w:r w:rsidRPr="00B234A2">
              <w:rPr>
                <w:rFonts w:eastAsia="SimSun"/>
                <w:b w:val="0"/>
                <w:lang w:eastAsia="zh-CN"/>
              </w:rPr>
              <w:tab/>
              <w:t>85% = $16.55</w:t>
            </w:r>
          </w:p>
        </w:tc>
      </w:tr>
      <w:tr w:rsidR="00B51828" w:rsidRPr="00B234A2" w14:paraId="67B1BF73" w14:textId="77777777" w:rsidTr="002101D2">
        <w:tc>
          <w:tcPr>
            <w:tcW w:w="760" w:type="dxa"/>
            <w:tcBorders>
              <w:top w:val="single" w:sz="4" w:space="0" w:color="auto"/>
              <w:left w:val="single" w:sz="4" w:space="0" w:color="auto"/>
              <w:bottom w:val="single" w:sz="4" w:space="0" w:color="auto"/>
              <w:right w:val="single" w:sz="4" w:space="0" w:color="auto"/>
            </w:tcBorders>
          </w:tcPr>
          <w:p w14:paraId="148E6B33"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73059</w:t>
            </w:r>
          </w:p>
        </w:tc>
        <w:tc>
          <w:tcPr>
            <w:tcW w:w="8395" w:type="dxa"/>
            <w:tcBorders>
              <w:top w:val="single" w:sz="4" w:space="0" w:color="auto"/>
              <w:left w:val="single" w:sz="4" w:space="0" w:color="auto"/>
              <w:bottom w:val="single" w:sz="4" w:space="0" w:color="auto"/>
              <w:right w:val="single" w:sz="4" w:space="0" w:color="auto"/>
            </w:tcBorders>
          </w:tcPr>
          <w:p w14:paraId="36B33E32" w14:textId="77777777" w:rsidR="00B51828" w:rsidRPr="00B234A2" w:rsidRDefault="00B51828" w:rsidP="002101D2">
            <w:pPr>
              <w:pStyle w:val="Tabletextboldleft"/>
              <w:keepNext w:val="0"/>
              <w:widowControl w:val="0"/>
              <w:rPr>
                <w:rFonts w:eastAsia="SimSun"/>
                <w:b w:val="0"/>
                <w:lang w:eastAsia="zh-CN"/>
              </w:rPr>
            </w:pPr>
          </w:p>
          <w:p w14:paraId="1565E69F"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Immunocytochemical examination of material obtained by procedures described in items 73045, 73047, 73049, 73051, 73062, 73063, 73066 and 73067 for the characterisation of a malignancy by immunofluorescence, immunoperoxidase or other labelled antibody techniques with multiple antigenic specificities per specimen - 1 to 3 antibodies except those listed in 73061</w:t>
            </w:r>
          </w:p>
          <w:p w14:paraId="014D2F2B"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(Item is subject to rule 13)</w:t>
            </w:r>
          </w:p>
          <w:p w14:paraId="09172A17" w14:textId="77777777" w:rsidR="00B51828" w:rsidRPr="00B234A2" w:rsidRDefault="00B51828" w:rsidP="002101D2">
            <w:pPr>
              <w:pStyle w:val="Tabletextboldleft"/>
              <w:keepNext w:val="0"/>
              <w:widowControl w:val="0"/>
              <w:rPr>
                <w:rFonts w:eastAsia="SimSun"/>
                <w:b w:val="0"/>
                <w:lang w:eastAsia="zh-CN"/>
              </w:rPr>
            </w:pPr>
          </w:p>
          <w:p w14:paraId="58B660F0"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$43.00</w:t>
            </w:r>
            <w:r w:rsidRPr="00B234A2">
              <w:rPr>
                <w:rFonts w:eastAsia="SimSun"/>
                <w:b w:val="0"/>
                <w:lang w:eastAsia="zh-CN"/>
              </w:rPr>
              <w:tab/>
            </w:r>
            <w:r w:rsidRPr="009C33F0">
              <w:rPr>
                <w:rFonts w:eastAsia="SimSun"/>
                <w:lang w:eastAsia="zh-CN"/>
              </w:rPr>
              <w:t>Benefit:</w:t>
            </w:r>
            <w:r w:rsidRPr="00B234A2">
              <w:rPr>
                <w:rFonts w:eastAsia="SimSun"/>
                <w:b w:val="0"/>
                <w:lang w:eastAsia="zh-CN"/>
              </w:rPr>
              <w:t xml:space="preserve"> 75% = $32.25</w:t>
            </w:r>
            <w:r w:rsidRPr="00B234A2">
              <w:rPr>
                <w:rFonts w:eastAsia="SimSun"/>
                <w:b w:val="0"/>
                <w:lang w:eastAsia="zh-CN"/>
              </w:rPr>
              <w:tab/>
              <w:t>85% = $36.55</w:t>
            </w:r>
          </w:p>
        </w:tc>
      </w:tr>
      <w:tr w:rsidR="00B51828" w:rsidRPr="00B234A2" w14:paraId="35AA6D7E" w14:textId="77777777" w:rsidTr="002101D2">
        <w:tc>
          <w:tcPr>
            <w:tcW w:w="760" w:type="dxa"/>
            <w:tcBorders>
              <w:top w:val="single" w:sz="4" w:space="0" w:color="auto"/>
              <w:left w:val="single" w:sz="4" w:space="0" w:color="auto"/>
              <w:bottom w:val="single" w:sz="4" w:space="0" w:color="auto"/>
              <w:right w:val="single" w:sz="4" w:space="0" w:color="auto"/>
            </w:tcBorders>
          </w:tcPr>
          <w:p w14:paraId="290A8249"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73060</w:t>
            </w:r>
          </w:p>
        </w:tc>
        <w:tc>
          <w:tcPr>
            <w:tcW w:w="8395" w:type="dxa"/>
            <w:tcBorders>
              <w:top w:val="single" w:sz="4" w:space="0" w:color="auto"/>
              <w:left w:val="single" w:sz="4" w:space="0" w:color="auto"/>
              <w:bottom w:val="single" w:sz="4" w:space="0" w:color="auto"/>
              <w:right w:val="single" w:sz="4" w:space="0" w:color="auto"/>
            </w:tcBorders>
          </w:tcPr>
          <w:p w14:paraId="1334E664" w14:textId="77777777" w:rsidR="00B51828" w:rsidRPr="00B234A2" w:rsidRDefault="00B51828" w:rsidP="002101D2">
            <w:pPr>
              <w:pStyle w:val="Tabletextboldleft"/>
              <w:keepNext w:val="0"/>
              <w:widowControl w:val="0"/>
              <w:rPr>
                <w:rFonts w:eastAsia="SimSun"/>
                <w:b w:val="0"/>
                <w:lang w:eastAsia="zh-CN"/>
              </w:rPr>
            </w:pPr>
          </w:p>
          <w:p w14:paraId="6F7742D2"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Immunocytochemical examination of material obtained by procedures described in items 73045, 73047, 73049, 73051, 73062, 73063, 73066 and 73067 for the characterisation of a malignancy by immunofluorescence, immunoperoxidase or other labelled antibody techniques with multiple antigenic specificities per specimen - 4 to 6  antibodies</w:t>
            </w:r>
          </w:p>
          <w:p w14:paraId="4D4B70D8"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(Item is subject to rule 13)</w:t>
            </w:r>
          </w:p>
          <w:p w14:paraId="6234E05D" w14:textId="77777777" w:rsidR="00B51828" w:rsidRPr="00B234A2" w:rsidRDefault="00B51828" w:rsidP="002101D2">
            <w:pPr>
              <w:pStyle w:val="Tabletextboldleft"/>
              <w:keepNext w:val="0"/>
              <w:widowControl w:val="0"/>
              <w:rPr>
                <w:rFonts w:eastAsia="SimSun"/>
                <w:b w:val="0"/>
                <w:lang w:eastAsia="zh-CN"/>
              </w:rPr>
            </w:pPr>
          </w:p>
          <w:p w14:paraId="21903E15"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$57.35</w:t>
            </w:r>
            <w:r w:rsidRPr="00B234A2">
              <w:rPr>
                <w:rFonts w:eastAsia="SimSun"/>
                <w:b w:val="0"/>
                <w:lang w:eastAsia="zh-CN"/>
              </w:rPr>
              <w:tab/>
            </w:r>
            <w:r w:rsidRPr="009C33F0">
              <w:rPr>
                <w:rFonts w:eastAsia="SimSun"/>
                <w:lang w:eastAsia="zh-CN"/>
              </w:rPr>
              <w:t>Benefit:</w:t>
            </w:r>
            <w:r w:rsidRPr="00B234A2">
              <w:rPr>
                <w:rFonts w:eastAsia="SimSun"/>
                <w:b w:val="0"/>
                <w:lang w:eastAsia="zh-CN"/>
              </w:rPr>
              <w:t xml:space="preserve"> 75% = $43.05</w:t>
            </w:r>
            <w:r w:rsidRPr="00B234A2">
              <w:rPr>
                <w:rFonts w:eastAsia="SimSun"/>
                <w:b w:val="0"/>
                <w:lang w:eastAsia="zh-CN"/>
              </w:rPr>
              <w:tab/>
              <w:t>85% = $48.75</w:t>
            </w:r>
          </w:p>
        </w:tc>
      </w:tr>
      <w:tr w:rsidR="00B51828" w:rsidRPr="00B234A2" w14:paraId="008AC0AD" w14:textId="77777777" w:rsidTr="002101D2">
        <w:tc>
          <w:tcPr>
            <w:tcW w:w="760" w:type="dxa"/>
            <w:tcBorders>
              <w:top w:val="single" w:sz="4" w:space="0" w:color="auto"/>
              <w:left w:val="single" w:sz="4" w:space="0" w:color="auto"/>
              <w:bottom w:val="single" w:sz="4" w:space="0" w:color="auto"/>
              <w:right w:val="single" w:sz="4" w:space="0" w:color="auto"/>
            </w:tcBorders>
          </w:tcPr>
          <w:p w14:paraId="663747A6"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73061</w:t>
            </w:r>
          </w:p>
        </w:tc>
        <w:tc>
          <w:tcPr>
            <w:tcW w:w="8395" w:type="dxa"/>
            <w:tcBorders>
              <w:top w:val="single" w:sz="4" w:space="0" w:color="auto"/>
              <w:left w:val="single" w:sz="4" w:space="0" w:color="auto"/>
              <w:bottom w:val="single" w:sz="4" w:space="0" w:color="auto"/>
              <w:right w:val="single" w:sz="4" w:space="0" w:color="auto"/>
            </w:tcBorders>
          </w:tcPr>
          <w:p w14:paraId="71C49314" w14:textId="77777777" w:rsidR="00B51828" w:rsidRPr="00B234A2" w:rsidRDefault="00B51828" w:rsidP="002101D2">
            <w:pPr>
              <w:pStyle w:val="Tabletextboldleft"/>
              <w:keepNext w:val="0"/>
              <w:widowControl w:val="0"/>
              <w:rPr>
                <w:rFonts w:eastAsia="SimSun"/>
                <w:b w:val="0"/>
                <w:lang w:eastAsia="zh-CN"/>
              </w:rPr>
            </w:pPr>
          </w:p>
          <w:p w14:paraId="1D4B5610"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Immunocytochemical examination of material obtained by procedures described in items 73045, 73047, 73049, 73051, 73062, 73063, 73066 and 73067 for the characterisation of a malignancy by immunofluorescence, immunoperoxidase or other labelled antibody techniques with multiple antigenic specificities per specimen - 1 to 3 of the following antibodies - oestrogen, progesterone and c-erb-B2 (HER2)</w:t>
            </w:r>
          </w:p>
          <w:p w14:paraId="6E315796"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(Item is subject to rule 13)</w:t>
            </w:r>
          </w:p>
          <w:p w14:paraId="75FA0309" w14:textId="77777777" w:rsidR="00B51828" w:rsidRPr="00B234A2" w:rsidRDefault="00B51828" w:rsidP="002101D2">
            <w:pPr>
              <w:pStyle w:val="Tabletextboldleft"/>
              <w:keepNext w:val="0"/>
              <w:widowControl w:val="0"/>
              <w:rPr>
                <w:rFonts w:eastAsia="SimSun"/>
                <w:b w:val="0"/>
                <w:lang w:eastAsia="zh-CN"/>
              </w:rPr>
            </w:pPr>
          </w:p>
          <w:p w14:paraId="13535FB1"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$51.20</w:t>
            </w:r>
            <w:r w:rsidRPr="00B234A2">
              <w:rPr>
                <w:rFonts w:eastAsia="SimSun"/>
                <w:b w:val="0"/>
                <w:lang w:eastAsia="zh-CN"/>
              </w:rPr>
              <w:tab/>
            </w:r>
            <w:r w:rsidRPr="009C33F0">
              <w:rPr>
                <w:rFonts w:eastAsia="SimSun"/>
                <w:lang w:eastAsia="zh-CN"/>
              </w:rPr>
              <w:t>Benefit:</w:t>
            </w:r>
            <w:r w:rsidRPr="00B234A2">
              <w:rPr>
                <w:rFonts w:eastAsia="SimSun"/>
                <w:b w:val="0"/>
                <w:lang w:eastAsia="zh-CN"/>
              </w:rPr>
              <w:t xml:space="preserve"> 75% = $38.40</w:t>
            </w:r>
            <w:r w:rsidRPr="00B234A2">
              <w:rPr>
                <w:rFonts w:eastAsia="SimSun"/>
                <w:b w:val="0"/>
                <w:lang w:eastAsia="zh-CN"/>
              </w:rPr>
              <w:tab/>
              <w:t>85% = $43.55</w:t>
            </w:r>
          </w:p>
        </w:tc>
      </w:tr>
      <w:tr w:rsidR="00B51828" w:rsidRPr="00B234A2" w14:paraId="12F71EBD" w14:textId="77777777" w:rsidTr="002101D2">
        <w:tc>
          <w:tcPr>
            <w:tcW w:w="760" w:type="dxa"/>
            <w:tcBorders>
              <w:top w:val="single" w:sz="4" w:space="0" w:color="auto"/>
              <w:left w:val="single" w:sz="4" w:space="0" w:color="auto"/>
              <w:bottom w:val="single" w:sz="4" w:space="0" w:color="auto"/>
              <w:right w:val="single" w:sz="4" w:space="0" w:color="auto"/>
            </w:tcBorders>
          </w:tcPr>
          <w:p w14:paraId="660E693D"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73062</w:t>
            </w:r>
          </w:p>
        </w:tc>
        <w:tc>
          <w:tcPr>
            <w:tcW w:w="8395" w:type="dxa"/>
            <w:tcBorders>
              <w:top w:val="single" w:sz="4" w:space="0" w:color="auto"/>
              <w:left w:val="single" w:sz="4" w:space="0" w:color="auto"/>
              <w:bottom w:val="single" w:sz="4" w:space="0" w:color="auto"/>
              <w:right w:val="single" w:sz="4" w:space="0" w:color="auto"/>
            </w:tcBorders>
          </w:tcPr>
          <w:p w14:paraId="51E8326F" w14:textId="77777777" w:rsidR="00B51828" w:rsidRPr="00B234A2" w:rsidRDefault="00B51828" w:rsidP="002101D2">
            <w:pPr>
              <w:pStyle w:val="Tabletextboldleft"/>
              <w:keepNext w:val="0"/>
              <w:widowControl w:val="0"/>
              <w:rPr>
                <w:rFonts w:eastAsia="SimSun"/>
                <w:b w:val="0"/>
                <w:lang w:eastAsia="zh-CN"/>
              </w:rPr>
            </w:pPr>
          </w:p>
          <w:p w14:paraId="53E3B97E"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of material obtained directly from a patient by fine needle aspiration of solid tissue or tissues – 2 or more separately identified sites.</w:t>
            </w:r>
          </w:p>
          <w:p w14:paraId="62500990" w14:textId="77777777" w:rsidR="00B51828" w:rsidRPr="00B234A2" w:rsidRDefault="00B51828" w:rsidP="002101D2">
            <w:pPr>
              <w:pStyle w:val="Tabletextboldleft"/>
              <w:keepNext w:val="0"/>
              <w:widowControl w:val="0"/>
              <w:rPr>
                <w:rFonts w:eastAsia="SimSun"/>
                <w:b w:val="0"/>
                <w:lang w:eastAsia="zh-CN"/>
              </w:rPr>
            </w:pPr>
          </w:p>
          <w:p w14:paraId="338BBDA4"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$89.00</w:t>
            </w:r>
            <w:r w:rsidRPr="00B234A2">
              <w:rPr>
                <w:rFonts w:eastAsia="SimSun"/>
                <w:b w:val="0"/>
                <w:lang w:eastAsia="zh-CN"/>
              </w:rPr>
              <w:tab/>
            </w:r>
            <w:r w:rsidRPr="009C33F0">
              <w:rPr>
                <w:rFonts w:eastAsia="SimSun"/>
                <w:lang w:eastAsia="zh-CN"/>
              </w:rPr>
              <w:t>Benefit:</w:t>
            </w:r>
            <w:r w:rsidRPr="00B234A2">
              <w:rPr>
                <w:rFonts w:eastAsia="SimSun"/>
                <w:b w:val="0"/>
                <w:lang w:eastAsia="zh-CN"/>
              </w:rPr>
              <w:t xml:space="preserve"> 75% = $66.75</w:t>
            </w:r>
            <w:r w:rsidRPr="00B234A2">
              <w:rPr>
                <w:rFonts w:eastAsia="SimSun"/>
                <w:b w:val="0"/>
                <w:lang w:eastAsia="zh-CN"/>
              </w:rPr>
              <w:tab/>
              <w:t>85% = $75.65</w:t>
            </w:r>
          </w:p>
        </w:tc>
      </w:tr>
      <w:tr w:rsidR="00B51828" w:rsidRPr="00B234A2" w14:paraId="0FC179EB" w14:textId="77777777" w:rsidTr="002101D2">
        <w:tc>
          <w:tcPr>
            <w:tcW w:w="760" w:type="dxa"/>
            <w:tcBorders>
              <w:top w:val="single" w:sz="4" w:space="0" w:color="auto"/>
              <w:left w:val="single" w:sz="4" w:space="0" w:color="auto"/>
              <w:bottom w:val="single" w:sz="4" w:space="0" w:color="auto"/>
              <w:right w:val="single" w:sz="4" w:space="0" w:color="auto"/>
            </w:tcBorders>
          </w:tcPr>
          <w:p w14:paraId="2D62EA30"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73063</w:t>
            </w:r>
          </w:p>
        </w:tc>
        <w:tc>
          <w:tcPr>
            <w:tcW w:w="8395" w:type="dxa"/>
            <w:tcBorders>
              <w:top w:val="single" w:sz="4" w:space="0" w:color="auto"/>
              <w:left w:val="single" w:sz="4" w:space="0" w:color="auto"/>
              <w:bottom w:val="single" w:sz="4" w:space="0" w:color="auto"/>
              <w:right w:val="single" w:sz="4" w:space="0" w:color="auto"/>
            </w:tcBorders>
          </w:tcPr>
          <w:p w14:paraId="46BF0FC0" w14:textId="77777777" w:rsidR="00B51828" w:rsidRPr="00B234A2" w:rsidRDefault="00B51828" w:rsidP="002101D2">
            <w:pPr>
              <w:pStyle w:val="Tabletextboldleft"/>
              <w:keepNext w:val="0"/>
              <w:widowControl w:val="0"/>
              <w:rPr>
                <w:rFonts w:eastAsia="SimSun"/>
                <w:b w:val="0"/>
                <w:lang w:eastAsia="zh-CN"/>
              </w:rPr>
            </w:pPr>
          </w:p>
          <w:p w14:paraId="2ACC0A33"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 xml:space="preserve">Cytology of material obtained directly from a patient at one identified site by fine needle aspiration of solid tissue or tissues if an employee of an approved pathology authority attends the aspiration for confirmation of sample adequacy </w:t>
            </w:r>
          </w:p>
          <w:p w14:paraId="70B00B02" w14:textId="77777777" w:rsidR="00B51828" w:rsidRPr="00B234A2" w:rsidRDefault="00B51828" w:rsidP="002101D2">
            <w:pPr>
              <w:pStyle w:val="Tabletextboldleft"/>
              <w:keepNext w:val="0"/>
              <w:widowControl w:val="0"/>
              <w:rPr>
                <w:rFonts w:eastAsia="SimSun"/>
                <w:b w:val="0"/>
                <w:lang w:eastAsia="zh-CN"/>
              </w:rPr>
            </w:pPr>
          </w:p>
          <w:p w14:paraId="2CA34CAE"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$99.35</w:t>
            </w:r>
            <w:r w:rsidRPr="00B234A2">
              <w:rPr>
                <w:rFonts w:eastAsia="SimSun"/>
                <w:b w:val="0"/>
                <w:lang w:eastAsia="zh-CN"/>
              </w:rPr>
              <w:tab/>
            </w:r>
            <w:r w:rsidRPr="009C33F0">
              <w:rPr>
                <w:rFonts w:eastAsia="SimSun"/>
                <w:lang w:eastAsia="zh-CN"/>
              </w:rPr>
              <w:t>Benefit:</w:t>
            </w:r>
            <w:r w:rsidRPr="00B234A2">
              <w:rPr>
                <w:rFonts w:eastAsia="SimSun"/>
                <w:b w:val="0"/>
                <w:lang w:eastAsia="zh-CN"/>
              </w:rPr>
              <w:t xml:space="preserve"> 75% = $74.55</w:t>
            </w:r>
            <w:r w:rsidRPr="00B234A2">
              <w:rPr>
                <w:rFonts w:eastAsia="SimSun"/>
                <w:b w:val="0"/>
                <w:lang w:eastAsia="zh-CN"/>
              </w:rPr>
              <w:tab/>
              <w:t>85% = $84.45</w:t>
            </w:r>
          </w:p>
        </w:tc>
      </w:tr>
      <w:tr w:rsidR="00B51828" w:rsidRPr="00B234A2" w14:paraId="3F3D0778" w14:textId="77777777" w:rsidTr="002101D2">
        <w:tc>
          <w:tcPr>
            <w:tcW w:w="760" w:type="dxa"/>
            <w:tcBorders>
              <w:top w:val="single" w:sz="4" w:space="0" w:color="auto"/>
              <w:left w:val="single" w:sz="4" w:space="0" w:color="auto"/>
              <w:bottom w:val="single" w:sz="4" w:space="0" w:color="auto"/>
              <w:right w:val="single" w:sz="4" w:space="0" w:color="auto"/>
            </w:tcBorders>
          </w:tcPr>
          <w:p w14:paraId="0C6EE386"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73064</w:t>
            </w:r>
          </w:p>
        </w:tc>
        <w:tc>
          <w:tcPr>
            <w:tcW w:w="8395" w:type="dxa"/>
            <w:tcBorders>
              <w:top w:val="single" w:sz="4" w:space="0" w:color="auto"/>
              <w:left w:val="single" w:sz="4" w:space="0" w:color="auto"/>
              <w:bottom w:val="single" w:sz="4" w:space="0" w:color="auto"/>
              <w:right w:val="single" w:sz="4" w:space="0" w:color="auto"/>
            </w:tcBorders>
          </w:tcPr>
          <w:p w14:paraId="151B332B" w14:textId="77777777" w:rsidR="00B51828" w:rsidRPr="00B234A2" w:rsidRDefault="00B51828" w:rsidP="002101D2">
            <w:pPr>
              <w:pStyle w:val="Tabletextboldleft"/>
              <w:keepNext w:val="0"/>
              <w:widowControl w:val="0"/>
              <w:rPr>
                <w:rFonts w:eastAsia="SimSun"/>
                <w:b w:val="0"/>
                <w:lang w:eastAsia="zh-CN"/>
              </w:rPr>
            </w:pPr>
          </w:p>
          <w:p w14:paraId="4F86C7E5"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Immunocytochemical examination of material obtained by procedures described in items 73045, 73047, 73049, 73051, 73062, 73063, 73066 and 73067 for the characterisation of a malignancy by immunofluorescence, immunoperoxidase or other labelled antibody techniques with multiple antigenic specificities per specimen – 7 to 10 antibodies</w:t>
            </w:r>
          </w:p>
          <w:p w14:paraId="00AF7CC7" w14:textId="77777777" w:rsidR="00B51828" w:rsidRPr="00B234A2" w:rsidRDefault="00B51828" w:rsidP="002101D2">
            <w:pPr>
              <w:pStyle w:val="Tabletextboldleft"/>
              <w:keepNext w:val="0"/>
              <w:widowControl w:val="0"/>
              <w:rPr>
                <w:rFonts w:eastAsia="SimSun"/>
                <w:b w:val="0"/>
                <w:lang w:eastAsia="zh-CN"/>
              </w:rPr>
            </w:pPr>
          </w:p>
          <w:p w14:paraId="675296F0"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(Item is subject to rule 13)</w:t>
            </w:r>
          </w:p>
          <w:p w14:paraId="66755B50"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$71.70</w:t>
            </w:r>
            <w:r w:rsidRPr="00B234A2">
              <w:rPr>
                <w:rFonts w:eastAsia="SimSun"/>
                <w:b w:val="0"/>
                <w:lang w:eastAsia="zh-CN"/>
              </w:rPr>
              <w:tab/>
            </w:r>
            <w:r w:rsidRPr="009C33F0">
              <w:rPr>
                <w:rFonts w:eastAsia="SimSun"/>
                <w:lang w:eastAsia="zh-CN"/>
              </w:rPr>
              <w:t xml:space="preserve">Benefit: </w:t>
            </w:r>
            <w:r w:rsidRPr="00B234A2">
              <w:rPr>
                <w:rFonts w:eastAsia="SimSun"/>
                <w:b w:val="0"/>
                <w:lang w:eastAsia="zh-CN"/>
              </w:rPr>
              <w:t>75% = $53.80</w:t>
            </w:r>
            <w:r w:rsidRPr="00B234A2">
              <w:rPr>
                <w:rFonts w:eastAsia="SimSun"/>
                <w:b w:val="0"/>
                <w:lang w:eastAsia="zh-CN"/>
              </w:rPr>
              <w:tab/>
              <w:t>85% = $60.95</w:t>
            </w:r>
          </w:p>
        </w:tc>
      </w:tr>
      <w:tr w:rsidR="00B51828" w:rsidRPr="00B234A2" w14:paraId="22CFEFE8" w14:textId="77777777" w:rsidTr="002101D2">
        <w:tc>
          <w:tcPr>
            <w:tcW w:w="760" w:type="dxa"/>
            <w:tcBorders>
              <w:top w:val="single" w:sz="4" w:space="0" w:color="auto"/>
              <w:left w:val="single" w:sz="4" w:space="0" w:color="auto"/>
              <w:bottom w:val="single" w:sz="4" w:space="0" w:color="auto"/>
              <w:right w:val="single" w:sz="4" w:space="0" w:color="auto"/>
            </w:tcBorders>
          </w:tcPr>
          <w:p w14:paraId="235466A7"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73065</w:t>
            </w:r>
          </w:p>
        </w:tc>
        <w:tc>
          <w:tcPr>
            <w:tcW w:w="8395" w:type="dxa"/>
            <w:tcBorders>
              <w:top w:val="single" w:sz="4" w:space="0" w:color="auto"/>
              <w:left w:val="single" w:sz="4" w:space="0" w:color="auto"/>
              <w:bottom w:val="single" w:sz="4" w:space="0" w:color="auto"/>
              <w:right w:val="single" w:sz="4" w:space="0" w:color="auto"/>
            </w:tcBorders>
          </w:tcPr>
          <w:p w14:paraId="77F2E942" w14:textId="77777777" w:rsidR="00B51828" w:rsidRPr="00B234A2" w:rsidRDefault="00B51828" w:rsidP="002101D2">
            <w:pPr>
              <w:pStyle w:val="Tabletextboldleft"/>
              <w:keepNext w:val="0"/>
              <w:widowControl w:val="0"/>
              <w:rPr>
                <w:rFonts w:eastAsia="SimSun"/>
                <w:b w:val="0"/>
                <w:lang w:eastAsia="zh-CN"/>
              </w:rPr>
            </w:pPr>
          </w:p>
          <w:p w14:paraId="3CEB8BF4"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Immunocytochemical examination of material obtained by procedures described in items 73045, 73047, 73049, 73051, 73062, 73063, 73066 and 73067 for the characterisation of a malignancy by immunofluorescence, immunoperoxidase or other labelled antibody techniques with multiple antigenic specificities per specimen - 11 or more antibodies</w:t>
            </w:r>
          </w:p>
          <w:p w14:paraId="3364D699" w14:textId="77777777" w:rsidR="00B51828" w:rsidRPr="00B234A2" w:rsidRDefault="00B51828" w:rsidP="002101D2">
            <w:pPr>
              <w:pStyle w:val="Tabletextboldleft"/>
              <w:keepNext w:val="0"/>
              <w:widowControl w:val="0"/>
              <w:rPr>
                <w:rFonts w:eastAsia="SimSun"/>
                <w:b w:val="0"/>
                <w:lang w:eastAsia="zh-CN"/>
              </w:rPr>
            </w:pPr>
          </w:p>
          <w:p w14:paraId="3E8985F2"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lastRenderedPageBreak/>
              <w:t>(Item is subject to rule 13)</w:t>
            </w:r>
          </w:p>
          <w:p w14:paraId="3CE47100"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$86.00</w:t>
            </w:r>
            <w:r w:rsidRPr="00B234A2">
              <w:rPr>
                <w:rFonts w:eastAsia="SimSun"/>
                <w:b w:val="0"/>
                <w:lang w:eastAsia="zh-CN"/>
              </w:rPr>
              <w:tab/>
            </w:r>
            <w:r w:rsidRPr="009C33F0">
              <w:rPr>
                <w:rFonts w:eastAsia="SimSun"/>
                <w:lang w:eastAsia="zh-CN"/>
              </w:rPr>
              <w:t>Benefit:</w:t>
            </w:r>
            <w:r w:rsidRPr="00B234A2">
              <w:rPr>
                <w:rFonts w:eastAsia="SimSun"/>
                <w:b w:val="0"/>
                <w:lang w:eastAsia="zh-CN"/>
              </w:rPr>
              <w:t xml:space="preserve"> 75% = $66.75</w:t>
            </w:r>
            <w:r w:rsidRPr="00B234A2">
              <w:rPr>
                <w:rFonts w:eastAsia="SimSun"/>
                <w:b w:val="0"/>
                <w:lang w:eastAsia="zh-CN"/>
              </w:rPr>
              <w:tab/>
              <w:t>85% = $75.65</w:t>
            </w:r>
          </w:p>
        </w:tc>
      </w:tr>
      <w:tr w:rsidR="00B51828" w:rsidRPr="00B234A2" w14:paraId="0B3DB6FF" w14:textId="77777777" w:rsidTr="002101D2">
        <w:tc>
          <w:tcPr>
            <w:tcW w:w="760" w:type="dxa"/>
            <w:tcBorders>
              <w:top w:val="single" w:sz="4" w:space="0" w:color="auto"/>
              <w:left w:val="single" w:sz="4" w:space="0" w:color="auto"/>
              <w:bottom w:val="single" w:sz="4" w:space="0" w:color="auto"/>
              <w:right w:val="single" w:sz="4" w:space="0" w:color="auto"/>
            </w:tcBorders>
          </w:tcPr>
          <w:p w14:paraId="1E336822"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lastRenderedPageBreak/>
              <w:t>73066</w:t>
            </w:r>
          </w:p>
        </w:tc>
        <w:tc>
          <w:tcPr>
            <w:tcW w:w="8395" w:type="dxa"/>
            <w:tcBorders>
              <w:top w:val="single" w:sz="4" w:space="0" w:color="auto"/>
              <w:left w:val="single" w:sz="4" w:space="0" w:color="auto"/>
              <w:bottom w:val="single" w:sz="4" w:space="0" w:color="auto"/>
              <w:right w:val="single" w:sz="4" w:space="0" w:color="auto"/>
            </w:tcBorders>
          </w:tcPr>
          <w:p w14:paraId="352E9374" w14:textId="77777777" w:rsidR="00B51828" w:rsidRPr="00B234A2" w:rsidRDefault="00B51828" w:rsidP="002101D2">
            <w:pPr>
              <w:pStyle w:val="Tabletextboldleft"/>
              <w:keepNext w:val="0"/>
              <w:widowControl w:val="0"/>
              <w:rPr>
                <w:rFonts w:eastAsia="SimSun"/>
                <w:b w:val="0"/>
                <w:lang w:eastAsia="zh-CN"/>
              </w:rPr>
            </w:pPr>
          </w:p>
          <w:p w14:paraId="56DB9E55"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of material obtained directly from a patient at 2 or more separately identified sites by fine needle aspiration of solid tissue or tissues if a recognized pathologist:</w:t>
            </w:r>
          </w:p>
          <w:p w14:paraId="425610E0"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(a)</w:t>
            </w:r>
            <w:r w:rsidRPr="00B234A2">
              <w:rPr>
                <w:rFonts w:eastAsia="SimSun"/>
                <w:b w:val="0"/>
                <w:lang w:eastAsia="zh-CN"/>
              </w:rPr>
              <w:tab/>
              <w:t>performs the aspiration; or</w:t>
            </w:r>
          </w:p>
          <w:p w14:paraId="7AD22DB9"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(b)   attends the aspiration and performs cytological examination during the attendance</w:t>
            </w:r>
          </w:p>
          <w:p w14:paraId="6C3115EE" w14:textId="77777777" w:rsidR="00B51828" w:rsidRPr="00B234A2" w:rsidRDefault="00B51828" w:rsidP="002101D2">
            <w:pPr>
              <w:pStyle w:val="Tabletextboldleft"/>
              <w:keepNext w:val="0"/>
              <w:widowControl w:val="0"/>
              <w:rPr>
                <w:rFonts w:eastAsia="SimSun"/>
                <w:b w:val="0"/>
                <w:lang w:eastAsia="zh-CN"/>
              </w:rPr>
            </w:pPr>
          </w:p>
          <w:p w14:paraId="322331E4"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$221.45</w:t>
            </w:r>
            <w:r w:rsidRPr="00B234A2">
              <w:rPr>
                <w:rFonts w:eastAsia="SimSun"/>
                <w:b w:val="0"/>
                <w:lang w:eastAsia="zh-CN"/>
              </w:rPr>
              <w:tab/>
            </w:r>
            <w:r w:rsidRPr="009C33F0">
              <w:rPr>
                <w:rFonts w:eastAsia="SimSun"/>
                <w:lang w:eastAsia="zh-CN"/>
              </w:rPr>
              <w:t xml:space="preserve">Benefit: </w:t>
            </w:r>
            <w:r w:rsidRPr="00B234A2">
              <w:rPr>
                <w:rFonts w:eastAsia="SimSun"/>
                <w:b w:val="0"/>
                <w:lang w:eastAsia="zh-CN"/>
              </w:rPr>
              <w:t>75% = $166.10</w:t>
            </w:r>
            <w:r w:rsidRPr="00B234A2">
              <w:rPr>
                <w:rFonts w:eastAsia="SimSun"/>
                <w:b w:val="0"/>
                <w:lang w:eastAsia="zh-CN"/>
              </w:rPr>
              <w:tab/>
              <w:t>85% = $188.25</w:t>
            </w:r>
          </w:p>
        </w:tc>
      </w:tr>
      <w:tr w:rsidR="00B51828" w:rsidRPr="00B234A2" w14:paraId="08333AF6" w14:textId="77777777" w:rsidTr="002101D2">
        <w:tc>
          <w:tcPr>
            <w:tcW w:w="760" w:type="dxa"/>
            <w:tcBorders>
              <w:top w:val="single" w:sz="4" w:space="0" w:color="auto"/>
              <w:left w:val="single" w:sz="4" w:space="0" w:color="auto"/>
              <w:bottom w:val="single" w:sz="4" w:space="0" w:color="auto"/>
              <w:right w:val="single" w:sz="4" w:space="0" w:color="auto"/>
            </w:tcBorders>
          </w:tcPr>
          <w:p w14:paraId="59A20CD5"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73067</w:t>
            </w:r>
          </w:p>
        </w:tc>
        <w:tc>
          <w:tcPr>
            <w:tcW w:w="8395" w:type="dxa"/>
            <w:tcBorders>
              <w:top w:val="single" w:sz="4" w:space="0" w:color="auto"/>
              <w:left w:val="single" w:sz="4" w:space="0" w:color="auto"/>
              <w:bottom w:val="single" w:sz="4" w:space="0" w:color="auto"/>
              <w:right w:val="single" w:sz="4" w:space="0" w:color="auto"/>
            </w:tcBorders>
          </w:tcPr>
          <w:p w14:paraId="38D32A0F" w14:textId="77777777" w:rsidR="00B51828" w:rsidRPr="00B234A2" w:rsidRDefault="00B51828" w:rsidP="002101D2">
            <w:pPr>
              <w:pStyle w:val="Tabletextboldleft"/>
              <w:keepNext w:val="0"/>
              <w:widowControl w:val="0"/>
              <w:rPr>
                <w:rFonts w:eastAsia="SimSun"/>
                <w:b w:val="0"/>
                <w:lang w:eastAsia="zh-CN"/>
              </w:rPr>
            </w:pPr>
          </w:p>
          <w:p w14:paraId="180163C2" w14:textId="77777777" w:rsidR="00B51828" w:rsidRPr="00B234A2" w:rsidRDefault="00B51828" w:rsidP="002101D2">
            <w:pPr>
              <w:pStyle w:val="Tabletextboldleft"/>
              <w:keepNext w:val="0"/>
              <w:widowControl w:val="0"/>
              <w:rPr>
                <w:rFonts w:eastAsia="SimSun"/>
                <w:b w:val="0"/>
                <w:lang w:eastAsia="zh-CN"/>
              </w:rPr>
            </w:pPr>
            <w:r w:rsidRPr="00B234A2">
              <w:rPr>
                <w:rFonts w:eastAsia="SimSun"/>
                <w:b w:val="0"/>
                <w:lang w:eastAsia="zh-CN"/>
              </w:rPr>
              <w:t>Cytology of material obtained directly from a patient at 2 or more separately identified sites by fine needle aspiration of solid tissue or tissues if an employee of an approved pathology authority attends the aspiration for confirmation of sample adequacy</w:t>
            </w:r>
          </w:p>
          <w:p w14:paraId="085CC8F2" w14:textId="77777777" w:rsidR="00B51828" w:rsidRPr="00B234A2" w:rsidRDefault="00B51828" w:rsidP="002101D2">
            <w:pPr>
              <w:pStyle w:val="Tabletextboldleft"/>
              <w:keepNext w:val="0"/>
              <w:widowControl w:val="0"/>
              <w:rPr>
                <w:rFonts w:eastAsia="SimSun"/>
                <w:b w:val="0"/>
                <w:lang w:eastAsia="zh-CN"/>
              </w:rPr>
            </w:pPr>
          </w:p>
          <w:p w14:paraId="6A95999E" w14:textId="77777777" w:rsidR="00B51828" w:rsidRPr="00B234A2" w:rsidRDefault="00B51828" w:rsidP="002101D2">
            <w:pPr>
              <w:pStyle w:val="Tabletextboldleft"/>
              <w:keepNext w:val="0"/>
              <w:widowControl w:val="0"/>
              <w:rPr>
                <w:rFonts w:eastAsia="SimSun"/>
                <w:b w:val="0"/>
                <w:lang w:eastAsia="zh-CN"/>
              </w:rPr>
            </w:pPr>
            <w:r w:rsidRPr="009C33F0">
              <w:rPr>
                <w:rFonts w:eastAsia="SimSun"/>
                <w:lang w:eastAsia="zh-CN"/>
              </w:rPr>
              <w:t>Fee:</w:t>
            </w:r>
            <w:r w:rsidRPr="00B234A2">
              <w:rPr>
                <w:rFonts w:eastAsia="SimSun"/>
                <w:b w:val="0"/>
                <w:lang w:eastAsia="zh-CN"/>
              </w:rPr>
              <w:t xml:space="preserve"> $129.15</w:t>
            </w:r>
            <w:r w:rsidRPr="00B234A2">
              <w:rPr>
                <w:rFonts w:eastAsia="SimSun"/>
                <w:b w:val="0"/>
                <w:lang w:eastAsia="zh-CN"/>
              </w:rPr>
              <w:tab/>
            </w:r>
            <w:r w:rsidRPr="009C33F0">
              <w:rPr>
                <w:rFonts w:eastAsia="SimSun"/>
                <w:lang w:eastAsia="zh-CN"/>
              </w:rPr>
              <w:t>Benefit:</w:t>
            </w:r>
            <w:r w:rsidRPr="00B234A2">
              <w:rPr>
                <w:rFonts w:eastAsia="SimSun"/>
                <w:b w:val="0"/>
                <w:lang w:eastAsia="zh-CN"/>
              </w:rPr>
              <w:t xml:space="preserve"> 75% = $96.90</w:t>
            </w:r>
            <w:r w:rsidRPr="00B234A2">
              <w:rPr>
                <w:rFonts w:eastAsia="SimSun"/>
                <w:b w:val="0"/>
                <w:lang w:eastAsia="zh-CN"/>
              </w:rPr>
              <w:tab/>
              <w:t>85% = $109.80</w:t>
            </w:r>
          </w:p>
        </w:tc>
      </w:tr>
    </w:tbl>
    <w:p w14:paraId="3069ACCF" w14:textId="77777777" w:rsidR="00B51828" w:rsidRDefault="00B51828" w:rsidP="002101D2">
      <w:pPr>
        <w:ind w:left="0"/>
        <w:rPr>
          <w:rFonts w:ascii="Arial Narrow" w:hAnsi="Arial Narrow"/>
          <w:sz w:val="16"/>
          <w:szCs w:val="16"/>
        </w:rPr>
      </w:pPr>
      <w:r>
        <w:rPr>
          <w:rFonts w:ascii="Arial Narrow" w:hAnsi="Arial Narrow"/>
          <w:sz w:val="16"/>
          <w:szCs w:val="16"/>
        </w:rPr>
        <w:t>Source: MBS Online, accessed 10 June 2014</w:t>
      </w:r>
    </w:p>
    <w:tbl>
      <w:tblPr>
        <w:tblW w:w="5000" w:type="pct"/>
        <w:tblCellSpacing w:w="0" w:type="dxa"/>
        <w:tblCellMar>
          <w:left w:w="0" w:type="dxa"/>
          <w:right w:w="0" w:type="dxa"/>
        </w:tblCellMar>
        <w:tblLook w:val="04A0" w:firstRow="1" w:lastRow="0" w:firstColumn="1" w:lastColumn="0" w:noHBand="0" w:noVBand="1"/>
      </w:tblPr>
      <w:tblGrid>
        <w:gridCol w:w="9026"/>
      </w:tblGrid>
      <w:tr w:rsidR="00B51828" w:rsidRPr="00442796" w14:paraId="5E23D4C9" w14:textId="77777777" w:rsidTr="002101D2">
        <w:trPr>
          <w:tblCellSpacing w:w="0" w:type="dxa"/>
        </w:trPr>
        <w:tc>
          <w:tcPr>
            <w:tcW w:w="5000" w:type="pct"/>
            <w:vAlign w:val="center"/>
            <w:hideMark/>
          </w:tcPr>
          <w:p w14:paraId="611758F0" w14:textId="77777777" w:rsidR="00B51828" w:rsidRPr="00442796" w:rsidRDefault="00B51828" w:rsidP="002101D2">
            <w:pPr>
              <w:spacing w:after="0"/>
              <w:jc w:val="center"/>
              <w:rPr>
                <w:rFonts w:ascii="Arial Narrow" w:eastAsia="Times New Roman" w:hAnsi="Arial Narrow" w:cs="Tahoma"/>
                <w:b/>
                <w:bCs/>
                <w:sz w:val="20"/>
                <w:szCs w:val="20"/>
                <w:lang w:eastAsia="en-AU"/>
              </w:rPr>
            </w:pPr>
          </w:p>
          <w:p w14:paraId="57BBE3ED" w14:textId="77777777" w:rsidR="00B51828" w:rsidRPr="00442796" w:rsidRDefault="00B51828" w:rsidP="002101D2">
            <w:pPr>
              <w:spacing w:after="0"/>
              <w:ind w:left="0"/>
              <w:jc w:val="both"/>
              <w:rPr>
                <w:rFonts w:ascii="Arial Narrow" w:eastAsia="Times New Roman" w:hAnsi="Arial Narrow" w:cs="Tahoma"/>
                <w:b/>
                <w:bCs/>
                <w:sz w:val="20"/>
                <w:szCs w:val="20"/>
                <w:lang w:eastAsia="en-AU"/>
              </w:rPr>
            </w:pPr>
            <w:r w:rsidRPr="00442796">
              <w:rPr>
                <w:rFonts w:ascii="Arial Narrow" w:eastAsia="Times New Roman" w:hAnsi="Arial Narrow" w:cs="Tahoma"/>
                <w:b/>
                <w:bCs/>
                <w:sz w:val="20"/>
                <w:szCs w:val="20"/>
                <w:lang w:eastAsia="en-AU"/>
              </w:rPr>
              <w:t xml:space="preserve">P19.1 Rules for the Interpretation of the Pathology Services Table </w:t>
            </w:r>
            <w:r w:rsidRPr="00442796">
              <w:rPr>
                <w:rFonts w:ascii="Arial Narrow" w:eastAsia="Times New Roman" w:hAnsi="Arial Narrow" w:cs="Tahoma"/>
                <w:b/>
                <w:bCs/>
                <w:i/>
                <w:sz w:val="20"/>
                <w:szCs w:val="20"/>
                <w:lang w:eastAsia="en-AU"/>
              </w:rPr>
              <w:t>(excerpts – relevant to this Assessment Report only)</w:t>
            </w:r>
          </w:p>
        </w:tc>
      </w:tr>
      <w:tr w:rsidR="00B51828" w:rsidRPr="00442796" w14:paraId="6D2797A8" w14:textId="77777777" w:rsidTr="002101D2">
        <w:trPr>
          <w:tblCellSpacing w:w="0" w:type="dxa"/>
        </w:trPr>
        <w:tc>
          <w:tcPr>
            <w:tcW w:w="0" w:type="auto"/>
            <w:vAlign w:val="center"/>
            <w:hideMark/>
          </w:tcPr>
          <w:p w14:paraId="1FA70D1F" w14:textId="77777777" w:rsidR="00B51828" w:rsidRPr="00442796" w:rsidRDefault="00B51828" w:rsidP="002101D2">
            <w:pPr>
              <w:spacing w:before="100" w:beforeAutospacing="1" w:after="100" w:afterAutospacing="1"/>
              <w:rPr>
                <w:rFonts w:ascii="Arial Narrow" w:eastAsia="Times New Roman" w:hAnsi="Arial Narrow" w:cs="Tahoma"/>
                <w:b/>
                <w:bCs/>
                <w:sz w:val="20"/>
                <w:szCs w:val="20"/>
                <w:lang w:eastAsia="en-AU"/>
              </w:rPr>
            </w:pPr>
            <w:r w:rsidRPr="00442796">
              <w:rPr>
                <w:rFonts w:ascii="Arial Narrow" w:eastAsia="Times New Roman" w:hAnsi="Arial Narrow" w:cs="Tahoma"/>
                <w:sz w:val="20"/>
                <w:szCs w:val="20"/>
                <w:lang w:eastAsia="en-AU"/>
              </w:rPr>
              <w:t>Please note that in the Health Insurance (Pathology Services Table) Regulations 2010 (effective 1 November 2010) rules and sub-rules are referred to as clauses and sub-clauses.  In addition in the Regulations a rule that refers to specific items within a pathology group, for example Group P1 Haematology, is listed directly above the Schedule of Services for that group.</w:t>
            </w:r>
            <w:r w:rsidRPr="00442796">
              <w:rPr>
                <w:rFonts w:ascii="Arial Narrow" w:eastAsia="Times New Roman" w:hAnsi="Arial Narrow" w:cs="Tahoma"/>
                <w:b/>
                <w:bCs/>
                <w:sz w:val="20"/>
                <w:szCs w:val="20"/>
                <w:lang w:eastAsia="en-AU"/>
              </w:rPr>
              <w:t xml:space="preserve"> </w:t>
            </w:r>
          </w:p>
          <w:p w14:paraId="66AF1987"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 (1)</w:t>
            </w:r>
            <w:r w:rsidRPr="00442796">
              <w:rPr>
                <w:rFonts w:ascii="Arial Narrow" w:eastAsia="Times New Roman" w:hAnsi="Arial Narrow" w:cs="Tahoma"/>
                <w:sz w:val="20"/>
                <w:szCs w:val="20"/>
                <w:lang w:eastAsia="en-AU"/>
              </w:rPr>
              <w:t xml:space="preserve"> In this table</w:t>
            </w:r>
          </w:p>
          <w:p w14:paraId="667343E1" w14:textId="77777777" w:rsidR="00B51828" w:rsidRPr="00442796" w:rsidRDefault="00B51828" w:rsidP="002101D2">
            <w:pPr>
              <w:spacing w:before="100" w:beforeAutospacing="1" w:after="100" w:afterAutospacing="1"/>
              <w:ind w:left="1418" w:hanging="567"/>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patient episode</w:t>
            </w:r>
            <w:r w:rsidRPr="00442796">
              <w:rPr>
                <w:rFonts w:ascii="Arial Narrow" w:eastAsia="Times New Roman" w:hAnsi="Arial Narrow" w:cs="Tahoma"/>
                <w:sz w:val="20"/>
                <w:szCs w:val="20"/>
                <w:lang w:eastAsia="en-AU"/>
              </w:rPr>
              <w:t xml:space="preserve"> means:</w:t>
            </w:r>
          </w:p>
          <w:p w14:paraId="6F0007E5"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a pathology service or pathology services (other than a pathology service to which paragraph 1 (1) (b) refers) provided for a single patient whose need for the service or services was determined under section 16A of the Act:</w:t>
            </w:r>
          </w:p>
          <w:p w14:paraId="6F3BD160" w14:textId="77777777" w:rsidR="00B51828" w:rsidRPr="00442796" w:rsidRDefault="00B51828" w:rsidP="002101D2">
            <w:pPr>
              <w:spacing w:before="100" w:beforeAutospacing="1" w:after="100" w:afterAutospacing="1"/>
              <w:ind w:left="1866" w:hanging="426"/>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on the same day; or</w:t>
            </w:r>
          </w:p>
          <w:p w14:paraId="64DC535F" w14:textId="77777777" w:rsidR="00B51828" w:rsidRPr="00442796" w:rsidRDefault="00B51828" w:rsidP="002101D2">
            <w:pPr>
              <w:spacing w:before="100" w:beforeAutospacing="1" w:after="100" w:afterAutospacing="1"/>
              <w:ind w:left="1844" w:hanging="426"/>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(ii) if more than 1 test is performed on the 1 specimen within 14 days </w:t>
            </w:r>
            <w:r w:rsidRPr="00442796">
              <w:rPr>
                <w:rFonts w:ascii="Arial Narrow" w:eastAsia="Times New Roman" w:hAnsi="Arial Narrow" w:cs="Tahoma"/>
                <w:sz w:val="20"/>
                <w:szCs w:val="20"/>
                <w:lang w:eastAsia="en-AU"/>
              </w:rPr>
              <w:noBreakHyphen/>
              <w:t xml:space="preserve"> on the same or different days;</w:t>
            </w:r>
          </w:p>
          <w:p w14:paraId="73775B52" w14:textId="77777777" w:rsidR="00B51828" w:rsidRPr="00442796" w:rsidRDefault="00B51828" w:rsidP="002101D2">
            <w:pPr>
              <w:spacing w:before="100" w:beforeAutospacing="1" w:after="100" w:afterAutospacing="1"/>
              <w:ind w:left="1418"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whether the services:</w:t>
            </w:r>
          </w:p>
          <w:p w14:paraId="44F743A3" w14:textId="77777777" w:rsidR="00B51828" w:rsidRPr="00442796" w:rsidRDefault="00B51828" w:rsidP="002101D2">
            <w:pPr>
              <w:spacing w:before="100" w:beforeAutospacing="1" w:after="100" w:afterAutospacing="1"/>
              <w:ind w:left="1985"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(iii) are requested by 1 or more practitioners; or</w:t>
            </w:r>
          </w:p>
          <w:p w14:paraId="5CEA9EF4" w14:textId="77777777" w:rsidR="00B51828" w:rsidRPr="00442796" w:rsidRDefault="00B51828" w:rsidP="002101D2">
            <w:pPr>
              <w:spacing w:before="100" w:beforeAutospacing="1" w:after="100" w:afterAutospacing="1"/>
              <w:ind w:left="1985"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(iv) are described in a single item or in more than 1 item; or</w:t>
            </w:r>
          </w:p>
          <w:p w14:paraId="2FE0CF35" w14:textId="77777777" w:rsidR="00B51828" w:rsidRPr="00442796" w:rsidRDefault="00B51828" w:rsidP="002101D2">
            <w:pPr>
              <w:spacing w:before="100" w:beforeAutospacing="1" w:after="100" w:afterAutospacing="1"/>
              <w:ind w:left="1985"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(v) are rendered by 1 approved pathology practitioner or more than 1 approved pathology practitioner; or</w:t>
            </w:r>
          </w:p>
          <w:p w14:paraId="5E79F28D" w14:textId="77777777" w:rsidR="00B51828" w:rsidRPr="00442796" w:rsidRDefault="00B51828" w:rsidP="002101D2">
            <w:pPr>
              <w:spacing w:before="100" w:beforeAutospacing="1" w:after="100" w:afterAutospacing="1"/>
              <w:ind w:left="1985"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(vi) are rendered on the same or different days; or</w:t>
            </w:r>
          </w:p>
          <w:p w14:paraId="075B0450"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 (b) a pathology service to which rule 4 refers that is provided in the circumstances set out in that rule that relates to the service.</w:t>
            </w:r>
          </w:p>
          <w:p w14:paraId="49C1128E"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receiving APP</w:t>
            </w:r>
            <w:r w:rsidRPr="00442796">
              <w:rPr>
                <w:rFonts w:ascii="Arial Narrow" w:eastAsia="Times New Roman" w:hAnsi="Arial Narrow" w:cs="Tahoma"/>
                <w:sz w:val="20"/>
                <w:szCs w:val="20"/>
                <w:lang w:eastAsia="en-AU"/>
              </w:rPr>
              <w:t xml:space="preserve"> means an approved pathology practitioner in an approved pathology authority who performs one or more pathology services in respect of a single patient episode following receipt of a request for those services from a referring APP.</w:t>
            </w:r>
          </w:p>
          <w:p w14:paraId="0EF1B2D9"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recognised pathologist</w:t>
            </w:r>
            <w:r w:rsidRPr="00442796">
              <w:rPr>
                <w:rFonts w:ascii="Arial Narrow" w:eastAsia="Times New Roman" w:hAnsi="Arial Narrow" w:cs="Tahoma"/>
                <w:sz w:val="20"/>
                <w:szCs w:val="20"/>
                <w:lang w:eastAsia="en-AU"/>
              </w:rPr>
              <w:t xml:space="preserve"> means a medical practitioner recognised as a specialist in pathology by a </w:t>
            </w:r>
            <w:r w:rsidRPr="00442796">
              <w:rPr>
                <w:rFonts w:ascii="Arial Narrow" w:eastAsia="Times New Roman" w:hAnsi="Arial Narrow" w:cs="Tahoma"/>
                <w:sz w:val="20"/>
                <w:szCs w:val="20"/>
                <w:lang w:eastAsia="en-AU"/>
              </w:rPr>
              <w:lastRenderedPageBreak/>
              <w:t>determination under section 3D, 3DB or 3E of the Act.</w:t>
            </w:r>
          </w:p>
          <w:p w14:paraId="6966D977" w14:textId="77777777" w:rsidR="00B51828" w:rsidRPr="00442796" w:rsidRDefault="00B51828" w:rsidP="002101D2">
            <w:pPr>
              <w:spacing w:before="100" w:beforeAutospacing="1" w:after="100" w:afterAutospacing="1"/>
              <w:ind w:left="964"/>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referring APP</w:t>
            </w:r>
            <w:r w:rsidRPr="00442796">
              <w:rPr>
                <w:rFonts w:ascii="Arial Narrow" w:eastAsia="Times New Roman" w:hAnsi="Arial Narrow" w:cs="Tahoma"/>
                <w:sz w:val="20"/>
                <w:szCs w:val="20"/>
                <w:lang w:eastAsia="en-AU"/>
              </w:rPr>
              <w:t xml:space="preserve"> means an approved pathology practitioner in an approved pathology authority who:</w:t>
            </w:r>
          </w:p>
          <w:p w14:paraId="29B191A2" w14:textId="77777777" w:rsidR="00B51828" w:rsidRPr="00442796" w:rsidRDefault="00B51828" w:rsidP="002101D2">
            <w:pPr>
              <w:tabs>
                <w:tab w:val="left" w:pos="1701"/>
              </w:tabs>
              <w:spacing w:before="100" w:beforeAutospacing="1" w:after="100" w:afterAutospacing="1"/>
              <w:ind w:left="2160" w:hanging="72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has been requested to render 1 or more pathology services, all of which are requested in a single patient episode; and</w:t>
            </w:r>
          </w:p>
          <w:p w14:paraId="1C2CC0CE" w14:textId="77777777" w:rsidR="00B51828" w:rsidRPr="00442796" w:rsidRDefault="00B51828" w:rsidP="002101D2">
            <w:pPr>
              <w:tabs>
                <w:tab w:val="left" w:pos="1701"/>
              </w:tabs>
              <w:spacing w:before="100" w:beforeAutospacing="1" w:after="100" w:afterAutospacing="1"/>
              <w:ind w:left="2160" w:hanging="72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(ii) is unable, because of the lack of facilities in, or expertise or experience of the staff of, the laboratory of the authority, to render 1 or more of the pathology services; and</w:t>
            </w:r>
          </w:p>
          <w:p w14:paraId="7BED6737" w14:textId="77777777" w:rsidR="00B51828" w:rsidRPr="00442796" w:rsidRDefault="00B51828" w:rsidP="002101D2">
            <w:pPr>
              <w:tabs>
                <w:tab w:val="left" w:pos="1701"/>
              </w:tabs>
              <w:spacing w:before="100" w:beforeAutospacing="1" w:after="100" w:afterAutospacing="1"/>
              <w:ind w:left="2160" w:hanging="72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(iii) requests an approved pathology practitioner (the </w:t>
            </w:r>
            <w:r w:rsidRPr="00442796">
              <w:rPr>
                <w:rFonts w:ascii="Arial Narrow" w:eastAsia="Times New Roman" w:hAnsi="Arial Narrow" w:cs="Tahoma"/>
                <w:b/>
                <w:bCs/>
                <w:i/>
                <w:iCs/>
                <w:sz w:val="20"/>
                <w:szCs w:val="20"/>
                <w:lang w:eastAsia="en-AU"/>
              </w:rPr>
              <w:t>receiving APP</w:t>
            </w:r>
            <w:r w:rsidRPr="00442796">
              <w:rPr>
                <w:rFonts w:ascii="Arial Narrow" w:eastAsia="Times New Roman" w:hAnsi="Arial Narrow" w:cs="Tahoma"/>
                <w:sz w:val="20"/>
                <w:szCs w:val="20"/>
                <w:lang w:eastAsia="en-AU"/>
              </w:rPr>
              <w:t>) in another approved pathology authority to render the pathology service or services that the referring APP is unable to render; and</w:t>
            </w:r>
          </w:p>
          <w:p w14:paraId="5D9D94A7" w14:textId="77777777" w:rsidR="00B51828" w:rsidRPr="00442796" w:rsidRDefault="00B51828" w:rsidP="002101D2">
            <w:pPr>
              <w:tabs>
                <w:tab w:val="left" w:pos="1701"/>
              </w:tabs>
              <w:spacing w:before="100" w:beforeAutospacing="1" w:after="100" w:afterAutospacing="1"/>
              <w:ind w:left="2160" w:hanging="72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(iv) renders each pathology service (if any) included in that patient episode, other than the pathology service or services in respect of which the request mentioned in subparagraph (iii) is made.</w:t>
            </w:r>
          </w:p>
          <w:p w14:paraId="015CA543"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serial examinations</w:t>
            </w:r>
            <w:r w:rsidRPr="00442796">
              <w:rPr>
                <w:rFonts w:ascii="Arial Narrow" w:eastAsia="Times New Roman" w:hAnsi="Arial Narrow" w:cs="Tahoma"/>
                <w:sz w:val="20"/>
                <w:szCs w:val="20"/>
                <w:lang w:eastAsia="en-AU"/>
              </w:rPr>
              <w:t xml:space="preserve"> means a series of examinations requested on 1 occasion whether or not:</w:t>
            </w:r>
          </w:p>
          <w:p w14:paraId="5A3C9F9B"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materials are received on different days by the approved pathology practitioner; or</w:t>
            </w:r>
          </w:p>
          <w:p w14:paraId="62C3D3DA"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the examinations or cultures were requested on 1 or more request forms by the treating practitioner.</w:t>
            </w:r>
          </w:p>
          <w:p w14:paraId="0DA32FA2" w14:textId="77777777" w:rsidR="00B51828" w:rsidRPr="00442796" w:rsidRDefault="00B51828" w:rsidP="002101D2">
            <w:pPr>
              <w:spacing w:before="100" w:beforeAutospacing="1" w:after="100" w:afterAutospacing="1"/>
              <w:ind w:left="1418" w:hanging="567"/>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 xml:space="preserve">the </w:t>
            </w:r>
            <w:r w:rsidRPr="00442796">
              <w:rPr>
                <w:rFonts w:ascii="Arial Narrow" w:eastAsia="Times New Roman" w:hAnsi="Arial Narrow" w:cs="Tahoma"/>
                <w:b/>
                <w:bCs/>
                <w:sz w:val="20"/>
                <w:szCs w:val="20"/>
                <w:lang w:eastAsia="en-AU"/>
              </w:rPr>
              <w:t>Act</w:t>
            </w:r>
            <w:r w:rsidRPr="00442796">
              <w:rPr>
                <w:rFonts w:ascii="Arial Narrow" w:eastAsia="Times New Roman" w:hAnsi="Arial Narrow" w:cs="Tahoma"/>
                <w:sz w:val="20"/>
                <w:szCs w:val="20"/>
                <w:lang w:eastAsia="en-AU"/>
              </w:rPr>
              <w:t xml:space="preserve"> means the </w:t>
            </w:r>
            <w:r w:rsidRPr="00442796">
              <w:rPr>
                <w:rFonts w:ascii="Arial Narrow" w:eastAsia="Times New Roman" w:hAnsi="Arial Narrow" w:cs="Tahoma"/>
                <w:i/>
                <w:iCs/>
                <w:sz w:val="20"/>
                <w:szCs w:val="20"/>
                <w:lang w:eastAsia="en-AU"/>
              </w:rPr>
              <w:t>Health Insurance Act 1973.</w:t>
            </w:r>
          </w:p>
          <w:p w14:paraId="486720BC" w14:textId="77777777" w:rsidR="00B51828" w:rsidRPr="00442796" w:rsidRDefault="00B51828" w:rsidP="002101D2">
            <w:pPr>
              <w:tabs>
                <w:tab w:val="left" w:pos="851"/>
              </w:tabs>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 (2)</w:t>
            </w:r>
            <w:r w:rsidRPr="00442796">
              <w:rPr>
                <w:rFonts w:ascii="Arial Narrow" w:eastAsia="Times New Roman" w:hAnsi="Arial Narrow" w:cs="Tahoma"/>
                <w:sz w:val="20"/>
                <w:szCs w:val="20"/>
                <w:lang w:eastAsia="en-AU"/>
              </w:rPr>
              <w:t xml:space="preserve"> In these rules, a reference to a request to an approved pathology practitioner includes a reference to a request for a pathologist</w:t>
            </w:r>
            <w:r w:rsidRPr="00442796">
              <w:rPr>
                <w:rFonts w:ascii="Arial Narrow" w:eastAsia="Times New Roman" w:hAnsi="Arial Narrow" w:cs="Tahoma"/>
                <w:sz w:val="20"/>
                <w:szCs w:val="20"/>
                <w:lang w:eastAsia="en-AU"/>
              </w:rPr>
              <w:noBreakHyphen/>
              <w:t>determinable service to which subsection 16A (6) of the Act applies.</w:t>
            </w:r>
          </w:p>
          <w:p w14:paraId="375F9FB1" w14:textId="77777777" w:rsidR="00B51828" w:rsidRPr="00442796" w:rsidRDefault="00B51828" w:rsidP="002101D2">
            <w:pPr>
              <w:tabs>
                <w:tab w:val="left" w:pos="851"/>
              </w:tabs>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w:t>
            </w:r>
            <w:r w:rsidRPr="00442796">
              <w:rPr>
                <w:rFonts w:ascii="Arial Narrow" w:eastAsia="Times New Roman" w:hAnsi="Arial Narrow" w:cs="Tahoma"/>
                <w:b/>
                <w:bCs/>
                <w:sz w:val="20"/>
                <w:szCs w:val="20"/>
                <w:lang w:eastAsia="en-AU"/>
              </w:rPr>
              <w:t>1. (3)</w:t>
            </w:r>
            <w:r w:rsidRPr="00442796">
              <w:rPr>
                <w:rFonts w:ascii="Arial Narrow" w:eastAsia="Times New Roman" w:hAnsi="Arial Narrow" w:cs="Tahoma"/>
                <w:sz w:val="20"/>
                <w:szCs w:val="20"/>
                <w:lang w:eastAsia="en-AU"/>
              </w:rPr>
              <w:t xml:space="preserve"> A reference in this table by number to an item that is not included in this table is a reference to the item that has that number in the general medical services table or the diagnostic imaging services table, as the case requires.</w:t>
            </w:r>
          </w:p>
          <w:p w14:paraId="6A7E2982" w14:textId="77777777" w:rsidR="00B51828" w:rsidRPr="00442796" w:rsidRDefault="00B51828" w:rsidP="002101D2">
            <w:pPr>
              <w:tabs>
                <w:tab w:val="left" w:pos="851"/>
              </w:tabs>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w:t>
            </w:r>
            <w:r w:rsidRPr="00442796">
              <w:rPr>
                <w:rFonts w:ascii="Arial Narrow" w:eastAsia="Times New Roman" w:hAnsi="Arial Narrow" w:cs="Tahoma"/>
                <w:b/>
                <w:bCs/>
                <w:sz w:val="20"/>
                <w:szCs w:val="20"/>
                <w:lang w:eastAsia="en-AU"/>
              </w:rPr>
              <w:t>1. (4)</w:t>
            </w:r>
            <w:r w:rsidRPr="00442796">
              <w:rPr>
                <w:rFonts w:ascii="Arial Narrow" w:eastAsia="Times New Roman" w:hAnsi="Arial Narrow" w:cs="Tahoma"/>
                <w:sz w:val="20"/>
                <w:szCs w:val="20"/>
                <w:lang w:eastAsia="en-AU"/>
              </w:rPr>
              <w:t xml:space="preserve"> A reference to a </w:t>
            </w:r>
            <w:r w:rsidRPr="00442796">
              <w:rPr>
                <w:rFonts w:ascii="Arial Narrow" w:eastAsia="Times New Roman" w:hAnsi="Arial Narrow" w:cs="Tahoma"/>
                <w:b/>
                <w:bCs/>
                <w:sz w:val="20"/>
                <w:szCs w:val="20"/>
                <w:lang w:eastAsia="en-AU"/>
              </w:rPr>
              <w:t>Group</w:t>
            </w:r>
            <w:r w:rsidRPr="00442796">
              <w:rPr>
                <w:rFonts w:ascii="Arial Narrow" w:eastAsia="Times New Roman" w:hAnsi="Arial Narrow" w:cs="Tahoma"/>
                <w:sz w:val="20"/>
                <w:szCs w:val="20"/>
                <w:lang w:eastAsia="en-AU"/>
              </w:rPr>
              <w:t xml:space="preserve"> in the table includes every item in the Group and a reference to a </w:t>
            </w:r>
            <w:r w:rsidRPr="00442796">
              <w:rPr>
                <w:rFonts w:ascii="Arial Narrow" w:eastAsia="Times New Roman" w:hAnsi="Arial Narrow" w:cs="Tahoma"/>
                <w:b/>
                <w:bCs/>
                <w:sz w:val="20"/>
                <w:szCs w:val="20"/>
                <w:lang w:eastAsia="en-AU"/>
              </w:rPr>
              <w:t xml:space="preserve">Subgroup </w:t>
            </w:r>
            <w:r w:rsidRPr="00442796">
              <w:rPr>
                <w:rFonts w:ascii="Arial Narrow" w:eastAsia="Times New Roman" w:hAnsi="Arial Narrow" w:cs="Tahoma"/>
                <w:sz w:val="20"/>
                <w:szCs w:val="20"/>
                <w:lang w:eastAsia="en-AU"/>
              </w:rPr>
              <w:t>in the table includes every item in the Subgroup.</w:t>
            </w:r>
          </w:p>
          <w:p w14:paraId="1C0CE0D9" w14:textId="77777777" w:rsidR="00B51828" w:rsidRPr="00442796" w:rsidRDefault="00B51828" w:rsidP="002101D2">
            <w:pPr>
              <w:spacing w:before="100" w:beforeAutospacing="1" w:after="100" w:afterAutospacing="1"/>
              <w:ind w:left="851" w:hanging="851"/>
              <w:rPr>
                <w:rFonts w:ascii="Arial Narrow" w:eastAsia="Times New Roman" w:hAnsi="Arial Narrow" w:cs="Tahoma"/>
                <w:b/>
                <w:bCs/>
                <w:sz w:val="20"/>
                <w:szCs w:val="20"/>
                <w:lang w:eastAsia="en-AU"/>
              </w:rPr>
            </w:pPr>
            <w:bookmarkStart w:id="382" w:name="_Toc368298682"/>
            <w:r w:rsidRPr="00442796">
              <w:rPr>
                <w:rFonts w:ascii="Arial Narrow" w:eastAsia="Times New Roman" w:hAnsi="Arial Narrow" w:cs="Tahoma"/>
                <w:b/>
                <w:bCs/>
                <w:sz w:val="20"/>
                <w:szCs w:val="20"/>
                <w:lang w:eastAsia="en-AU"/>
              </w:rPr>
              <w:t>Precedence of items</w:t>
            </w:r>
            <w:bookmarkEnd w:id="382"/>
          </w:p>
          <w:p w14:paraId="351AAC8A"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2. (1)</w:t>
            </w:r>
            <w:r w:rsidRPr="00442796">
              <w:rPr>
                <w:rFonts w:ascii="Arial Narrow" w:eastAsia="Times New Roman" w:hAnsi="Arial Narrow" w:cs="Tahoma"/>
                <w:sz w:val="20"/>
                <w:szCs w:val="20"/>
                <w:lang w:eastAsia="en-AU"/>
              </w:rPr>
              <w:t xml:space="preserve"> If a service is described:</w:t>
            </w:r>
          </w:p>
          <w:p w14:paraId="5B59FD74"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in an item in general terms; and</w:t>
            </w:r>
          </w:p>
          <w:p w14:paraId="265D2462"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in another item in specific terms;</w:t>
            </w:r>
          </w:p>
          <w:p w14:paraId="5E4983E3"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only the item that describes the service in specific terms applies to the service.</w:t>
            </w:r>
          </w:p>
          <w:p w14:paraId="455595D3"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w:t>
            </w:r>
            <w:r w:rsidRPr="00442796">
              <w:rPr>
                <w:rFonts w:ascii="Arial Narrow" w:eastAsia="Times New Roman" w:hAnsi="Arial Narrow" w:cs="Tahoma"/>
                <w:b/>
                <w:bCs/>
                <w:sz w:val="20"/>
                <w:szCs w:val="20"/>
                <w:lang w:eastAsia="en-AU"/>
              </w:rPr>
              <w:t>2. (2)</w:t>
            </w:r>
            <w:r w:rsidRPr="00442796">
              <w:rPr>
                <w:rFonts w:ascii="Arial Narrow" w:eastAsia="Times New Roman" w:hAnsi="Arial Narrow" w:cs="Tahoma"/>
                <w:sz w:val="20"/>
                <w:szCs w:val="20"/>
                <w:lang w:eastAsia="en-AU"/>
              </w:rPr>
              <w:t xml:space="preserve"> Subject to subrule (3), if:</w:t>
            </w:r>
          </w:p>
          <w:p w14:paraId="7F618AE0"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subrule (1) does not apply; and</w:t>
            </w:r>
          </w:p>
          <w:p w14:paraId="5C19C1AA"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a service is described in 2 or more items;</w:t>
            </w:r>
          </w:p>
          <w:p w14:paraId="63276E33" w14:textId="77777777" w:rsidR="00B51828" w:rsidRPr="00442796" w:rsidRDefault="00B51828" w:rsidP="002101D2">
            <w:pPr>
              <w:spacing w:before="100" w:beforeAutospacing="1" w:after="100" w:afterAutospacing="1"/>
              <w:ind w:left="1418"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only the item that provides the lower or lowest fee for the service applies to the service.</w:t>
            </w:r>
          </w:p>
          <w:p w14:paraId="7ABB7364"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2. (3)</w:t>
            </w:r>
            <w:r w:rsidRPr="00442796">
              <w:rPr>
                <w:rFonts w:ascii="Arial Narrow" w:eastAsia="Times New Roman" w:hAnsi="Arial Narrow" w:cs="Tahoma"/>
                <w:sz w:val="20"/>
                <w:szCs w:val="20"/>
                <w:lang w:eastAsia="en-AU"/>
              </w:rPr>
              <w:t xml:space="preserve"> If an item is expressed to include a pathology service that is described in another item, the other item does not apply to the service in addition to the first</w:t>
            </w:r>
            <w:r w:rsidRPr="00442796">
              <w:rPr>
                <w:rFonts w:ascii="Arial Narrow" w:eastAsia="Times New Roman" w:hAnsi="Arial Narrow" w:cs="Tahoma"/>
                <w:sz w:val="20"/>
                <w:szCs w:val="20"/>
                <w:lang w:eastAsia="en-AU"/>
              </w:rPr>
              <w:noBreakHyphen/>
              <w:t xml:space="preserve">mentioned item, whether or not the services described in the 2 items are </w:t>
            </w:r>
            <w:r w:rsidRPr="00442796">
              <w:rPr>
                <w:rFonts w:ascii="Arial Narrow" w:eastAsia="Times New Roman" w:hAnsi="Arial Narrow" w:cs="Tahoma"/>
                <w:sz w:val="20"/>
                <w:szCs w:val="20"/>
                <w:lang w:eastAsia="en-AU"/>
              </w:rPr>
              <w:lastRenderedPageBreak/>
              <w:t>requested separately.</w:t>
            </w:r>
          </w:p>
          <w:p w14:paraId="0446AD81" w14:textId="77777777" w:rsidR="00B51828" w:rsidRPr="00442796" w:rsidRDefault="00B51828" w:rsidP="002101D2">
            <w:pPr>
              <w:spacing w:before="100" w:beforeAutospacing="1" w:after="100" w:afterAutospacing="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Circumstances in which services rendered following 2 requests to be taken to have been rendered following 1 request</w:t>
            </w:r>
          </w:p>
          <w:p w14:paraId="267AF02D"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3. (1)</w:t>
            </w:r>
            <w:r w:rsidRPr="00442796">
              <w:rPr>
                <w:rFonts w:ascii="Arial Narrow" w:eastAsia="Times New Roman" w:hAnsi="Arial Narrow" w:cs="Tahoma"/>
                <w:sz w:val="20"/>
                <w:szCs w:val="20"/>
                <w:lang w:eastAsia="en-AU"/>
              </w:rPr>
              <w:t xml:space="preserve"> In subrule 3(2), </w:t>
            </w:r>
            <w:r w:rsidRPr="00442796">
              <w:rPr>
                <w:rFonts w:ascii="Arial Narrow" w:eastAsia="Times New Roman" w:hAnsi="Arial Narrow" w:cs="Tahoma"/>
                <w:b/>
                <w:bCs/>
                <w:i/>
                <w:iCs/>
                <w:sz w:val="20"/>
                <w:szCs w:val="20"/>
                <w:lang w:eastAsia="en-AU"/>
              </w:rPr>
              <w:t>service</w:t>
            </w:r>
            <w:r w:rsidRPr="00442796">
              <w:rPr>
                <w:rFonts w:ascii="Arial Narrow" w:eastAsia="Times New Roman" w:hAnsi="Arial Narrow" w:cs="Tahoma"/>
                <w:sz w:val="20"/>
                <w:szCs w:val="20"/>
                <w:lang w:eastAsia="en-AU"/>
              </w:rPr>
              <w:t>  includes assay, estimation and test.</w:t>
            </w:r>
          </w:p>
          <w:p w14:paraId="555CBEAB"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w:t>
            </w:r>
            <w:r w:rsidRPr="00442796">
              <w:rPr>
                <w:rFonts w:ascii="Arial Narrow" w:eastAsia="Times New Roman" w:hAnsi="Arial Narrow" w:cs="Tahoma"/>
                <w:b/>
                <w:bCs/>
                <w:sz w:val="20"/>
                <w:szCs w:val="20"/>
                <w:lang w:eastAsia="en-AU"/>
              </w:rPr>
              <w:t>3. (2)</w:t>
            </w:r>
            <w:r w:rsidRPr="00442796">
              <w:rPr>
                <w:rFonts w:ascii="Arial Narrow" w:eastAsia="Times New Roman" w:hAnsi="Arial Narrow" w:cs="Tahoma"/>
                <w:sz w:val="20"/>
                <w:szCs w:val="20"/>
                <w:lang w:eastAsia="en-AU"/>
              </w:rPr>
              <w:t xml:space="preserve"> Two or more pathology services (other than services to which, under rule 4, this rule does not apply) rendered for a patient following 2 or more requests are taken to have been rendered following a single request if:</w:t>
            </w:r>
          </w:p>
          <w:p w14:paraId="620B9B88" w14:textId="77777777" w:rsidR="00B51828" w:rsidRPr="00442796" w:rsidRDefault="00B51828" w:rsidP="002101D2">
            <w:pPr>
              <w:spacing w:before="100" w:beforeAutospacing="1" w:after="100" w:afterAutospacing="1"/>
              <w:ind w:left="1571" w:hanging="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services are listed in the same item; and</w:t>
            </w:r>
          </w:p>
          <w:p w14:paraId="725AA272" w14:textId="77777777" w:rsidR="00B51828" w:rsidRPr="00442796" w:rsidRDefault="00B51828" w:rsidP="002101D2">
            <w:pPr>
              <w:spacing w:before="100" w:beforeAutospacing="1"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(ab)  that item is not item 74990 or 74991; and</w:t>
            </w:r>
          </w:p>
          <w:p w14:paraId="1A16DACA" w14:textId="77777777" w:rsidR="00B51828" w:rsidRPr="00442796" w:rsidRDefault="00B51828" w:rsidP="002101D2">
            <w:pPr>
              <w:spacing w:before="100" w:beforeAutospacing="1"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the patient's need for the services was determined  under subsection 16A (1) of the Act on the same day even if the services are rendered by an approved pathology practitioner on more than one  day.</w:t>
            </w:r>
          </w:p>
          <w:p w14:paraId="79D43618"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Services to which rule 3 does not apply</w:t>
            </w:r>
          </w:p>
          <w:p w14:paraId="5D2C3832"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w:t>
            </w:r>
            <w:r w:rsidRPr="00442796">
              <w:rPr>
                <w:rFonts w:ascii="Arial Narrow" w:eastAsia="Times New Roman" w:hAnsi="Arial Narrow" w:cs="Tahoma"/>
                <w:b/>
                <w:bCs/>
                <w:sz w:val="20"/>
                <w:szCs w:val="20"/>
                <w:lang w:eastAsia="en-AU"/>
              </w:rPr>
              <w:t>4. (1)</w:t>
            </w:r>
            <w:r w:rsidRPr="00442796">
              <w:rPr>
                <w:rFonts w:ascii="Arial Narrow" w:eastAsia="Times New Roman" w:hAnsi="Arial Narrow" w:cs="Tahoma"/>
                <w:sz w:val="20"/>
                <w:szCs w:val="20"/>
                <w:lang w:eastAsia="en-AU"/>
              </w:rPr>
              <w:t xml:space="preserve"> Rule 3 does not apply to a pathology service described in item 65060, 65070, 65120, 65123, 65126, 65129, 65150, 65153, 65156, 66500, 66503, 66506, 66509, 66512, 66584 or 66800, if:</w:t>
            </w:r>
          </w:p>
          <w:p w14:paraId="0474AB36" w14:textId="77777777" w:rsidR="00B51828" w:rsidRPr="00442796" w:rsidRDefault="00B51828" w:rsidP="002101D2">
            <w:pPr>
              <w:spacing w:before="100" w:beforeAutospacing="1" w:after="100" w:afterAutospacing="1"/>
              <w:ind w:left="1003"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service is rendered in relation to one or more specimens taken on each of not more than 6 separate occasions in a period of 24 hours; and</w:t>
            </w:r>
          </w:p>
          <w:p w14:paraId="0AD8F051" w14:textId="77777777" w:rsidR="00B51828" w:rsidRPr="00442796" w:rsidRDefault="00B51828" w:rsidP="002101D2">
            <w:pPr>
              <w:spacing w:before="100" w:beforeAutospacing="1" w:after="100" w:afterAutospacing="1"/>
              <w:ind w:left="1003"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the service is rendered to an inpatient in a hospital; and</w:t>
            </w:r>
          </w:p>
          <w:p w14:paraId="3F8801A8" w14:textId="77777777" w:rsidR="00B51828" w:rsidRPr="00442796" w:rsidRDefault="00B51828" w:rsidP="002101D2">
            <w:pPr>
              <w:spacing w:before="100" w:beforeAutospacing="1" w:after="100" w:afterAutospacing="1"/>
              <w:ind w:left="1003"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each service must be rendered as soon as possible after collection and after authorization of the result of the previous specimen; and</w:t>
            </w:r>
          </w:p>
          <w:p w14:paraId="5FB466A4" w14:textId="77777777" w:rsidR="00B51828" w:rsidRPr="00442796" w:rsidRDefault="00B51828" w:rsidP="002101D2">
            <w:pPr>
              <w:spacing w:before="100" w:beforeAutospacing="1" w:after="100" w:afterAutospacing="1"/>
              <w:ind w:left="1003"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(d) the account for the service is endorsed 'Rule 3 Exemption'.</w:t>
            </w:r>
          </w:p>
          <w:p w14:paraId="26D28EE6"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w:t>
            </w:r>
          </w:p>
          <w:p w14:paraId="76C0E7EA" w14:textId="77777777" w:rsidR="00B51828" w:rsidRPr="00442796" w:rsidRDefault="00B51828" w:rsidP="002101D2">
            <w:pPr>
              <w:spacing w:before="100" w:beforeAutospacing="1" w:after="100" w:afterAutospacing="1"/>
              <w:ind w:hanging="72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4. (2)</w:t>
            </w:r>
            <w:r w:rsidRPr="00442796">
              <w:rPr>
                <w:rFonts w:ascii="Arial Narrow" w:eastAsia="Times New Roman" w:hAnsi="Arial Narrow" w:cs="Tahoma"/>
                <w:sz w:val="20"/>
                <w:szCs w:val="20"/>
                <w:lang w:eastAsia="en-AU"/>
              </w:rPr>
              <w:t xml:space="preserve"> Rule 3 does not apply to any of the following pathology services:</w:t>
            </w:r>
          </w:p>
          <w:p w14:paraId="618DFE75"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estimation of prothrombin time (INR) in respect of a patient undergoing anticoagulant therapy;</w:t>
            </w:r>
          </w:p>
          <w:p w14:paraId="1F67B17D"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quantitative estimation of lithium in respect of a patient undergoing lithium therapy;</w:t>
            </w:r>
          </w:p>
          <w:p w14:paraId="6810B9DC"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a service described in item 65070 in relation to a patient undergoing chemotherapy for neoplastic disease or immunosuppressant therapy;</w:t>
            </w:r>
          </w:p>
          <w:p w14:paraId="64B728A0"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(d) a service described in item 65070 in relation to clozaril, ticlopidine hydrochloride, methotrexate, gold, sulphasalazine or penicillamine therapy of a patient;</w:t>
            </w:r>
          </w:p>
          <w:p w14:paraId="619E7E0E"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(e)  a service described in item 66500 - 66512 in relation to methotrexate or leflunomide therapy of a patient;</w:t>
            </w:r>
          </w:p>
          <w:p w14:paraId="1856C990"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(f)  quantitative estimation of urea, creatinine and electrolytes in relation to:</w:t>
            </w:r>
          </w:p>
          <w:p w14:paraId="547F510F" w14:textId="77777777" w:rsidR="00B51828" w:rsidRPr="00442796" w:rsidRDefault="00B51828" w:rsidP="002101D2">
            <w:pPr>
              <w:spacing w:before="100" w:beforeAutospacing="1" w:after="100" w:afterAutospacing="1"/>
              <w:ind w:left="1702"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cis</w:t>
            </w:r>
            <w:r w:rsidRPr="00442796">
              <w:rPr>
                <w:rFonts w:ascii="Arial Narrow" w:eastAsia="Times New Roman" w:hAnsi="Arial Narrow" w:cs="Tahoma"/>
                <w:sz w:val="20"/>
                <w:szCs w:val="20"/>
                <w:lang w:eastAsia="en-AU"/>
              </w:rPr>
              <w:noBreakHyphen/>
              <w:t>platinum or cyclosporin therapy of a patient; or</w:t>
            </w:r>
          </w:p>
          <w:p w14:paraId="33558BAF" w14:textId="77777777" w:rsidR="00B51828" w:rsidRPr="00442796" w:rsidRDefault="00B51828" w:rsidP="002101D2">
            <w:pPr>
              <w:spacing w:before="100" w:beforeAutospacing="1" w:after="100" w:afterAutospacing="1"/>
              <w:ind w:left="1702"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(ii) chronic renal failure of a patient being treated in a dialysis program conducted by a recognised hospital;</w:t>
            </w:r>
          </w:p>
          <w:p w14:paraId="73DC8D3E" w14:textId="77777777" w:rsidR="00B51828" w:rsidRPr="00442796" w:rsidRDefault="00B51828" w:rsidP="002101D2">
            <w:pPr>
              <w:spacing w:before="100" w:beforeAutospacing="1" w:after="100" w:afterAutospacing="1"/>
              <w:ind w:left="1211" w:hanging="36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lastRenderedPageBreak/>
              <w:t>(g)  quantitative estimation of albumin and calcium in relation to therapy of a patient with vitamin D, its metabolites or analogues;</w:t>
            </w:r>
          </w:p>
          <w:p w14:paraId="6F23671A" w14:textId="77777777" w:rsidR="00B51828" w:rsidRPr="00442796" w:rsidRDefault="00B51828" w:rsidP="002101D2">
            <w:pPr>
              <w:spacing w:before="100" w:beforeAutospacing="1" w:after="100" w:afterAutospacing="1"/>
              <w:ind w:left="1211" w:hanging="36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(h)  quantitative estimation of calcium, phosphate, magnesium, urea, creatinine and electrolytes in cancer patients receiving bisphosphonate infusions.</w:t>
            </w:r>
          </w:p>
          <w:p w14:paraId="3C3739B8" w14:textId="77777777" w:rsidR="00B51828" w:rsidRPr="00442796" w:rsidRDefault="00B51828" w:rsidP="002101D2">
            <w:pPr>
              <w:spacing w:before="100" w:beforeAutospacing="1"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 if:</w:t>
            </w:r>
          </w:p>
          <w:p w14:paraId="2DAE29A0" w14:textId="77777777" w:rsidR="00B51828" w:rsidRPr="00442796" w:rsidRDefault="00B51828" w:rsidP="002101D2">
            <w:pPr>
              <w:spacing w:before="100" w:beforeAutospacing="1" w:after="100" w:afterAutospacing="1"/>
              <w:ind w:left="1723"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under a request for a service, other than a request for a service described in paragraph (a), no more than 6 tests are requested; and</w:t>
            </w:r>
          </w:p>
          <w:p w14:paraId="0D7FBA8A" w14:textId="77777777" w:rsidR="00B51828" w:rsidRPr="00442796" w:rsidRDefault="00B51828" w:rsidP="002101D2">
            <w:pPr>
              <w:spacing w:before="100" w:beforeAutospacing="1" w:after="100" w:afterAutospacing="1"/>
              <w:ind w:left="1723"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(ii)  the tests are performed within 6 months of the request; and</w:t>
            </w:r>
          </w:p>
          <w:p w14:paraId="78240AAF" w14:textId="77777777" w:rsidR="00B51828" w:rsidRPr="00442796" w:rsidRDefault="00B51828" w:rsidP="002101D2">
            <w:pPr>
              <w:spacing w:before="100" w:beforeAutospacing="1" w:after="100" w:afterAutospacing="1"/>
              <w:ind w:left="1723"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(iii) the account for the service is endorsed "Rule 3 Exemption".</w:t>
            </w:r>
          </w:p>
          <w:p w14:paraId="19BAD184"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 xml:space="preserve">4. (3) </w:t>
            </w:r>
            <w:r w:rsidRPr="00442796">
              <w:rPr>
                <w:rFonts w:ascii="Arial Narrow" w:eastAsia="Times New Roman" w:hAnsi="Arial Narrow" w:cs="Tahoma"/>
                <w:sz w:val="20"/>
                <w:szCs w:val="20"/>
                <w:lang w:eastAsia="en-AU"/>
              </w:rPr>
              <w:t>Rule 3 does not apply to a pathology service described in items 65109 or 65110 if:</w:t>
            </w:r>
          </w:p>
          <w:p w14:paraId="2F0464D5" w14:textId="77777777" w:rsidR="00B51828" w:rsidRPr="00442796" w:rsidRDefault="00B51828" w:rsidP="002101D2">
            <w:pPr>
              <w:spacing w:before="100" w:beforeAutospacing="1" w:after="100" w:afterAutospacing="1"/>
              <w:ind w:left="1080" w:hanging="36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service is rendered on not more than 5 separate occasions in the case of item 65109 and 2 separate occasions in the case of item 65110 in a period of 24 hours; and</w:t>
            </w:r>
          </w:p>
          <w:p w14:paraId="569D1BD7" w14:textId="77777777" w:rsidR="00B51828" w:rsidRPr="00442796" w:rsidRDefault="00B51828" w:rsidP="002101D2">
            <w:pPr>
              <w:spacing w:before="100" w:beforeAutospacing="1" w:after="100" w:afterAutospacing="1"/>
              <w:ind w:left="1080" w:hanging="36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The service is rendered in response to a written request separated in time from the previous request; and</w:t>
            </w:r>
          </w:p>
          <w:p w14:paraId="6441E67D" w14:textId="77777777" w:rsidR="00B51828" w:rsidRPr="00442796" w:rsidRDefault="00B51828" w:rsidP="002101D2">
            <w:pPr>
              <w:spacing w:before="100" w:beforeAutospacing="1" w:after="100" w:afterAutospacing="1"/>
              <w:ind w:left="1080" w:hanging="36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The account for the service is endorsed "Rule 3 Exemption".</w:t>
            </w:r>
          </w:p>
          <w:p w14:paraId="4F342C04"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Certain items not to apply to a service referred by one pathology practitioner to another</w:t>
            </w:r>
          </w:p>
          <w:p w14:paraId="1F8970CB" w14:textId="77777777" w:rsidR="00B51828" w:rsidRPr="00442796" w:rsidRDefault="00B51828" w:rsidP="002101D2">
            <w:pPr>
              <w:spacing w:before="100" w:beforeAutospacing="1" w:after="100" w:afterAutospacing="1"/>
              <w:ind w:left="567" w:hanging="567"/>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6. (1)</w:t>
            </w:r>
            <w:r w:rsidRPr="00442796">
              <w:rPr>
                <w:rFonts w:ascii="Arial Narrow" w:eastAsia="Times New Roman" w:hAnsi="Arial Narrow" w:cs="Tahoma"/>
                <w:sz w:val="20"/>
                <w:szCs w:val="20"/>
                <w:lang w:eastAsia="en-AU"/>
              </w:rPr>
              <w:t xml:space="preserve"> In this rule:</w:t>
            </w:r>
          </w:p>
          <w:p w14:paraId="76B8DF54" w14:textId="77777777" w:rsidR="00B51828" w:rsidRPr="00442796" w:rsidRDefault="00B51828" w:rsidP="002101D2">
            <w:pPr>
              <w:spacing w:before="100" w:beforeAutospacing="1" w:after="100" w:afterAutospacing="1"/>
              <w:ind w:left="567"/>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designated pathology service</w:t>
            </w:r>
            <w:r w:rsidRPr="00442796">
              <w:rPr>
                <w:rFonts w:ascii="Arial Narrow" w:eastAsia="Times New Roman" w:hAnsi="Arial Narrow" w:cs="Tahoma"/>
                <w:sz w:val="20"/>
                <w:szCs w:val="20"/>
                <w:lang w:eastAsia="en-AU"/>
              </w:rPr>
              <w:t xml:space="preserve"> means a pathology service in respect of tests relating to a single patient episode that are tests of the kind described in item 65150, 65175, 66650, 66695, 66711, 66722, 66785, 66800, 66812, 66819, 66825, 69384, 69494, 71089, 71153 or 71165.</w:t>
            </w:r>
          </w:p>
          <w:p w14:paraId="2D5C9393"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6. (2)</w:t>
            </w:r>
            <w:r w:rsidRPr="00442796">
              <w:rPr>
                <w:rFonts w:ascii="Arial Narrow" w:eastAsia="Times New Roman" w:hAnsi="Arial Narrow" w:cs="Tahoma"/>
                <w:sz w:val="20"/>
                <w:szCs w:val="20"/>
                <w:lang w:eastAsia="en-AU"/>
              </w:rPr>
              <w:t xml:space="preserve"> This rule applies in respect of a designated pathology service where: </w:t>
            </w:r>
          </w:p>
          <w:p w14:paraId="53964432" w14:textId="77777777" w:rsidR="00B51828" w:rsidRPr="00442796" w:rsidRDefault="00B51828" w:rsidP="002101D2">
            <w:pPr>
              <w:spacing w:before="100" w:beforeAutospacing="1"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(a) an approved pathology practitioner </w:t>
            </w:r>
            <w:r w:rsidRPr="00442796">
              <w:rPr>
                <w:rFonts w:ascii="Arial Narrow" w:eastAsia="Times New Roman" w:hAnsi="Arial Narrow" w:cs="Tahoma"/>
                <w:b/>
                <w:bCs/>
                <w:i/>
                <w:iCs/>
                <w:sz w:val="20"/>
                <w:szCs w:val="20"/>
                <w:lang w:eastAsia="en-AU"/>
              </w:rPr>
              <w:t>(practitioner A)</w:t>
            </w:r>
            <w:r w:rsidRPr="00442796">
              <w:rPr>
                <w:rFonts w:ascii="Arial Narrow" w:eastAsia="Times New Roman" w:hAnsi="Arial Narrow" w:cs="Tahoma"/>
                <w:sz w:val="20"/>
                <w:szCs w:val="20"/>
                <w:lang w:eastAsia="en-AU"/>
              </w:rPr>
              <w:t xml:space="preserve"> in an approved pathology authority:</w:t>
            </w:r>
          </w:p>
          <w:p w14:paraId="46C30B2E" w14:textId="77777777" w:rsidR="00B51828" w:rsidRPr="00442796" w:rsidRDefault="00B51828" w:rsidP="002101D2">
            <w:pPr>
              <w:spacing w:before="100" w:beforeAutospacing="1" w:after="100" w:afterAutospacing="1"/>
              <w:ind w:left="2291" w:hanging="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has been requested to render the designated pathology service; and</w:t>
            </w:r>
          </w:p>
          <w:p w14:paraId="4390B575" w14:textId="77777777" w:rsidR="00B51828" w:rsidRPr="00442796" w:rsidRDefault="00B51828" w:rsidP="002101D2">
            <w:pPr>
              <w:spacing w:before="100" w:beforeAutospacing="1" w:after="100" w:afterAutospacing="1"/>
              <w:ind w:left="2007"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(ii) is unable, because of the lack of facilities in, or expertise or experience of the staff of, the laboratory of the authority, to render 1 or more of the tests included in the service; and</w:t>
            </w:r>
          </w:p>
          <w:p w14:paraId="218E29DD" w14:textId="77777777" w:rsidR="00B51828" w:rsidRPr="00442796" w:rsidRDefault="00B51828" w:rsidP="002101D2">
            <w:pPr>
              <w:spacing w:before="100" w:beforeAutospacing="1" w:after="100" w:afterAutospacing="1"/>
              <w:ind w:left="2007"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(iii) requests an approved pathology practitioner </w:t>
            </w:r>
            <w:r w:rsidRPr="00442796">
              <w:rPr>
                <w:rFonts w:ascii="Arial Narrow" w:eastAsia="Times New Roman" w:hAnsi="Arial Narrow" w:cs="Tahoma"/>
                <w:b/>
                <w:bCs/>
                <w:i/>
                <w:iCs/>
                <w:sz w:val="20"/>
                <w:szCs w:val="20"/>
                <w:lang w:eastAsia="en-AU"/>
              </w:rPr>
              <w:t>(practitioner B)</w:t>
            </w:r>
            <w:r w:rsidRPr="00442796">
              <w:rPr>
                <w:rFonts w:ascii="Arial Narrow" w:eastAsia="Times New Roman" w:hAnsi="Arial Narrow" w:cs="Tahoma"/>
                <w:sz w:val="20"/>
                <w:szCs w:val="20"/>
                <w:lang w:eastAsia="en-AU"/>
              </w:rPr>
              <w:t xml:space="preserve"> in another approved pathology authority to render the test or tests that practitioner A is unable to render; and</w:t>
            </w:r>
          </w:p>
          <w:p w14:paraId="65E8CD63" w14:textId="77777777" w:rsidR="00B51828" w:rsidRPr="00442796" w:rsidRDefault="00B51828" w:rsidP="002101D2">
            <w:pPr>
              <w:spacing w:before="100" w:beforeAutospacing="1" w:after="100" w:afterAutospacing="1"/>
              <w:ind w:left="2007"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(iv) renders each test (if any) included in the service, other than the test or tests in respect of which the request mentioned in subparagraph (iii) is made; and</w:t>
            </w:r>
          </w:p>
          <w:p w14:paraId="2F1C4175" w14:textId="77777777" w:rsidR="00B51828" w:rsidRPr="00442796" w:rsidRDefault="00B51828" w:rsidP="002101D2">
            <w:pPr>
              <w:spacing w:before="100" w:beforeAutospacing="1" w:after="100" w:afterAutospacing="1"/>
              <w:ind w:left="1287"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the tests mentioned in subparagraph (a) (iv) that practitioner A renders are not tests constituting a service described in item 65156, 65179, 66653, 66712, 66734, 66788, 66806, 66815, 66822, 66828,  69496, 71093, 71159 or 71168.</w:t>
            </w:r>
          </w:p>
          <w:p w14:paraId="6A07EDF5" w14:textId="77777777" w:rsidR="00B51828" w:rsidRPr="00442796" w:rsidRDefault="00B51828" w:rsidP="002101D2">
            <w:pPr>
              <w:spacing w:before="100" w:beforeAutospacing="1" w:after="100" w:afterAutospacing="1"/>
              <w:ind w:left="567" w:hanging="567"/>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6. (3)</w:t>
            </w:r>
            <w:r w:rsidRPr="00442796">
              <w:rPr>
                <w:rFonts w:ascii="Arial Narrow" w:eastAsia="Times New Roman" w:hAnsi="Arial Narrow" w:cs="Tahoma"/>
                <w:sz w:val="20"/>
                <w:szCs w:val="20"/>
                <w:lang w:eastAsia="en-AU"/>
              </w:rPr>
              <w:t xml:space="preserve"> If this rule applies in respect of a designated pathology service:</w:t>
            </w:r>
          </w:p>
          <w:p w14:paraId="4D40C2A5" w14:textId="77777777" w:rsidR="00B51828" w:rsidRPr="00442796" w:rsidRDefault="00B51828" w:rsidP="002101D2">
            <w:pPr>
              <w:spacing w:before="100" w:beforeAutospacing="1" w:after="100" w:afterAutospacing="1"/>
              <w:ind w:left="1287"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(a) item 65150, 65153, 65175, 65176, 65177, 65178, 66650, 66695, 66698, 66701, 66704, 66707, 66711, 66722, 66725, 66728, 66731, 66785, 66800, 66803, 66812, 66819, 66825, 69384, 69387, 69390, 69393, 69396, </w:t>
            </w:r>
            <w:r w:rsidRPr="00442796">
              <w:rPr>
                <w:rFonts w:ascii="Arial Narrow" w:eastAsia="Times New Roman" w:hAnsi="Arial Narrow" w:cs="Tahoma"/>
                <w:sz w:val="20"/>
                <w:szCs w:val="20"/>
                <w:lang w:eastAsia="en-AU"/>
              </w:rPr>
              <w:lastRenderedPageBreak/>
              <w:t>69494, 69495, 71089, 71091, 71153, 71155, 71157, 71165, 71166 or 71167 (as the case requires) applies in respect of the test or tests rendered by practitioner A; and</w:t>
            </w:r>
          </w:p>
          <w:p w14:paraId="48780A55" w14:textId="77777777" w:rsidR="00B51828" w:rsidRPr="00442796" w:rsidRDefault="00B51828" w:rsidP="002101D2">
            <w:pPr>
              <w:spacing w:before="100" w:beforeAutospacing="1"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where practitioner B renders a service under a request referred to in subparagraph (2) (a) (iii) and:</w:t>
            </w:r>
          </w:p>
          <w:p w14:paraId="40314947" w14:textId="77777777" w:rsidR="00B51828" w:rsidRPr="00442796" w:rsidRDefault="00B51828" w:rsidP="002101D2">
            <w:pPr>
              <w:spacing w:before="100" w:beforeAutospacing="1" w:after="100" w:afterAutospacing="1"/>
              <w:ind w:left="2183" w:hanging="74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practitioner A has rendered one or more of the tests that the service comprises - subject to subrule (4), the amount specified in item 65158, 65181, 66652, 66697, 66715, 66724, 66790, 66805, 66817, 66821, 66827, 69401, 69498, 71092, 71156 or 71170 (as the case requires) shall be taken to be the fee for each test that the service comprises; or</w:t>
            </w:r>
          </w:p>
          <w:p w14:paraId="3DD4FFEF" w14:textId="77777777" w:rsidR="00B51828" w:rsidRPr="00442796" w:rsidRDefault="00B51828" w:rsidP="002101D2">
            <w:pPr>
              <w:spacing w:before="100" w:beforeAutospacing="1" w:after="100" w:afterAutospacing="1"/>
              <w:ind w:left="144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(ii) practitioner A has not rendered any of the tests that the service comprises - </w:t>
            </w:r>
          </w:p>
          <w:p w14:paraId="2F6B572E" w14:textId="77777777" w:rsidR="00B51828" w:rsidRPr="00442796" w:rsidRDefault="00B51828" w:rsidP="002101D2">
            <w:pPr>
              <w:spacing w:before="100" w:beforeAutospacing="1" w:after="100" w:afterAutospacing="1"/>
              <w:ind w:left="2268"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amount specified in item 65157, 65180, 66651, 66696, 66714, 66723, 66789, 66804, 66816, 66820, 66826, 69400, 69497, 71090, 71154 or 71169 (as the case requires) shall be taken to be the fee for the first test that the service comprises; and</w:t>
            </w:r>
          </w:p>
          <w:p w14:paraId="43FC5401" w14:textId="77777777" w:rsidR="00B51828" w:rsidRPr="00442796" w:rsidRDefault="00B51828" w:rsidP="002101D2">
            <w:pPr>
              <w:spacing w:before="100" w:beforeAutospacing="1" w:after="100" w:afterAutospacing="1"/>
              <w:ind w:left="2268" w:hanging="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subject to subrule (4), the amount specified in item 65158, 65181, 66652, 66697, 66715, 66724, 66790, 66805, 66817, 66821, 66827, 69401, 69498, 71092, 71156 or 71170 (as the case requires) shall be taken to be the fee for each subsequent test that the service comprises.</w:t>
            </w:r>
          </w:p>
          <w:p w14:paraId="422F9177" w14:textId="77777777" w:rsidR="00B51828" w:rsidRPr="00442796" w:rsidRDefault="00B51828" w:rsidP="002101D2">
            <w:pPr>
              <w:spacing w:before="100" w:beforeAutospacing="1" w:after="100" w:afterAutospacing="1"/>
              <w:ind w:left="567" w:hanging="567"/>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6. (4)</w:t>
            </w:r>
            <w:r w:rsidRPr="00442796">
              <w:rPr>
                <w:rFonts w:ascii="Arial Narrow" w:eastAsia="Times New Roman" w:hAnsi="Arial Narrow" w:cs="Tahoma"/>
                <w:sz w:val="20"/>
                <w:szCs w:val="20"/>
                <w:lang w:eastAsia="en-AU"/>
              </w:rPr>
              <w:t xml:space="preserve"> For paragraph (3) (b), the maximum number of tests to which item 65158, 65181, 66652, 66697, 66715, 66724, 66790, 66805, 66817, 66821, 66827, 69401, 69498, 71092, 71156 or 71170 applies is: </w:t>
            </w:r>
          </w:p>
          <w:p w14:paraId="35EC59AC" w14:textId="77777777" w:rsidR="00B51828" w:rsidRPr="00442796" w:rsidRDefault="00B51828" w:rsidP="002101D2">
            <w:pPr>
              <w:spacing w:before="100" w:beforeAutospacing="1" w:after="100" w:afterAutospacing="1"/>
              <w:ind w:left="567" w:firstLine="142"/>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for item 66652, 66715, 66790, 66817, 66821 or 66827:</w:t>
            </w:r>
          </w:p>
          <w:p w14:paraId="4738F459" w14:textId="77777777" w:rsidR="00B51828" w:rsidRPr="00442796" w:rsidRDefault="00B51828" w:rsidP="002101D2">
            <w:pPr>
              <w:spacing w:before="100" w:beforeAutospacing="1" w:after="100" w:afterAutospacing="1"/>
              <w:ind w:left="675" w:firstLine="675"/>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2 - X; and</w:t>
            </w:r>
          </w:p>
          <w:p w14:paraId="6F02E481" w14:textId="77777777" w:rsidR="00B51828" w:rsidRPr="00442796" w:rsidRDefault="00B51828" w:rsidP="002101D2">
            <w:pPr>
              <w:spacing w:before="100" w:beforeAutospacing="1" w:after="100" w:afterAutospacing="1"/>
              <w:ind w:left="675" w:firstLine="3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for item 66805, 69498 or 71092:</w:t>
            </w:r>
          </w:p>
          <w:p w14:paraId="5D051176" w14:textId="77777777" w:rsidR="00B51828" w:rsidRPr="00442796" w:rsidRDefault="00B51828" w:rsidP="002101D2">
            <w:pPr>
              <w:spacing w:before="100" w:beforeAutospacing="1" w:after="100" w:afterAutospacing="1"/>
              <w:ind w:left="675" w:firstLine="675"/>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3 - X; and</w:t>
            </w:r>
          </w:p>
          <w:p w14:paraId="267BCB96" w14:textId="77777777" w:rsidR="00B51828" w:rsidRPr="00442796" w:rsidRDefault="00B51828" w:rsidP="002101D2">
            <w:pPr>
              <w:spacing w:before="100" w:beforeAutospacing="1" w:after="100" w:afterAutospacing="1"/>
              <w:ind w:left="675" w:firstLine="3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for item 71156 or 71170:</w:t>
            </w:r>
          </w:p>
          <w:p w14:paraId="763E0CA9" w14:textId="77777777" w:rsidR="00B51828" w:rsidRPr="00442796" w:rsidRDefault="00B51828" w:rsidP="002101D2">
            <w:pPr>
              <w:spacing w:before="100" w:beforeAutospacing="1" w:after="100" w:afterAutospacing="1"/>
              <w:ind w:left="675" w:firstLine="675"/>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4 - X; and</w:t>
            </w:r>
          </w:p>
          <w:p w14:paraId="4578A110" w14:textId="77777777" w:rsidR="00B51828" w:rsidRPr="00442796" w:rsidRDefault="00B51828" w:rsidP="002101D2">
            <w:pPr>
              <w:spacing w:before="100" w:beforeAutospacing="1" w:after="100" w:afterAutospacing="1"/>
              <w:ind w:left="675" w:firstLine="3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(d) for item 66724:</w:t>
            </w:r>
          </w:p>
          <w:p w14:paraId="3FC7AB6B" w14:textId="77777777" w:rsidR="00B51828" w:rsidRPr="00442796" w:rsidRDefault="00B51828" w:rsidP="002101D2">
            <w:pPr>
              <w:spacing w:before="100" w:beforeAutospacing="1" w:after="100" w:afterAutospacing="1"/>
              <w:ind w:left="675" w:firstLine="675"/>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5 - X; and </w:t>
            </w:r>
          </w:p>
          <w:p w14:paraId="6A080215" w14:textId="77777777" w:rsidR="00B51828" w:rsidRPr="00442796" w:rsidRDefault="00B51828" w:rsidP="002101D2">
            <w:pPr>
              <w:spacing w:before="100" w:beforeAutospacing="1" w:after="100" w:afterAutospacing="1"/>
              <w:ind w:left="56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where X is the number of tests rendered by practitioner A in relation to the designated pathology service in respect of which the request mentioned in that paragraph is made.</w:t>
            </w:r>
          </w:p>
          <w:p w14:paraId="5044D424" w14:textId="77777777" w:rsidR="00B51828" w:rsidRPr="00442796" w:rsidRDefault="00B51828" w:rsidP="002101D2">
            <w:pPr>
              <w:spacing w:before="100" w:beforeAutospacing="1" w:after="100" w:afterAutospacing="1"/>
              <w:ind w:left="567" w:hanging="567"/>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6. (5)</w:t>
            </w:r>
            <w:r w:rsidRPr="00442796">
              <w:rPr>
                <w:rFonts w:ascii="Arial Narrow" w:eastAsia="Times New Roman" w:hAnsi="Arial Narrow" w:cs="Tahoma"/>
                <w:sz w:val="20"/>
                <w:szCs w:val="20"/>
                <w:lang w:eastAsia="en-AU"/>
              </w:rPr>
              <w:t xml:space="preserve"> Items in Group P10 (Patient episode initiation) do not apply to the second mentioned approved pathology practitioner in subrule (2).</w:t>
            </w:r>
          </w:p>
          <w:p w14:paraId="7B8B5439" w14:textId="77777777" w:rsidR="00B51828" w:rsidRPr="00442796" w:rsidRDefault="00B51828" w:rsidP="002101D2">
            <w:pPr>
              <w:spacing w:before="100" w:beforeAutospacing="1" w:after="100" w:afterAutospacing="1"/>
              <w:ind w:left="567" w:hanging="567"/>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Items not to be split</w:t>
            </w:r>
          </w:p>
          <w:p w14:paraId="2B2B052C" w14:textId="77777777" w:rsidR="00B51828" w:rsidRPr="00442796" w:rsidRDefault="00B51828" w:rsidP="002101D2">
            <w:pPr>
              <w:spacing w:before="100" w:beforeAutospacing="1" w:after="100" w:afterAutospacing="1"/>
              <w:ind w:left="709" w:hanging="709"/>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w:t>
            </w:r>
            <w:r w:rsidRPr="00442796">
              <w:rPr>
                <w:rFonts w:ascii="Arial Narrow" w:eastAsia="Times New Roman" w:hAnsi="Arial Narrow" w:cs="Tahoma"/>
                <w:b/>
                <w:bCs/>
                <w:sz w:val="20"/>
                <w:szCs w:val="20"/>
                <w:lang w:eastAsia="en-AU"/>
              </w:rPr>
              <w:t>7.</w:t>
            </w:r>
            <w:r w:rsidRPr="00442796">
              <w:rPr>
                <w:rFonts w:ascii="Arial Narrow" w:eastAsia="Times New Roman" w:hAnsi="Arial Narrow" w:cs="Tahoma"/>
                <w:sz w:val="20"/>
                <w:szCs w:val="20"/>
                <w:lang w:eastAsia="en-AU"/>
              </w:rPr>
              <w:t xml:space="preserve"> Except as stated in rule 6, the amount specified in an item is payable only to one approved pathology practitioner in respect of a single patient episode.</w:t>
            </w:r>
          </w:p>
          <w:p w14:paraId="2C722335"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 xml:space="preserve">Tests on biopsy material </w:t>
            </w:r>
            <w:r w:rsidRPr="00442796">
              <w:rPr>
                <w:rFonts w:ascii="Arial Narrow" w:eastAsia="Times New Roman" w:hAnsi="Arial Narrow" w:cs="Tahoma"/>
                <w:b/>
                <w:bCs/>
                <w:sz w:val="20"/>
                <w:szCs w:val="20"/>
                <w:lang w:eastAsia="en-AU"/>
              </w:rPr>
              <w:noBreakHyphen/>
              <w:t xml:space="preserve"> Group P5 (Tissue pathology) and Group P6 (Cytology)</w:t>
            </w:r>
          </w:p>
          <w:p w14:paraId="31BD60E7" w14:textId="77777777" w:rsidR="00B51828" w:rsidRPr="00442796" w:rsidRDefault="00B51828" w:rsidP="002101D2">
            <w:pPr>
              <w:spacing w:before="100" w:beforeAutospacing="1" w:after="100" w:afterAutospacing="1"/>
              <w:ind w:left="1440" w:hanging="144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13. (1)</w:t>
            </w:r>
            <w:r w:rsidRPr="00442796">
              <w:rPr>
                <w:rFonts w:ascii="Arial Narrow" w:eastAsia="Times New Roman" w:hAnsi="Arial Narrow" w:cs="Tahoma"/>
                <w:sz w:val="20"/>
                <w:szCs w:val="20"/>
                <w:lang w:eastAsia="en-AU"/>
              </w:rPr>
              <w:t xml:space="preserve"> For items in Group P5 (Tissue pathology):</w:t>
            </w:r>
          </w:p>
          <w:p w14:paraId="493B3DAF"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lastRenderedPageBreak/>
              <w:t xml:space="preserve">(a)  </w:t>
            </w:r>
            <w:r w:rsidRPr="00442796">
              <w:rPr>
                <w:rFonts w:ascii="Arial Narrow" w:eastAsia="Times New Roman" w:hAnsi="Arial Narrow" w:cs="Tahoma"/>
                <w:b/>
                <w:bCs/>
                <w:i/>
                <w:iCs/>
                <w:sz w:val="20"/>
                <w:szCs w:val="20"/>
                <w:lang w:eastAsia="en-AU"/>
              </w:rPr>
              <w:t>biopsy material</w:t>
            </w:r>
            <w:r w:rsidRPr="00442796">
              <w:rPr>
                <w:rFonts w:ascii="Arial Narrow" w:eastAsia="Times New Roman" w:hAnsi="Arial Narrow" w:cs="Tahoma"/>
                <w:b/>
                <w:bCs/>
                <w:sz w:val="20"/>
                <w:szCs w:val="20"/>
                <w:lang w:eastAsia="en-AU"/>
              </w:rPr>
              <w:t xml:space="preserve"> </w:t>
            </w:r>
            <w:r w:rsidRPr="00442796">
              <w:rPr>
                <w:rFonts w:ascii="Arial Narrow" w:eastAsia="Times New Roman" w:hAnsi="Arial Narrow" w:cs="Tahoma"/>
                <w:sz w:val="20"/>
                <w:szCs w:val="20"/>
                <w:lang w:eastAsia="en-AU"/>
              </w:rPr>
              <w:t xml:space="preserve">means all tissue received by the Approved Pathology Practitioner: </w:t>
            </w:r>
          </w:p>
          <w:p w14:paraId="00BA2C28" w14:textId="77777777" w:rsidR="00B51828" w:rsidRPr="00442796" w:rsidRDefault="00B51828" w:rsidP="002101D2">
            <w:pPr>
              <w:spacing w:before="100" w:beforeAutospacing="1" w:after="100" w:afterAutospacing="1"/>
              <w:ind w:left="1418"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from a medical procedure or group of medical procedures performed on a patient at the same time; or</w:t>
            </w:r>
          </w:p>
          <w:p w14:paraId="013CBC3F" w14:textId="77777777" w:rsidR="00B51828" w:rsidRPr="00442796" w:rsidRDefault="00B51828" w:rsidP="002101D2">
            <w:pPr>
              <w:spacing w:before="100" w:beforeAutospacing="1" w:after="100" w:afterAutospacing="1"/>
              <w:ind w:left="1418"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(ii)  after being expelled spontaneously from a patient.</w:t>
            </w:r>
          </w:p>
          <w:p w14:paraId="120E7BD5"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(b) </w:t>
            </w:r>
            <w:r w:rsidRPr="00442796">
              <w:rPr>
                <w:rFonts w:ascii="Arial Narrow" w:eastAsia="Times New Roman" w:hAnsi="Arial Narrow" w:cs="Tahoma"/>
                <w:b/>
                <w:bCs/>
                <w:i/>
                <w:iCs/>
                <w:sz w:val="20"/>
                <w:szCs w:val="20"/>
                <w:lang w:eastAsia="en-AU"/>
              </w:rPr>
              <w:t>cytology</w:t>
            </w:r>
            <w:r w:rsidRPr="00442796">
              <w:rPr>
                <w:rFonts w:ascii="Arial Narrow" w:eastAsia="Times New Roman" w:hAnsi="Arial Narrow" w:cs="Tahoma"/>
                <w:b/>
                <w:bCs/>
                <w:sz w:val="20"/>
                <w:szCs w:val="20"/>
                <w:lang w:eastAsia="en-AU"/>
              </w:rPr>
              <w:t xml:space="preserve"> </w:t>
            </w:r>
            <w:r w:rsidRPr="00442796">
              <w:rPr>
                <w:rFonts w:ascii="Arial Narrow" w:eastAsia="Times New Roman" w:hAnsi="Arial Narrow" w:cs="Tahoma"/>
                <w:sz w:val="20"/>
                <w:szCs w:val="20"/>
                <w:lang w:eastAsia="en-AU"/>
              </w:rPr>
              <w:t>means microscopic examination of 1 or  more stained preparations of cells separated naturally or artificially from their normal environment by methods recognised as adequate to demonstrate their structure to a degree sufficient to enable an opinion to be formed about whether they are likely to be normal,  abnormal but benign, or abnormal and malignant but, in accordance with customary laboratory practice, does not include examination of a blood film and a bone marrow aspirate; and</w:t>
            </w:r>
          </w:p>
          <w:p w14:paraId="50B1492B"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(c)  </w:t>
            </w:r>
            <w:r w:rsidRPr="00442796">
              <w:rPr>
                <w:rFonts w:ascii="Arial Narrow" w:eastAsia="Times New Roman" w:hAnsi="Arial Narrow" w:cs="Tahoma"/>
                <w:b/>
                <w:bCs/>
                <w:i/>
                <w:iCs/>
                <w:sz w:val="20"/>
                <w:szCs w:val="20"/>
                <w:lang w:eastAsia="en-AU"/>
              </w:rPr>
              <w:t>separately identified specimen</w:t>
            </w:r>
            <w:r w:rsidRPr="00442796">
              <w:rPr>
                <w:rFonts w:ascii="Arial Narrow" w:eastAsia="Times New Roman" w:hAnsi="Arial Narrow" w:cs="Tahoma"/>
                <w:b/>
                <w:bCs/>
                <w:sz w:val="20"/>
                <w:szCs w:val="20"/>
                <w:lang w:eastAsia="en-AU"/>
              </w:rPr>
              <w:t xml:space="preserve"> </w:t>
            </w:r>
            <w:r w:rsidRPr="00442796">
              <w:rPr>
                <w:rFonts w:ascii="Arial Narrow" w:eastAsia="Times New Roman" w:hAnsi="Arial Narrow" w:cs="Tahoma"/>
                <w:sz w:val="20"/>
                <w:szCs w:val="20"/>
                <w:lang w:eastAsia="en-AU"/>
              </w:rPr>
              <w:t>means an individual specimen collected, identified so that it is clearly distinguished from any other specimen, and sent for testing by or on behalf of the treating practitioner responsible for the procedure in which the specimen was taken.</w:t>
            </w:r>
          </w:p>
          <w:p w14:paraId="3C50DD50"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13. (2)</w:t>
            </w:r>
            <w:r w:rsidRPr="00442796">
              <w:rPr>
                <w:rFonts w:ascii="Arial Narrow" w:eastAsia="Times New Roman" w:hAnsi="Arial Narrow" w:cs="Tahoma"/>
                <w:sz w:val="20"/>
                <w:szCs w:val="20"/>
                <w:lang w:eastAsia="en-AU"/>
              </w:rPr>
              <w:t>   For Groups P5 and P6 of the pathology services table, services in Group P6 include any services described in Group P5 on the material submitted for a test in Group P6.</w:t>
            </w:r>
          </w:p>
          <w:p w14:paraId="05470A67"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 xml:space="preserve">13. (3) </w:t>
            </w:r>
            <w:r w:rsidRPr="00442796">
              <w:rPr>
                <w:rFonts w:ascii="Arial Narrow" w:eastAsia="Times New Roman" w:hAnsi="Arial Narrow" w:cs="Tahoma"/>
                <w:sz w:val="20"/>
                <w:szCs w:val="20"/>
                <w:lang w:eastAsia="en-AU"/>
              </w:rPr>
              <w:t>For subrule (2), any sample submitted for cytology from which a cell block is prepared does not qualify for a Group P5 item.</w:t>
            </w:r>
          </w:p>
          <w:p w14:paraId="1166B7B6"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13.(4)</w:t>
            </w:r>
            <w:r w:rsidRPr="00442796">
              <w:rPr>
                <w:rFonts w:ascii="Arial Narrow" w:eastAsia="Times New Roman" w:hAnsi="Arial Narrow" w:cs="Tahoma"/>
                <w:sz w:val="20"/>
                <w:szCs w:val="20"/>
                <w:lang w:eastAsia="en-AU"/>
              </w:rPr>
              <w:t xml:space="preserve"> If more than 1 of the services mentioned in items 72813, 72816, 72817, 72818, 72823, 72824, 72825, 72826, 72827, 72828, 72830, 72836 and 72838 are performed in a single patient episode, only the fee for  the item performed having the highest specified fee is applicable to the services.</w:t>
            </w:r>
          </w:p>
          <w:p w14:paraId="2CA26DA0"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13.(5)</w:t>
            </w:r>
            <w:r w:rsidRPr="00442796">
              <w:rPr>
                <w:rFonts w:ascii="Arial Narrow" w:eastAsia="Times New Roman" w:hAnsi="Arial Narrow" w:cs="Tahoma"/>
                <w:sz w:val="20"/>
                <w:szCs w:val="20"/>
                <w:lang w:eastAsia="en-AU"/>
              </w:rPr>
              <w:t xml:space="preserve"> If more than 1 histopathological examinations are performed on separate specimens, of different complexity levels, from a single patient episode, a medicare benefit is payable only for the examination that has the highest schedule fee.</w:t>
            </w:r>
          </w:p>
          <w:p w14:paraId="6E5468EA"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13.(6)</w:t>
            </w:r>
            <w:r w:rsidRPr="00442796">
              <w:rPr>
                <w:rFonts w:ascii="Arial Narrow" w:eastAsia="Times New Roman" w:hAnsi="Arial Narrow" w:cs="Tahoma"/>
                <w:sz w:val="20"/>
                <w:szCs w:val="20"/>
                <w:lang w:eastAsia="en-AU"/>
              </w:rPr>
              <w:t xml:space="preserve"> In items 72813, 72816, 72817, 72818, 72823, 72824, 72825, 72826, 72827, 72828, 72830, 72836 and 72838 a reference to a </w:t>
            </w:r>
            <w:r w:rsidRPr="00442796">
              <w:rPr>
                <w:rFonts w:ascii="Arial Narrow" w:eastAsia="Times New Roman" w:hAnsi="Arial Narrow" w:cs="Tahoma"/>
                <w:b/>
                <w:bCs/>
                <w:i/>
                <w:iCs/>
                <w:sz w:val="20"/>
                <w:szCs w:val="20"/>
                <w:lang w:eastAsia="en-AU"/>
              </w:rPr>
              <w:t>complexity level</w:t>
            </w:r>
            <w:r w:rsidRPr="00442796">
              <w:rPr>
                <w:rFonts w:ascii="Arial Narrow" w:eastAsia="Times New Roman" w:hAnsi="Arial Narrow" w:cs="Tahoma"/>
                <w:sz w:val="20"/>
                <w:szCs w:val="20"/>
                <w:lang w:eastAsia="en-AU"/>
              </w:rPr>
              <w:t xml:space="preserve"> is a reference to the level given to a specimen type mentioned in Part 4 of this Table.</w:t>
            </w:r>
          </w:p>
          <w:p w14:paraId="3749D863"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13.(7)</w:t>
            </w:r>
            <w:r w:rsidRPr="00442796">
              <w:rPr>
                <w:rFonts w:ascii="Arial Narrow" w:eastAsia="Times New Roman" w:hAnsi="Arial Narrow" w:cs="Tahoma"/>
                <w:sz w:val="20"/>
                <w:szCs w:val="20"/>
                <w:lang w:eastAsia="en-AU"/>
              </w:rPr>
              <w:t xml:space="preserve"> If more than 1 of the services mentioned in items 72846, 72847, 72848; 72849 and 72850 or 73059, 73060, 73061, 73064 and 73065 are performed in a single patient episode, a medicare benefit is payable only for the item performed that has the highest scheduled fee.</w:t>
            </w:r>
          </w:p>
          <w:p w14:paraId="26FF1FB7"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13.(8)</w:t>
            </w:r>
            <w:r w:rsidRPr="00442796">
              <w:rPr>
                <w:rFonts w:ascii="Arial Narrow" w:eastAsia="Times New Roman" w:hAnsi="Arial Narrow" w:cs="Tahoma"/>
                <w:sz w:val="20"/>
                <w:szCs w:val="20"/>
                <w:lang w:eastAsia="en-AU"/>
              </w:rPr>
              <w:t xml:space="preserve"> If more than 1 of the services mentioned in items 73049, 73051, 73062, 73063, 73066 and 73067 are performed in a single patient episode, only the fee for the item performed having the higher or highest specified fee applies to the services.</w:t>
            </w:r>
          </w:p>
          <w:p w14:paraId="2470697A"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Items in Groups P10 (Patient episode initiation) and P11 (Specimen referred) not to apply in certain circumstances</w:t>
            </w:r>
          </w:p>
          <w:p w14:paraId="078B376E"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 xml:space="preserve">14. (1) </w:t>
            </w:r>
            <w:r w:rsidRPr="00442796">
              <w:rPr>
                <w:rFonts w:ascii="Arial Narrow" w:eastAsia="Times New Roman" w:hAnsi="Arial Narrow" w:cs="Tahoma"/>
                <w:sz w:val="20"/>
                <w:szCs w:val="20"/>
                <w:lang w:eastAsia="en-AU"/>
              </w:rPr>
              <w:t>For this rule and items in Groups P10 (Patient episode initiation) and P11 (Specimen referred):</w:t>
            </w:r>
          </w:p>
          <w:p w14:paraId="02DA1CBB"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 xml:space="preserve">approved collection centre </w:t>
            </w:r>
            <w:r w:rsidRPr="00442796">
              <w:rPr>
                <w:rFonts w:ascii="Arial Narrow" w:eastAsia="Times New Roman" w:hAnsi="Arial Narrow" w:cs="Tahoma"/>
                <w:sz w:val="20"/>
                <w:szCs w:val="20"/>
                <w:lang w:eastAsia="en-AU"/>
              </w:rPr>
              <w:t>has the same meaning as in Part IIA of the Act.</w:t>
            </w:r>
          </w:p>
          <w:p w14:paraId="048CD408"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institution</w:t>
            </w:r>
            <w:r w:rsidRPr="00442796">
              <w:rPr>
                <w:rFonts w:ascii="Arial Narrow" w:eastAsia="Times New Roman" w:hAnsi="Arial Narrow" w:cs="Tahoma"/>
                <w:sz w:val="20"/>
                <w:szCs w:val="20"/>
                <w:lang w:eastAsia="en-AU"/>
              </w:rPr>
              <w:t xml:space="preserve"> means a place at which residential accommodation or day care is, or both residential accommodation and day care are, made available to:</w:t>
            </w:r>
          </w:p>
          <w:p w14:paraId="29AEDCD3"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disadvantaged children; or</w:t>
            </w:r>
          </w:p>
          <w:p w14:paraId="345A51AD"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juvenile offenders; or</w:t>
            </w:r>
          </w:p>
          <w:p w14:paraId="07FC2BEF"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aged persons; or</w:t>
            </w:r>
          </w:p>
          <w:p w14:paraId="702E35FE"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lastRenderedPageBreak/>
              <w:t>(d) chronically ill psychiatric patients; or</w:t>
            </w:r>
          </w:p>
          <w:p w14:paraId="37DA4261"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(e)  homeless persons; or</w:t>
            </w:r>
          </w:p>
          <w:p w14:paraId="4B315117"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(f)  unemployed persons; or</w:t>
            </w:r>
          </w:p>
          <w:p w14:paraId="3E00AEA1"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(g) persons suffering from alcoholism; or</w:t>
            </w:r>
          </w:p>
          <w:p w14:paraId="3B383712"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(h) persons addicted to drugs; or</w:t>
            </w:r>
          </w:p>
          <w:p w14:paraId="76A58C8C"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physically or mentally handicapped persons;</w:t>
            </w:r>
          </w:p>
          <w:p w14:paraId="480DBCFD"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but does not include:</w:t>
            </w:r>
          </w:p>
          <w:p w14:paraId="5217FF90"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(j)   a hospital; or</w:t>
            </w:r>
          </w:p>
          <w:p w14:paraId="7DB4265A"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(k)  a residential aged care home; or</w:t>
            </w:r>
          </w:p>
          <w:p w14:paraId="0330523F"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(l)   accommodation for aged persons that is attached to a residential aged care home or situated within a residential aged care home.</w:t>
            </w:r>
          </w:p>
          <w:p w14:paraId="6FCFDEA0"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prescribed laboratory</w:t>
            </w:r>
            <w:r w:rsidRPr="00442796">
              <w:rPr>
                <w:rFonts w:ascii="Arial Narrow" w:eastAsia="Times New Roman" w:hAnsi="Arial Narrow" w:cs="Tahoma"/>
                <w:sz w:val="20"/>
                <w:szCs w:val="20"/>
                <w:lang w:eastAsia="en-AU"/>
              </w:rPr>
              <w:t xml:space="preserve"> means a laboratory operated by:</w:t>
            </w:r>
          </w:p>
          <w:p w14:paraId="149C929F"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Australian Government; or</w:t>
            </w:r>
          </w:p>
          <w:p w14:paraId="55B196EE"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an authority of the Commonwealth; or</w:t>
            </w:r>
          </w:p>
          <w:p w14:paraId="18F81902"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a State or internal Territory; or</w:t>
            </w:r>
          </w:p>
          <w:p w14:paraId="00E40E77"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(d) an authority of a State or internal Territory; or</w:t>
            </w:r>
          </w:p>
          <w:p w14:paraId="480B8934" w14:textId="77777777" w:rsidR="00B51828" w:rsidRPr="00442796" w:rsidRDefault="00B51828" w:rsidP="00082DCE">
            <w:pPr>
              <w:spacing w:before="120" w:after="120"/>
              <w:ind w:left="1135" w:hanging="28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(e)  an Australian tertiary education institution.</w:t>
            </w:r>
          </w:p>
          <w:p w14:paraId="7D9B5C8A"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s</w:t>
            </w:r>
            <w:r w:rsidRPr="00442796">
              <w:rPr>
                <w:rFonts w:ascii="Arial Narrow" w:eastAsia="Times New Roman" w:hAnsi="Arial Narrow" w:cs="Tahoma"/>
                <w:b/>
                <w:bCs/>
                <w:i/>
                <w:iCs/>
                <w:sz w:val="20"/>
                <w:szCs w:val="20"/>
                <w:lang w:eastAsia="en-AU"/>
              </w:rPr>
              <w:t>pecimen collection centre</w:t>
            </w:r>
            <w:r w:rsidRPr="00442796">
              <w:rPr>
                <w:rFonts w:ascii="Arial Narrow" w:eastAsia="Times New Roman" w:hAnsi="Arial Narrow" w:cs="Tahoma"/>
                <w:i/>
                <w:iCs/>
                <w:sz w:val="20"/>
                <w:szCs w:val="20"/>
                <w:lang w:eastAsia="en-AU"/>
              </w:rPr>
              <w:t xml:space="preserve"> </w:t>
            </w:r>
            <w:r w:rsidRPr="00442796">
              <w:rPr>
                <w:rFonts w:ascii="Arial Narrow" w:eastAsia="Times New Roman" w:hAnsi="Arial Narrow" w:cs="Tahoma"/>
                <w:sz w:val="20"/>
                <w:szCs w:val="20"/>
                <w:lang w:eastAsia="en-AU"/>
              </w:rPr>
              <w:t>has the same meaning as in Part IIA of the Act.</w:t>
            </w:r>
          </w:p>
          <w:p w14:paraId="4C3A1ED5"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treating practitioner</w:t>
            </w:r>
            <w:r w:rsidRPr="00442796">
              <w:rPr>
                <w:rFonts w:ascii="Arial Narrow" w:eastAsia="Times New Roman" w:hAnsi="Arial Narrow" w:cs="Tahoma"/>
                <w:i/>
                <w:iCs/>
                <w:sz w:val="20"/>
                <w:szCs w:val="20"/>
                <w:lang w:eastAsia="en-AU"/>
              </w:rPr>
              <w:t xml:space="preserve"> </w:t>
            </w:r>
            <w:r w:rsidRPr="00442796">
              <w:rPr>
                <w:rFonts w:ascii="Arial Narrow" w:eastAsia="Times New Roman" w:hAnsi="Arial Narrow" w:cs="Tahoma"/>
                <w:sz w:val="20"/>
                <w:szCs w:val="20"/>
                <w:lang w:eastAsia="en-AU"/>
              </w:rPr>
              <w:t>has the same meaning as in paragraph 16A(1)(a) of the Act.</w:t>
            </w:r>
          </w:p>
          <w:p w14:paraId="6CBD9F3A"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14. (2)</w:t>
            </w:r>
            <w:r w:rsidRPr="00442796">
              <w:rPr>
                <w:rFonts w:ascii="Arial Narrow" w:eastAsia="Times New Roman" w:hAnsi="Arial Narrow" w:cs="Tahoma"/>
                <w:sz w:val="20"/>
                <w:szCs w:val="20"/>
                <w:lang w:eastAsia="en-AU"/>
              </w:rPr>
              <w:t xml:space="preserve"> If a service described in an item in Group P10 is rendered by, or on behalf of, an approved pathology practitioner who is a recognised pathologist, the relevant one of those items does not apply to the service if:</w:t>
            </w:r>
          </w:p>
          <w:p w14:paraId="419269B5"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service is rendered upon a request made in the course of a service provided to a public patient in a recognised hospital or when attending an outpatient service of a recognised hospital.</w:t>
            </w:r>
          </w:p>
          <w:p w14:paraId="28EE257D"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 xml:space="preserve">14. (3) </w:t>
            </w:r>
            <w:r w:rsidRPr="00442796">
              <w:rPr>
                <w:rFonts w:ascii="Arial Narrow" w:eastAsia="Times New Roman" w:hAnsi="Arial Narrow" w:cs="Tahoma"/>
                <w:sz w:val="20"/>
                <w:szCs w:val="20"/>
                <w:lang w:eastAsia="en-AU"/>
              </w:rPr>
              <w:t>An item in Group P10 or P11 does not apply to a pathology service to which subsection 16A (7) of the Act applies.</w:t>
            </w:r>
          </w:p>
          <w:p w14:paraId="5320F2FE"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14. (4)</w:t>
            </w:r>
            <w:r w:rsidRPr="00442796">
              <w:rPr>
                <w:rFonts w:ascii="Arial Narrow" w:eastAsia="Times New Roman" w:hAnsi="Arial Narrow" w:cs="Tahoma"/>
                <w:sz w:val="20"/>
                <w:szCs w:val="20"/>
                <w:lang w:eastAsia="en-AU"/>
              </w:rPr>
              <w:t xml:space="preserve"> An item in Group P10 or P11 does not apply to a pathology service unless at least 1 item in Groups P1 to P8 also applies to the service.</w:t>
            </w:r>
          </w:p>
          <w:p w14:paraId="3216D829"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14. (5)</w:t>
            </w:r>
            <w:r w:rsidRPr="00442796">
              <w:rPr>
                <w:rFonts w:ascii="Arial Narrow" w:eastAsia="Times New Roman" w:hAnsi="Arial Narrow" w:cs="Tahoma"/>
                <w:sz w:val="20"/>
                <w:szCs w:val="20"/>
                <w:lang w:eastAsia="en-AU"/>
              </w:rPr>
              <w:t xml:space="preserve"> Subject to subrule (7), if one item in Group P10 applies to a patient episode, no other item in the Group applies to the patient episode.</w:t>
            </w:r>
          </w:p>
          <w:p w14:paraId="316F673A"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 xml:space="preserve">14. (6) </w:t>
            </w:r>
            <w:r w:rsidRPr="00442796">
              <w:rPr>
                <w:rFonts w:ascii="Arial Narrow" w:eastAsia="Times New Roman" w:hAnsi="Arial Narrow" w:cs="Tahoma"/>
                <w:sz w:val="20"/>
                <w:szCs w:val="20"/>
                <w:lang w:eastAsia="en-AU"/>
              </w:rPr>
              <w:t>An item in Group P11 applies only to the approved pathology practitioner or approved pathology authority to whom the specimen mentioned in the item was referred.</w:t>
            </w:r>
          </w:p>
          <w:p w14:paraId="19D7D6BE"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14. (7)</w:t>
            </w:r>
            <w:r w:rsidRPr="00442796">
              <w:rPr>
                <w:rFonts w:ascii="Arial Narrow" w:eastAsia="Times New Roman" w:hAnsi="Arial Narrow" w:cs="Tahoma"/>
                <w:sz w:val="20"/>
                <w:szCs w:val="20"/>
                <w:lang w:eastAsia="en-AU"/>
              </w:rPr>
              <w:t xml:space="preserve"> If, in respect of the same patient episode:</w:t>
            </w:r>
          </w:p>
          <w:p w14:paraId="0855F31F"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services referred to in 1 or more items in Group P5 and 1 or more of Groups P1, P2, P3, P4, P6, P7 and P8 are rendered by an approved pathology practitioner in the laboratory of another approved pathology authority; or</w:t>
            </w:r>
          </w:p>
          <w:p w14:paraId="645C934C"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(b) services referred to in 1 or more items in Group P6 and 1 or more of Groups P1, P2, P3, P4, P5, P7 and P8 are rendered by another approved pathology practitioner in the laboratory of another approved pathology </w:t>
            </w:r>
            <w:r w:rsidRPr="00442796">
              <w:rPr>
                <w:rFonts w:ascii="Arial Narrow" w:eastAsia="Times New Roman" w:hAnsi="Arial Narrow" w:cs="Tahoma"/>
                <w:sz w:val="20"/>
                <w:szCs w:val="20"/>
                <w:lang w:eastAsia="en-AU"/>
              </w:rPr>
              <w:lastRenderedPageBreak/>
              <w:t>authority;</w:t>
            </w:r>
          </w:p>
          <w:p w14:paraId="4E8BBCCD" w14:textId="77777777" w:rsidR="00B51828" w:rsidRPr="00442796" w:rsidRDefault="00B51828" w:rsidP="002101D2">
            <w:pPr>
              <w:spacing w:before="100" w:beforeAutospacing="1" w:after="100" w:afterAutospacing="1"/>
              <w:ind w:left="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the fee specified in the applicable item in Group P10 is payable to both approved pathology practitioners.</w:t>
            </w:r>
          </w:p>
          <w:p w14:paraId="61D6D76B"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14. (8)</w:t>
            </w:r>
            <w:r w:rsidRPr="00442796">
              <w:rPr>
                <w:rFonts w:ascii="Arial Narrow" w:eastAsia="Times New Roman" w:hAnsi="Arial Narrow" w:cs="Tahoma"/>
                <w:sz w:val="20"/>
                <w:szCs w:val="20"/>
                <w:lang w:eastAsia="en-AU"/>
              </w:rPr>
              <w:t xml:space="preserve"> If more than one specimen is collected from a person on the same day for the provision of pathology services:</w:t>
            </w:r>
          </w:p>
          <w:p w14:paraId="0A1300A3"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in accordance with more than 1 request; and</w:t>
            </w:r>
          </w:p>
          <w:p w14:paraId="160C1BC0"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in or by a single approved pathology authority;</w:t>
            </w:r>
          </w:p>
          <w:p w14:paraId="69914082"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the fee specified in the applicable item in Group P10 applies once only to the services unless an exemption listed in Rule 4 applies or an exemption has been granted under Rule 3 "S4B(3)".</w:t>
            </w:r>
          </w:p>
          <w:p w14:paraId="04649811"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14. (9)</w:t>
            </w:r>
            <w:r w:rsidRPr="00442796">
              <w:rPr>
                <w:rFonts w:ascii="Arial Narrow" w:eastAsia="Times New Roman" w:hAnsi="Arial Narrow" w:cs="Tahoma"/>
                <w:sz w:val="20"/>
                <w:szCs w:val="20"/>
                <w:lang w:eastAsia="en-AU"/>
              </w:rPr>
              <w:t xml:space="preserve"> The amount specified in item 73940 is payable only once in respect of a single patient episode.</w:t>
            </w:r>
          </w:p>
          <w:p w14:paraId="222A79AD"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Application of an item in Group P11 (Specimen referred) to a service excludes certain other items</w:t>
            </w:r>
          </w:p>
          <w:p w14:paraId="528AAFD9"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15.</w:t>
            </w:r>
            <w:r w:rsidRPr="00442796">
              <w:rPr>
                <w:rFonts w:ascii="Arial Narrow" w:eastAsia="Times New Roman" w:hAnsi="Arial Narrow" w:cs="Tahoma"/>
                <w:sz w:val="20"/>
                <w:szCs w:val="20"/>
                <w:lang w:eastAsia="en-AU"/>
              </w:rPr>
              <w:t xml:space="preserve"> If item 73940 applies to a patient episode, none of the items in Group P10 applies to any pathology service rendered by the approved pathology authority or approved pathology practitioner who claimed item 73940 in respect of the patient episode.</w:t>
            </w:r>
          </w:p>
          <w:p w14:paraId="2D88F50B"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Circumstances in which an item in Group P11 (Specimen referred) does not apply</w:t>
            </w:r>
          </w:p>
          <w:p w14:paraId="7A2D7F55"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16. (1)</w:t>
            </w:r>
            <w:r w:rsidRPr="00442796">
              <w:rPr>
                <w:rFonts w:ascii="Arial Narrow" w:eastAsia="Times New Roman" w:hAnsi="Arial Narrow" w:cs="Tahoma"/>
                <w:sz w:val="20"/>
                <w:szCs w:val="20"/>
                <w:lang w:eastAsia="en-AU"/>
              </w:rPr>
              <w:t xml:space="preserve"> An item in Group P11 does not apply to a referral if:</w:t>
            </w:r>
          </w:p>
          <w:p w14:paraId="3E7AE600"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a service in respect of the same patient episode has been carried out by the referring approved pathology authority; and</w:t>
            </w:r>
          </w:p>
          <w:p w14:paraId="0BD66D3D"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the approved pathology authority to which the referral is made is related to the referring approved pathology authority.</w:t>
            </w:r>
          </w:p>
          <w:p w14:paraId="3C296B77"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16. (2)</w:t>
            </w:r>
            <w:r w:rsidRPr="00442796">
              <w:rPr>
                <w:rFonts w:ascii="Arial Narrow" w:eastAsia="Times New Roman" w:hAnsi="Arial Narrow" w:cs="Tahoma"/>
                <w:sz w:val="20"/>
                <w:szCs w:val="20"/>
                <w:lang w:eastAsia="en-AU"/>
              </w:rPr>
              <w:t xml:space="preserve"> An approved pathology authority is </w:t>
            </w:r>
            <w:r w:rsidRPr="00442796">
              <w:rPr>
                <w:rFonts w:ascii="Arial Narrow" w:eastAsia="Times New Roman" w:hAnsi="Arial Narrow" w:cs="Tahoma"/>
                <w:b/>
                <w:bCs/>
                <w:i/>
                <w:iCs/>
                <w:sz w:val="20"/>
                <w:szCs w:val="20"/>
                <w:lang w:eastAsia="en-AU"/>
              </w:rPr>
              <w:t>related to</w:t>
            </w:r>
            <w:r w:rsidRPr="00442796">
              <w:rPr>
                <w:rFonts w:ascii="Arial Narrow" w:eastAsia="Times New Roman" w:hAnsi="Arial Narrow" w:cs="Tahoma"/>
                <w:sz w:val="20"/>
                <w:szCs w:val="20"/>
                <w:lang w:eastAsia="en-AU"/>
              </w:rPr>
              <w:t xml:space="preserve"> another approved pathology authority for subrule (1) if:</w:t>
            </w:r>
          </w:p>
          <w:p w14:paraId="1C0C97D0"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(a)  both approved pathology authorities are employed (including employed under contract) by the same person, whether or not the person is also an approved pathology authority; or </w:t>
            </w:r>
          </w:p>
          <w:p w14:paraId="2A28C966"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either of the approved pathology authorities is employed (including employed under contract) by the other; or</w:t>
            </w:r>
          </w:p>
          <w:p w14:paraId="79C328CA"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both approved pathology authorities are corporations and are related corporations within the meaning of the Corporations Act; or</w:t>
            </w:r>
          </w:p>
          <w:p w14:paraId="4F00CC50"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(d) the approved pathology authorities are partners (whether or not either or both of the approved pathology authorities are individuals and whether or not other persons are in partnership with either or both of the approved pathology authorities; or</w:t>
            </w:r>
          </w:p>
          <w:p w14:paraId="6CAAE783"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(e)  both approved pathology authorities are operated by the Commonwealth or an authority of the Commonwealth; or</w:t>
            </w:r>
          </w:p>
          <w:p w14:paraId="73806D3F" w14:textId="77777777" w:rsidR="00B51828" w:rsidRPr="00442796" w:rsidRDefault="00B51828" w:rsidP="002101D2">
            <w:pPr>
              <w:spacing w:before="100" w:beforeAutospacing="1" w:after="100" w:afterAutospacing="1"/>
              <w:ind w:left="1134" w:hanging="283"/>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(f)  both approved pathology authorities are operated by the same State or internal Territory or an authority of the same State or internal Territory.</w:t>
            </w:r>
          </w:p>
          <w:p w14:paraId="20EBF004"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16. (3)</w:t>
            </w:r>
            <w:r w:rsidRPr="00442796">
              <w:rPr>
                <w:rFonts w:ascii="Arial Narrow" w:eastAsia="Times New Roman" w:hAnsi="Arial Narrow" w:cs="Tahoma"/>
                <w:sz w:val="20"/>
                <w:szCs w:val="20"/>
                <w:lang w:eastAsia="en-AU"/>
              </w:rPr>
              <w:t xml:space="preserve"> An item in Group P11 does not apply to a referral if the following common tests are referred either singly or in combination (except if the following items are referred in combination with other items not similarly specified): 65060, 65070, 65120, 66500, 66503, 66506, 66509, 66512, 66536, 66596, 69300, 69303, 69333 or 73527.</w:t>
            </w:r>
          </w:p>
          <w:p w14:paraId="1663931C"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lastRenderedPageBreak/>
              <w:t>Abbreviations</w:t>
            </w:r>
          </w:p>
          <w:p w14:paraId="050F61DB"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17. (1)</w:t>
            </w:r>
            <w:r w:rsidRPr="00442796">
              <w:rPr>
                <w:rFonts w:ascii="Arial Narrow" w:eastAsia="Times New Roman" w:hAnsi="Arial Narrow" w:cs="Tahoma"/>
                <w:sz w:val="20"/>
                <w:szCs w:val="20"/>
                <w:lang w:eastAsia="en-AU"/>
              </w:rPr>
              <w:t xml:space="preserve"> The abbreviations in Part 4 of this table may be used to identify particular pathology services or groups of pathology services.</w:t>
            </w:r>
          </w:p>
          <w:p w14:paraId="3A29C961"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17. (2)</w:t>
            </w:r>
            <w:r w:rsidRPr="00442796">
              <w:rPr>
                <w:rFonts w:ascii="Arial Narrow" w:eastAsia="Times New Roman" w:hAnsi="Arial Narrow" w:cs="Tahoma"/>
                <w:sz w:val="20"/>
                <w:szCs w:val="20"/>
                <w:lang w:eastAsia="en-AU"/>
              </w:rPr>
              <w:t xml:space="preserve"> The names of services or drugs not listed in Part 4 of this table must be written in full.</w:t>
            </w:r>
          </w:p>
          <w:p w14:paraId="701F5844"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Certain pathology services to be treated as 1 service</w:t>
            </w:r>
          </w:p>
          <w:p w14:paraId="7D8A1439" w14:textId="77777777" w:rsidR="00B51828" w:rsidRPr="00442796" w:rsidRDefault="00B51828" w:rsidP="002101D2">
            <w:pPr>
              <w:spacing w:after="0"/>
              <w:ind w:left="0"/>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18. (1)</w:t>
            </w:r>
            <w:r w:rsidRPr="00442796">
              <w:rPr>
                <w:rFonts w:ascii="Arial Narrow" w:eastAsia="Times New Roman" w:hAnsi="Arial Narrow" w:cs="Tahoma"/>
                <w:sz w:val="20"/>
                <w:szCs w:val="20"/>
                <w:lang w:eastAsia="en-AU"/>
              </w:rPr>
              <w:t xml:space="preserve"> In this rule:</w:t>
            </w:r>
          </w:p>
          <w:p w14:paraId="3536C1B9"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general practitioner</w:t>
            </w:r>
            <w:r w:rsidRPr="00442796">
              <w:rPr>
                <w:rFonts w:ascii="Arial Narrow" w:eastAsia="Times New Roman" w:hAnsi="Arial Narrow" w:cs="Tahoma"/>
                <w:sz w:val="20"/>
                <w:szCs w:val="20"/>
                <w:lang w:eastAsia="en-AU"/>
              </w:rPr>
              <w:t xml:space="preserve"> means a medical practitioner who:</w:t>
            </w:r>
          </w:p>
          <w:p w14:paraId="10B2A928" w14:textId="77777777" w:rsidR="00B51828" w:rsidRPr="00442796" w:rsidRDefault="00B51828" w:rsidP="002101D2">
            <w:pPr>
              <w:spacing w:after="100" w:afterAutospacing="1"/>
              <w:ind w:firstLine="1276"/>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 (a) is not a consultant physician in any specialty; and</w:t>
            </w:r>
          </w:p>
          <w:p w14:paraId="311019EE" w14:textId="77777777" w:rsidR="00B51828" w:rsidRPr="00442796" w:rsidRDefault="00B51828" w:rsidP="002101D2">
            <w:pPr>
              <w:spacing w:after="100" w:afterAutospacing="1"/>
              <w:ind w:firstLine="1276"/>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 (b) is not a specialist in any specialty.</w:t>
            </w:r>
          </w:p>
          <w:p w14:paraId="51BF945B"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b/>
                <w:bCs/>
                <w:i/>
                <w:iCs/>
                <w:sz w:val="20"/>
                <w:szCs w:val="20"/>
                <w:lang w:eastAsia="en-AU"/>
              </w:rPr>
              <w:t>set of pathology services</w:t>
            </w:r>
            <w:r w:rsidRPr="00442796">
              <w:rPr>
                <w:rFonts w:ascii="Arial Narrow" w:eastAsia="Times New Roman" w:hAnsi="Arial Narrow" w:cs="Tahoma"/>
                <w:b/>
                <w:bCs/>
                <w:sz w:val="20"/>
                <w:szCs w:val="20"/>
                <w:lang w:eastAsia="en-AU"/>
              </w:rPr>
              <w:t xml:space="preserve"> </w:t>
            </w:r>
            <w:r w:rsidRPr="00442796">
              <w:rPr>
                <w:rFonts w:ascii="Arial Narrow" w:eastAsia="Times New Roman" w:hAnsi="Arial Narrow" w:cs="Tahoma"/>
                <w:sz w:val="20"/>
                <w:szCs w:val="20"/>
                <w:lang w:eastAsia="en-AU"/>
              </w:rPr>
              <w:t>means a group of pathology services:</w:t>
            </w:r>
          </w:p>
          <w:p w14:paraId="3DAB392E" w14:textId="77777777" w:rsidR="00B51828" w:rsidRPr="00442796" w:rsidRDefault="00B51828" w:rsidP="002101D2">
            <w:pPr>
              <w:spacing w:after="100" w:afterAutospacing="1"/>
              <w:ind w:firstLine="1276"/>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 (a) that consists of services that are described in at least 4 different items; and</w:t>
            </w:r>
          </w:p>
          <w:p w14:paraId="6CBD768B" w14:textId="77777777" w:rsidR="00B51828" w:rsidRPr="00442796" w:rsidRDefault="00B51828" w:rsidP="002101D2">
            <w:pPr>
              <w:spacing w:after="100" w:afterAutospacing="1"/>
              <w:ind w:firstLine="1276"/>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 (b) all of which are requested in a single patient episode; and</w:t>
            </w:r>
          </w:p>
          <w:p w14:paraId="3B79B4B9" w14:textId="77777777" w:rsidR="00B51828" w:rsidRPr="00442796" w:rsidRDefault="00B51828" w:rsidP="002101D2">
            <w:pPr>
              <w:spacing w:after="100" w:afterAutospacing="1"/>
              <w:ind w:left="1276"/>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(c) each of which relates to a patient who is not an admitted patient of a hospital; and </w:t>
            </w:r>
          </w:p>
          <w:p w14:paraId="4716EB5B" w14:textId="77777777" w:rsidR="00B51828" w:rsidRPr="00442796" w:rsidRDefault="00B51828" w:rsidP="002101D2">
            <w:pPr>
              <w:spacing w:after="100" w:afterAutospacing="1"/>
              <w:ind w:left="1276"/>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(d) excludes services referred to in an item in Grou</w:t>
            </w:r>
            <w:r>
              <w:rPr>
                <w:rFonts w:ascii="Arial Narrow" w:eastAsia="Times New Roman" w:hAnsi="Arial Narrow" w:cs="Tahoma"/>
                <w:sz w:val="20"/>
                <w:szCs w:val="20"/>
                <w:lang w:eastAsia="en-AU"/>
              </w:rPr>
              <w:t xml:space="preserve">p P10, Group P11, Group P12 or </w:t>
            </w:r>
            <w:r w:rsidRPr="00442796">
              <w:rPr>
                <w:rFonts w:ascii="Arial Narrow" w:eastAsia="Times New Roman" w:hAnsi="Arial Narrow" w:cs="Tahoma"/>
                <w:sz w:val="20"/>
                <w:szCs w:val="20"/>
                <w:lang w:eastAsia="en-AU"/>
              </w:rPr>
              <w:t>Group P13, items 66900, 69484, 73053 and 73055; and</w:t>
            </w:r>
          </w:p>
          <w:p w14:paraId="554FED34" w14:textId="77777777" w:rsidR="00B51828" w:rsidRPr="00442796" w:rsidRDefault="00B51828" w:rsidP="002101D2">
            <w:pPr>
              <w:spacing w:after="0"/>
              <w:ind w:left="1350" w:hanging="357"/>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(e) excludes services described in the following items:</w:t>
            </w:r>
            <w:r w:rsidRPr="00442796">
              <w:rPr>
                <w:rFonts w:ascii="Arial Narrow" w:eastAsia="Times New Roman" w:hAnsi="Arial Narrow" w:cs="Tahoma"/>
                <w:sz w:val="20"/>
                <w:szCs w:val="20"/>
                <w:lang w:eastAsia="en-AU"/>
              </w:rPr>
              <w:br/>
            </w:r>
            <w:r w:rsidRPr="00442796">
              <w:rPr>
                <w:rFonts w:ascii="Arial Narrow" w:eastAsia="Times New Roman" w:hAnsi="Arial Narrow" w:cs="Tahoma"/>
                <w:sz w:val="20"/>
                <w:szCs w:val="20"/>
                <w:lang w:eastAsia="en-AU"/>
              </w:rPr>
              <w:br/>
              <w:t>65079, 65082, 65157, 65158, 65166, 65180, 65181, 66606, 66609, 66610, 66639, 66642, 66651, 66652, 66663, 66666, 66696, 66697, 66714, 66715, 66723, 66724, 66780, 66783, 66789, 66790, 66792, 66804, 66805, 66816, 66817, 66820, 66821, 66826, 66827, 66832, 69325, 69328, 69331, 69379, 69383, 69400, 69401, 69419, 69451, 69500, 69484, 69489, 69492, 69497, 69498, 71076, 71090, 71092, 71096, 71148, 71154, 71156, 71169, 71170, 73309, 73312, 73315, 73318, 73321 and 73324;</w:t>
            </w:r>
            <w:r w:rsidRPr="00442796">
              <w:rPr>
                <w:rFonts w:ascii="Arial Narrow" w:eastAsia="Times New Roman" w:hAnsi="Arial Narrow" w:cs="Tahoma"/>
                <w:sz w:val="20"/>
                <w:szCs w:val="20"/>
                <w:lang w:eastAsia="en-AU"/>
              </w:rPr>
              <w:br/>
            </w:r>
            <w:r w:rsidRPr="00442796">
              <w:rPr>
                <w:rFonts w:ascii="Arial Narrow" w:eastAsia="Times New Roman" w:hAnsi="Arial Narrow" w:cs="Tahoma"/>
                <w:sz w:val="20"/>
                <w:szCs w:val="20"/>
                <w:lang w:eastAsia="en-AU"/>
              </w:rPr>
              <w:br/>
              <w:t xml:space="preserve">where those services are performed by an approved pathology practitioner in an accredited pathology laboratory of an approved pathology authority following referral by another approved pathology practitioner in an accredited pathology laboratory of an approved pathology authority which is not </w:t>
            </w:r>
            <w:r w:rsidRPr="00442796">
              <w:rPr>
                <w:rFonts w:ascii="Arial Narrow" w:eastAsia="Times New Roman" w:hAnsi="Arial Narrow" w:cs="Tahoma"/>
                <w:b/>
                <w:bCs/>
                <w:sz w:val="20"/>
                <w:szCs w:val="20"/>
                <w:lang w:eastAsia="en-AU"/>
              </w:rPr>
              <w:t>related to</w:t>
            </w:r>
            <w:r w:rsidRPr="00442796">
              <w:rPr>
                <w:rFonts w:ascii="Arial Narrow" w:eastAsia="Times New Roman" w:hAnsi="Arial Narrow" w:cs="Tahoma"/>
                <w:sz w:val="20"/>
                <w:szCs w:val="20"/>
                <w:lang w:eastAsia="en-AU"/>
              </w:rPr>
              <w:t xml:space="preserve"> the first mentioned approved pathology authority.</w:t>
            </w:r>
          </w:p>
          <w:p w14:paraId="764BDA59" w14:textId="77777777" w:rsidR="00B51828" w:rsidRPr="00442796" w:rsidRDefault="00B51828" w:rsidP="002101D2">
            <w:pPr>
              <w:spacing w:after="0"/>
              <w:ind w:left="2274" w:hanging="924"/>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xml:space="preserve">(1A) An approved pathology authority is </w:t>
            </w:r>
            <w:r w:rsidRPr="00442796">
              <w:rPr>
                <w:rFonts w:ascii="Arial Narrow" w:eastAsia="Times New Roman" w:hAnsi="Arial Narrow" w:cs="Tahoma"/>
                <w:b/>
                <w:bCs/>
                <w:sz w:val="20"/>
                <w:szCs w:val="20"/>
                <w:lang w:eastAsia="en-AU"/>
              </w:rPr>
              <w:t xml:space="preserve">related to </w:t>
            </w:r>
            <w:r w:rsidRPr="00442796">
              <w:rPr>
                <w:rFonts w:ascii="Arial Narrow" w:eastAsia="Times New Roman" w:hAnsi="Arial Narrow" w:cs="Tahoma"/>
                <w:sz w:val="20"/>
                <w:szCs w:val="20"/>
                <w:lang w:eastAsia="en-AU"/>
              </w:rPr>
              <w:t>another approved pathology authority for the purposes of paragraph 18(1)(e) if that approved pathology authority would be related to the other approved pathology authority for the purposes of rule 16(2).</w:t>
            </w:r>
          </w:p>
          <w:p w14:paraId="57048F34" w14:textId="77777777" w:rsidR="00B51828" w:rsidRPr="00442796" w:rsidRDefault="00B51828" w:rsidP="002101D2">
            <w:pPr>
              <w:spacing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18. (2)</w:t>
            </w:r>
            <w:r w:rsidRPr="00442796">
              <w:rPr>
                <w:rFonts w:ascii="Arial Narrow" w:eastAsia="Times New Roman" w:hAnsi="Arial Narrow" w:cs="Tahoma"/>
                <w:sz w:val="20"/>
                <w:szCs w:val="20"/>
                <w:lang w:eastAsia="en-AU"/>
              </w:rPr>
              <w:t>   If a general practitioner requests a set of pathology services, the pathology services in the set are to be treated as individual pathology services in accordance with this rule.</w:t>
            </w:r>
          </w:p>
          <w:p w14:paraId="64F695EE" w14:textId="77777777" w:rsidR="00B51828" w:rsidRPr="00442796" w:rsidRDefault="00B51828" w:rsidP="002101D2">
            <w:pPr>
              <w:spacing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18. (3)</w:t>
            </w:r>
            <w:r w:rsidRPr="00442796">
              <w:rPr>
                <w:rFonts w:ascii="Arial Narrow" w:eastAsia="Times New Roman" w:hAnsi="Arial Narrow" w:cs="Tahoma"/>
                <w:sz w:val="20"/>
                <w:szCs w:val="20"/>
                <w:lang w:eastAsia="en-AU"/>
              </w:rPr>
              <w:t>   If the fee specified in 1 item that describes any of the services in the set of pathology services is higher than the fees specified in the other items that describe the services in the set:</w:t>
            </w:r>
          </w:p>
          <w:p w14:paraId="62E2B5B5"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pathology service described in the first</w:t>
            </w:r>
            <w:r w:rsidRPr="00442796">
              <w:rPr>
                <w:rFonts w:ascii="Arial Narrow" w:eastAsia="Times New Roman" w:hAnsi="Arial Narrow" w:cs="Tahoma"/>
                <w:sz w:val="20"/>
                <w:szCs w:val="20"/>
                <w:lang w:eastAsia="en-AU"/>
              </w:rPr>
              <w:noBreakHyphen/>
              <w:t>mentioned item is to be treated as 1 pathology service; and</w:t>
            </w:r>
          </w:p>
          <w:p w14:paraId="2E61D053"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either:</w:t>
            </w:r>
          </w:p>
          <w:p w14:paraId="7981C562" w14:textId="77777777" w:rsidR="00B51828" w:rsidRPr="00442796" w:rsidRDefault="00B51828" w:rsidP="002101D2">
            <w:pPr>
              <w:spacing w:after="100" w:afterAutospacing="1"/>
              <w:ind w:left="144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 the pathology service in the set that is described in the item that specifies the second</w:t>
            </w:r>
            <w:r w:rsidRPr="00442796">
              <w:rPr>
                <w:rFonts w:ascii="Arial Narrow" w:eastAsia="Times New Roman" w:hAnsi="Arial Narrow" w:cs="Tahoma"/>
                <w:sz w:val="20"/>
                <w:szCs w:val="20"/>
                <w:lang w:eastAsia="en-AU"/>
              </w:rPr>
              <w:noBreakHyphen/>
              <w:t>highest fee is to be treated as 1 pathology service; or</w:t>
            </w:r>
          </w:p>
          <w:p w14:paraId="027E3A84" w14:textId="77777777" w:rsidR="00B51828" w:rsidRPr="00442796" w:rsidRDefault="00B51828" w:rsidP="002101D2">
            <w:pPr>
              <w:spacing w:after="100" w:afterAutospacing="1"/>
              <w:ind w:left="1440"/>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(ii) if 2 or more items that describe any of those services specify the second</w:t>
            </w:r>
            <w:r w:rsidRPr="00442796">
              <w:rPr>
                <w:rFonts w:ascii="Arial Narrow" w:eastAsia="Times New Roman" w:hAnsi="Arial Narrow" w:cs="Tahoma"/>
                <w:sz w:val="20"/>
                <w:szCs w:val="20"/>
                <w:lang w:eastAsia="en-AU"/>
              </w:rPr>
              <w:noBreakHyphen/>
              <w:t xml:space="preserve">highest fee ¿ the pathology </w:t>
            </w:r>
            <w:r w:rsidRPr="00442796">
              <w:rPr>
                <w:rFonts w:ascii="Arial Narrow" w:eastAsia="Times New Roman" w:hAnsi="Arial Narrow" w:cs="Tahoma"/>
                <w:sz w:val="20"/>
                <w:szCs w:val="20"/>
                <w:lang w:eastAsia="en-AU"/>
              </w:rPr>
              <w:lastRenderedPageBreak/>
              <w:t>service described in the item that specifies the second</w:t>
            </w:r>
            <w:r w:rsidRPr="00442796">
              <w:rPr>
                <w:rFonts w:ascii="Arial Narrow" w:eastAsia="Times New Roman" w:hAnsi="Arial Narrow" w:cs="Tahoma"/>
                <w:sz w:val="20"/>
                <w:szCs w:val="20"/>
                <w:lang w:eastAsia="en-AU"/>
              </w:rPr>
              <w:noBreakHyphen/>
              <w:t>highest fee, and has the lowest item number, is to be treated as 1 pathology service; and</w:t>
            </w:r>
          </w:p>
          <w:p w14:paraId="3F977B72"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the pathology services in the set, other than the services that are to be treated as 1 pathology service under paragraphs (a) and (b), are to be treated as 1 pathology service.</w:t>
            </w:r>
          </w:p>
          <w:p w14:paraId="3167A5AD" w14:textId="77777777" w:rsidR="00B51828" w:rsidRPr="00442796" w:rsidRDefault="00B51828" w:rsidP="002101D2">
            <w:pPr>
              <w:spacing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18. (4)</w:t>
            </w:r>
            <w:r w:rsidRPr="00442796">
              <w:rPr>
                <w:rFonts w:ascii="Arial Narrow" w:eastAsia="Times New Roman" w:hAnsi="Arial Narrow" w:cs="Tahoma"/>
                <w:sz w:val="20"/>
                <w:szCs w:val="20"/>
                <w:lang w:eastAsia="en-AU"/>
              </w:rPr>
              <w:t>   If the fees specified in 2 or more items that describe any of the services in the set of pathology services are the same, and higher than the fees specified in the other items that describe the services in the set:</w:t>
            </w:r>
          </w:p>
          <w:p w14:paraId="704B9F7B"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(a) the pathology service in the set that is described in the item that specifies the highest fee, and has the lowest item number, is to be treated as 1 pathology service; and</w:t>
            </w:r>
          </w:p>
          <w:p w14:paraId="20323662"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(b) the pathology service in the set that is described in the item that specifies the highest fee, and has the second</w:t>
            </w:r>
            <w:r w:rsidRPr="00442796">
              <w:rPr>
                <w:rFonts w:ascii="Arial Narrow" w:eastAsia="Times New Roman" w:hAnsi="Arial Narrow" w:cs="Tahoma"/>
                <w:sz w:val="20"/>
                <w:szCs w:val="20"/>
                <w:lang w:eastAsia="en-AU"/>
              </w:rPr>
              <w:noBreakHyphen/>
              <w:t xml:space="preserve">lowest item number, is to be treated as 1 pathology service; and </w:t>
            </w:r>
          </w:p>
          <w:p w14:paraId="415D1B74" w14:textId="77777777" w:rsidR="00B51828" w:rsidRPr="00442796" w:rsidRDefault="00B51828" w:rsidP="002101D2">
            <w:pPr>
              <w:spacing w:after="100" w:afterAutospacing="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(c) the pathology services in the set, other than the services that are to be treated as 1 pathology service under paragraphs (a) and (b), are to be treated as 1 pathology service.</w:t>
            </w:r>
          </w:p>
          <w:p w14:paraId="2BF3006B" w14:textId="77777777" w:rsidR="00B51828" w:rsidRPr="00442796" w:rsidRDefault="00B51828" w:rsidP="002101D2">
            <w:pPr>
              <w:spacing w:after="100" w:afterAutospacing="1"/>
              <w:ind w:left="0"/>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18. (5)</w:t>
            </w:r>
            <w:r w:rsidRPr="00442796">
              <w:rPr>
                <w:rFonts w:ascii="Arial Narrow" w:eastAsia="Times New Roman" w:hAnsi="Arial Narrow" w:cs="Tahoma"/>
                <w:sz w:val="20"/>
                <w:szCs w:val="20"/>
                <w:lang w:eastAsia="en-AU"/>
              </w:rPr>
              <w:t>   If pathology services are to be treated as 1 pathology service under paragraph (3) (c) or (4) (c), the fee for the 1 pathology service is the highest fee specified in any of the items that describe the pathology services that are to be treated as the 1 pathology service.</w:t>
            </w:r>
          </w:p>
          <w:p w14:paraId="2463C318" w14:textId="77777777" w:rsidR="00B51828" w:rsidRPr="00442796" w:rsidRDefault="00B51828" w:rsidP="002101D2">
            <w:pPr>
              <w:spacing w:before="100" w:beforeAutospacing="1" w:after="100" w:afterAutospacing="1"/>
              <w:ind w:left="851" w:hanging="851"/>
              <w:rPr>
                <w:rFonts w:ascii="Arial Narrow" w:eastAsia="Times New Roman" w:hAnsi="Arial Narrow" w:cs="Tahoma"/>
                <w:sz w:val="20"/>
                <w:szCs w:val="20"/>
                <w:lang w:eastAsia="en-AU"/>
              </w:rPr>
            </w:pPr>
            <w:r w:rsidRPr="00442796">
              <w:rPr>
                <w:rFonts w:ascii="Arial Narrow" w:eastAsia="Times New Roman" w:hAnsi="Arial Narrow" w:cs="Tahoma"/>
                <w:sz w:val="20"/>
                <w:szCs w:val="20"/>
                <w:lang w:eastAsia="en-AU"/>
              </w:rPr>
              <w:t> </w:t>
            </w:r>
            <w:r w:rsidRPr="00442796">
              <w:rPr>
                <w:rFonts w:ascii="Arial Narrow" w:eastAsia="Times New Roman" w:hAnsi="Arial Narrow" w:cs="Tahoma"/>
                <w:b/>
                <w:bCs/>
                <w:sz w:val="20"/>
                <w:szCs w:val="20"/>
                <w:lang w:eastAsia="en-AU"/>
              </w:rPr>
              <w:t>Limitation on certain items</w:t>
            </w:r>
          </w:p>
          <w:p w14:paraId="2240285E" w14:textId="77777777" w:rsidR="00B51828" w:rsidRPr="00442796" w:rsidRDefault="00B51828" w:rsidP="002101D2">
            <w:pPr>
              <w:autoSpaceDE w:val="0"/>
              <w:autoSpaceDN w:val="0"/>
              <w:spacing w:before="100" w:beforeAutospacing="1" w:after="100" w:afterAutospacing="1"/>
              <w:ind w:left="1134" w:hanging="1134"/>
              <w:rPr>
                <w:rFonts w:ascii="Arial Narrow" w:eastAsia="Times New Roman" w:hAnsi="Arial Narrow" w:cs="Tahoma"/>
                <w:sz w:val="20"/>
                <w:szCs w:val="20"/>
                <w:lang w:eastAsia="en-AU"/>
              </w:rPr>
            </w:pPr>
            <w:r w:rsidRPr="00442796">
              <w:rPr>
                <w:rFonts w:ascii="Arial Narrow" w:eastAsia="Times New Roman" w:hAnsi="Arial Narrow" w:cs="Tahoma"/>
                <w:b/>
                <w:bCs/>
                <w:sz w:val="20"/>
                <w:szCs w:val="20"/>
                <w:lang w:eastAsia="en-AU"/>
              </w:rPr>
              <w:t>25</w:t>
            </w:r>
            <w:r w:rsidRPr="007F674D">
              <w:rPr>
                <w:rFonts w:ascii="Arial Narrow" w:eastAsia="Times New Roman" w:hAnsi="Arial Narrow" w:cs="Tahoma"/>
                <w:b/>
                <w:bCs/>
                <w:sz w:val="20"/>
                <w:szCs w:val="20"/>
                <w:lang w:eastAsia="en-AU"/>
              </w:rPr>
              <w:t>.</w:t>
            </w:r>
            <w:r w:rsidRPr="007F674D">
              <w:rPr>
                <w:rFonts w:ascii="Arial Narrow" w:eastAsia="Times New Roman" w:hAnsi="Arial Narrow" w:cs="Tahoma"/>
                <w:b/>
                <w:sz w:val="20"/>
                <w:szCs w:val="20"/>
                <w:lang w:eastAsia="en-AU"/>
              </w:rPr>
              <w:t xml:space="preserve"> (a)</w:t>
            </w:r>
            <w:r w:rsidRPr="00442796">
              <w:rPr>
                <w:rFonts w:ascii="Arial Narrow" w:eastAsia="Times New Roman" w:hAnsi="Arial Narrow" w:cs="Tahoma"/>
                <w:sz w:val="20"/>
                <w:szCs w:val="20"/>
                <w:lang w:eastAsia="en-AU"/>
              </w:rPr>
              <w:t>  For any particular patient, items 66539, 66605, 66606, 66607, 66610, 69380, 69488, 69489, 71075, 71127, 71135 or 71137 is applicable not more than twice in a 12 month period.</w:t>
            </w:r>
          </w:p>
          <w:p w14:paraId="12595DEA" w14:textId="77777777" w:rsidR="00B51828" w:rsidRPr="00442796" w:rsidRDefault="00B51828" w:rsidP="002101D2">
            <w:pPr>
              <w:autoSpaceDE w:val="0"/>
              <w:autoSpaceDN w:val="0"/>
              <w:spacing w:before="100" w:beforeAutospacing="1" w:after="100" w:afterAutospacing="1"/>
              <w:ind w:left="0"/>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25. (b)</w:t>
            </w:r>
            <w:r w:rsidRPr="00442796">
              <w:rPr>
                <w:rFonts w:ascii="Arial Narrow" w:eastAsia="Times New Roman" w:hAnsi="Arial Narrow" w:cs="Tahoma"/>
                <w:sz w:val="20"/>
                <w:szCs w:val="20"/>
                <w:lang w:eastAsia="en-AU"/>
              </w:rPr>
              <w:t xml:space="preserve"> For any particular patient, item 66626 is applicable not more than 36 times in a 12 month period.</w:t>
            </w:r>
          </w:p>
          <w:p w14:paraId="0974A397" w14:textId="77777777" w:rsidR="00B51828" w:rsidRPr="00442796" w:rsidRDefault="00B51828" w:rsidP="002101D2">
            <w:pPr>
              <w:autoSpaceDE w:val="0"/>
              <w:autoSpaceDN w:val="0"/>
              <w:spacing w:before="100" w:beforeAutospacing="1" w:after="100" w:afterAutospacing="1"/>
              <w:ind w:left="0"/>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25. (c)</w:t>
            </w:r>
            <w:r w:rsidRPr="00442796">
              <w:rPr>
                <w:rFonts w:ascii="Arial Narrow" w:eastAsia="Times New Roman" w:hAnsi="Arial Narrow" w:cs="Tahoma"/>
                <w:sz w:val="20"/>
                <w:szCs w:val="20"/>
                <w:lang w:eastAsia="en-AU"/>
              </w:rPr>
              <w:t>  For any particular patient, items 66655, 66659, 69482, 69491, 69499 or 69500 are applicable not more than once in a 12 month period.</w:t>
            </w:r>
          </w:p>
          <w:p w14:paraId="5AB49991" w14:textId="77777777" w:rsidR="00B51828" w:rsidRPr="00442796" w:rsidRDefault="00B51828" w:rsidP="002101D2">
            <w:pPr>
              <w:autoSpaceDE w:val="0"/>
              <w:autoSpaceDN w:val="0"/>
              <w:spacing w:before="100" w:beforeAutospacing="1" w:after="100" w:afterAutospacing="1"/>
              <w:ind w:left="1134" w:hanging="1134"/>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25. (d)</w:t>
            </w:r>
            <w:r w:rsidRPr="00442796">
              <w:rPr>
                <w:rFonts w:ascii="Arial Narrow" w:eastAsia="Times New Roman" w:hAnsi="Arial Narrow" w:cs="Tahoma"/>
                <w:sz w:val="20"/>
                <w:szCs w:val="20"/>
                <w:lang w:eastAsia="en-AU"/>
              </w:rPr>
              <w:t xml:space="preserve"> For any particular patient, item 66750 or 66751 is applicable not more than once in a pregnancy.</w:t>
            </w:r>
          </w:p>
          <w:p w14:paraId="5D7434FA" w14:textId="77777777" w:rsidR="00B51828" w:rsidRPr="00442796" w:rsidRDefault="00B51828" w:rsidP="002101D2">
            <w:pPr>
              <w:autoSpaceDE w:val="0"/>
              <w:autoSpaceDN w:val="0"/>
              <w:spacing w:before="100" w:beforeAutospacing="1" w:after="100" w:afterAutospacing="1"/>
              <w:ind w:left="1134" w:hanging="1134"/>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25. (e)</w:t>
            </w:r>
            <w:r w:rsidRPr="00442796">
              <w:rPr>
                <w:rFonts w:ascii="Arial Narrow" w:eastAsia="Times New Roman" w:hAnsi="Arial Narrow" w:cs="Tahoma"/>
                <w:sz w:val="20"/>
                <w:szCs w:val="20"/>
                <w:lang w:eastAsia="en-AU"/>
              </w:rPr>
              <w:t>  For any particular patient, item 69336 is applicable not more than once in each period of 7 days.</w:t>
            </w:r>
          </w:p>
          <w:p w14:paraId="4E214AD6" w14:textId="77777777" w:rsidR="00B51828" w:rsidRPr="00442796" w:rsidRDefault="00B51828" w:rsidP="002101D2">
            <w:pPr>
              <w:autoSpaceDE w:val="0"/>
              <w:autoSpaceDN w:val="0"/>
              <w:spacing w:before="100" w:beforeAutospacing="1" w:after="100" w:afterAutospacing="1"/>
              <w:ind w:left="1134" w:hanging="1134"/>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25. (f)</w:t>
            </w:r>
            <w:r w:rsidRPr="00442796">
              <w:rPr>
                <w:rFonts w:ascii="Arial Narrow" w:eastAsia="Times New Roman" w:hAnsi="Arial Narrow" w:cs="Tahoma"/>
                <w:sz w:val="20"/>
                <w:szCs w:val="20"/>
                <w:lang w:eastAsia="en-AU"/>
              </w:rPr>
              <w:t>  For any particular patient, items 66551, 66660, 69445, 69451, 69483, 71079 or  73523 are applicable not more than 4 times in a 12 month period.</w:t>
            </w:r>
          </w:p>
          <w:p w14:paraId="6E40E2C9" w14:textId="77777777" w:rsidR="00B51828" w:rsidRPr="00442796" w:rsidRDefault="00B51828" w:rsidP="002101D2">
            <w:pPr>
              <w:autoSpaceDE w:val="0"/>
              <w:autoSpaceDN w:val="0"/>
              <w:spacing w:before="100" w:beforeAutospacing="1" w:after="100" w:afterAutospacing="1"/>
              <w:ind w:left="1134" w:hanging="1134"/>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25.(g)</w:t>
            </w:r>
            <w:r w:rsidRPr="00442796">
              <w:rPr>
                <w:rFonts w:ascii="Arial Narrow" w:eastAsia="Times New Roman" w:hAnsi="Arial Narrow" w:cs="Tahoma"/>
                <w:sz w:val="20"/>
                <w:szCs w:val="20"/>
                <w:lang w:eastAsia="en-AU"/>
              </w:rPr>
              <w:t xml:space="preserve"> For any particular patient, items 66554, 66830 and 71077 are applicable not more than 6 times in a 12 month period.</w:t>
            </w:r>
          </w:p>
          <w:p w14:paraId="4A491A34" w14:textId="77777777" w:rsidR="00B51828" w:rsidRPr="00442796" w:rsidRDefault="00B51828" w:rsidP="002101D2">
            <w:pPr>
              <w:autoSpaceDE w:val="0"/>
              <w:autoSpaceDN w:val="0"/>
              <w:spacing w:before="100" w:beforeAutospacing="1" w:after="100" w:afterAutospacing="1"/>
              <w:ind w:left="1134" w:hanging="1134"/>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25. (h)</w:t>
            </w:r>
            <w:r w:rsidRPr="00442796">
              <w:rPr>
                <w:rFonts w:ascii="Arial Narrow" w:eastAsia="Times New Roman" w:hAnsi="Arial Narrow" w:cs="Tahoma"/>
                <w:sz w:val="20"/>
                <w:szCs w:val="20"/>
                <w:lang w:eastAsia="en-AU"/>
              </w:rPr>
              <w:t xml:space="preserve"> For any particular patient, item 66819, 66820, 66821, 66822, 66825, 66826, 66827 or 66828 is applicable not more than 3 times in a 6 month period.</w:t>
            </w:r>
          </w:p>
          <w:p w14:paraId="717F06FE" w14:textId="77777777" w:rsidR="00B51828" w:rsidRPr="00442796" w:rsidRDefault="00B51828" w:rsidP="002101D2">
            <w:pPr>
              <w:autoSpaceDE w:val="0"/>
              <w:autoSpaceDN w:val="0"/>
              <w:spacing w:before="100" w:beforeAutospacing="1" w:after="100" w:afterAutospacing="1"/>
              <w:ind w:left="1134" w:hanging="1134"/>
              <w:rPr>
                <w:rFonts w:ascii="Arial Narrow" w:eastAsia="Times New Roman" w:hAnsi="Arial Narrow" w:cs="Tahoma"/>
                <w:sz w:val="20"/>
                <w:szCs w:val="20"/>
                <w:lang w:eastAsia="en-AU"/>
              </w:rPr>
            </w:pPr>
            <w:r w:rsidRPr="007F674D">
              <w:rPr>
                <w:rFonts w:ascii="Arial Narrow" w:eastAsia="Times New Roman" w:hAnsi="Arial Narrow" w:cs="Tahoma"/>
                <w:b/>
                <w:sz w:val="20"/>
                <w:szCs w:val="20"/>
                <w:lang w:eastAsia="en-AU"/>
              </w:rPr>
              <w:t>25. (i)</w:t>
            </w:r>
            <w:r w:rsidRPr="00442796">
              <w:rPr>
                <w:rFonts w:ascii="Arial Narrow" w:eastAsia="Times New Roman" w:hAnsi="Arial Narrow" w:cs="Tahoma"/>
                <w:sz w:val="20"/>
                <w:szCs w:val="20"/>
                <w:lang w:eastAsia="en-AU"/>
              </w:rPr>
              <w:t>  For any particular patient, items 69418 and 69419 are applicable not more than twice in a 24 month period.</w:t>
            </w:r>
          </w:p>
          <w:p w14:paraId="313C30C4" w14:textId="77777777" w:rsidR="00B51828" w:rsidRPr="00442796" w:rsidRDefault="00B51828" w:rsidP="002101D2">
            <w:pPr>
              <w:spacing w:before="100" w:beforeAutospacing="1" w:after="100" w:afterAutospacing="1"/>
              <w:ind w:left="0"/>
              <w:rPr>
                <w:rFonts w:ascii="Arial Narrow" w:eastAsia="Times New Roman" w:hAnsi="Arial Narrow" w:cs="Tahoma"/>
                <w:sz w:val="20"/>
                <w:szCs w:val="20"/>
                <w:lang w:eastAsia="en-AU"/>
              </w:rPr>
            </w:pPr>
          </w:p>
        </w:tc>
      </w:tr>
      <w:tr w:rsidR="00B51828" w:rsidRPr="00442796" w14:paraId="382A6F07" w14:textId="77777777" w:rsidTr="002101D2">
        <w:trPr>
          <w:tblCellSpacing w:w="0" w:type="dxa"/>
        </w:trPr>
        <w:tc>
          <w:tcPr>
            <w:tcW w:w="0" w:type="auto"/>
            <w:vAlign w:val="center"/>
          </w:tcPr>
          <w:p w14:paraId="22F1FAAC" w14:textId="77777777" w:rsidR="00B51828" w:rsidRPr="00442796" w:rsidRDefault="00B51828" w:rsidP="002101D2">
            <w:pPr>
              <w:spacing w:before="100" w:beforeAutospacing="1" w:after="100" w:afterAutospacing="1"/>
              <w:rPr>
                <w:rFonts w:ascii="Arial Narrow" w:eastAsia="Times New Roman" w:hAnsi="Arial Narrow" w:cs="Tahoma"/>
                <w:sz w:val="20"/>
                <w:szCs w:val="20"/>
                <w:lang w:eastAsia="en-AU"/>
              </w:rPr>
            </w:pPr>
          </w:p>
        </w:tc>
      </w:tr>
    </w:tbl>
    <w:p w14:paraId="4EF23184" w14:textId="77777777" w:rsidR="00B51828" w:rsidRDefault="00B51828" w:rsidP="00B51828">
      <w:pPr>
        <w:pStyle w:val="Heading1"/>
        <w:numPr>
          <w:ilvl w:val="0"/>
          <w:numId w:val="7"/>
        </w:numPr>
      </w:pPr>
      <w:bookmarkStart w:id="383" w:name="_Toc382312196"/>
      <w:bookmarkStart w:id="384" w:name="_Ref385334976"/>
      <w:bookmarkStart w:id="385" w:name="_Ref385423999"/>
      <w:bookmarkStart w:id="386" w:name="_Ref393701058"/>
      <w:bookmarkStart w:id="387" w:name="_Ref393702378"/>
      <w:bookmarkStart w:id="388" w:name="_Toc396211721"/>
      <w:r>
        <w:lastRenderedPageBreak/>
        <w:t>Search strategies</w:t>
      </w:r>
      <w:bookmarkEnd w:id="383"/>
      <w:bookmarkEnd w:id="384"/>
      <w:bookmarkEnd w:id="385"/>
      <w:bookmarkEnd w:id="386"/>
      <w:bookmarkEnd w:id="387"/>
      <w:bookmarkEnd w:id="388"/>
    </w:p>
    <w:p w14:paraId="3C6263DA" w14:textId="27A0E571" w:rsidR="00B51828" w:rsidRDefault="00B51828" w:rsidP="002101D2">
      <w:r>
        <w:t>Table A3.1 and Table A3.2 provide the broad search strings used that were used to identify relevant literature in Embase.com (which concurrently searches E</w:t>
      </w:r>
      <w:r w:rsidR="008A4EDD">
        <w:t>MBASE</w:t>
      </w:r>
      <w:r>
        <w:t xml:space="preserve"> and Medline) and the Cochrane Library, respectively.</w:t>
      </w:r>
    </w:p>
    <w:p w14:paraId="259D864D" w14:textId="77777777" w:rsidR="00B51828" w:rsidRDefault="00B51828" w:rsidP="002101D2">
      <w:pPr>
        <w:pStyle w:val="Caption"/>
      </w:pPr>
      <w:r>
        <w:t>Table A3.1</w:t>
      </w:r>
      <w:r>
        <w:tab/>
        <w:t>Embase.com search terms and results (search conducted on 20 March 2014)</w:t>
      </w:r>
    </w:p>
    <w:tbl>
      <w:tblPr>
        <w:tblStyle w:val="TableGrid"/>
        <w:tblW w:w="0" w:type="auto"/>
        <w:tblInd w:w="720" w:type="dxa"/>
        <w:tblLook w:val="04A0" w:firstRow="1" w:lastRow="0" w:firstColumn="1" w:lastColumn="0" w:noHBand="0" w:noVBand="1"/>
        <w:tblCaption w:val="Embase.com search results"/>
        <w:tblDescription w:val="The search terms and number of citations identified during a search conducted on 20 March 2014. "/>
      </w:tblPr>
      <w:tblGrid>
        <w:gridCol w:w="976"/>
        <w:gridCol w:w="5670"/>
        <w:gridCol w:w="1650"/>
      </w:tblGrid>
      <w:tr w:rsidR="00B51828" w14:paraId="1C81729A" w14:textId="77777777" w:rsidTr="002101D2">
        <w:trPr>
          <w:tblHeader/>
        </w:trPr>
        <w:tc>
          <w:tcPr>
            <w:tcW w:w="976" w:type="dxa"/>
          </w:tcPr>
          <w:p w14:paraId="2736053A" w14:textId="77777777" w:rsidR="00B51828" w:rsidRDefault="00B51828" w:rsidP="002101D2">
            <w:pPr>
              <w:pStyle w:val="Tabletextboldleft"/>
            </w:pPr>
            <w:r>
              <w:t>#</w:t>
            </w:r>
          </w:p>
        </w:tc>
        <w:tc>
          <w:tcPr>
            <w:tcW w:w="5670" w:type="dxa"/>
          </w:tcPr>
          <w:p w14:paraId="5E733FF6" w14:textId="77777777" w:rsidR="00B51828" w:rsidRDefault="00B51828" w:rsidP="002101D2">
            <w:pPr>
              <w:pStyle w:val="Tabletextboldleft"/>
            </w:pPr>
            <w:r>
              <w:t>Query</w:t>
            </w:r>
          </w:p>
        </w:tc>
        <w:tc>
          <w:tcPr>
            <w:tcW w:w="1650" w:type="dxa"/>
          </w:tcPr>
          <w:p w14:paraId="06699B8F" w14:textId="77777777" w:rsidR="00B51828" w:rsidRDefault="00B51828" w:rsidP="002101D2">
            <w:pPr>
              <w:pStyle w:val="Tabletextboldleft"/>
              <w:jc w:val="right"/>
            </w:pPr>
            <w:r>
              <w:t>No. of citations</w:t>
            </w:r>
          </w:p>
        </w:tc>
      </w:tr>
      <w:tr w:rsidR="00B51828" w:rsidRPr="00387119" w14:paraId="36955863" w14:textId="77777777" w:rsidTr="002101D2">
        <w:tc>
          <w:tcPr>
            <w:tcW w:w="976" w:type="dxa"/>
          </w:tcPr>
          <w:p w14:paraId="2D163385" w14:textId="77777777" w:rsidR="00B51828" w:rsidRDefault="00B51828" w:rsidP="002101D2">
            <w:pPr>
              <w:pStyle w:val="Tabletextcentred"/>
              <w:jc w:val="left"/>
            </w:pPr>
            <w:r>
              <w:t>#1</w:t>
            </w:r>
          </w:p>
        </w:tc>
        <w:tc>
          <w:tcPr>
            <w:tcW w:w="5670" w:type="dxa"/>
          </w:tcPr>
          <w:p w14:paraId="47C34A49" w14:textId="77777777" w:rsidR="00B51828" w:rsidRDefault="00B51828" w:rsidP="002101D2">
            <w:pPr>
              <w:pStyle w:val="Tabletextcentred"/>
              <w:jc w:val="left"/>
            </w:pPr>
            <w:r w:rsidRPr="00E267E2">
              <w:t>(morpholog* NEAR/3 referral OR (interinstitutional AND 'consultation'/exp) OR interinstitutional NEAR/3 consultation OR ('inter institutional' AND 'consultation'/exp) OR 'inter institutional' NEAR/3 consultation OR 'interinstitutional pathology consultation' OR 'inter-institutional pathology consultation' OR 'inter-institutional pathology consultations' OR ('second opinion' OR 'second opinions') OR ('expert opinion' OR 'expert opinions') OR morpholog* NEAR/3 referral* OR patholog* NEAR/3 referral* OR second NEAR/2 opinion* OR expert NEAR/2 opinion* OR voluntary NEAR/3 opinion* OR 'extra-departmental pathology consultation' OR 'extradepartmental pathology consultation' OR extradepartmental NEAR/3 consultation* OR 'extra departmental' NEAR/3 consultation* OR ('personal consultation' OR 'personal consultations') OR (extradepartmental AND 'consultation'/exp) OR ('extra departmenta</w:t>
            </w:r>
            <w:r>
              <w:t>l' AND 'consultation'/exp) OR (‘second opinion diagnosis’) OR (opinion NEAR/4 pathology) OR (‘second opinion’ NEAR/4 pathology) OR (‘morphology referrals’) OR (‘expert pathologist’ OR ‘expert pathologists’))</w:t>
            </w:r>
          </w:p>
        </w:tc>
        <w:tc>
          <w:tcPr>
            <w:tcW w:w="1650" w:type="dxa"/>
          </w:tcPr>
          <w:p w14:paraId="2A05AB9C" w14:textId="77777777" w:rsidR="00B51828" w:rsidRPr="00915F90" w:rsidRDefault="00B51828" w:rsidP="002101D2">
            <w:pPr>
              <w:pStyle w:val="Tabletextcentred"/>
              <w:jc w:val="right"/>
            </w:pPr>
            <w:r>
              <w:t>27,969</w:t>
            </w:r>
          </w:p>
        </w:tc>
      </w:tr>
      <w:tr w:rsidR="00B51828" w:rsidRPr="00387119" w14:paraId="1DB9791D" w14:textId="77777777" w:rsidTr="002101D2">
        <w:tc>
          <w:tcPr>
            <w:tcW w:w="976" w:type="dxa"/>
          </w:tcPr>
          <w:p w14:paraId="1A6CAA34" w14:textId="77777777" w:rsidR="00B51828" w:rsidRDefault="00B51828" w:rsidP="002101D2">
            <w:pPr>
              <w:pStyle w:val="Tabletextcentred"/>
              <w:jc w:val="left"/>
            </w:pPr>
            <w:r>
              <w:t>#2</w:t>
            </w:r>
          </w:p>
        </w:tc>
        <w:tc>
          <w:tcPr>
            <w:tcW w:w="5670" w:type="dxa"/>
          </w:tcPr>
          <w:p w14:paraId="55CA575E" w14:textId="77777777" w:rsidR="00B51828" w:rsidRDefault="00B51828" w:rsidP="002101D2">
            <w:pPr>
              <w:pStyle w:val="Tabletextcentred"/>
              <w:jc w:val="left"/>
            </w:pPr>
            <w:r>
              <w:t>(</w:t>
            </w:r>
            <w:r w:rsidRPr="00E267E2">
              <w:t>'pathology'/exp OR 'anatomical pathology' OR 'histology'/exp OR histologic* OR 'histopathology'/exp OR histopathologic* OR 'cytology'/exp OR cytologic* OR 'pathological anatomy'/exp OR 'cytopathology'/exp OR cytopathologic* OR 'tissue pathology' OR morpholog* OR morpholog* NEAR/2 pathology OR morpholog* NEAR/2 diagnos*</w:t>
            </w:r>
            <w:r>
              <w:t xml:space="preserve"> OR 'biopsy'/exp OR 'smear'/exp</w:t>
            </w:r>
            <w:r w:rsidRPr="00E267E2">
              <w:t xml:space="preserve"> OR 'pathologist'/exp OR p</w:t>
            </w:r>
            <w:r>
              <w:t>athologists OR (‘pathology’/de OR pathology) OR (‘pathologist’/de OR pathologist)</w:t>
            </w:r>
          </w:p>
        </w:tc>
        <w:tc>
          <w:tcPr>
            <w:tcW w:w="1650" w:type="dxa"/>
          </w:tcPr>
          <w:p w14:paraId="4E86A01E" w14:textId="77777777" w:rsidR="00B51828" w:rsidRPr="00915F90" w:rsidRDefault="00B51828" w:rsidP="002101D2">
            <w:pPr>
              <w:pStyle w:val="Tabletextcentred"/>
              <w:jc w:val="right"/>
            </w:pPr>
            <w:r>
              <w:t>3,367,571</w:t>
            </w:r>
          </w:p>
        </w:tc>
      </w:tr>
      <w:tr w:rsidR="00B51828" w:rsidRPr="00387119" w14:paraId="539DE096" w14:textId="77777777" w:rsidTr="002101D2">
        <w:tc>
          <w:tcPr>
            <w:tcW w:w="976" w:type="dxa"/>
            <w:tcBorders>
              <w:bottom w:val="single" w:sz="4" w:space="0" w:color="auto"/>
            </w:tcBorders>
          </w:tcPr>
          <w:p w14:paraId="6F681BAF" w14:textId="77777777" w:rsidR="00B51828" w:rsidRDefault="00B51828" w:rsidP="002101D2">
            <w:pPr>
              <w:pStyle w:val="Tabletextcentred"/>
              <w:jc w:val="left"/>
            </w:pPr>
            <w:r>
              <w:t>#3</w:t>
            </w:r>
          </w:p>
        </w:tc>
        <w:tc>
          <w:tcPr>
            <w:tcW w:w="5670" w:type="dxa"/>
            <w:tcBorders>
              <w:bottom w:val="single" w:sz="4" w:space="0" w:color="auto"/>
            </w:tcBorders>
          </w:tcPr>
          <w:p w14:paraId="07FAF3BA" w14:textId="77777777" w:rsidR="00B51828" w:rsidRDefault="00B51828" w:rsidP="002101D2">
            <w:pPr>
              <w:pStyle w:val="Tabletextcentred"/>
              <w:jc w:val="left"/>
            </w:pPr>
            <w:r>
              <w:t>#1 AND #2 NOT ((forensic OR forensics) OR (‘case report’/exp OR ‘case report’))</w:t>
            </w:r>
          </w:p>
        </w:tc>
        <w:tc>
          <w:tcPr>
            <w:tcW w:w="1650" w:type="dxa"/>
            <w:tcBorders>
              <w:bottom w:val="single" w:sz="4" w:space="0" w:color="auto"/>
            </w:tcBorders>
          </w:tcPr>
          <w:p w14:paraId="4164D075" w14:textId="77777777" w:rsidR="00B51828" w:rsidRPr="00915F90" w:rsidRDefault="00B51828" w:rsidP="002101D2">
            <w:pPr>
              <w:pStyle w:val="Tabletextcentred"/>
              <w:jc w:val="right"/>
            </w:pPr>
            <w:r>
              <w:t>4,181</w:t>
            </w:r>
          </w:p>
        </w:tc>
      </w:tr>
    </w:tbl>
    <w:p w14:paraId="6ABDAA4A" w14:textId="77777777" w:rsidR="00B51828" w:rsidRPr="00023508" w:rsidRDefault="00B51828" w:rsidP="002101D2"/>
    <w:p w14:paraId="093AC3E2" w14:textId="77777777" w:rsidR="00B51828" w:rsidRDefault="00B51828" w:rsidP="002101D2">
      <w:pPr>
        <w:pStyle w:val="Caption"/>
      </w:pPr>
      <w:r>
        <w:t>Table A3.2</w:t>
      </w:r>
      <w:r>
        <w:tab/>
        <w:t>Cochrane Library search terms and results (search conducted on 15 April 2014)</w:t>
      </w:r>
    </w:p>
    <w:tbl>
      <w:tblPr>
        <w:tblStyle w:val="TableGrid"/>
        <w:tblW w:w="0" w:type="auto"/>
        <w:tblInd w:w="720" w:type="dxa"/>
        <w:tblLook w:val="04A0" w:firstRow="1" w:lastRow="0" w:firstColumn="1" w:lastColumn="0" w:noHBand="0" w:noVBand="1"/>
        <w:tblCaption w:val="Cochrane Library search results"/>
        <w:tblDescription w:val="The search terms and number of citations identified during a search of the Cochrane Library conducted on 15 April 2014. "/>
      </w:tblPr>
      <w:tblGrid>
        <w:gridCol w:w="976"/>
        <w:gridCol w:w="5670"/>
        <w:gridCol w:w="1650"/>
      </w:tblGrid>
      <w:tr w:rsidR="00B51828" w14:paraId="40A94E3C" w14:textId="77777777" w:rsidTr="002101D2">
        <w:trPr>
          <w:tblHeader/>
        </w:trPr>
        <w:tc>
          <w:tcPr>
            <w:tcW w:w="976" w:type="dxa"/>
          </w:tcPr>
          <w:p w14:paraId="2E797744" w14:textId="77777777" w:rsidR="00B51828" w:rsidRDefault="00B51828" w:rsidP="002101D2">
            <w:pPr>
              <w:pStyle w:val="Tabletextboldleft"/>
            </w:pPr>
            <w:r>
              <w:t>#</w:t>
            </w:r>
          </w:p>
        </w:tc>
        <w:tc>
          <w:tcPr>
            <w:tcW w:w="5670" w:type="dxa"/>
          </w:tcPr>
          <w:p w14:paraId="04E12E18" w14:textId="77777777" w:rsidR="00B51828" w:rsidRDefault="00B51828" w:rsidP="002101D2">
            <w:pPr>
              <w:pStyle w:val="Tabletextboldleft"/>
            </w:pPr>
            <w:r>
              <w:t>Query</w:t>
            </w:r>
          </w:p>
        </w:tc>
        <w:tc>
          <w:tcPr>
            <w:tcW w:w="1650" w:type="dxa"/>
          </w:tcPr>
          <w:p w14:paraId="4DB1FFA5" w14:textId="77777777" w:rsidR="00B51828" w:rsidRDefault="00B51828" w:rsidP="002101D2">
            <w:pPr>
              <w:pStyle w:val="Tabletextboldleft"/>
              <w:jc w:val="right"/>
            </w:pPr>
            <w:r>
              <w:t>No. of citations</w:t>
            </w:r>
          </w:p>
        </w:tc>
      </w:tr>
      <w:tr w:rsidR="00B51828" w:rsidRPr="00387119" w14:paraId="172BD27A" w14:textId="77777777" w:rsidTr="002101D2">
        <w:tc>
          <w:tcPr>
            <w:tcW w:w="976" w:type="dxa"/>
          </w:tcPr>
          <w:p w14:paraId="3A2B1FDA" w14:textId="77777777" w:rsidR="00B51828" w:rsidRDefault="00B51828" w:rsidP="002101D2">
            <w:pPr>
              <w:pStyle w:val="Tabletextcentred"/>
              <w:jc w:val="left"/>
            </w:pPr>
            <w:r>
              <w:t>#1</w:t>
            </w:r>
          </w:p>
        </w:tc>
        <w:tc>
          <w:tcPr>
            <w:tcW w:w="5670" w:type="dxa"/>
          </w:tcPr>
          <w:p w14:paraId="2371AFAF" w14:textId="77777777" w:rsidR="00B51828" w:rsidRDefault="00B51828" w:rsidP="002101D2">
            <w:pPr>
              <w:pStyle w:val="Tabletextcentred"/>
              <w:jc w:val="left"/>
            </w:pPr>
            <w:r>
              <w:t>“second opinion” OR “second-opinion” OR “expert opinion” OR “voluntary opinion” OR “personal consultation” OR "extradepartmental consultation" OR "extra-departmental consultation" OR "extradepartmental pathology consultation" OR "extra-departmental pathology consultation" OR "interinstitutional consultation" OR "Inter-institutional consultation" OR "interinstitutional pathology consultation" OR "inter-institutional pathology consultation"</w:t>
            </w:r>
          </w:p>
        </w:tc>
        <w:tc>
          <w:tcPr>
            <w:tcW w:w="1650" w:type="dxa"/>
          </w:tcPr>
          <w:p w14:paraId="5B6D9CF9" w14:textId="77777777" w:rsidR="00B51828" w:rsidRPr="00915F90" w:rsidRDefault="00B51828" w:rsidP="002101D2">
            <w:pPr>
              <w:pStyle w:val="Tabletextcentred"/>
              <w:jc w:val="right"/>
            </w:pPr>
            <w:r>
              <w:t>1,444</w:t>
            </w:r>
          </w:p>
        </w:tc>
      </w:tr>
      <w:tr w:rsidR="00B51828" w:rsidRPr="00387119" w14:paraId="6BCBEEEC" w14:textId="77777777" w:rsidTr="002101D2">
        <w:tc>
          <w:tcPr>
            <w:tcW w:w="976" w:type="dxa"/>
          </w:tcPr>
          <w:p w14:paraId="073659E1" w14:textId="77777777" w:rsidR="00B51828" w:rsidRDefault="00B51828" w:rsidP="002101D2">
            <w:pPr>
              <w:pStyle w:val="Tabletextcentred"/>
              <w:jc w:val="left"/>
            </w:pPr>
            <w:r>
              <w:t>#2</w:t>
            </w:r>
          </w:p>
        </w:tc>
        <w:tc>
          <w:tcPr>
            <w:tcW w:w="5670" w:type="dxa"/>
          </w:tcPr>
          <w:p w14:paraId="4B22D21F" w14:textId="77777777" w:rsidR="00B51828" w:rsidRDefault="00B51828" w:rsidP="002101D2">
            <w:pPr>
              <w:pStyle w:val="Tabletextcentred"/>
              <w:jc w:val="left"/>
            </w:pPr>
            <w:r w:rsidRPr="003C7EEB">
              <w:t>"pathology":ti,ab,kw</w:t>
            </w:r>
            <w:r>
              <w:t xml:space="preserve"> OR histology OR histologic OR histopathology OR</w:t>
            </w:r>
            <w:r w:rsidRPr="003C7EEB">
              <w:t xml:space="preserve"> histopathologic</w:t>
            </w:r>
            <w:r>
              <w:t xml:space="preserve"> OR </w:t>
            </w:r>
            <w:r w:rsidRPr="003C7EEB">
              <w:t>"anatomical pathology"</w:t>
            </w:r>
            <w:r>
              <w:t xml:space="preserve"> OR cytology OR cytologic OR cytopathology OR</w:t>
            </w:r>
            <w:r w:rsidRPr="003C7EEB">
              <w:t xml:space="preserve"> cytopathologic</w:t>
            </w:r>
            <w:r>
              <w:t xml:space="preserve"> OR “tissue pathology” OR pathologist OR biopsy OR smear OR morphology OR morphological OR “morphological pathology”</w:t>
            </w:r>
          </w:p>
        </w:tc>
        <w:tc>
          <w:tcPr>
            <w:tcW w:w="1650" w:type="dxa"/>
          </w:tcPr>
          <w:p w14:paraId="11E3D0BF" w14:textId="77777777" w:rsidR="00B51828" w:rsidRPr="00915F90" w:rsidRDefault="00B51828" w:rsidP="002101D2">
            <w:pPr>
              <w:pStyle w:val="Tabletextcentred"/>
              <w:jc w:val="right"/>
            </w:pPr>
            <w:r>
              <w:t>32,260</w:t>
            </w:r>
          </w:p>
        </w:tc>
      </w:tr>
      <w:tr w:rsidR="00B51828" w:rsidRPr="00387119" w14:paraId="459D4C93" w14:textId="77777777" w:rsidTr="002101D2">
        <w:tc>
          <w:tcPr>
            <w:tcW w:w="976" w:type="dxa"/>
            <w:tcBorders>
              <w:bottom w:val="single" w:sz="4" w:space="0" w:color="auto"/>
            </w:tcBorders>
          </w:tcPr>
          <w:p w14:paraId="0999D524" w14:textId="77777777" w:rsidR="00B51828" w:rsidRDefault="00B51828" w:rsidP="002101D2">
            <w:pPr>
              <w:pStyle w:val="Tabletextcentred"/>
              <w:jc w:val="left"/>
            </w:pPr>
            <w:r>
              <w:t>#3</w:t>
            </w:r>
          </w:p>
        </w:tc>
        <w:tc>
          <w:tcPr>
            <w:tcW w:w="5670" w:type="dxa"/>
            <w:tcBorders>
              <w:bottom w:val="single" w:sz="4" w:space="0" w:color="auto"/>
            </w:tcBorders>
          </w:tcPr>
          <w:p w14:paraId="6D926DDD" w14:textId="77777777" w:rsidR="00B51828" w:rsidRDefault="00B51828" w:rsidP="002101D2">
            <w:pPr>
              <w:pStyle w:val="Tabletextcentred"/>
              <w:jc w:val="left"/>
            </w:pPr>
            <w:r>
              <w:t>#1 AND #2</w:t>
            </w:r>
          </w:p>
        </w:tc>
        <w:tc>
          <w:tcPr>
            <w:tcW w:w="1650" w:type="dxa"/>
            <w:tcBorders>
              <w:bottom w:val="single" w:sz="4" w:space="0" w:color="auto"/>
            </w:tcBorders>
          </w:tcPr>
          <w:p w14:paraId="258DA26F" w14:textId="77777777" w:rsidR="00B51828" w:rsidRPr="00915F90" w:rsidRDefault="00B51828" w:rsidP="002101D2">
            <w:pPr>
              <w:pStyle w:val="Tabletextcentred"/>
              <w:jc w:val="right"/>
            </w:pPr>
            <w:r>
              <w:t>141</w:t>
            </w:r>
          </w:p>
        </w:tc>
      </w:tr>
    </w:tbl>
    <w:p w14:paraId="3E8F6B7C" w14:textId="77777777" w:rsidR="00B51828" w:rsidRPr="003D140D" w:rsidRDefault="00B51828" w:rsidP="002101D2"/>
    <w:p w14:paraId="1F1B43D9" w14:textId="77777777" w:rsidR="00B51828" w:rsidRDefault="00B51828" w:rsidP="00B51828">
      <w:pPr>
        <w:pStyle w:val="Heading1"/>
        <w:numPr>
          <w:ilvl w:val="0"/>
          <w:numId w:val="8"/>
        </w:numPr>
        <w:ind w:left="3402" w:hanging="3402"/>
      </w:pPr>
      <w:bookmarkStart w:id="389" w:name="_Toc396211722"/>
      <w:r>
        <w:lastRenderedPageBreak/>
        <w:t>Minor discrepancy rates</w:t>
      </w:r>
      <w:bookmarkEnd w:id="389"/>
    </w:p>
    <w:p w14:paraId="7406A077" w14:textId="217EE1F4" w:rsidR="00B51828" w:rsidRDefault="00B51828" w:rsidP="002101D2">
      <w:r>
        <w:t>As mentioned in Section B.5, in general, minor discrepancies were those that indicated a difference of opinion between the initial and expert pathologist that would have no significant (clinically</w:t>
      </w:r>
      <w:r w:rsidR="0053670C">
        <w:t xml:space="preserve"> </w:t>
      </w:r>
      <w:r>
        <w:t xml:space="preserve">relevant) effect on treatment or prognosis. For example, </w:t>
      </w:r>
      <w:r w:rsidR="00525F10">
        <w:t>v</w:t>
      </w:r>
      <w:r>
        <w:t>an Dijk et al (2008) reported the number of marginal modifications, not resulting in clinically</w:t>
      </w:r>
      <w:r w:rsidR="0053670C">
        <w:t xml:space="preserve"> </w:t>
      </w:r>
      <w:r>
        <w:t xml:space="preserve">relevant changes in patient management. Similarly, Jones and Jordan (2010) defined minor discrepancies as differences in diagnostic opinion that would not significantly alter the treatment and/or prognosis of the patient. Van Dijk et al (2008) reported that 350 (28.8%) out of 1217 dermatology cases with a provisional diagnosis were minor discrepancies. Jones and Jordan (2010) found 24 (17.8%) minor discrepancies out of 135 oral and maxillofacial pathology cases with a provisional diagnosis. </w:t>
      </w:r>
    </w:p>
    <w:p w14:paraId="3D46DDC2" w14:textId="77777777" w:rsidR="00B51828" w:rsidRDefault="00B51828" w:rsidP="002101D2">
      <w:r>
        <w:t>Minor discrepancies in soft tissue or sarcoma cases were reported in two studies (Arbiser et al 2001 and Ray-Coquard et al 2012). There was a substantial difference in the proportion of cases with a provisional diagnosis in which there were minor discrepancies between the initial and expert diagnoses. Arbiser et al (2001) reported 20 (7.5%) out of 266 cases, while Ray-Coquard et al 2012 reported ‘partial concordance’ in 263 (46.6%) out of 564 cases with a provisional diagnosis. Partial concordance was defined as identical diagnosis of connective tumour with differences of grade or histological subtype.</w:t>
      </w:r>
    </w:p>
    <w:p w14:paraId="62B61DF0" w14:textId="77777777" w:rsidR="00B51828" w:rsidRDefault="00B51828" w:rsidP="002101D2">
      <w:r>
        <w:t>Gaudi et al (2013) reported minor discrepancies in dermatology cases in three separate categories: minimal disagreements; minor disagreements; and defects in diagnosis with minimal effect on patient care. In total, minor discrepancies occurred in 121/354 (34.2%) cases with a provisional diagnosis. Minimal disagreements, including spelling errors, accounted for only 10 (8.3%) of those cases; whereas, minor disagreements (the use of alternate nomenclature, a lack of clarity in diagnosis, or unfamiliarity with the most up-to-date terminology and reporting requirements) and defects in diagnosis (histopathologic differences that did not influence prognosis, or failures to review relevant prior pathologic diagnosis and/or margin status) made up 56 (46.3%) and 55 (45.5%) of the 121 discrepant cases, respectively.</w:t>
      </w:r>
    </w:p>
    <w:p w14:paraId="7FA75E72" w14:textId="77777777" w:rsidR="00B51828" w:rsidRDefault="00B51828" w:rsidP="002101D2"/>
    <w:p w14:paraId="52DF2895" w14:textId="77777777" w:rsidR="00B51828" w:rsidRDefault="00B51828" w:rsidP="002101D2">
      <w:pPr>
        <w:sectPr w:rsidR="00B51828" w:rsidSect="002101D2">
          <w:pgSz w:w="11906" w:h="16838" w:code="9"/>
          <w:pgMar w:top="1440" w:right="1440" w:bottom="1440" w:left="1440" w:header="680" w:footer="1021" w:gutter="0"/>
          <w:cols w:space="708"/>
          <w:docGrid w:linePitch="360"/>
        </w:sectPr>
      </w:pPr>
    </w:p>
    <w:p w14:paraId="5624CEFE" w14:textId="77777777" w:rsidR="00B51828" w:rsidRDefault="00B51828" w:rsidP="002101D2">
      <w:pPr>
        <w:pStyle w:val="Caption"/>
      </w:pPr>
      <w:r>
        <w:lastRenderedPageBreak/>
        <w:t>Table A4.1</w:t>
      </w:r>
      <w:r>
        <w:tab/>
        <w:t xml:space="preserve">Minor discrepancy rates – as reported in </w:t>
      </w:r>
      <w:r w:rsidRPr="00055840">
        <w:rPr>
          <w:i/>
        </w:rPr>
        <w:t>Scenario 1</w:t>
      </w:r>
      <w:r>
        <w:t xml:space="preserve"> studies</w:t>
      </w:r>
    </w:p>
    <w:tbl>
      <w:tblPr>
        <w:tblStyle w:val="TableGrid"/>
        <w:tblW w:w="4726" w:type="pct"/>
        <w:tblInd w:w="704" w:type="dxa"/>
        <w:tblLook w:val="04A0" w:firstRow="1" w:lastRow="0" w:firstColumn="1" w:lastColumn="0" w:noHBand="0" w:noVBand="1"/>
        <w:tblCaption w:val="Minor discrepancy rates – as reported in Scenario 1 studies"/>
        <w:tblDescription w:val="The rates of minor discrepancies reported in the Scenario 1 (pathologist-initiated) studies. Some of the studies also provided a breakdown showing the nature of the minor discrepancy (for example a change in grade or histological type). "/>
      </w:tblPr>
      <w:tblGrid>
        <w:gridCol w:w="1731"/>
        <w:gridCol w:w="2736"/>
        <w:gridCol w:w="6197"/>
        <w:gridCol w:w="2733"/>
      </w:tblGrid>
      <w:tr w:rsidR="00B51828" w:rsidRPr="00E83D67" w14:paraId="2EF5D65A" w14:textId="77777777" w:rsidTr="002101D2">
        <w:trPr>
          <w:tblHeader/>
        </w:trPr>
        <w:tc>
          <w:tcPr>
            <w:tcW w:w="646" w:type="pct"/>
          </w:tcPr>
          <w:p w14:paraId="5D25D192" w14:textId="77777777" w:rsidR="00B51828" w:rsidRPr="00E83D67" w:rsidRDefault="00B51828" w:rsidP="002101D2">
            <w:pPr>
              <w:spacing w:before="20" w:after="20"/>
              <w:ind w:left="0"/>
              <w:jc w:val="center"/>
              <w:rPr>
                <w:rFonts w:ascii="Arial Narrow" w:hAnsi="Arial Narrow"/>
                <w:b/>
                <w:sz w:val="20"/>
                <w:szCs w:val="20"/>
              </w:rPr>
            </w:pPr>
            <w:r w:rsidRPr="00E83D67">
              <w:rPr>
                <w:rFonts w:ascii="Arial Narrow" w:hAnsi="Arial Narrow"/>
                <w:b/>
                <w:sz w:val="20"/>
                <w:szCs w:val="20"/>
              </w:rPr>
              <w:t>Study ID</w:t>
            </w:r>
          </w:p>
        </w:tc>
        <w:tc>
          <w:tcPr>
            <w:tcW w:w="1021" w:type="pct"/>
          </w:tcPr>
          <w:p w14:paraId="0EE5AC14" w14:textId="77777777" w:rsidR="00B51828" w:rsidRDefault="00B51828" w:rsidP="002101D2">
            <w:pPr>
              <w:spacing w:before="20" w:after="20"/>
              <w:ind w:left="0"/>
              <w:jc w:val="center"/>
              <w:rPr>
                <w:rFonts w:ascii="Arial Narrow" w:hAnsi="Arial Narrow"/>
                <w:b/>
                <w:sz w:val="20"/>
                <w:szCs w:val="20"/>
              </w:rPr>
            </w:pPr>
            <w:r>
              <w:rPr>
                <w:rFonts w:ascii="Arial Narrow" w:hAnsi="Arial Narrow"/>
                <w:b/>
                <w:sz w:val="20"/>
                <w:szCs w:val="20"/>
              </w:rPr>
              <w:t>Population (N)</w:t>
            </w:r>
          </w:p>
        </w:tc>
        <w:tc>
          <w:tcPr>
            <w:tcW w:w="2313" w:type="pct"/>
          </w:tcPr>
          <w:p w14:paraId="1C072D2C" w14:textId="77777777" w:rsidR="00B51828" w:rsidRPr="00E83D67" w:rsidRDefault="00B51828" w:rsidP="002101D2">
            <w:pPr>
              <w:spacing w:before="20" w:after="20"/>
              <w:ind w:left="0"/>
              <w:jc w:val="center"/>
              <w:rPr>
                <w:rFonts w:ascii="Arial Narrow" w:hAnsi="Arial Narrow"/>
                <w:b/>
                <w:sz w:val="20"/>
                <w:szCs w:val="20"/>
              </w:rPr>
            </w:pPr>
            <w:r>
              <w:rPr>
                <w:rFonts w:ascii="Arial Narrow" w:hAnsi="Arial Narrow"/>
                <w:b/>
                <w:sz w:val="20"/>
                <w:szCs w:val="20"/>
              </w:rPr>
              <w:t>Outcome</w:t>
            </w:r>
          </w:p>
        </w:tc>
        <w:tc>
          <w:tcPr>
            <w:tcW w:w="1021" w:type="pct"/>
          </w:tcPr>
          <w:p w14:paraId="5A5CA369" w14:textId="77777777" w:rsidR="00B51828" w:rsidRPr="00E83D67" w:rsidRDefault="00B51828" w:rsidP="002101D2">
            <w:pPr>
              <w:spacing w:before="20" w:after="20"/>
              <w:ind w:left="0"/>
              <w:jc w:val="center"/>
              <w:rPr>
                <w:rFonts w:ascii="Arial Narrow" w:hAnsi="Arial Narrow"/>
                <w:b/>
                <w:sz w:val="20"/>
                <w:szCs w:val="20"/>
              </w:rPr>
            </w:pPr>
            <w:r>
              <w:rPr>
                <w:rFonts w:ascii="Arial Narrow" w:hAnsi="Arial Narrow"/>
                <w:b/>
                <w:sz w:val="20"/>
                <w:szCs w:val="20"/>
              </w:rPr>
              <w:t>Results n/N (%)</w:t>
            </w:r>
          </w:p>
        </w:tc>
      </w:tr>
      <w:tr w:rsidR="00B51828" w:rsidRPr="00E83D67" w14:paraId="02AA759C" w14:textId="77777777" w:rsidTr="002101D2">
        <w:trPr>
          <w:trHeight w:val="64"/>
        </w:trPr>
        <w:tc>
          <w:tcPr>
            <w:tcW w:w="646" w:type="pct"/>
            <w:shd w:val="clear" w:color="auto" w:fill="BFBFBF" w:themeFill="background1" w:themeFillShade="BF"/>
          </w:tcPr>
          <w:p w14:paraId="282D010E"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SOFT TISSUE/ SARCOMA</w:t>
            </w:r>
          </w:p>
        </w:tc>
        <w:tc>
          <w:tcPr>
            <w:tcW w:w="1021" w:type="pct"/>
            <w:shd w:val="clear" w:color="auto" w:fill="BFBFBF" w:themeFill="background1" w:themeFillShade="BF"/>
          </w:tcPr>
          <w:p w14:paraId="618E3F1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2313" w:type="pct"/>
            <w:shd w:val="clear" w:color="auto" w:fill="BFBFBF" w:themeFill="background1" w:themeFillShade="BF"/>
          </w:tcPr>
          <w:p w14:paraId="291645DF"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w:t>
            </w:r>
          </w:p>
        </w:tc>
        <w:tc>
          <w:tcPr>
            <w:tcW w:w="1021" w:type="pct"/>
            <w:shd w:val="clear" w:color="auto" w:fill="BFBFBF" w:themeFill="background1" w:themeFillShade="BF"/>
          </w:tcPr>
          <w:p w14:paraId="5683358E"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w:t>
            </w:r>
          </w:p>
        </w:tc>
      </w:tr>
      <w:tr w:rsidR="00B51828" w:rsidRPr="00E83D67" w14:paraId="78ABAB7E" w14:textId="77777777" w:rsidTr="002101D2">
        <w:tc>
          <w:tcPr>
            <w:tcW w:w="646" w:type="pct"/>
          </w:tcPr>
          <w:p w14:paraId="606EA02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Arbiser 2001</w:t>
            </w:r>
          </w:p>
        </w:tc>
        <w:tc>
          <w:tcPr>
            <w:tcW w:w="1021" w:type="pct"/>
          </w:tcPr>
          <w:p w14:paraId="0F03317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Cases of soft tissue lesions </w:t>
            </w:r>
          </w:p>
          <w:p w14:paraId="088D9AA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N=500 cases</w:t>
            </w:r>
          </w:p>
        </w:tc>
        <w:tc>
          <w:tcPr>
            <w:tcW w:w="2313" w:type="pct"/>
          </w:tcPr>
          <w:p w14:paraId="3B725B72" w14:textId="77777777" w:rsidR="00B51828" w:rsidRPr="004C286E" w:rsidRDefault="00B51828" w:rsidP="002101D2">
            <w:pPr>
              <w:spacing w:before="20" w:after="20"/>
              <w:ind w:left="0"/>
              <w:rPr>
                <w:rFonts w:ascii="Arial Narrow" w:hAnsi="Arial Narrow"/>
                <w:b/>
                <w:sz w:val="20"/>
                <w:szCs w:val="20"/>
              </w:rPr>
            </w:pPr>
            <w:r>
              <w:rPr>
                <w:rFonts w:ascii="Arial Narrow" w:hAnsi="Arial Narrow"/>
                <w:b/>
                <w:sz w:val="20"/>
                <w:szCs w:val="20"/>
              </w:rPr>
              <w:t>Number of cases with a provisional diagnosis</w:t>
            </w:r>
          </w:p>
          <w:p w14:paraId="2D2B046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Minor discrepancy</w:t>
            </w:r>
            <w:r w:rsidRPr="006913F3">
              <w:rPr>
                <w:rFonts w:ascii="Arial Narrow" w:hAnsi="Arial Narrow"/>
                <w:sz w:val="20"/>
                <w:szCs w:val="20"/>
              </w:rPr>
              <w:t xml:space="preserve"> </w:t>
            </w:r>
          </w:p>
        </w:tc>
        <w:tc>
          <w:tcPr>
            <w:tcW w:w="1021" w:type="pct"/>
          </w:tcPr>
          <w:p w14:paraId="66548AAE" w14:textId="77777777" w:rsidR="00B51828" w:rsidRPr="004C286E" w:rsidRDefault="00B51828" w:rsidP="00B7466D">
            <w:pPr>
              <w:spacing w:before="20" w:after="20"/>
              <w:ind w:left="0"/>
              <w:rPr>
                <w:rFonts w:ascii="Arial Narrow" w:hAnsi="Arial Narrow"/>
                <w:b/>
                <w:sz w:val="20"/>
                <w:szCs w:val="20"/>
              </w:rPr>
            </w:pPr>
            <w:r w:rsidRPr="00227D76">
              <w:rPr>
                <w:rFonts w:ascii="Arial Narrow" w:hAnsi="Arial Narrow"/>
                <w:b/>
                <w:sz w:val="20"/>
                <w:szCs w:val="20"/>
              </w:rPr>
              <w:t>266/500 (53.2%)</w:t>
            </w:r>
          </w:p>
          <w:p w14:paraId="545915F1"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20/266 (7.5%)</w:t>
            </w:r>
          </w:p>
        </w:tc>
      </w:tr>
      <w:tr w:rsidR="00B51828" w:rsidRPr="00E83D67" w14:paraId="367AAFFF" w14:textId="77777777" w:rsidTr="002101D2">
        <w:tc>
          <w:tcPr>
            <w:tcW w:w="646" w:type="pct"/>
          </w:tcPr>
          <w:p w14:paraId="6CDF050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Ray-Coquard 2012</w:t>
            </w:r>
          </w:p>
        </w:tc>
        <w:tc>
          <w:tcPr>
            <w:tcW w:w="1021" w:type="pct"/>
          </w:tcPr>
          <w:p w14:paraId="42D0819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 xml:space="preserve">Soft tissue or visceral sarcoma </w:t>
            </w:r>
          </w:p>
          <w:p w14:paraId="5408193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N=1463 cases</w:t>
            </w:r>
            <w:r>
              <w:rPr>
                <w:rFonts w:ascii="Arial Narrow" w:hAnsi="Arial Narrow"/>
                <w:sz w:val="20"/>
                <w:szCs w:val="20"/>
                <w:vertAlign w:val="superscript"/>
              </w:rPr>
              <w:t>a</w:t>
            </w:r>
          </w:p>
        </w:tc>
        <w:tc>
          <w:tcPr>
            <w:tcW w:w="2313" w:type="pct"/>
          </w:tcPr>
          <w:p w14:paraId="55BBC531" w14:textId="77777777" w:rsidR="00B51828" w:rsidRPr="004C286E" w:rsidRDefault="00B51828" w:rsidP="002101D2">
            <w:pPr>
              <w:spacing w:before="20" w:after="20"/>
              <w:ind w:left="0"/>
              <w:rPr>
                <w:rFonts w:ascii="Arial Narrow" w:hAnsi="Arial Narrow"/>
                <w:b/>
                <w:sz w:val="20"/>
                <w:szCs w:val="20"/>
              </w:rPr>
            </w:pPr>
            <w:r>
              <w:rPr>
                <w:rFonts w:ascii="Arial Narrow" w:hAnsi="Arial Narrow"/>
                <w:b/>
                <w:sz w:val="20"/>
                <w:szCs w:val="20"/>
              </w:rPr>
              <w:t>Number of cases with a provisional diagnosis</w:t>
            </w:r>
          </w:p>
          <w:p w14:paraId="1F88D8D2"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Partial concordance with initial diagnosis</w:t>
            </w:r>
            <w:r>
              <w:rPr>
                <w:rFonts w:ascii="Arial Narrow" w:hAnsi="Arial Narrow"/>
                <w:sz w:val="20"/>
                <w:szCs w:val="20"/>
                <w:vertAlign w:val="superscript"/>
              </w:rPr>
              <w:t>b</w:t>
            </w:r>
            <w:r>
              <w:rPr>
                <w:rFonts w:ascii="Arial Narrow" w:hAnsi="Arial Narrow"/>
                <w:sz w:val="20"/>
                <w:szCs w:val="20"/>
              </w:rPr>
              <w:t xml:space="preserve"> (i.e. minor discrepancies)</w:t>
            </w:r>
          </w:p>
          <w:p w14:paraId="5FF2B8F8" w14:textId="77777777" w:rsidR="00B51828" w:rsidRPr="006F1337" w:rsidRDefault="00B51828" w:rsidP="002101D2">
            <w:pPr>
              <w:spacing w:before="20" w:after="20"/>
              <w:ind w:left="284"/>
              <w:rPr>
                <w:rFonts w:ascii="Arial Narrow" w:hAnsi="Arial Narrow"/>
                <w:i/>
                <w:sz w:val="20"/>
                <w:szCs w:val="20"/>
              </w:rPr>
            </w:pPr>
            <w:r w:rsidRPr="006F1337">
              <w:rPr>
                <w:rFonts w:ascii="Arial Narrow" w:hAnsi="Arial Narrow"/>
                <w:i/>
                <w:sz w:val="20"/>
                <w:szCs w:val="20"/>
              </w:rPr>
              <w:t>Nature of major and minor discrepancies</w:t>
            </w:r>
            <w:r>
              <w:rPr>
                <w:rFonts w:ascii="Arial Narrow" w:hAnsi="Arial Narrow"/>
                <w:i/>
                <w:sz w:val="20"/>
                <w:szCs w:val="20"/>
                <w:vertAlign w:val="superscript"/>
              </w:rPr>
              <w:t>c</w:t>
            </w:r>
            <w:r>
              <w:rPr>
                <w:rFonts w:ascii="Arial Narrow" w:hAnsi="Arial Narrow"/>
                <w:i/>
                <w:sz w:val="20"/>
                <w:szCs w:val="20"/>
              </w:rPr>
              <w:t>:</w:t>
            </w:r>
          </w:p>
          <w:p w14:paraId="7DAEE346" w14:textId="77777777" w:rsidR="00B51828" w:rsidRDefault="00B51828" w:rsidP="00B51828">
            <w:pPr>
              <w:pStyle w:val="ListParagraph"/>
              <w:numPr>
                <w:ilvl w:val="0"/>
                <w:numId w:val="37"/>
              </w:numPr>
              <w:spacing w:before="20" w:after="20"/>
              <w:rPr>
                <w:rFonts w:ascii="Arial Narrow" w:hAnsi="Arial Narrow"/>
                <w:sz w:val="20"/>
                <w:szCs w:val="20"/>
              </w:rPr>
            </w:pPr>
            <w:r>
              <w:rPr>
                <w:rFonts w:ascii="Arial Narrow" w:hAnsi="Arial Narrow"/>
                <w:sz w:val="20"/>
                <w:szCs w:val="20"/>
              </w:rPr>
              <w:t>Subtype alone</w:t>
            </w:r>
          </w:p>
          <w:p w14:paraId="3951E4D3" w14:textId="77777777" w:rsidR="00B51828" w:rsidRDefault="00B51828" w:rsidP="00B51828">
            <w:pPr>
              <w:pStyle w:val="ListParagraph"/>
              <w:numPr>
                <w:ilvl w:val="0"/>
                <w:numId w:val="37"/>
              </w:numPr>
              <w:spacing w:before="20" w:after="20"/>
              <w:rPr>
                <w:rFonts w:ascii="Arial Narrow" w:hAnsi="Arial Narrow"/>
                <w:sz w:val="20"/>
                <w:szCs w:val="20"/>
              </w:rPr>
            </w:pPr>
            <w:r>
              <w:rPr>
                <w:rFonts w:ascii="Arial Narrow" w:hAnsi="Arial Narrow"/>
                <w:sz w:val="20"/>
                <w:szCs w:val="20"/>
              </w:rPr>
              <w:t>Grade alone</w:t>
            </w:r>
          </w:p>
          <w:p w14:paraId="15C437D0" w14:textId="77777777" w:rsidR="00B51828" w:rsidRDefault="00B51828" w:rsidP="00B51828">
            <w:pPr>
              <w:pStyle w:val="ListParagraph"/>
              <w:numPr>
                <w:ilvl w:val="0"/>
                <w:numId w:val="37"/>
              </w:numPr>
              <w:spacing w:before="20" w:after="20"/>
              <w:rPr>
                <w:rFonts w:ascii="Arial Narrow" w:hAnsi="Arial Narrow"/>
                <w:sz w:val="20"/>
                <w:szCs w:val="20"/>
              </w:rPr>
            </w:pPr>
            <w:r>
              <w:rPr>
                <w:rFonts w:ascii="Arial Narrow" w:hAnsi="Arial Narrow"/>
                <w:sz w:val="20"/>
                <w:szCs w:val="20"/>
              </w:rPr>
              <w:t>Histological type alone</w:t>
            </w:r>
          </w:p>
          <w:p w14:paraId="239DF324" w14:textId="77777777" w:rsidR="00B51828" w:rsidRDefault="00B51828" w:rsidP="00B51828">
            <w:pPr>
              <w:pStyle w:val="ListParagraph"/>
              <w:numPr>
                <w:ilvl w:val="0"/>
                <w:numId w:val="37"/>
              </w:numPr>
              <w:spacing w:before="20" w:after="20"/>
              <w:rPr>
                <w:rFonts w:ascii="Arial Narrow" w:hAnsi="Arial Narrow"/>
                <w:sz w:val="20"/>
                <w:szCs w:val="20"/>
              </w:rPr>
            </w:pPr>
            <w:r>
              <w:rPr>
                <w:rFonts w:ascii="Arial Narrow" w:hAnsi="Arial Narrow"/>
                <w:sz w:val="20"/>
                <w:szCs w:val="20"/>
              </w:rPr>
              <w:t>Grade and subtype</w:t>
            </w:r>
          </w:p>
          <w:p w14:paraId="7D8577FA" w14:textId="77777777" w:rsidR="00B51828" w:rsidRPr="0017386B" w:rsidRDefault="00B51828" w:rsidP="00B51828">
            <w:pPr>
              <w:pStyle w:val="ListParagraph"/>
              <w:numPr>
                <w:ilvl w:val="0"/>
                <w:numId w:val="37"/>
              </w:numPr>
              <w:spacing w:before="20" w:after="20"/>
              <w:rPr>
                <w:rFonts w:ascii="Arial Narrow" w:hAnsi="Arial Narrow"/>
                <w:b/>
                <w:sz w:val="20"/>
                <w:szCs w:val="20"/>
              </w:rPr>
            </w:pPr>
            <w:r w:rsidRPr="0017386B">
              <w:rPr>
                <w:rFonts w:ascii="Arial Narrow" w:hAnsi="Arial Narrow"/>
                <w:sz w:val="20"/>
                <w:szCs w:val="20"/>
              </w:rPr>
              <w:t>Grade and histological type</w:t>
            </w:r>
          </w:p>
        </w:tc>
        <w:tc>
          <w:tcPr>
            <w:tcW w:w="1021" w:type="pct"/>
          </w:tcPr>
          <w:p w14:paraId="0458B21A" w14:textId="77777777" w:rsidR="00B51828" w:rsidRPr="004C286E" w:rsidRDefault="00B51828" w:rsidP="00B7466D">
            <w:pPr>
              <w:spacing w:before="20" w:after="20"/>
              <w:ind w:left="0"/>
              <w:rPr>
                <w:rFonts w:ascii="Arial Narrow" w:hAnsi="Arial Narrow"/>
                <w:b/>
                <w:sz w:val="20"/>
                <w:szCs w:val="20"/>
              </w:rPr>
            </w:pPr>
            <w:r w:rsidRPr="004211DB">
              <w:rPr>
                <w:rFonts w:ascii="Arial Narrow" w:hAnsi="Arial Narrow"/>
                <w:b/>
                <w:sz w:val="20"/>
                <w:szCs w:val="20"/>
              </w:rPr>
              <w:t>564/564 (100%)</w:t>
            </w:r>
          </w:p>
          <w:p w14:paraId="59B541B9"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263/564 (46.6%)</w:t>
            </w:r>
          </w:p>
          <w:p w14:paraId="19A72B7A" w14:textId="77777777" w:rsidR="00B51828" w:rsidRDefault="00B51828" w:rsidP="00B7466D">
            <w:pPr>
              <w:spacing w:before="20" w:after="20"/>
              <w:ind w:left="0"/>
              <w:rPr>
                <w:rFonts w:ascii="Arial Narrow" w:hAnsi="Arial Narrow"/>
                <w:sz w:val="20"/>
                <w:szCs w:val="20"/>
              </w:rPr>
            </w:pPr>
          </w:p>
          <w:p w14:paraId="3D3BB5EC"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11/334 (3.3%)</w:t>
            </w:r>
          </w:p>
          <w:p w14:paraId="36BEE6F7"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104/334 (31.1%)</w:t>
            </w:r>
          </w:p>
          <w:p w14:paraId="54AF6F77"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89/334 (26.6%)</w:t>
            </w:r>
          </w:p>
          <w:p w14:paraId="69540AFC"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114/334 (34.1%)</w:t>
            </w:r>
          </w:p>
          <w:p w14:paraId="58364ED2" w14:textId="77777777" w:rsidR="00B51828" w:rsidRPr="00227D76" w:rsidRDefault="00B51828" w:rsidP="00B7466D">
            <w:pPr>
              <w:spacing w:before="20" w:after="20"/>
              <w:ind w:left="0"/>
              <w:rPr>
                <w:rFonts w:ascii="Arial Narrow" w:hAnsi="Arial Narrow"/>
                <w:b/>
                <w:sz w:val="20"/>
                <w:szCs w:val="20"/>
              </w:rPr>
            </w:pPr>
            <w:r>
              <w:rPr>
                <w:rFonts w:ascii="Arial Narrow" w:hAnsi="Arial Narrow"/>
                <w:sz w:val="20"/>
                <w:szCs w:val="20"/>
              </w:rPr>
              <w:t>16/334 (4.8%)</w:t>
            </w:r>
          </w:p>
        </w:tc>
      </w:tr>
      <w:tr w:rsidR="00B51828" w:rsidRPr="00E83D67" w14:paraId="39C4289A" w14:textId="77777777" w:rsidTr="002101D2">
        <w:tc>
          <w:tcPr>
            <w:tcW w:w="646" w:type="pct"/>
            <w:shd w:val="clear" w:color="auto" w:fill="BFBFBF" w:themeFill="background1" w:themeFillShade="BF"/>
          </w:tcPr>
          <w:p w14:paraId="1BBE9E15"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DERMATOLOGY</w:t>
            </w:r>
          </w:p>
        </w:tc>
        <w:tc>
          <w:tcPr>
            <w:tcW w:w="1021" w:type="pct"/>
            <w:shd w:val="clear" w:color="auto" w:fill="BFBFBF" w:themeFill="background1" w:themeFillShade="BF"/>
          </w:tcPr>
          <w:p w14:paraId="7AC35A4D"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2313" w:type="pct"/>
            <w:shd w:val="clear" w:color="auto" w:fill="BFBFBF" w:themeFill="background1" w:themeFillShade="BF"/>
          </w:tcPr>
          <w:p w14:paraId="336C3189" w14:textId="77777777" w:rsidR="00B51828" w:rsidRPr="0017386B" w:rsidRDefault="00B51828" w:rsidP="002101D2">
            <w:pPr>
              <w:spacing w:before="20" w:after="20"/>
              <w:ind w:left="0"/>
              <w:rPr>
                <w:rFonts w:ascii="Arial Narrow" w:hAnsi="Arial Narrow"/>
                <w:sz w:val="20"/>
                <w:szCs w:val="20"/>
              </w:rPr>
            </w:pPr>
            <w:r w:rsidRPr="0017386B">
              <w:rPr>
                <w:rFonts w:ascii="Arial Narrow" w:hAnsi="Arial Narrow"/>
                <w:sz w:val="20"/>
                <w:szCs w:val="20"/>
              </w:rPr>
              <w:t>-</w:t>
            </w:r>
          </w:p>
        </w:tc>
        <w:tc>
          <w:tcPr>
            <w:tcW w:w="1021" w:type="pct"/>
            <w:shd w:val="clear" w:color="auto" w:fill="BFBFBF" w:themeFill="background1" w:themeFillShade="BF"/>
          </w:tcPr>
          <w:p w14:paraId="58B52E75" w14:textId="77777777" w:rsidR="00B51828" w:rsidRPr="0017386B" w:rsidRDefault="00B51828" w:rsidP="00B7466D">
            <w:pPr>
              <w:spacing w:before="20" w:after="20"/>
              <w:ind w:left="0"/>
              <w:rPr>
                <w:rFonts w:ascii="Arial Narrow" w:hAnsi="Arial Narrow"/>
                <w:sz w:val="20"/>
                <w:szCs w:val="20"/>
              </w:rPr>
            </w:pPr>
            <w:r w:rsidRPr="0017386B">
              <w:rPr>
                <w:rFonts w:ascii="Arial Narrow" w:hAnsi="Arial Narrow"/>
                <w:sz w:val="20"/>
                <w:szCs w:val="20"/>
              </w:rPr>
              <w:t>-</w:t>
            </w:r>
          </w:p>
        </w:tc>
      </w:tr>
      <w:tr w:rsidR="00B51828" w:rsidRPr="00E83D67" w14:paraId="26136634" w14:textId="77777777" w:rsidTr="002101D2">
        <w:tc>
          <w:tcPr>
            <w:tcW w:w="646" w:type="pct"/>
          </w:tcPr>
          <w:p w14:paraId="35567D9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Gaudi 2013</w:t>
            </w:r>
          </w:p>
        </w:tc>
        <w:tc>
          <w:tcPr>
            <w:tcW w:w="1021" w:type="pct"/>
          </w:tcPr>
          <w:p w14:paraId="521C643E" w14:textId="77777777" w:rsidR="00B51828" w:rsidRPr="00DC006C" w:rsidRDefault="00B51828" w:rsidP="002101D2">
            <w:pPr>
              <w:spacing w:before="20" w:after="20"/>
              <w:ind w:left="0"/>
              <w:rPr>
                <w:rFonts w:ascii="Arial Narrow" w:hAnsi="Arial Narrow"/>
                <w:sz w:val="20"/>
                <w:szCs w:val="20"/>
              </w:rPr>
            </w:pPr>
            <w:r>
              <w:rPr>
                <w:rFonts w:ascii="Arial Narrow" w:hAnsi="Arial Narrow"/>
                <w:sz w:val="20"/>
                <w:szCs w:val="20"/>
              </w:rPr>
              <w:t>Dermatopathology</w:t>
            </w:r>
          </w:p>
          <w:p w14:paraId="263E7152" w14:textId="77777777" w:rsidR="00B51828" w:rsidRDefault="00B51828" w:rsidP="002101D2">
            <w:pPr>
              <w:spacing w:before="20" w:after="20"/>
              <w:ind w:left="0"/>
              <w:rPr>
                <w:rFonts w:ascii="Arial Narrow" w:hAnsi="Arial Narrow"/>
                <w:sz w:val="20"/>
                <w:szCs w:val="20"/>
              </w:rPr>
            </w:pPr>
            <w:r w:rsidRPr="00DC006C">
              <w:rPr>
                <w:rFonts w:ascii="Arial Narrow" w:hAnsi="Arial Narrow"/>
                <w:sz w:val="20"/>
                <w:szCs w:val="20"/>
              </w:rPr>
              <w:t>N=405 cases</w:t>
            </w:r>
            <w:r>
              <w:rPr>
                <w:rFonts w:ascii="Arial Narrow" w:hAnsi="Arial Narrow"/>
                <w:sz w:val="20"/>
                <w:szCs w:val="20"/>
                <w:vertAlign w:val="superscript"/>
              </w:rPr>
              <w:t>d</w:t>
            </w:r>
          </w:p>
        </w:tc>
        <w:tc>
          <w:tcPr>
            <w:tcW w:w="2313" w:type="pct"/>
          </w:tcPr>
          <w:p w14:paraId="448E259D" w14:textId="77777777" w:rsidR="00B51828" w:rsidRDefault="00B51828" w:rsidP="002101D2">
            <w:pPr>
              <w:spacing w:before="20" w:after="20"/>
              <w:ind w:left="0"/>
              <w:rPr>
                <w:rFonts w:ascii="Arial Narrow" w:hAnsi="Arial Narrow"/>
                <w:b/>
                <w:sz w:val="20"/>
                <w:szCs w:val="20"/>
              </w:rPr>
            </w:pPr>
            <w:r>
              <w:rPr>
                <w:rFonts w:ascii="Arial Narrow" w:hAnsi="Arial Narrow"/>
                <w:b/>
                <w:sz w:val="20"/>
                <w:szCs w:val="20"/>
              </w:rPr>
              <w:t>Number of cases with a p</w:t>
            </w:r>
            <w:r w:rsidRPr="00CC5BC5">
              <w:rPr>
                <w:rFonts w:ascii="Arial Narrow" w:hAnsi="Arial Narrow"/>
                <w:b/>
                <w:sz w:val="20"/>
                <w:szCs w:val="20"/>
              </w:rPr>
              <w:t>rovisional diagnosis</w:t>
            </w:r>
          </w:p>
          <w:p w14:paraId="1C45D52C" w14:textId="77777777" w:rsidR="00B51828" w:rsidRDefault="00B51828" w:rsidP="002101D2">
            <w:pPr>
              <w:spacing w:before="20" w:after="20"/>
              <w:ind w:left="0"/>
              <w:rPr>
                <w:rFonts w:ascii="Arial Narrow" w:hAnsi="Arial Narrow"/>
                <w:sz w:val="20"/>
                <w:szCs w:val="20"/>
              </w:rPr>
            </w:pPr>
            <w:r w:rsidRPr="00475290">
              <w:rPr>
                <w:rFonts w:ascii="Arial Narrow" w:hAnsi="Arial Narrow"/>
                <w:sz w:val="20"/>
                <w:szCs w:val="20"/>
              </w:rPr>
              <w:t xml:space="preserve">Minor discrepancy </w:t>
            </w:r>
          </w:p>
          <w:p w14:paraId="3E0FCA5B" w14:textId="77777777" w:rsidR="00B51828" w:rsidRPr="0095628F" w:rsidRDefault="00B51828" w:rsidP="002101D2">
            <w:pPr>
              <w:spacing w:before="20" w:after="20"/>
              <w:ind w:left="284"/>
              <w:rPr>
                <w:rFonts w:ascii="Arial Narrow" w:hAnsi="Arial Narrow"/>
                <w:i/>
                <w:sz w:val="20"/>
                <w:szCs w:val="20"/>
              </w:rPr>
            </w:pPr>
            <w:r w:rsidRPr="0095628F">
              <w:rPr>
                <w:rFonts w:ascii="Arial Narrow" w:hAnsi="Arial Narrow"/>
                <w:i/>
                <w:sz w:val="20"/>
                <w:szCs w:val="20"/>
              </w:rPr>
              <w:t>Nature of minor discrepancies (as a proportion of cases with a provisional diagnosis):</w:t>
            </w:r>
          </w:p>
          <w:p w14:paraId="7ED2E8EF" w14:textId="77777777" w:rsidR="00B51828" w:rsidRDefault="00B51828" w:rsidP="00B51828">
            <w:pPr>
              <w:pStyle w:val="ListParagraph"/>
              <w:numPr>
                <w:ilvl w:val="0"/>
                <w:numId w:val="55"/>
              </w:numPr>
              <w:spacing w:before="20" w:after="20"/>
              <w:rPr>
                <w:rFonts w:ascii="Arial Narrow" w:hAnsi="Arial Narrow"/>
                <w:sz w:val="20"/>
                <w:szCs w:val="20"/>
              </w:rPr>
            </w:pPr>
            <w:r>
              <w:rPr>
                <w:rFonts w:ascii="Arial Narrow" w:hAnsi="Arial Narrow"/>
                <w:sz w:val="20"/>
                <w:szCs w:val="20"/>
              </w:rPr>
              <w:t>Minimal disagreements (e.g. errors in spelling)</w:t>
            </w:r>
          </w:p>
          <w:p w14:paraId="7C3F1DE5" w14:textId="77777777" w:rsidR="00B51828" w:rsidRPr="00475290" w:rsidRDefault="00B51828" w:rsidP="00B51828">
            <w:pPr>
              <w:pStyle w:val="ListParagraph"/>
              <w:numPr>
                <w:ilvl w:val="0"/>
                <w:numId w:val="55"/>
              </w:numPr>
              <w:spacing w:before="20" w:after="20"/>
              <w:rPr>
                <w:rFonts w:ascii="Arial Narrow" w:hAnsi="Arial Narrow"/>
                <w:sz w:val="20"/>
                <w:szCs w:val="20"/>
              </w:rPr>
            </w:pPr>
            <w:r>
              <w:rPr>
                <w:rFonts w:ascii="Arial Narrow" w:hAnsi="Arial Narrow"/>
                <w:sz w:val="20"/>
                <w:szCs w:val="20"/>
              </w:rPr>
              <w:t>Minor disagreements</w:t>
            </w:r>
            <w:r>
              <w:rPr>
                <w:rFonts w:ascii="Arial Narrow" w:hAnsi="Arial Narrow"/>
                <w:sz w:val="20"/>
                <w:szCs w:val="20"/>
                <w:vertAlign w:val="superscript"/>
              </w:rPr>
              <w:t>e</w:t>
            </w:r>
          </w:p>
          <w:p w14:paraId="1C6ACAD0" w14:textId="77777777" w:rsidR="00B51828" w:rsidRPr="00475290" w:rsidRDefault="00B51828" w:rsidP="00B51828">
            <w:pPr>
              <w:pStyle w:val="ListParagraph"/>
              <w:numPr>
                <w:ilvl w:val="0"/>
                <w:numId w:val="55"/>
              </w:numPr>
              <w:spacing w:before="20" w:after="20"/>
              <w:rPr>
                <w:rFonts w:ascii="Arial Narrow" w:hAnsi="Arial Narrow"/>
                <w:sz w:val="20"/>
                <w:szCs w:val="20"/>
              </w:rPr>
            </w:pPr>
            <w:r w:rsidRPr="00475290">
              <w:rPr>
                <w:rFonts w:ascii="Arial Narrow" w:hAnsi="Arial Narrow"/>
                <w:sz w:val="20"/>
                <w:szCs w:val="20"/>
              </w:rPr>
              <w:t>Defects in diagnosis</w:t>
            </w:r>
            <w:r>
              <w:rPr>
                <w:rFonts w:ascii="Arial Narrow" w:hAnsi="Arial Narrow"/>
                <w:sz w:val="20"/>
                <w:szCs w:val="20"/>
              </w:rPr>
              <w:t xml:space="preserve"> with minimal effect on patient care</w:t>
            </w:r>
            <w:r>
              <w:rPr>
                <w:rFonts w:ascii="Arial Narrow" w:hAnsi="Arial Narrow"/>
                <w:sz w:val="20"/>
                <w:szCs w:val="20"/>
                <w:vertAlign w:val="superscript"/>
              </w:rPr>
              <w:t>f</w:t>
            </w:r>
          </w:p>
          <w:p w14:paraId="47F34156" w14:textId="77777777" w:rsidR="00B51828" w:rsidRDefault="00B51828" w:rsidP="002101D2">
            <w:pPr>
              <w:spacing w:before="20" w:after="20"/>
              <w:rPr>
                <w:rFonts w:ascii="Arial Narrow" w:hAnsi="Arial Narrow"/>
                <w:sz w:val="20"/>
                <w:szCs w:val="20"/>
              </w:rPr>
            </w:pPr>
          </w:p>
          <w:p w14:paraId="5A1E6DC9" w14:textId="77777777" w:rsidR="00B51828" w:rsidRPr="0095628F" w:rsidRDefault="00B51828" w:rsidP="002101D2">
            <w:pPr>
              <w:spacing w:before="20" w:after="20"/>
              <w:ind w:left="284"/>
              <w:rPr>
                <w:rFonts w:ascii="Arial Narrow" w:hAnsi="Arial Narrow"/>
                <w:i/>
                <w:sz w:val="20"/>
                <w:szCs w:val="20"/>
              </w:rPr>
            </w:pPr>
            <w:r w:rsidRPr="0095628F">
              <w:rPr>
                <w:rFonts w:ascii="Arial Narrow" w:hAnsi="Arial Narrow"/>
                <w:i/>
                <w:sz w:val="20"/>
                <w:szCs w:val="20"/>
              </w:rPr>
              <w:t xml:space="preserve">Nature of minor discrepancies </w:t>
            </w:r>
            <w:r>
              <w:rPr>
                <w:rFonts w:ascii="Arial Narrow" w:hAnsi="Arial Narrow"/>
                <w:i/>
                <w:sz w:val="20"/>
                <w:szCs w:val="20"/>
              </w:rPr>
              <w:t>(as a proportion of total minor discrepancies</w:t>
            </w:r>
            <w:r w:rsidRPr="0095628F">
              <w:rPr>
                <w:rFonts w:ascii="Arial Narrow" w:hAnsi="Arial Narrow"/>
                <w:i/>
                <w:sz w:val="20"/>
                <w:szCs w:val="20"/>
              </w:rPr>
              <w:t>):</w:t>
            </w:r>
          </w:p>
          <w:p w14:paraId="5C66A749" w14:textId="77777777" w:rsidR="00B51828" w:rsidRDefault="00B51828" w:rsidP="00B51828">
            <w:pPr>
              <w:pStyle w:val="ListParagraph"/>
              <w:numPr>
                <w:ilvl w:val="0"/>
                <w:numId w:val="55"/>
              </w:numPr>
              <w:spacing w:before="20" w:after="20"/>
              <w:rPr>
                <w:rFonts w:ascii="Arial Narrow" w:hAnsi="Arial Narrow"/>
                <w:sz w:val="20"/>
                <w:szCs w:val="20"/>
              </w:rPr>
            </w:pPr>
            <w:r>
              <w:rPr>
                <w:rFonts w:ascii="Arial Narrow" w:hAnsi="Arial Narrow"/>
                <w:sz w:val="20"/>
                <w:szCs w:val="20"/>
              </w:rPr>
              <w:t>Minimal disagreements (e.g. errors in spelling)</w:t>
            </w:r>
          </w:p>
          <w:p w14:paraId="692C919B" w14:textId="77777777" w:rsidR="00B51828" w:rsidRPr="00475290" w:rsidRDefault="00B51828" w:rsidP="00B51828">
            <w:pPr>
              <w:pStyle w:val="ListParagraph"/>
              <w:numPr>
                <w:ilvl w:val="0"/>
                <w:numId w:val="55"/>
              </w:numPr>
              <w:spacing w:before="20" w:after="20"/>
              <w:rPr>
                <w:rFonts w:ascii="Arial Narrow" w:hAnsi="Arial Narrow"/>
                <w:sz w:val="20"/>
                <w:szCs w:val="20"/>
              </w:rPr>
            </w:pPr>
            <w:r>
              <w:rPr>
                <w:rFonts w:ascii="Arial Narrow" w:hAnsi="Arial Narrow"/>
                <w:sz w:val="20"/>
                <w:szCs w:val="20"/>
              </w:rPr>
              <w:t>Minor disagreements</w:t>
            </w:r>
            <w:r>
              <w:rPr>
                <w:rFonts w:ascii="Arial Narrow" w:hAnsi="Arial Narrow"/>
                <w:sz w:val="20"/>
                <w:szCs w:val="20"/>
                <w:vertAlign w:val="superscript"/>
              </w:rPr>
              <w:t>e</w:t>
            </w:r>
          </w:p>
          <w:p w14:paraId="6DDACB56" w14:textId="77777777" w:rsidR="00B51828" w:rsidRPr="00CF6D8C" w:rsidRDefault="00B51828" w:rsidP="00B51828">
            <w:pPr>
              <w:pStyle w:val="ListParagraph"/>
              <w:numPr>
                <w:ilvl w:val="0"/>
                <w:numId w:val="55"/>
              </w:numPr>
              <w:spacing w:before="20" w:after="20"/>
              <w:rPr>
                <w:rFonts w:ascii="Arial Narrow" w:hAnsi="Arial Narrow"/>
                <w:sz w:val="20"/>
                <w:szCs w:val="20"/>
              </w:rPr>
            </w:pPr>
            <w:r w:rsidRPr="00CF6D8C">
              <w:rPr>
                <w:rFonts w:ascii="Arial Narrow" w:hAnsi="Arial Narrow"/>
                <w:sz w:val="20"/>
                <w:szCs w:val="20"/>
              </w:rPr>
              <w:t>Defects in diagnosis with minimal effect on patient care</w:t>
            </w:r>
            <w:r>
              <w:rPr>
                <w:rFonts w:ascii="Arial Narrow" w:hAnsi="Arial Narrow"/>
                <w:sz w:val="20"/>
                <w:szCs w:val="20"/>
                <w:vertAlign w:val="superscript"/>
              </w:rPr>
              <w:t>f</w:t>
            </w:r>
            <w:r w:rsidRPr="00CF6D8C">
              <w:rPr>
                <w:rFonts w:ascii="Arial Narrow" w:hAnsi="Arial Narrow"/>
                <w:sz w:val="20"/>
                <w:szCs w:val="20"/>
              </w:rPr>
              <w:t xml:space="preserve"> </w:t>
            </w:r>
          </w:p>
        </w:tc>
        <w:tc>
          <w:tcPr>
            <w:tcW w:w="1021" w:type="pct"/>
          </w:tcPr>
          <w:p w14:paraId="7DB78EE3" w14:textId="77777777" w:rsidR="00B51828" w:rsidRDefault="00B51828" w:rsidP="00B7466D">
            <w:pPr>
              <w:spacing w:before="20" w:after="20"/>
              <w:ind w:left="0"/>
              <w:rPr>
                <w:rFonts w:ascii="Arial Narrow" w:hAnsi="Arial Narrow"/>
                <w:b/>
                <w:sz w:val="20"/>
                <w:szCs w:val="20"/>
              </w:rPr>
            </w:pPr>
            <w:r w:rsidRPr="00CC5BC5">
              <w:rPr>
                <w:rFonts w:ascii="Arial Narrow" w:hAnsi="Arial Narrow"/>
                <w:b/>
                <w:sz w:val="20"/>
                <w:szCs w:val="20"/>
              </w:rPr>
              <w:t>354/405 (87.4%)</w:t>
            </w:r>
          </w:p>
          <w:p w14:paraId="05F182FE"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121/354 (34.2%)</w:t>
            </w:r>
          </w:p>
          <w:p w14:paraId="1D3B0CBD" w14:textId="77777777" w:rsidR="00B51828" w:rsidRDefault="00B51828" w:rsidP="00B7466D">
            <w:pPr>
              <w:spacing w:before="20" w:after="20"/>
              <w:ind w:left="0"/>
              <w:rPr>
                <w:rFonts w:ascii="Arial Narrow" w:hAnsi="Arial Narrow"/>
                <w:sz w:val="20"/>
                <w:szCs w:val="20"/>
              </w:rPr>
            </w:pPr>
          </w:p>
          <w:p w14:paraId="7D64668E" w14:textId="77777777" w:rsidR="00B51828" w:rsidRDefault="00B51828" w:rsidP="00B7466D">
            <w:pPr>
              <w:spacing w:before="20" w:after="20"/>
              <w:ind w:left="0"/>
              <w:rPr>
                <w:rFonts w:ascii="Arial Narrow" w:hAnsi="Arial Narrow"/>
                <w:sz w:val="20"/>
                <w:szCs w:val="20"/>
              </w:rPr>
            </w:pPr>
          </w:p>
          <w:p w14:paraId="0FBF42C2"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10/354 (2.8%)</w:t>
            </w:r>
          </w:p>
          <w:p w14:paraId="3770D8FB"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56/354 (15.8%)</w:t>
            </w:r>
          </w:p>
          <w:p w14:paraId="7F40DA1D"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55/354 (15.5%)</w:t>
            </w:r>
          </w:p>
          <w:p w14:paraId="75FC8EEE" w14:textId="77777777" w:rsidR="00B51828" w:rsidRDefault="00B51828" w:rsidP="00B7466D">
            <w:pPr>
              <w:spacing w:before="20" w:after="20"/>
              <w:ind w:left="0"/>
              <w:rPr>
                <w:rFonts w:ascii="Arial Narrow" w:hAnsi="Arial Narrow"/>
                <w:sz w:val="20"/>
                <w:szCs w:val="20"/>
              </w:rPr>
            </w:pPr>
          </w:p>
          <w:p w14:paraId="75043F29" w14:textId="77777777" w:rsidR="00B51828" w:rsidRDefault="00B51828" w:rsidP="00B7466D">
            <w:pPr>
              <w:spacing w:before="20" w:after="20"/>
              <w:ind w:left="0"/>
              <w:rPr>
                <w:rFonts w:ascii="Arial Narrow" w:hAnsi="Arial Narrow"/>
                <w:sz w:val="20"/>
                <w:szCs w:val="20"/>
              </w:rPr>
            </w:pPr>
          </w:p>
          <w:p w14:paraId="3EF80E17"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10/121 (8.3%)</w:t>
            </w:r>
          </w:p>
          <w:p w14:paraId="4D416E7B"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56/121 (46.3%)</w:t>
            </w:r>
          </w:p>
          <w:p w14:paraId="623854A0" w14:textId="77777777" w:rsidR="00B51828" w:rsidRPr="00227D76" w:rsidRDefault="00B51828" w:rsidP="00B7466D">
            <w:pPr>
              <w:spacing w:before="20" w:after="20"/>
              <w:ind w:left="0"/>
              <w:rPr>
                <w:rFonts w:ascii="Arial Narrow" w:hAnsi="Arial Narrow"/>
                <w:b/>
                <w:sz w:val="20"/>
                <w:szCs w:val="20"/>
              </w:rPr>
            </w:pPr>
            <w:r>
              <w:rPr>
                <w:rFonts w:ascii="Arial Narrow" w:hAnsi="Arial Narrow"/>
                <w:sz w:val="20"/>
                <w:szCs w:val="20"/>
              </w:rPr>
              <w:t>55/121 (45.5%)</w:t>
            </w:r>
          </w:p>
        </w:tc>
      </w:tr>
      <w:tr w:rsidR="00B51828" w:rsidRPr="00E83D67" w14:paraId="4116E9BD" w14:textId="77777777" w:rsidTr="002101D2">
        <w:tc>
          <w:tcPr>
            <w:tcW w:w="646" w:type="pct"/>
          </w:tcPr>
          <w:p w14:paraId="514497D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van Dijk 2008</w:t>
            </w:r>
          </w:p>
        </w:tc>
        <w:tc>
          <w:tcPr>
            <w:tcW w:w="1021" w:type="pct"/>
          </w:tcPr>
          <w:p w14:paraId="4F819008"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Cutaneous melanocytic lesions</w:t>
            </w:r>
          </w:p>
          <w:p w14:paraId="387F71F3"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N=1837</w:t>
            </w:r>
          </w:p>
        </w:tc>
        <w:tc>
          <w:tcPr>
            <w:tcW w:w="2313" w:type="pct"/>
          </w:tcPr>
          <w:p w14:paraId="0C435876" w14:textId="77777777" w:rsidR="00B51828" w:rsidRPr="00A016C6" w:rsidRDefault="00B51828" w:rsidP="002101D2">
            <w:pPr>
              <w:spacing w:before="20" w:after="20"/>
              <w:ind w:left="0"/>
              <w:rPr>
                <w:rFonts w:ascii="Arial Narrow" w:hAnsi="Arial Narrow"/>
                <w:b/>
                <w:sz w:val="20"/>
                <w:szCs w:val="20"/>
              </w:rPr>
            </w:pPr>
            <w:r w:rsidRPr="00A016C6">
              <w:rPr>
                <w:rFonts w:ascii="Arial Narrow" w:hAnsi="Arial Narrow"/>
                <w:b/>
                <w:sz w:val="20"/>
                <w:szCs w:val="20"/>
              </w:rPr>
              <w:t>Number of cases with a provisional diagnosis</w:t>
            </w:r>
          </w:p>
          <w:p w14:paraId="0EA570E6" w14:textId="77777777" w:rsidR="00B51828" w:rsidRPr="006913F3" w:rsidRDefault="00B51828" w:rsidP="002101D2">
            <w:pPr>
              <w:spacing w:before="20" w:after="20"/>
              <w:ind w:left="0"/>
              <w:rPr>
                <w:rFonts w:ascii="Arial Narrow" w:hAnsi="Arial Narrow"/>
                <w:sz w:val="20"/>
                <w:szCs w:val="20"/>
              </w:rPr>
            </w:pPr>
            <w:r>
              <w:rPr>
                <w:rFonts w:ascii="Arial Narrow" w:hAnsi="Arial Narrow"/>
                <w:sz w:val="20"/>
                <w:szCs w:val="20"/>
              </w:rPr>
              <w:t>Minor discrepancy</w:t>
            </w:r>
            <w:r>
              <w:rPr>
                <w:rFonts w:ascii="Arial Narrow" w:hAnsi="Arial Narrow"/>
                <w:sz w:val="20"/>
                <w:szCs w:val="20"/>
                <w:vertAlign w:val="superscript"/>
              </w:rPr>
              <w:t>g</w:t>
            </w:r>
          </w:p>
        </w:tc>
        <w:tc>
          <w:tcPr>
            <w:tcW w:w="1021" w:type="pct"/>
          </w:tcPr>
          <w:p w14:paraId="7BE8ECB6" w14:textId="77777777" w:rsidR="00B51828" w:rsidRPr="00A016C6" w:rsidRDefault="00B51828" w:rsidP="00B7466D">
            <w:pPr>
              <w:spacing w:before="20" w:after="20"/>
              <w:ind w:left="0"/>
              <w:rPr>
                <w:rFonts w:ascii="Arial Narrow" w:hAnsi="Arial Narrow"/>
                <w:b/>
                <w:sz w:val="20"/>
                <w:szCs w:val="20"/>
              </w:rPr>
            </w:pPr>
            <w:r w:rsidRPr="00E53134">
              <w:rPr>
                <w:rFonts w:ascii="Arial Narrow" w:hAnsi="Arial Narrow"/>
                <w:b/>
                <w:sz w:val="20"/>
                <w:szCs w:val="20"/>
              </w:rPr>
              <w:t>1217/1837 (66.2%)</w:t>
            </w:r>
          </w:p>
          <w:p w14:paraId="31CDF50F"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350/1217 (28.8%)</w:t>
            </w:r>
          </w:p>
          <w:p w14:paraId="453F0C80" w14:textId="77777777" w:rsidR="00B51828" w:rsidRDefault="00B51828" w:rsidP="00B7466D">
            <w:pPr>
              <w:spacing w:before="20" w:after="20"/>
              <w:ind w:left="0"/>
              <w:rPr>
                <w:rFonts w:ascii="Arial Narrow" w:hAnsi="Arial Narrow"/>
                <w:sz w:val="20"/>
                <w:szCs w:val="20"/>
              </w:rPr>
            </w:pPr>
          </w:p>
          <w:p w14:paraId="1ECF725A" w14:textId="77777777" w:rsidR="00B51828" w:rsidRDefault="00B51828" w:rsidP="00B7466D">
            <w:pPr>
              <w:spacing w:before="20" w:after="20"/>
              <w:ind w:left="0"/>
              <w:rPr>
                <w:rFonts w:ascii="Arial Narrow" w:hAnsi="Arial Narrow"/>
                <w:sz w:val="20"/>
                <w:szCs w:val="20"/>
              </w:rPr>
            </w:pPr>
          </w:p>
          <w:p w14:paraId="1762B719" w14:textId="77777777" w:rsidR="00B51828" w:rsidRDefault="00B51828" w:rsidP="00B7466D">
            <w:pPr>
              <w:spacing w:before="20" w:after="20"/>
              <w:ind w:left="0"/>
              <w:rPr>
                <w:rFonts w:ascii="Arial Narrow" w:hAnsi="Arial Narrow"/>
                <w:sz w:val="20"/>
                <w:szCs w:val="20"/>
              </w:rPr>
            </w:pPr>
          </w:p>
        </w:tc>
      </w:tr>
      <w:tr w:rsidR="00B51828" w:rsidRPr="00E83D67" w14:paraId="4FE07208" w14:textId="77777777" w:rsidTr="002101D2">
        <w:trPr>
          <w:trHeight w:val="64"/>
        </w:trPr>
        <w:tc>
          <w:tcPr>
            <w:tcW w:w="646" w:type="pct"/>
            <w:tcBorders>
              <w:bottom w:val="single" w:sz="4" w:space="0" w:color="auto"/>
            </w:tcBorders>
            <w:shd w:val="clear" w:color="auto" w:fill="BFBFBF" w:themeFill="background1" w:themeFillShade="BF"/>
          </w:tcPr>
          <w:p w14:paraId="2711BF38"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lastRenderedPageBreak/>
              <w:t>ORAL AND MAXILLOFACIAL</w:t>
            </w:r>
          </w:p>
        </w:tc>
        <w:tc>
          <w:tcPr>
            <w:tcW w:w="1021" w:type="pct"/>
            <w:tcBorders>
              <w:bottom w:val="single" w:sz="4" w:space="0" w:color="auto"/>
            </w:tcBorders>
            <w:shd w:val="clear" w:color="auto" w:fill="BFBFBF" w:themeFill="background1" w:themeFillShade="BF"/>
          </w:tcPr>
          <w:p w14:paraId="6EE18CBA" w14:textId="77777777" w:rsidR="00B51828"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2313" w:type="pct"/>
            <w:tcBorders>
              <w:bottom w:val="single" w:sz="4" w:space="0" w:color="auto"/>
            </w:tcBorders>
            <w:shd w:val="clear" w:color="auto" w:fill="BFBFBF" w:themeFill="background1" w:themeFillShade="BF"/>
          </w:tcPr>
          <w:p w14:paraId="5DE09D0D" w14:textId="77777777" w:rsidR="00B51828" w:rsidRPr="00EC02C9" w:rsidRDefault="00B51828" w:rsidP="002101D2">
            <w:pPr>
              <w:keepNext/>
              <w:spacing w:before="20" w:after="20"/>
              <w:ind w:left="0"/>
              <w:rPr>
                <w:rFonts w:ascii="Arial Narrow" w:hAnsi="Arial Narrow"/>
                <w:sz w:val="20"/>
                <w:szCs w:val="20"/>
              </w:rPr>
            </w:pPr>
            <w:r>
              <w:rPr>
                <w:rFonts w:ascii="Arial Narrow" w:hAnsi="Arial Narrow"/>
                <w:sz w:val="20"/>
                <w:szCs w:val="20"/>
              </w:rPr>
              <w:t>-</w:t>
            </w:r>
          </w:p>
        </w:tc>
        <w:tc>
          <w:tcPr>
            <w:tcW w:w="1021" w:type="pct"/>
            <w:tcBorders>
              <w:bottom w:val="single" w:sz="4" w:space="0" w:color="auto"/>
            </w:tcBorders>
            <w:shd w:val="clear" w:color="auto" w:fill="BFBFBF" w:themeFill="background1" w:themeFillShade="BF"/>
          </w:tcPr>
          <w:p w14:paraId="0CF5E1B4" w14:textId="77777777" w:rsidR="00B51828" w:rsidRDefault="00B51828" w:rsidP="00B7466D">
            <w:pPr>
              <w:keepNext/>
              <w:spacing w:before="20" w:after="20"/>
              <w:ind w:left="0"/>
              <w:rPr>
                <w:rFonts w:ascii="Arial Narrow" w:hAnsi="Arial Narrow"/>
                <w:sz w:val="20"/>
                <w:szCs w:val="20"/>
              </w:rPr>
            </w:pPr>
          </w:p>
        </w:tc>
      </w:tr>
      <w:tr w:rsidR="00B51828" w:rsidRPr="00E83D67" w14:paraId="188D3512" w14:textId="77777777" w:rsidTr="002101D2">
        <w:trPr>
          <w:trHeight w:val="64"/>
        </w:trPr>
        <w:tc>
          <w:tcPr>
            <w:tcW w:w="646" w:type="pct"/>
            <w:tcBorders>
              <w:bottom w:val="single" w:sz="4" w:space="0" w:color="auto"/>
            </w:tcBorders>
          </w:tcPr>
          <w:p w14:paraId="70838D3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Jones 2010</w:t>
            </w:r>
          </w:p>
        </w:tc>
        <w:tc>
          <w:tcPr>
            <w:tcW w:w="1021" w:type="pct"/>
            <w:tcBorders>
              <w:bottom w:val="single" w:sz="4" w:space="0" w:color="auto"/>
            </w:tcBorders>
          </w:tcPr>
          <w:p w14:paraId="01CDA844"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Oral and maxillofacial pathology</w:t>
            </w:r>
          </w:p>
          <w:p w14:paraId="49BCE330"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N=142 cases</w:t>
            </w:r>
          </w:p>
        </w:tc>
        <w:tc>
          <w:tcPr>
            <w:tcW w:w="2313" w:type="pct"/>
            <w:tcBorders>
              <w:bottom w:val="single" w:sz="4" w:space="0" w:color="auto"/>
            </w:tcBorders>
          </w:tcPr>
          <w:p w14:paraId="6E6481E7" w14:textId="77777777" w:rsidR="00B51828" w:rsidRPr="00A016C6" w:rsidRDefault="00B51828" w:rsidP="002101D2">
            <w:pPr>
              <w:spacing w:before="20" w:after="20"/>
              <w:ind w:left="0"/>
              <w:rPr>
                <w:rFonts w:ascii="Arial Narrow" w:hAnsi="Arial Narrow"/>
                <w:b/>
                <w:sz w:val="20"/>
                <w:szCs w:val="20"/>
              </w:rPr>
            </w:pPr>
            <w:r w:rsidRPr="00A016C6">
              <w:rPr>
                <w:rFonts w:ascii="Arial Narrow" w:hAnsi="Arial Narrow"/>
                <w:b/>
                <w:sz w:val="20"/>
                <w:szCs w:val="20"/>
              </w:rPr>
              <w:t>Number of cases with a provisional diagnosis</w:t>
            </w:r>
          </w:p>
          <w:p w14:paraId="20D8671E" w14:textId="77777777" w:rsidR="00B51828" w:rsidRPr="00E075DA"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Minor discrepancy</w:t>
            </w:r>
            <w:r>
              <w:rPr>
                <w:rFonts w:ascii="Arial Narrow" w:hAnsi="Arial Narrow"/>
                <w:sz w:val="20"/>
                <w:szCs w:val="20"/>
                <w:vertAlign w:val="superscript"/>
              </w:rPr>
              <w:t>h</w:t>
            </w:r>
          </w:p>
        </w:tc>
        <w:tc>
          <w:tcPr>
            <w:tcW w:w="1021" w:type="pct"/>
            <w:tcBorders>
              <w:bottom w:val="single" w:sz="4" w:space="0" w:color="auto"/>
            </w:tcBorders>
          </w:tcPr>
          <w:p w14:paraId="28F8A877" w14:textId="77777777" w:rsidR="00B51828" w:rsidRPr="00A016C6" w:rsidRDefault="00B51828" w:rsidP="00B7466D">
            <w:pPr>
              <w:spacing w:before="20" w:after="20"/>
              <w:ind w:left="0"/>
              <w:rPr>
                <w:rFonts w:ascii="Arial Narrow" w:hAnsi="Arial Narrow"/>
                <w:b/>
                <w:sz w:val="20"/>
                <w:szCs w:val="20"/>
              </w:rPr>
            </w:pPr>
            <w:r w:rsidRPr="003247C9">
              <w:rPr>
                <w:rFonts w:ascii="Arial Narrow" w:hAnsi="Arial Narrow"/>
                <w:b/>
                <w:sz w:val="20"/>
                <w:szCs w:val="20"/>
              </w:rPr>
              <w:t>135/142 (95.1%)</w:t>
            </w:r>
          </w:p>
          <w:p w14:paraId="6663AA68"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24/135 (17.8%)</w:t>
            </w:r>
          </w:p>
        </w:tc>
      </w:tr>
    </w:tbl>
    <w:p w14:paraId="7C39AC7B" w14:textId="77777777" w:rsidR="00B51828" w:rsidRPr="00CF6D8C" w:rsidRDefault="00B51828" w:rsidP="002101D2">
      <w:pPr>
        <w:tabs>
          <w:tab w:val="left" w:pos="990"/>
        </w:tabs>
        <w:spacing w:after="0"/>
        <w:rPr>
          <w:rFonts w:ascii="Arial Narrow" w:hAnsi="Arial Narrow"/>
          <w:sz w:val="16"/>
          <w:szCs w:val="16"/>
        </w:rPr>
      </w:pPr>
      <w:r>
        <w:rPr>
          <w:rFonts w:ascii="Arial Narrow" w:hAnsi="Arial Narrow"/>
          <w:sz w:val="16"/>
          <w:szCs w:val="16"/>
          <w:vertAlign w:val="superscript"/>
        </w:rPr>
        <w:t xml:space="preserve">a </w:t>
      </w:r>
      <w:r>
        <w:rPr>
          <w:rFonts w:ascii="Arial Narrow" w:hAnsi="Arial Narrow"/>
          <w:sz w:val="16"/>
          <w:szCs w:val="16"/>
        </w:rPr>
        <w:t>The study included a total of 1463 cases: 564 cases were initially examined by a ‘non-expert’ pathologist who requested a second opinion to confirm the diagnosis; 899 cases were initially examined by a ‘non-expert’ pathologist who did not request confirmation of the diagnosis. The study referred to the latter group as the ‘systematic review’ or ‘control’ group.</w:t>
      </w:r>
    </w:p>
    <w:p w14:paraId="4B9AECAF" w14:textId="77777777" w:rsidR="00B51828" w:rsidRDefault="00B51828" w:rsidP="002101D2">
      <w:pPr>
        <w:tabs>
          <w:tab w:val="left" w:pos="990"/>
        </w:tabs>
        <w:spacing w:after="0"/>
        <w:rPr>
          <w:rFonts w:ascii="Arial Narrow" w:hAnsi="Arial Narrow"/>
          <w:sz w:val="16"/>
          <w:szCs w:val="16"/>
        </w:rPr>
      </w:pPr>
      <w:r>
        <w:rPr>
          <w:rFonts w:ascii="Arial Narrow" w:hAnsi="Arial Narrow"/>
          <w:sz w:val="16"/>
          <w:szCs w:val="16"/>
          <w:vertAlign w:val="superscript"/>
        </w:rPr>
        <w:t xml:space="preserve">b </w:t>
      </w:r>
      <w:r>
        <w:rPr>
          <w:rFonts w:ascii="Arial Narrow" w:hAnsi="Arial Narrow"/>
          <w:sz w:val="16"/>
          <w:szCs w:val="16"/>
        </w:rPr>
        <w:t>I</w:t>
      </w:r>
      <w:r w:rsidRPr="00DD5E25">
        <w:rPr>
          <w:rFonts w:ascii="Arial Narrow" w:hAnsi="Arial Narrow"/>
          <w:sz w:val="16"/>
          <w:szCs w:val="16"/>
        </w:rPr>
        <w:t>dentical diagnosis of connective tumour but different grade or histolog</w:t>
      </w:r>
      <w:r>
        <w:rPr>
          <w:rFonts w:ascii="Arial Narrow" w:hAnsi="Arial Narrow"/>
          <w:sz w:val="16"/>
          <w:szCs w:val="16"/>
        </w:rPr>
        <w:t>ical subtype.</w:t>
      </w:r>
    </w:p>
    <w:p w14:paraId="1176D51C" w14:textId="77777777" w:rsidR="00B51828" w:rsidRDefault="00B51828" w:rsidP="002101D2">
      <w:pPr>
        <w:tabs>
          <w:tab w:val="left" w:pos="990"/>
        </w:tabs>
        <w:spacing w:after="0"/>
        <w:rPr>
          <w:rFonts w:ascii="Arial Narrow" w:hAnsi="Arial Narrow"/>
          <w:sz w:val="16"/>
          <w:szCs w:val="16"/>
        </w:rPr>
      </w:pPr>
      <w:r>
        <w:rPr>
          <w:rFonts w:ascii="Arial Narrow" w:hAnsi="Arial Narrow"/>
          <w:sz w:val="16"/>
          <w:szCs w:val="16"/>
          <w:vertAlign w:val="superscript"/>
        </w:rPr>
        <w:t>c</w:t>
      </w:r>
      <w:r>
        <w:rPr>
          <w:rFonts w:ascii="Arial Narrow" w:hAnsi="Arial Narrow"/>
          <w:sz w:val="16"/>
          <w:szCs w:val="16"/>
        </w:rPr>
        <w:t xml:space="preserve"> Includes all discordant cases, including</w:t>
      </w:r>
      <w:r w:rsidRPr="00931F5B">
        <w:rPr>
          <w:rFonts w:ascii="Arial Narrow" w:hAnsi="Arial Narrow"/>
          <w:sz w:val="16"/>
          <w:szCs w:val="16"/>
        </w:rPr>
        <w:t xml:space="preserve"> 263 partially concordant cases </w:t>
      </w:r>
      <w:r>
        <w:rPr>
          <w:rFonts w:ascii="Arial Narrow" w:hAnsi="Arial Narrow"/>
          <w:sz w:val="16"/>
          <w:szCs w:val="16"/>
        </w:rPr>
        <w:t xml:space="preserve">(minor discrepancies) </w:t>
      </w:r>
      <w:r w:rsidRPr="00931F5B">
        <w:rPr>
          <w:rFonts w:ascii="Arial Narrow" w:hAnsi="Arial Narrow"/>
          <w:sz w:val="16"/>
          <w:szCs w:val="16"/>
        </w:rPr>
        <w:t>and 71 completely discordant cases</w:t>
      </w:r>
      <w:r>
        <w:rPr>
          <w:rFonts w:ascii="Arial Narrow" w:hAnsi="Arial Narrow"/>
          <w:sz w:val="16"/>
          <w:szCs w:val="16"/>
        </w:rPr>
        <w:t xml:space="preserve"> (major discrepancies)</w:t>
      </w:r>
      <w:r w:rsidRPr="00931F5B">
        <w:rPr>
          <w:rFonts w:ascii="Arial Narrow" w:hAnsi="Arial Narrow"/>
          <w:sz w:val="16"/>
          <w:szCs w:val="16"/>
        </w:rPr>
        <w:t>.</w:t>
      </w:r>
      <w:r>
        <w:rPr>
          <w:rFonts w:ascii="Arial Narrow" w:hAnsi="Arial Narrow"/>
          <w:sz w:val="16"/>
          <w:szCs w:val="16"/>
        </w:rPr>
        <w:t xml:space="preserve"> The results were not presented separately.</w:t>
      </w:r>
    </w:p>
    <w:p w14:paraId="16DA5D5B" w14:textId="77777777" w:rsidR="00B51828" w:rsidRPr="00CE5DCB" w:rsidRDefault="00B51828" w:rsidP="002101D2">
      <w:pPr>
        <w:spacing w:after="0"/>
        <w:rPr>
          <w:rFonts w:ascii="Arial Narrow" w:hAnsi="Arial Narrow"/>
          <w:sz w:val="16"/>
          <w:szCs w:val="16"/>
        </w:rPr>
      </w:pPr>
      <w:r>
        <w:rPr>
          <w:rFonts w:ascii="Arial Narrow" w:hAnsi="Arial Narrow"/>
          <w:sz w:val="16"/>
          <w:szCs w:val="16"/>
          <w:vertAlign w:val="superscript"/>
        </w:rPr>
        <w:t xml:space="preserve">d </w:t>
      </w:r>
      <w:r>
        <w:rPr>
          <w:rFonts w:ascii="Arial Narrow" w:hAnsi="Arial Narrow"/>
          <w:sz w:val="16"/>
          <w:szCs w:val="16"/>
        </w:rPr>
        <w:t>404 out of 405 cases were relevant expert opinion cases, in which an outside pathologist sought an expert opinion. One case was a mandatory second review case, in which an expert opinion was required prior to definitive medical or surgical treatment.</w:t>
      </w:r>
    </w:p>
    <w:p w14:paraId="523C18CA" w14:textId="77777777" w:rsidR="00B51828" w:rsidRPr="00CE5DCB" w:rsidRDefault="00B51828" w:rsidP="002101D2">
      <w:pPr>
        <w:tabs>
          <w:tab w:val="left" w:pos="990"/>
        </w:tabs>
        <w:spacing w:after="0"/>
        <w:rPr>
          <w:rFonts w:ascii="Arial Narrow" w:hAnsi="Arial Narrow"/>
          <w:sz w:val="16"/>
          <w:szCs w:val="16"/>
        </w:rPr>
      </w:pPr>
      <w:r>
        <w:rPr>
          <w:rFonts w:ascii="Arial Narrow" w:hAnsi="Arial Narrow"/>
          <w:sz w:val="16"/>
          <w:szCs w:val="16"/>
          <w:vertAlign w:val="superscript"/>
        </w:rPr>
        <w:t xml:space="preserve">e </w:t>
      </w:r>
      <w:r>
        <w:rPr>
          <w:rFonts w:ascii="Arial Narrow" w:hAnsi="Arial Narrow"/>
          <w:sz w:val="16"/>
          <w:szCs w:val="16"/>
        </w:rPr>
        <w:t>Differences in the rendered report that were attributed to the use of alternate nomenclature, the lack of clarity in diagnosis, or the unfamiliarity with the most up-to-date terminology and reporting requirements.</w:t>
      </w:r>
    </w:p>
    <w:p w14:paraId="668FE814" w14:textId="77777777" w:rsidR="00B51828" w:rsidRDefault="00B51828" w:rsidP="002101D2">
      <w:pPr>
        <w:tabs>
          <w:tab w:val="left" w:pos="990"/>
        </w:tabs>
        <w:spacing w:after="0"/>
        <w:rPr>
          <w:rFonts w:ascii="Arial Narrow" w:hAnsi="Arial Narrow"/>
          <w:sz w:val="16"/>
          <w:szCs w:val="16"/>
        </w:rPr>
      </w:pPr>
      <w:r>
        <w:rPr>
          <w:rFonts w:ascii="Arial Narrow" w:hAnsi="Arial Narrow"/>
          <w:sz w:val="16"/>
          <w:szCs w:val="16"/>
          <w:vertAlign w:val="superscript"/>
        </w:rPr>
        <w:t xml:space="preserve">f </w:t>
      </w:r>
      <w:r>
        <w:rPr>
          <w:rFonts w:ascii="Arial Narrow" w:hAnsi="Arial Narrow"/>
          <w:sz w:val="16"/>
          <w:szCs w:val="16"/>
        </w:rPr>
        <w:t>Defects in diagnosis that caused minimal effect on patient care – histopathologic differences that did not influence prognosis and failures to review relevant prior pathologic diagnosis and/or margin status.</w:t>
      </w:r>
    </w:p>
    <w:p w14:paraId="39C73A48" w14:textId="77777777" w:rsidR="00B51828" w:rsidRPr="00931F5B" w:rsidRDefault="00B51828" w:rsidP="002101D2">
      <w:pPr>
        <w:tabs>
          <w:tab w:val="left" w:pos="990"/>
        </w:tabs>
        <w:spacing w:after="0"/>
        <w:rPr>
          <w:rFonts w:ascii="Arial Narrow" w:hAnsi="Arial Narrow"/>
          <w:sz w:val="16"/>
          <w:szCs w:val="16"/>
        </w:rPr>
      </w:pPr>
      <w:r>
        <w:rPr>
          <w:rFonts w:ascii="Arial Narrow" w:hAnsi="Arial Narrow"/>
          <w:sz w:val="16"/>
          <w:szCs w:val="16"/>
          <w:vertAlign w:val="superscript"/>
        </w:rPr>
        <w:t>g</w:t>
      </w:r>
      <w:r w:rsidRPr="00931F5B">
        <w:rPr>
          <w:rFonts w:ascii="Arial Narrow" w:hAnsi="Arial Narrow"/>
          <w:sz w:val="16"/>
          <w:szCs w:val="16"/>
        </w:rPr>
        <w:t xml:space="preserve"> </w:t>
      </w:r>
      <w:r>
        <w:rPr>
          <w:rFonts w:ascii="Arial Narrow" w:hAnsi="Arial Narrow"/>
          <w:sz w:val="16"/>
          <w:szCs w:val="16"/>
        </w:rPr>
        <w:t>Refers to marginal modifications,</w:t>
      </w:r>
      <w:r w:rsidRPr="00931F5B">
        <w:rPr>
          <w:rFonts w:ascii="Arial Narrow" w:hAnsi="Arial Narrow"/>
          <w:sz w:val="16"/>
          <w:szCs w:val="16"/>
        </w:rPr>
        <w:t xml:space="preserve"> not resulting in clinically relevant changes in patient management.</w:t>
      </w:r>
    </w:p>
    <w:p w14:paraId="2B13AF07" w14:textId="77777777" w:rsidR="00B51828" w:rsidRPr="00931F5B" w:rsidRDefault="00B51828" w:rsidP="002101D2">
      <w:pPr>
        <w:tabs>
          <w:tab w:val="left" w:pos="990"/>
        </w:tabs>
        <w:spacing w:after="0"/>
        <w:rPr>
          <w:rFonts w:ascii="Arial Narrow" w:hAnsi="Arial Narrow"/>
          <w:sz w:val="16"/>
          <w:szCs w:val="16"/>
        </w:rPr>
      </w:pPr>
      <w:r>
        <w:rPr>
          <w:rFonts w:ascii="Arial Narrow" w:hAnsi="Arial Narrow"/>
          <w:sz w:val="16"/>
          <w:szCs w:val="16"/>
          <w:vertAlign w:val="superscript"/>
        </w:rPr>
        <w:t>h</w:t>
      </w:r>
      <w:r w:rsidRPr="00931F5B">
        <w:rPr>
          <w:rFonts w:ascii="Arial Narrow" w:hAnsi="Arial Narrow"/>
          <w:sz w:val="16"/>
          <w:szCs w:val="16"/>
        </w:rPr>
        <w:t xml:space="preserve"> </w:t>
      </w:r>
      <w:r>
        <w:rPr>
          <w:rFonts w:ascii="Arial Narrow" w:hAnsi="Arial Narrow"/>
          <w:sz w:val="16"/>
          <w:szCs w:val="16"/>
        </w:rPr>
        <w:t>D</w:t>
      </w:r>
      <w:r w:rsidRPr="00931F5B">
        <w:rPr>
          <w:rFonts w:ascii="Arial Narrow" w:hAnsi="Arial Narrow"/>
          <w:sz w:val="16"/>
          <w:szCs w:val="16"/>
        </w:rPr>
        <w:t xml:space="preserve">ifferences in diagnostic opinion that would not significantly alter the treatment </w:t>
      </w:r>
      <w:r>
        <w:rPr>
          <w:rFonts w:ascii="Arial Narrow" w:hAnsi="Arial Narrow"/>
          <w:sz w:val="16"/>
          <w:szCs w:val="16"/>
        </w:rPr>
        <w:t xml:space="preserve">and/or prognosis of the patient. </w:t>
      </w:r>
    </w:p>
    <w:p w14:paraId="2D2E7556" w14:textId="77777777" w:rsidR="00B51828" w:rsidRDefault="00B51828" w:rsidP="002101D2"/>
    <w:p w14:paraId="6A583D41" w14:textId="77777777" w:rsidR="00B51828" w:rsidRDefault="00B51828" w:rsidP="002101D2">
      <w:pPr>
        <w:pStyle w:val="Caption"/>
      </w:pPr>
      <w:r>
        <w:t>Table A4.2</w:t>
      </w:r>
      <w:r>
        <w:tab/>
        <w:t>Minor discrepancy rates reported in Scenario 2 studies</w:t>
      </w:r>
    </w:p>
    <w:tbl>
      <w:tblPr>
        <w:tblStyle w:val="TableGrid"/>
        <w:tblW w:w="4726" w:type="pct"/>
        <w:tblInd w:w="704" w:type="dxa"/>
        <w:tblLook w:val="04A0" w:firstRow="1" w:lastRow="0" w:firstColumn="1" w:lastColumn="0" w:noHBand="0" w:noVBand="1"/>
        <w:tblCaption w:val="Minor discrepancy rates reported in Scenario 2 studies"/>
        <w:tblDescription w:val="One Scenario 2 study reported the rate of minor discrepancies. The study defined minor discrepancies as cases in which a tentative or doubtful diagnosis was confirmed or where information was added or deleted. "/>
      </w:tblPr>
      <w:tblGrid>
        <w:gridCol w:w="1874"/>
        <w:gridCol w:w="2738"/>
        <w:gridCol w:w="6047"/>
        <w:gridCol w:w="2738"/>
      </w:tblGrid>
      <w:tr w:rsidR="00B51828" w:rsidRPr="00E83D67" w14:paraId="0988DA59" w14:textId="77777777" w:rsidTr="002101D2">
        <w:trPr>
          <w:tblHeader/>
        </w:trPr>
        <w:tc>
          <w:tcPr>
            <w:tcW w:w="699" w:type="pct"/>
          </w:tcPr>
          <w:p w14:paraId="5632DEB9" w14:textId="77777777" w:rsidR="00B51828" w:rsidRPr="00E83D67" w:rsidRDefault="00B51828" w:rsidP="002101D2">
            <w:pPr>
              <w:spacing w:before="20" w:after="20"/>
              <w:ind w:left="0"/>
              <w:jc w:val="center"/>
              <w:rPr>
                <w:rFonts w:ascii="Arial Narrow" w:hAnsi="Arial Narrow"/>
                <w:b/>
                <w:sz w:val="20"/>
                <w:szCs w:val="20"/>
              </w:rPr>
            </w:pPr>
            <w:r w:rsidRPr="00E83D67">
              <w:rPr>
                <w:rFonts w:ascii="Arial Narrow" w:hAnsi="Arial Narrow"/>
                <w:b/>
                <w:sz w:val="20"/>
                <w:szCs w:val="20"/>
              </w:rPr>
              <w:t>Study ID</w:t>
            </w:r>
          </w:p>
        </w:tc>
        <w:tc>
          <w:tcPr>
            <w:tcW w:w="1022" w:type="pct"/>
          </w:tcPr>
          <w:p w14:paraId="78973F90" w14:textId="77777777" w:rsidR="00B51828" w:rsidRDefault="00B51828" w:rsidP="002101D2">
            <w:pPr>
              <w:spacing w:before="20" w:after="20"/>
              <w:ind w:left="0"/>
              <w:jc w:val="center"/>
              <w:rPr>
                <w:rFonts w:ascii="Arial Narrow" w:hAnsi="Arial Narrow"/>
                <w:b/>
                <w:sz w:val="20"/>
                <w:szCs w:val="20"/>
              </w:rPr>
            </w:pPr>
            <w:r>
              <w:rPr>
                <w:rFonts w:ascii="Arial Narrow" w:hAnsi="Arial Narrow"/>
                <w:b/>
                <w:sz w:val="20"/>
                <w:szCs w:val="20"/>
              </w:rPr>
              <w:t>Population (N)</w:t>
            </w:r>
          </w:p>
        </w:tc>
        <w:tc>
          <w:tcPr>
            <w:tcW w:w="2257" w:type="pct"/>
          </w:tcPr>
          <w:p w14:paraId="5D6E67C7" w14:textId="77777777" w:rsidR="00B51828" w:rsidRPr="00E83D67" w:rsidRDefault="00B51828" w:rsidP="002101D2">
            <w:pPr>
              <w:spacing w:before="20" w:after="20"/>
              <w:ind w:left="0"/>
              <w:jc w:val="center"/>
              <w:rPr>
                <w:rFonts w:ascii="Arial Narrow" w:hAnsi="Arial Narrow"/>
                <w:b/>
                <w:sz w:val="20"/>
                <w:szCs w:val="20"/>
              </w:rPr>
            </w:pPr>
            <w:r>
              <w:rPr>
                <w:rFonts w:ascii="Arial Narrow" w:hAnsi="Arial Narrow"/>
                <w:b/>
                <w:sz w:val="20"/>
                <w:szCs w:val="20"/>
              </w:rPr>
              <w:t>Outcome</w:t>
            </w:r>
          </w:p>
        </w:tc>
        <w:tc>
          <w:tcPr>
            <w:tcW w:w="1022" w:type="pct"/>
          </w:tcPr>
          <w:p w14:paraId="6F902FDB" w14:textId="77777777" w:rsidR="00B51828" w:rsidRPr="00E83D67" w:rsidRDefault="00B51828" w:rsidP="002101D2">
            <w:pPr>
              <w:spacing w:before="20" w:after="20"/>
              <w:ind w:left="0"/>
              <w:jc w:val="center"/>
              <w:rPr>
                <w:rFonts w:ascii="Arial Narrow" w:hAnsi="Arial Narrow"/>
                <w:b/>
                <w:sz w:val="20"/>
                <w:szCs w:val="20"/>
              </w:rPr>
            </w:pPr>
            <w:r>
              <w:rPr>
                <w:rFonts w:ascii="Arial Narrow" w:hAnsi="Arial Narrow"/>
                <w:b/>
                <w:sz w:val="20"/>
                <w:szCs w:val="20"/>
              </w:rPr>
              <w:t>Results n/N (%)</w:t>
            </w:r>
          </w:p>
        </w:tc>
      </w:tr>
      <w:tr w:rsidR="00B51828" w:rsidRPr="00E83D67" w14:paraId="691D7D68" w14:textId="77777777" w:rsidTr="002101D2">
        <w:tc>
          <w:tcPr>
            <w:tcW w:w="699" w:type="pct"/>
            <w:shd w:val="clear" w:color="auto" w:fill="BFBFBF" w:themeFill="background1" w:themeFillShade="BF"/>
          </w:tcPr>
          <w:p w14:paraId="622D507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BRAIN AND SPINAL CORD</w:t>
            </w:r>
          </w:p>
        </w:tc>
        <w:tc>
          <w:tcPr>
            <w:tcW w:w="1022" w:type="pct"/>
            <w:shd w:val="clear" w:color="auto" w:fill="BFBFBF" w:themeFill="background1" w:themeFillShade="BF"/>
          </w:tcPr>
          <w:p w14:paraId="7F75A22C"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2257" w:type="pct"/>
            <w:shd w:val="clear" w:color="auto" w:fill="BFBFBF" w:themeFill="background1" w:themeFillShade="BF"/>
          </w:tcPr>
          <w:p w14:paraId="5EDB7F39"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w:t>
            </w:r>
          </w:p>
        </w:tc>
        <w:tc>
          <w:tcPr>
            <w:tcW w:w="1022" w:type="pct"/>
            <w:shd w:val="clear" w:color="auto" w:fill="BFBFBF" w:themeFill="background1" w:themeFillShade="BF"/>
          </w:tcPr>
          <w:p w14:paraId="25AC96AF"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w:t>
            </w:r>
          </w:p>
        </w:tc>
      </w:tr>
      <w:tr w:rsidR="00B51828" w:rsidRPr="00E83D67" w14:paraId="0CD3903D" w14:textId="77777777" w:rsidTr="002101D2">
        <w:tc>
          <w:tcPr>
            <w:tcW w:w="699" w:type="pct"/>
          </w:tcPr>
          <w:p w14:paraId="2B60E3B6"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Bruner 1997</w:t>
            </w:r>
          </w:p>
        </w:tc>
        <w:tc>
          <w:tcPr>
            <w:tcW w:w="1022" w:type="pct"/>
          </w:tcPr>
          <w:p w14:paraId="3F0C8A4B"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Brain and spinal cord biopsy for suspected neoplastic disease</w:t>
            </w:r>
          </w:p>
          <w:p w14:paraId="5F223C88" w14:textId="77777777" w:rsidR="00B51828" w:rsidRPr="00DD5E25" w:rsidRDefault="00B51828" w:rsidP="002101D2">
            <w:pPr>
              <w:spacing w:before="20" w:after="20"/>
              <w:ind w:left="0"/>
              <w:rPr>
                <w:rFonts w:ascii="Arial Narrow" w:hAnsi="Arial Narrow"/>
                <w:sz w:val="20"/>
                <w:szCs w:val="20"/>
                <w:vertAlign w:val="superscript"/>
              </w:rPr>
            </w:pPr>
            <w:r>
              <w:rPr>
                <w:rFonts w:ascii="Arial Narrow" w:hAnsi="Arial Narrow"/>
                <w:sz w:val="20"/>
                <w:szCs w:val="20"/>
              </w:rPr>
              <w:t>N=500 cases</w:t>
            </w:r>
            <w:r>
              <w:rPr>
                <w:rFonts w:ascii="Arial Narrow" w:hAnsi="Arial Narrow"/>
                <w:sz w:val="20"/>
                <w:szCs w:val="20"/>
                <w:vertAlign w:val="superscript"/>
              </w:rPr>
              <w:t>a</w:t>
            </w:r>
          </w:p>
        </w:tc>
        <w:tc>
          <w:tcPr>
            <w:tcW w:w="2257" w:type="pct"/>
          </w:tcPr>
          <w:p w14:paraId="3F790CB7" w14:textId="77777777" w:rsidR="00B51828" w:rsidRDefault="00B51828" w:rsidP="002101D2">
            <w:pPr>
              <w:spacing w:before="20" w:after="20"/>
              <w:ind w:left="0"/>
              <w:rPr>
                <w:rFonts w:ascii="Arial Narrow" w:hAnsi="Arial Narrow"/>
                <w:sz w:val="20"/>
                <w:szCs w:val="20"/>
              </w:rPr>
            </w:pPr>
            <w:r w:rsidRPr="003171E3">
              <w:rPr>
                <w:rFonts w:ascii="Arial Narrow" w:hAnsi="Arial Narrow"/>
                <w:b/>
                <w:sz w:val="20"/>
                <w:szCs w:val="20"/>
              </w:rPr>
              <w:t>Number of cases with a provisiona</w:t>
            </w:r>
            <w:r>
              <w:rPr>
                <w:rFonts w:ascii="Arial Narrow" w:hAnsi="Arial Narrow"/>
                <w:b/>
                <w:sz w:val="20"/>
                <w:szCs w:val="20"/>
              </w:rPr>
              <w:t>l diagnosis</w:t>
            </w:r>
            <w:r>
              <w:rPr>
                <w:rFonts w:ascii="Arial Narrow" w:hAnsi="Arial Narrow"/>
                <w:sz w:val="20"/>
                <w:szCs w:val="20"/>
              </w:rPr>
              <w:t xml:space="preserve"> </w:t>
            </w:r>
          </w:p>
          <w:p w14:paraId="21E9A41F" w14:textId="77777777" w:rsidR="00B51828" w:rsidRDefault="00B51828" w:rsidP="002101D2">
            <w:pPr>
              <w:spacing w:before="20" w:after="20"/>
              <w:ind w:left="0"/>
              <w:rPr>
                <w:rFonts w:ascii="Arial Narrow" w:hAnsi="Arial Narrow"/>
                <w:sz w:val="20"/>
                <w:szCs w:val="20"/>
              </w:rPr>
            </w:pPr>
            <w:r>
              <w:rPr>
                <w:rFonts w:ascii="Arial Narrow" w:hAnsi="Arial Narrow"/>
                <w:sz w:val="20"/>
                <w:szCs w:val="20"/>
              </w:rPr>
              <w:t>Minor discrepancy in cases with a provisional diagnosis</w:t>
            </w:r>
          </w:p>
          <w:p w14:paraId="1B49F25C" w14:textId="77777777" w:rsidR="00B51828" w:rsidRPr="00756CD1" w:rsidRDefault="00B51828" w:rsidP="002101D2">
            <w:pPr>
              <w:spacing w:before="20" w:after="20"/>
              <w:ind w:left="284"/>
              <w:rPr>
                <w:rFonts w:ascii="Arial Narrow" w:hAnsi="Arial Narrow"/>
                <w:i/>
                <w:sz w:val="20"/>
                <w:szCs w:val="20"/>
              </w:rPr>
            </w:pPr>
            <w:r w:rsidRPr="00756CD1">
              <w:rPr>
                <w:rFonts w:ascii="Arial Narrow" w:hAnsi="Arial Narrow"/>
                <w:i/>
                <w:sz w:val="20"/>
                <w:szCs w:val="20"/>
              </w:rPr>
              <w:t>Nature of minor discrepancy (as a proportion of cases with a provisional diagnosis):</w:t>
            </w:r>
          </w:p>
          <w:p w14:paraId="7EE376A1" w14:textId="77777777" w:rsidR="00B51828" w:rsidRDefault="00B51828" w:rsidP="00B51828">
            <w:pPr>
              <w:pStyle w:val="ListParagraph"/>
              <w:numPr>
                <w:ilvl w:val="0"/>
                <w:numId w:val="56"/>
              </w:numPr>
              <w:spacing w:before="20" w:after="20"/>
              <w:rPr>
                <w:rFonts w:ascii="Arial Narrow" w:hAnsi="Arial Narrow"/>
                <w:sz w:val="20"/>
                <w:szCs w:val="20"/>
              </w:rPr>
            </w:pPr>
            <w:r>
              <w:rPr>
                <w:rFonts w:ascii="Arial Narrow" w:hAnsi="Arial Narrow"/>
                <w:sz w:val="20"/>
                <w:szCs w:val="20"/>
              </w:rPr>
              <w:t>Tentative or doubtful diagnosis confirmed</w:t>
            </w:r>
          </w:p>
          <w:p w14:paraId="774AFC11" w14:textId="77777777" w:rsidR="00B51828" w:rsidRDefault="00B51828" w:rsidP="00B51828">
            <w:pPr>
              <w:pStyle w:val="ListParagraph"/>
              <w:numPr>
                <w:ilvl w:val="0"/>
                <w:numId w:val="56"/>
              </w:numPr>
              <w:spacing w:before="20" w:after="20"/>
              <w:rPr>
                <w:rFonts w:ascii="Arial Narrow" w:hAnsi="Arial Narrow"/>
                <w:sz w:val="20"/>
                <w:szCs w:val="20"/>
              </w:rPr>
            </w:pPr>
            <w:r>
              <w:rPr>
                <w:rFonts w:ascii="Arial Narrow" w:hAnsi="Arial Narrow"/>
                <w:sz w:val="20"/>
                <w:szCs w:val="20"/>
              </w:rPr>
              <w:t>Information added or deleted</w:t>
            </w:r>
          </w:p>
          <w:p w14:paraId="12B50281" w14:textId="77777777" w:rsidR="00B51828" w:rsidRDefault="00B51828" w:rsidP="002101D2">
            <w:pPr>
              <w:spacing w:before="20" w:after="20"/>
              <w:rPr>
                <w:rFonts w:ascii="Arial Narrow" w:hAnsi="Arial Narrow"/>
                <w:sz w:val="20"/>
                <w:szCs w:val="20"/>
              </w:rPr>
            </w:pPr>
          </w:p>
          <w:p w14:paraId="452DB8C0" w14:textId="77777777" w:rsidR="00B51828" w:rsidRPr="00756CD1" w:rsidRDefault="00B51828" w:rsidP="002101D2">
            <w:pPr>
              <w:spacing w:before="20" w:after="20"/>
              <w:ind w:left="284"/>
              <w:rPr>
                <w:rFonts w:ascii="Arial Narrow" w:hAnsi="Arial Narrow"/>
                <w:i/>
                <w:sz w:val="20"/>
                <w:szCs w:val="20"/>
              </w:rPr>
            </w:pPr>
            <w:r w:rsidRPr="00756CD1">
              <w:rPr>
                <w:rFonts w:ascii="Arial Narrow" w:hAnsi="Arial Narrow"/>
                <w:i/>
                <w:sz w:val="20"/>
                <w:szCs w:val="20"/>
              </w:rPr>
              <w:t>Nature of minor discrepancy (as a proportion of cases with a minor discrepancy):</w:t>
            </w:r>
          </w:p>
          <w:p w14:paraId="061565D6" w14:textId="77777777" w:rsidR="00B51828" w:rsidRDefault="00B51828" w:rsidP="00B51828">
            <w:pPr>
              <w:pStyle w:val="ListParagraph"/>
              <w:numPr>
                <w:ilvl w:val="0"/>
                <w:numId w:val="56"/>
              </w:numPr>
              <w:spacing w:before="20" w:after="20"/>
              <w:rPr>
                <w:rFonts w:ascii="Arial Narrow" w:hAnsi="Arial Narrow"/>
                <w:sz w:val="20"/>
                <w:szCs w:val="20"/>
              </w:rPr>
            </w:pPr>
            <w:r>
              <w:rPr>
                <w:rFonts w:ascii="Arial Narrow" w:hAnsi="Arial Narrow"/>
                <w:sz w:val="20"/>
                <w:szCs w:val="20"/>
              </w:rPr>
              <w:t>Tentative or doubtful diagnosis confirmed</w:t>
            </w:r>
          </w:p>
          <w:p w14:paraId="7DF06C2D" w14:textId="77777777" w:rsidR="00B51828" w:rsidRPr="00C53DE4" w:rsidRDefault="00B51828" w:rsidP="00B51828">
            <w:pPr>
              <w:pStyle w:val="ListParagraph"/>
              <w:numPr>
                <w:ilvl w:val="0"/>
                <w:numId w:val="56"/>
              </w:numPr>
              <w:spacing w:before="20" w:after="20"/>
              <w:rPr>
                <w:rFonts w:ascii="Arial Narrow" w:hAnsi="Arial Narrow"/>
                <w:sz w:val="20"/>
                <w:szCs w:val="20"/>
              </w:rPr>
            </w:pPr>
            <w:r>
              <w:rPr>
                <w:rFonts w:ascii="Arial Narrow" w:hAnsi="Arial Narrow"/>
                <w:sz w:val="20"/>
                <w:szCs w:val="20"/>
              </w:rPr>
              <w:t>Information added or deleted</w:t>
            </w:r>
          </w:p>
        </w:tc>
        <w:tc>
          <w:tcPr>
            <w:tcW w:w="1022" w:type="pct"/>
          </w:tcPr>
          <w:p w14:paraId="0B72E559" w14:textId="77777777" w:rsidR="00B51828" w:rsidRDefault="00B51828" w:rsidP="00B7466D">
            <w:pPr>
              <w:spacing w:before="20" w:after="20"/>
              <w:ind w:left="0"/>
              <w:rPr>
                <w:rFonts w:ascii="Arial Narrow" w:hAnsi="Arial Narrow"/>
                <w:b/>
                <w:sz w:val="20"/>
                <w:szCs w:val="20"/>
              </w:rPr>
            </w:pPr>
            <w:r w:rsidRPr="007D366D">
              <w:rPr>
                <w:rFonts w:ascii="Arial Narrow" w:hAnsi="Arial Narrow"/>
                <w:b/>
                <w:sz w:val="20"/>
                <w:szCs w:val="20"/>
              </w:rPr>
              <w:t>261/284 (91.9%)</w:t>
            </w:r>
          </w:p>
          <w:p w14:paraId="51D5497E"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39/261 (14.9%)</w:t>
            </w:r>
          </w:p>
          <w:p w14:paraId="7E714F85" w14:textId="77777777" w:rsidR="00B51828" w:rsidRDefault="00B51828" w:rsidP="00B7466D">
            <w:pPr>
              <w:spacing w:before="20" w:after="20"/>
              <w:ind w:left="0"/>
              <w:rPr>
                <w:rFonts w:ascii="Arial Narrow" w:hAnsi="Arial Narrow"/>
                <w:sz w:val="20"/>
                <w:szCs w:val="20"/>
              </w:rPr>
            </w:pPr>
          </w:p>
          <w:p w14:paraId="5C049EF8" w14:textId="77777777" w:rsidR="00B51828" w:rsidRDefault="00B51828" w:rsidP="00B7466D">
            <w:pPr>
              <w:spacing w:before="20" w:after="20"/>
              <w:ind w:left="0"/>
              <w:rPr>
                <w:rFonts w:ascii="Arial Narrow" w:hAnsi="Arial Narrow"/>
                <w:sz w:val="20"/>
                <w:szCs w:val="20"/>
              </w:rPr>
            </w:pPr>
          </w:p>
          <w:p w14:paraId="38538176"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21/261 (8.0%)</w:t>
            </w:r>
          </w:p>
          <w:p w14:paraId="769A5EE2" w14:textId="77777777" w:rsidR="00B51828" w:rsidRDefault="00B51828" w:rsidP="00910278">
            <w:pPr>
              <w:spacing w:before="20" w:after="720"/>
              <w:ind w:left="0"/>
              <w:rPr>
                <w:rFonts w:ascii="Arial Narrow" w:hAnsi="Arial Narrow"/>
                <w:sz w:val="20"/>
                <w:szCs w:val="20"/>
              </w:rPr>
            </w:pPr>
            <w:r>
              <w:rPr>
                <w:rFonts w:ascii="Arial Narrow" w:hAnsi="Arial Narrow"/>
                <w:sz w:val="20"/>
                <w:szCs w:val="20"/>
              </w:rPr>
              <w:t>18/261 (6.9%)</w:t>
            </w:r>
          </w:p>
          <w:p w14:paraId="2F8705C8" w14:textId="77777777" w:rsidR="00B51828" w:rsidRDefault="00B51828" w:rsidP="00B7466D">
            <w:pPr>
              <w:spacing w:before="20" w:after="20"/>
              <w:ind w:left="0"/>
              <w:rPr>
                <w:rFonts w:ascii="Arial Narrow" w:hAnsi="Arial Narrow"/>
                <w:sz w:val="20"/>
                <w:szCs w:val="20"/>
              </w:rPr>
            </w:pPr>
            <w:r>
              <w:rPr>
                <w:rFonts w:ascii="Arial Narrow" w:hAnsi="Arial Narrow"/>
                <w:sz w:val="20"/>
                <w:szCs w:val="20"/>
              </w:rPr>
              <w:t>21/39 (53.8%)</w:t>
            </w:r>
          </w:p>
          <w:p w14:paraId="69F59149" w14:textId="77777777" w:rsidR="00B51828" w:rsidRPr="00C53DE4" w:rsidRDefault="00B51828" w:rsidP="00B7466D">
            <w:pPr>
              <w:spacing w:before="20" w:after="20"/>
              <w:ind w:left="0"/>
              <w:rPr>
                <w:rFonts w:ascii="Arial Narrow" w:hAnsi="Arial Narrow"/>
                <w:sz w:val="20"/>
                <w:szCs w:val="20"/>
              </w:rPr>
            </w:pPr>
            <w:r>
              <w:rPr>
                <w:rFonts w:ascii="Arial Narrow" w:hAnsi="Arial Narrow"/>
                <w:sz w:val="20"/>
                <w:szCs w:val="20"/>
              </w:rPr>
              <w:t>18/39 (46.2%)</w:t>
            </w:r>
          </w:p>
        </w:tc>
      </w:tr>
    </w:tbl>
    <w:p w14:paraId="2B512B29" w14:textId="77777777" w:rsidR="00B51828" w:rsidRDefault="00B51828" w:rsidP="002101D2">
      <w:r>
        <w:rPr>
          <w:rFonts w:ascii="Arial Narrow" w:hAnsi="Arial Narrow"/>
          <w:sz w:val="16"/>
          <w:szCs w:val="16"/>
          <w:vertAlign w:val="superscript"/>
        </w:rPr>
        <w:t xml:space="preserve">a </w:t>
      </w:r>
      <w:r w:rsidRPr="0081474F">
        <w:rPr>
          <w:rFonts w:ascii="Arial Narrow" w:hAnsi="Arial Narrow"/>
          <w:sz w:val="16"/>
          <w:szCs w:val="16"/>
        </w:rPr>
        <w:t>The study included a total of 500 cases: 284 “consultation-only” cases were submitted because of some doubt about the original diagnosis on the part of pathologists or other attending physicians (e.g. surgeons, internists, or radiotherapists) at an outside institution; 216 cases were reviewed after the patient was referred to the Texas M. D. Anderson Cancer Center for management</w:t>
      </w:r>
      <w:r>
        <w:rPr>
          <w:rFonts w:ascii="Arial Narrow" w:hAnsi="Arial Narrow"/>
          <w:sz w:val="16"/>
          <w:szCs w:val="16"/>
        </w:rPr>
        <w:t>.</w:t>
      </w:r>
    </w:p>
    <w:p w14:paraId="63F183CE" w14:textId="77777777" w:rsidR="00B51828" w:rsidRPr="00023508" w:rsidRDefault="00B51828" w:rsidP="002101D2"/>
    <w:p w14:paraId="435A73B7" w14:textId="77777777" w:rsidR="00B51828" w:rsidRDefault="00B51828" w:rsidP="00B51828">
      <w:pPr>
        <w:pStyle w:val="Heading1"/>
        <w:numPr>
          <w:ilvl w:val="0"/>
          <w:numId w:val="8"/>
        </w:numPr>
        <w:ind w:left="3402" w:hanging="3402"/>
        <w:sectPr w:rsidR="00B51828" w:rsidSect="002101D2">
          <w:footerReference w:type="default" r:id="rId37"/>
          <w:pgSz w:w="16838" w:h="11906" w:orient="landscape" w:code="9"/>
          <w:pgMar w:top="1440" w:right="1440" w:bottom="1440" w:left="1440" w:header="680" w:footer="1021" w:gutter="0"/>
          <w:cols w:space="708"/>
          <w:docGrid w:linePitch="360"/>
        </w:sectPr>
      </w:pPr>
      <w:bookmarkStart w:id="390" w:name="_Ref394406621"/>
    </w:p>
    <w:p w14:paraId="00161351" w14:textId="77777777" w:rsidR="00B51828" w:rsidRDefault="00B51828" w:rsidP="00B51828">
      <w:pPr>
        <w:pStyle w:val="Heading1"/>
        <w:numPr>
          <w:ilvl w:val="0"/>
          <w:numId w:val="8"/>
        </w:numPr>
        <w:ind w:left="3402" w:hanging="3402"/>
      </w:pPr>
      <w:bookmarkStart w:id="391" w:name="_Toc396211723"/>
      <w:r>
        <w:lastRenderedPageBreak/>
        <w:t>Expert opinion survey</w:t>
      </w:r>
      <w:bookmarkEnd w:id="390"/>
      <w:bookmarkEnd w:id="391"/>
    </w:p>
    <w:p w14:paraId="69EFCA1D" w14:textId="58C67125" w:rsidR="00B51828" w:rsidRDefault="00B51828" w:rsidP="002101D2">
      <w:r>
        <w:t xml:space="preserve">An Expert Opinion Survey was developed by the Assessment Group in order to obtain data to inform the economic and financial estimates used in the Assessment Report. The survey was initially pilot-tested with the two HESP members allocated to MSAC Application 1332 (see </w:t>
      </w:r>
      <w:r>
        <w:fldChar w:fldCharType="begin"/>
      </w:r>
      <w:r>
        <w:instrText xml:space="preserve"> REF _Ref395097800 \r \h </w:instrText>
      </w:r>
      <w:r>
        <w:fldChar w:fldCharType="separate"/>
      </w:r>
      <w:r w:rsidR="0044620B">
        <w:t>Appendix 1</w:t>
      </w:r>
      <w:r>
        <w:fldChar w:fldCharType="end"/>
      </w:r>
      <w:r>
        <w:t>). Upon their advice, the order of the questions were altered – primarily to improve the flow of the survey and to reduce repetition.</w:t>
      </w:r>
    </w:p>
    <w:p w14:paraId="2F29A383" w14:textId="77777777" w:rsidR="00B51828" w:rsidRDefault="00B51828" w:rsidP="002101D2">
      <w:r>
        <w:t xml:space="preserve">The final survey was distributed to eight experts (Chief Executive Officers or Heads of Departments) who were selected and contacted by the Applicant. Due to time constraints, it was not feasible for the Applicant to approach a large/random group of experts or to collate a large number of responses. The eight selected experts came from both public and private laboratories in New South Wales, Queensland, South Australia, Western Australia and the Australian Capital Territory. Survey recipients were offered phone support from the Applicant to assist them in completing the survey if required. </w:t>
      </w:r>
    </w:p>
    <w:p w14:paraId="6B72AC0F" w14:textId="77777777" w:rsidR="00B51828" w:rsidRDefault="00B51828" w:rsidP="002101D2">
      <w:r>
        <w:t>The survey itself contained 16 questions, some of which had multiple parts. All of the questions required the respondents to provide answers using percentages. No restrictions were placed on their answers (e.g. there were no multiple choice questions) and where the respondents felt it necessary they were able to respond using a range of percentages (e.g. 1-2% or &lt;0.1%). Respondents were also able to add comments after their estimates if they felt that clarification of their estimate was required or if they had made assumptions that warranted further explanation.</w:t>
      </w:r>
    </w:p>
    <w:p w14:paraId="293FA2A1" w14:textId="77777777" w:rsidR="00B51828" w:rsidRDefault="00B51828" w:rsidP="002101D2">
      <w:r>
        <w:t xml:space="preserve">The survey contained two main parts: Part 1 – Tissue pathology; and Part 2 – Non-gynaecological cytology. </w:t>
      </w:r>
    </w:p>
    <w:p w14:paraId="094EB29D" w14:textId="77777777" w:rsidR="00B51828" w:rsidRDefault="00B51828" w:rsidP="002101D2">
      <w:r>
        <w:t>The following background information was provided at the start of the survey:</w:t>
      </w:r>
    </w:p>
    <w:p w14:paraId="2B26E663" w14:textId="77777777" w:rsidR="00B51828" w:rsidRPr="00F82919" w:rsidRDefault="00B51828" w:rsidP="002101D2">
      <w:pPr>
        <w:pBdr>
          <w:top w:val="single" w:sz="4" w:space="1" w:color="auto"/>
          <w:left w:val="single" w:sz="4" w:space="4" w:color="auto"/>
          <w:bottom w:val="single" w:sz="4" w:space="1" w:color="auto"/>
          <w:right w:val="single" w:sz="4" w:space="4" w:color="auto"/>
        </w:pBdr>
        <w:tabs>
          <w:tab w:val="left" w:pos="1440"/>
        </w:tabs>
      </w:pPr>
      <w:r w:rsidRPr="00F82919">
        <w:t>The aim of this survey is to obtain information about the number and nat</w:t>
      </w:r>
      <w:r>
        <w:t xml:space="preserve">ure of pathology cases that are </w:t>
      </w:r>
      <w:r w:rsidRPr="00F82919">
        <w:t>referred for second, expert opinion (also known as personal or expert c</w:t>
      </w:r>
      <w:r>
        <w:t xml:space="preserve">onsultations) in Australia. The </w:t>
      </w:r>
      <w:r w:rsidRPr="00F82919">
        <w:t>intention of the following questions is to obtain estimates about general refe</w:t>
      </w:r>
      <w:r>
        <w:t xml:space="preserve">rral patterns across Australia, </w:t>
      </w:r>
      <w:r w:rsidRPr="00F82919">
        <w:t>rather than your individual experience or that of your pathology d</w:t>
      </w:r>
      <w:r>
        <w:t xml:space="preserve">epartment. Estimates should not </w:t>
      </w:r>
      <w:r w:rsidRPr="00F82919">
        <w:t>include intra-institutional referrals, in which a pathologist seeks advice f</w:t>
      </w:r>
      <w:r>
        <w:t xml:space="preserve">rom a co-located colleague. The </w:t>
      </w:r>
      <w:r w:rsidRPr="00F82919">
        <w:t>referrals of interest relate to formal, written second opinions by an expert pathologist that</w:t>
      </w:r>
      <w:r>
        <w:t xml:space="preserve"> is external to </w:t>
      </w:r>
      <w:r w:rsidRPr="00F82919">
        <w:t>the initial pathologist, but may be co-located with a referring clinician (e.g. at a tertiary treatment centre).</w:t>
      </w:r>
    </w:p>
    <w:p w14:paraId="0E612408" w14:textId="77777777" w:rsidR="00B51828" w:rsidRDefault="00B51828" w:rsidP="002101D2">
      <w:pPr>
        <w:pBdr>
          <w:top w:val="single" w:sz="4" w:space="1" w:color="auto"/>
          <w:left w:val="single" w:sz="4" w:space="4" w:color="auto"/>
          <w:bottom w:val="single" w:sz="4" w:space="1" w:color="auto"/>
          <w:right w:val="single" w:sz="4" w:space="4" w:color="auto"/>
        </w:pBdr>
        <w:tabs>
          <w:tab w:val="left" w:pos="1440"/>
        </w:tabs>
      </w:pPr>
      <w:r w:rsidRPr="00F82919">
        <w:t>The survey relates to the fields of tissue pathology and cytopathology (G</w:t>
      </w:r>
      <w:r>
        <w:t xml:space="preserve">roups P5 and P6 on the Medicare </w:t>
      </w:r>
      <w:r w:rsidRPr="00F82919">
        <w:t>Benefits Schedule, MBS). Bone marrow cases (included in Group P1 on th</w:t>
      </w:r>
      <w:r>
        <w:t xml:space="preserve">e MBS) are also of interest and </w:t>
      </w:r>
      <w:r w:rsidRPr="00F82919">
        <w:t>should be considered in responses relating to tissue pathology.</w:t>
      </w:r>
      <w:r w:rsidRPr="00F82919" w:rsidDel="00A51D37">
        <w:t xml:space="preserve"> </w:t>
      </w:r>
    </w:p>
    <w:p w14:paraId="3FB005FF" w14:textId="77777777" w:rsidR="00B51828" w:rsidRPr="00F82919" w:rsidRDefault="00B51828" w:rsidP="002101D2">
      <w:pPr>
        <w:pBdr>
          <w:top w:val="single" w:sz="4" w:space="1" w:color="auto"/>
          <w:left w:val="single" w:sz="4" w:space="4" w:color="auto"/>
          <w:bottom w:val="single" w:sz="4" w:space="1" w:color="auto"/>
          <w:right w:val="single" w:sz="4" w:space="4" w:color="auto"/>
        </w:pBdr>
        <w:tabs>
          <w:tab w:val="left" w:pos="1440"/>
        </w:tabs>
      </w:pPr>
      <w:r w:rsidRPr="00F82919">
        <w:t>Each question includes two parts: (a) Current funding conditions, in wh</w:t>
      </w:r>
      <w:r>
        <w:t xml:space="preserve">ich no MBS funding is available </w:t>
      </w:r>
      <w:r w:rsidRPr="00F82919">
        <w:t>for pathology second, expert opinions; and (b) Proposed funding cond</w:t>
      </w:r>
      <w:r>
        <w:t xml:space="preserve">itions, in which MBS funding is </w:t>
      </w:r>
      <w:r w:rsidRPr="00F82919">
        <w:t>available for pathology second, expert opinions and any ancillary tests th</w:t>
      </w:r>
      <w:r>
        <w:t xml:space="preserve">at are undertaken by the expert </w:t>
      </w:r>
      <w:r w:rsidRPr="00F82919">
        <w:t>pathologist. The purpose of part (b) is to determine whether MBS fundin</w:t>
      </w:r>
      <w:r>
        <w:t xml:space="preserve">g of second, expert opinions is </w:t>
      </w:r>
      <w:r w:rsidRPr="00F82919">
        <w:t>likely to impact on the number and nature of pathology cases that are referred.</w:t>
      </w:r>
    </w:p>
    <w:p w14:paraId="5EE2DF3A" w14:textId="77777777" w:rsidR="00B51828" w:rsidRPr="00F82919" w:rsidRDefault="00B51828" w:rsidP="002101D2">
      <w:pPr>
        <w:pBdr>
          <w:top w:val="single" w:sz="4" w:space="1" w:color="auto"/>
          <w:left w:val="single" w:sz="4" w:space="4" w:color="auto"/>
          <w:bottom w:val="single" w:sz="4" w:space="1" w:color="auto"/>
          <w:right w:val="single" w:sz="4" w:space="4" w:color="auto"/>
        </w:pBdr>
        <w:tabs>
          <w:tab w:val="left" w:pos="1440"/>
        </w:tabs>
      </w:pPr>
      <w:r w:rsidRPr="00F82919">
        <w:lastRenderedPageBreak/>
        <w:t>A relevant publication has been identified that forms the basis for som</w:t>
      </w:r>
      <w:r>
        <w:t xml:space="preserve">e of the following questions. A </w:t>
      </w:r>
      <w:r w:rsidRPr="00F82919">
        <w:t>brief summary of that publication (Azam et al, 2002) is provided below:</w:t>
      </w:r>
    </w:p>
    <w:p w14:paraId="409A9ADF" w14:textId="77777777" w:rsidR="00B51828" w:rsidRDefault="00B51828" w:rsidP="002101D2">
      <w:pPr>
        <w:pBdr>
          <w:top w:val="single" w:sz="4" w:space="1" w:color="auto"/>
          <w:left w:val="single" w:sz="4" w:space="4" w:color="auto"/>
          <w:bottom w:val="single" w:sz="4" w:space="1" w:color="auto"/>
          <w:right w:val="single" w:sz="4" w:space="4" w:color="auto"/>
        </w:pBdr>
        <w:rPr>
          <w:i/>
        </w:rPr>
      </w:pPr>
      <w:r w:rsidRPr="0012305E">
        <w:rPr>
          <w:i/>
        </w:rPr>
        <w:t>As part of their Q-Probes program, the College of American Pathologists conducted a study of expert opinion referrals from 180 institutions in the United States, Canada and Australia. Over a period of 4 months, participating institutions were asked to document up to 20 cases sent for second, expert opinion to resolve diagnostic uncertainty or to obtain input on a case from an expert. Referrals were initiated by the initial pathologist, a treating clinician or the patient. The study established an expert opinion referral rate of 0.5% for tissue pathology cases.</w:t>
      </w:r>
    </w:p>
    <w:p w14:paraId="06343EF2" w14:textId="77777777" w:rsidR="00B51828" w:rsidRDefault="00B51828" w:rsidP="002101D2">
      <w:pPr>
        <w:ind w:left="1418"/>
      </w:pPr>
    </w:p>
    <w:p w14:paraId="1D5F8CE7" w14:textId="77777777" w:rsidR="00B51828" w:rsidRPr="00B7466D" w:rsidRDefault="00B51828" w:rsidP="00B7466D">
      <w:pPr>
        <w:ind w:left="709"/>
      </w:pPr>
      <w:r w:rsidRPr="00DD5BBB">
        <w:t xml:space="preserve">The results of the survey are summarised below. </w:t>
      </w:r>
      <w:r>
        <w:t>All eight respondents provided answers to Part 1; while Part 2 contained answers from seven respondents. The estimates represent the average (mean) of the responses (eight for tissue pathology and seven for non-gynaecological cytology)</w:t>
      </w:r>
    </w:p>
    <w:p w14:paraId="75AD3C3A" w14:textId="77777777" w:rsidR="00B51828" w:rsidRDefault="00B51828" w:rsidP="002101D2">
      <w:pPr>
        <w:ind w:left="1418"/>
        <w:rPr>
          <w:i/>
        </w:rPr>
      </w:pPr>
    </w:p>
    <w:p w14:paraId="11EC73C3" w14:textId="77777777" w:rsidR="00B51828" w:rsidRPr="00FD104E" w:rsidRDefault="00B51828" w:rsidP="002101D2">
      <w:pPr>
        <w:ind w:left="1418"/>
        <w:sectPr w:rsidR="00B51828" w:rsidRPr="00FD104E" w:rsidSect="002101D2">
          <w:footerReference w:type="default" r:id="rId38"/>
          <w:pgSz w:w="11906" w:h="16838" w:code="9"/>
          <w:pgMar w:top="1440" w:right="1440" w:bottom="1440" w:left="1440" w:header="680" w:footer="1021" w:gutter="0"/>
          <w:cols w:space="708"/>
          <w:docGrid w:linePitch="360"/>
        </w:sectPr>
      </w:pPr>
    </w:p>
    <w:tbl>
      <w:tblPr>
        <w:tblStyle w:val="TableGrid"/>
        <w:tblW w:w="14034" w:type="dxa"/>
        <w:tblInd w:w="-5" w:type="dxa"/>
        <w:tblLook w:val="04A0" w:firstRow="1" w:lastRow="0" w:firstColumn="1" w:lastColumn="0" w:noHBand="0" w:noVBand="1"/>
        <w:tblCaption w:val="The Expert Opinion Survey"/>
        <w:tblDescription w:val="A list of questions asked in the Expert Opinion Survey with results including mean, standard deviation, median and range."/>
      </w:tblPr>
      <w:tblGrid>
        <w:gridCol w:w="11199"/>
        <w:gridCol w:w="1275"/>
        <w:gridCol w:w="1560"/>
      </w:tblGrid>
      <w:tr w:rsidR="00B51828" w14:paraId="7AC2E6FB" w14:textId="77777777" w:rsidTr="002101D2">
        <w:trPr>
          <w:trHeight w:val="422"/>
          <w:tblHeader/>
        </w:trPr>
        <w:tc>
          <w:tcPr>
            <w:tcW w:w="11199" w:type="dxa"/>
          </w:tcPr>
          <w:p w14:paraId="3721A887" w14:textId="77777777" w:rsidR="00B51828" w:rsidRDefault="00B51828" w:rsidP="002101D2">
            <w:pPr>
              <w:pStyle w:val="Tabletextboldleft"/>
            </w:pPr>
            <w:r>
              <w:lastRenderedPageBreak/>
              <w:t>Question</w:t>
            </w:r>
          </w:p>
        </w:tc>
        <w:tc>
          <w:tcPr>
            <w:tcW w:w="1275" w:type="dxa"/>
          </w:tcPr>
          <w:p w14:paraId="214B0EB9" w14:textId="77777777" w:rsidR="00B51828" w:rsidRPr="00C34E92" w:rsidRDefault="00B51828" w:rsidP="002101D2">
            <w:pPr>
              <w:pStyle w:val="Tabletextboldleft"/>
              <w:jc w:val="center"/>
            </w:pPr>
            <w:r>
              <w:t>Mean (SD)</w:t>
            </w:r>
          </w:p>
        </w:tc>
        <w:tc>
          <w:tcPr>
            <w:tcW w:w="1560" w:type="dxa"/>
          </w:tcPr>
          <w:p w14:paraId="57809437" w14:textId="77777777" w:rsidR="00B51828" w:rsidRPr="00C34E92" w:rsidRDefault="00B51828" w:rsidP="002101D2">
            <w:pPr>
              <w:pStyle w:val="Tabletextboldleft"/>
              <w:jc w:val="center"/>
            </w:pPr>
            <w:r>
              <w:t>Median [</w:t>
            </w:r>
            <w:r w:rsidRPr="00C34E92">
              <w:t>Range</w:t>
            </w:r>
            <w:r>
              <w:t>]</w:t>
            </w:r>
          </w:p>
        </w:tc>
      </w:tr>
      <w:tr w:rsidR="00B51828" w14:paraId="7EBCEFAD" w14:textId="77777777" w:rsidTr="00616882">
        <w:trPr>
          <w:trHeight w:val="507"/>
        </w:trPr>
        <w:tc>
          <w:tcPr>
            <w:tcW w:w="11199" w:type="dxa"/>
            <w:tcBorders>
              <w:bottom w:val="single" w:sz="4" w:space="0" w:color="auto"/>
            </w:tcBorders>
            <w:shd w:val="clear" w:color="auto" w:fill="BFBFBF" w:themeFill="background1" w:themeFillShade="BF"/>
          </w:tcPr>
          <w:p w14:paraId="222425B2" w14:textId="77777777" w:rsidR="00B51828" w:rsidRPr="001E3640" w:rsidRDefault="00B51828" w:rsidP="002101D2">
            <w:pPr>
              <w:pStyle w:val="Tabletextcentred"/>
              <w:jc w:val="left"/>
              <w:rPr>
                <w:b/>
              </w:rPr>
            </w:pPr>
            <w:r>
              <w:rPr>
                <w:b/>
              </w:rPr>
              <w:t>Part 1 – Tissue pathology</w:t>
            </w:r>
          </w:p>
        </w:tc>
        <w:tc>
          <w:tcPr>
            <w:tcW w:w="1275" w:type="dxa"/>
            <w:tcBorders>
              <w:bottom w:val="single" w:sz="4" w:space="0" w:color="auto"/>
            </w:tcBorders>
            <w:shd w:val="clear" w:color="auto" w:fill="BFBFBF" w:themeFill="background1" w:themeFillShade="BF"/>
          </w:tcPr>
          <w:p w14:paraId="5FC6D08A" w14:textId="77777777" w:rsidR="00B51828" w:rsidRPr="00844AC5" w:rsidRDefault="00B51828" w:rsidP="002101D2">
            <w:pPr>
              <w:spacing w:after="0"/>
              <w:ind w:left="0"/>
              <w:jc w:val="center"/>
              <w:rPr>
                <w:rFonts w:ascii="Arial Narrow" w:hAnsi="Arial Narrow"/>
                <w:b/>
                <w:color w:val="000000"/>
                <w:sz w:val="20"/>
                <w:szCs w:val="20"/>
              </w:rPr>
            </w:pPr>
            <w:r>
              <w:rPr>
                <w:rFonts w:ascii="Arial Narrow" w:hAnsi="Arial Narrow"/>
                <w:b/>
                <w:color w:val="000000"/>
                <w:sz w:val="20"/>
                <w:szCs w:val="20"/>
              </w:rPr>
              <w:t>N=8</w:t>
            </w:r>
          </w:p>
        </w:tc>
        <w:tc>
          <w:tcPr>
            <w:tcW w:w="1560" w:type="dxa"/>
            <w:tcBorders>
              <w:bottom w:val="single" w:sz="4" w:space="0" w:color="auto"/>
            </w:tcBorders>
            <w:shd w:val="clear" w:color="auto" w:fill="BFBFBF" w:themeFill="background1" w:themeFillShade="BF"/>
          </w:tcPr>
          <w:p w14:paraId="693B24C8"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w:t>
            </w:r>
          </w:p>
          <w:p w14:paraId="1CFF0704" w14:textId="77777777" w:rsidR="00B51828" w:rsidRPr="00C34E92" w:rsidRDefault="00B51828" w:rsidP="002101D2">
            <w:pPr>
              <w:spacing w:after="0"/>
              <w:ind w:left="0"/>
              <w:jc w:val="center"/>
              <w:rPr>
                <w:rFonts w:ascii="Arial Narrow" w:hAnsi="Arial Narrow"/>
                <w:color w:val="000000"/>
                <w:sz w:val="20"/>
                <w:szCs w:val="20"/>
              </w:rPr>
            </w:pPr>
          </w:p>
        </w:tc>
      </w:tr>
      <w:tr w:rsidR="00B51828" w14:paraId="41AE46D2" w14:textId="77777777" w:rsidTr="00616882">
        <w:trPr>
          <w:trHeight w:val="507"/>
        </w:trPr>
        <w:tc>
          <w:tcPr>
            <w:tcW w:w="11199" w:type="dxa"/>
            <w:tcBorders>
              <w:bottom w:val="single" w:sz="4" w:space="0" w:color="auto"/>
            </w:tcBorders>
          </w:tcPr>
          <w:p w14:paraId="3143CE23" w14:textId="77777777" w:rsidR="00B51828" w:rsidRPr="00096F4D" w:rsidRDefault="00B51828" w:rsidP="00B51828">
            <w:pPr>
              <w:pStyle w:val="Tabletextcentred"/>
              <w:numPr>
                <w:ilvl w:val="3"/>
                <w:numId w:val="12"/>
              </w:numPr>
              <w:spacing w:after="240"/>
              <w:jc w:val="left"/>
            </w:pPr>
            <w:r w:rsidRPr="00096F4D">
              <w:t>Is 0.5% a reasonable estimate of the proportion of initial tissue pathology cases, including bone marrow cases, that are currently referred for second, expert opinion in Australia across all types of pathology institutions (e.g. remote single-pathologist laboratories, large pathology departments at metropolitan hospitals, tertiary treatment centres)? If no, specify a figure.</w:t>
            </w:r>
          </w:p>
        </w:tc>
        <w:tc>
          <w:tcPr>
            <w:tcW w:w="1275" w:type="dxa"/>
            <w:tcBorders>
              <w:bottom w:val="single" w:sz="4" w:space="0" w:color="auto"/>
            </w:tcBorders>
          </w:tcPr>
          <w:p w14:paraId="1147EC29"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0.57%</w:t>
            </w:r>
          </w:p>
          <w:p w14:paraId="0F3B9366"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(0.31%)</w:t>
            </w:r>
          </w:p>
        </w:tc>
        <w:tc>
          <w:tcPr>
            <w:tcW w:w="1560" w:type="dxa"/>
            <w:tcBorders>
              <w:bottom w:val="single" w:sz="4" w:space="0" w:color="auto"/>
            </w:tcBorders>
          </w:tcPr>
          <w:p w14:paraId="7B9273DD" w14:textId="77777777" w:rsidR="00B51828"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0.5%</w:t>
            </w:r>
          </w:p>
          <w:p w14:paraId="3C73CDE3"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w:t>
            </w:r>
            <w:r w:rsidRPr="00C34E92">
              <w:rPr>
                <w:rFonts w:ascii="Arial Narrow" w:hAnsi="Arial Narrow"/>
                <w:color w:val="000000"/>
                <w:sz w:val="20"/>
                <w:szCs w:val="20"/>
              </w:rPr>
              <w:t>0.10% to 1%</w:t>
            </w:r>
            <w:r>
              <w:rPr>
                <w:rFonts w:ascii="Arial Narrow" w:hAnsi="Arial Narrow"/>
                <w:color w:val="000000"/>
                <w:sz w:val="20"/>
                <w:szCs w:val="20"/>
              </w:rPr>
              <w:t>]</w:t>
            </w:r>
          </w:p>
        </w:tc>
      </w:tr>
      <w:tr w:rsidR="00B51828" w14:paraId="7DEC452D" w14:textId="77777777" w:rsidTr="00616882">
        <w:trPr>
          <w:trHeight w:val="493"/>
        </w:trPr>
        <w:tc>
          <w:tcPr>
            <w:tcW w:w="11199" w:type="dxa"/>
            <w:tcBorders>
              <w:top w:val="single" w:sz="4" w:space="0" w:color="auto"/>
              <w:bottom w:val="single" w:sz="4" w:space="0" w:color="auto"/>
            </w:tcBorders>
          </w:tcPr>
          <w:p w14:paraId="55DFB975" w14:textId="77777777" w:rsidR="00B51828" w:rsidRPr="00096F4D" w:rsidRDefault="00B51828" w:rsidP="00B51828">
            <w:pPr>
              <w:pStyle w:val="Tabletextcentred"/>
              <w:numPr>
                <w:ilvl w:val="3"/>
                <w:numId w:val="12"/>
              </w:numPr>
              <w:spacing w:after="240"/>
              <w:jc w:val="left"/>
            </w:pPr>
            <w:r w:rsidRPr="00096F4D">
              <w:t>What is a reasonable estimate of the proportion of initial tissue pathology cases that would be referred for second, expert opinion in Australia if an MBS rebate was available?  Note that the two Schedule fees that have been proposed by the RCPA are $180 and $370 for second, expert opinions requiring ≤ or &gt;30 minutes of expert pathologist’s time, respectively.</w:t>
            </w:r>
          </w:p>
        </w:tc>
        <w:tc>
          <w:tcPr>
            <w:tcW w:w="1275" w:type="dxa"/>
            <w:tcBorders>
              <w:top w:val="single" w:sz="4" w:space="0" w:color="auto"/>
              <w:bottom w:val="single" w:sz="4" w:space="0" w:color="auto"/>
            </w:tcBorders>
          </w:tcPr>
          <w:p w14:paraId="02DAAF2D"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1.41%</w:t>
            </w:r>
          </w:p>
          <w:p w14:paraId="1A7EF385"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(1.54%)</w:t>
            </w:r>
          </w:p>
        </w:tc>
        <w:tc>
          <w:tcPr>
            <w:tcW w:w="1560" w:type="dxa"/>
            <w:tcBorders>
              <w:top w:val="single" w:sz="4" w:space="0" w:color="auto"/>
              <w:bottom w:val="single" w:sz="4" w:space="0" w:color="auto"/>
            </w:tcBorders>
          </w:tcPr>
          <w:p w14:paraId="1350E234" w14:textId="77777777" w:rsidR="00B51828"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1.0%</w:t>
            </w:r>
          </w:p>
          <w:p w14:paraId="2102A7CE"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w:t>
            </w:r>
            <w:r w:rsidRPr="00C34E92">
              <w:rPr>
                <w:rFonts w:ascii="Arial Narrow" w:hAnsi="Arial Narrow"/>
                <w:color w:val="000000"/>
                <w:sz w:val="20"/>
                <w:szCs w:val="20"/>
              </w:rPr>
              <w:t>0.3% to &lt;5%</w:t>
            </w:r>
            <w:r>
              <w:rPr>
                <w:rFonts w:ascii="Arial Narrow" w:hAnsi="Arial Narrow"/>
                <w:color w:val="000000"/>
                <w:sz w:val="20"/>
                <w:szCs w:val="20"/>
              </w:rPr>
              <w:t>]</w:t>
            </w:r>
          </w:p>
        </w:tc>
      </w:tr>
      <w:tr w:rsidR="00B51828" w14:paraId="09BBBCAB" w14:textId="77777777" w:rsidTr="00616882">
        <w:trPr>
          <w:trHeight w:val="507"/>
        </w:trPr>
        <w:tc>
          <w:tcPr>
            <w:tcW w:w="11199" w:type="dxa"/>
            <w:tcBorders>
              <w:top w:val="single" w:sz="4" w:space="0" w:color="auto"/>
              <w:bottom w:val="single" w:sz="4" w:space="0" w:color="auto"/>
            </w:tcBorders>
          </w:tcPr>
          <w:p w14:paraId="6C26CA27" w14:textId="77777777" w:rsidR="00B51828" w:rsidRPr="00096F4D" w:rsidRDefault="00B51828" w:rsidP="00B51828">
            <w:pPr>
              <w:pStyle w:val="Tabletextcentred"/>
              <w:numPr>
                <w:ilvl w:val="3"/>
                <w:numId w:val="12"/>
              </w:numPr>
              <w:spacing w:after="240"/>
              <w:jc w:val="left"/>
            </w:pPr>
            <w:r w:rsidRPr="00096F4D">
              <w:t>The study by Azam et al (2002) also found that approximately 85% of requests for a second, expert opinion were initiated by the pathologist. Does this reflect current referral patterns in Australia, assuming that all referrals are from the initial pathologist, the clinician who requested the initial pathology, or the clinician in charge of treatment?  If no, specify a figure.</w:t>
            </w:r>
          </w:p>
        </w:tc>
        <w:tc>
          <w:tcPr>
            <w:tcW w:w="1275" w:type="dxa"/>
            <w:tcBorders>
              <w:top w:val="single" w:sz="4" w:space="0" w:color="auto"/>
              <w:bottom w:val="single" w:sz="4" w:space="0" w:color="auto"/>
            </w:tcBorders>
          </w:tcPr>
          <w:p w14:paraId="27262F48"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64.38%</w:t>
            </w:r>
          </w:p>
          <w:p w14:paraId="7EF0B365"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(32.23%)</w:t>
            </w:r>
          </w:p>
        </w:tc>
        <w:tc>
          <w:tcPr>
            <w:tcW w:w="1560" w:type="dxa"/>
            <w:tcBorders>
              <w:top w:val="single" w:sz="4" w:space="0" w:color="auto"/>
              <w:bottom w:val="single" w:sz="4" w:space="0" w:color="auto"/>
            </w:tcBorders>
          </w:tcPr>
          <w:p w14:paraId="731F2C83" w14:textId="77777777" w:rsidR="00B51828"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85%</w:t>
            </w:r>
          </w:p>
          <w:p w14:paraId="0DFBA37D"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w:t>
            </w:r>
            <w:r w:rsidRPr="00C34E92">
              <w:rPr>
                <w:rFonts w:ascii="Arial Narrow" w:hAnsi="Arial Narrow"/>
                <w:color w:val="000000"/>
                <w:sz w:val="20"/>
                <w:szCs w:val="20"/>
              </w:rPr>
              <w:t>5% to 90%</w:t>
            </w:r>
            <w:r>
              <w:rPr>
                <w:rFonts w:ascii="Arial Narrow" w:hAnsi="Arial Narrow"/>
                <w:color w:val="000000"/>
                <w:sz w:val="20"/>
                <w:szCs w:val="20"/>
              </w:rPr>
              <w:t>]</w:t>
            </w:r>
          </w:p>
        </w:tc>
      </w:tr>
      <w:tr w:rsidR="00B51828" w14:paraId="0FF2D6CE" w14:textId="77777777" w:rsidTr="00616882">
        <w:trPr>
          <w:trHeight w:val="422"/>
        </w:trPr>
        <w:tc>
          <w:tcPr>
            <w:tcW w:w="11199" w:type="dxa"/>
            <w:tcBorders>
              <w:top w:val="single" w:sz="4" w:space="0" w:color="auto"/>
              <w:bottom w:val="single" w:sz="4" w:space="0" w:color="auto"/>
            </w:tcBorders>
          </w:tcPr>
          <w:p w14:paraId="02419FD3" w14:textId="77777777" w:rsidR="00B51828" w:rsidRPr="00096F4D" w:rsidRDefault="00B51828" w:rsidP="00B51828">
            <w:pPr>
              <w:pStyle w:val="Tabletextcentred"/>
              <w:numPr>
                <w:ilvl w:val="3"/>
                <w:numId w:val="12"/>
              </w:numPr>
              <w:spacing w:after="240"/>
              <w:jc w:val="left"/>
            </w:pPr>
            <w:r w:rsidRPr="00096F4D">
              <w:t>If an MBS rebate was available for pathology second, expert opinions, what proportion of requests for a second, expert opinion are likely to be initiated by the pathologist (</w:t>
            </w:r>
            <w:r w:rsidRPr="00154CBB">
              <w:t>see Question 2 for the proposed MBS</w:t>
            </w:r>
            <w:r w:rsidRPr="00096F4D">
              <w:t xml:space="preserve"> fee)?</w:t>
            </w:r>
          </w:p>
        </w:tc>
        <w:tc>
          <w:tcPr>
            <w:tcW w:w="1275" w:type="dxa"/>
            <w:tcBorders>
              <w:top w:val="single" w:sz="4" w:space="0" w:color="auto"/>
              <w:bottom w:val="single" w:sz="4" w:space="0" w:color="auto"/>
            </w:tcBorders>
          </w:tcPr>
          <w:p w14:paraId="2A9D21DE"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74.38%</w:t>
            </w:r>
          </w:p>
          <w:p w14:paraId="69290EAD" w14:textId="77777777" w:rsidR="00B51828" w:rsidRPr="00C34E92" w:rsidRDefault="00B51828" w:rsidP="002101D2">
            <w:pPr>
              <w:pStyle w:val="Tabletextcentred"/>
              <w:rPr>
                <w:szCs w:val="20"/>
              </w:rPr>
            </w:pPr>
            <w:r>
              <w:rPr>
                <w:szCs w:val="20"/>
              </w:rPr>
              <w:t>(29.69%)</w:t>
            </w:r>
          </w:p>
        </w:tc>
        <w:tc>
          <w:tcPr>
            <w:tcW w:w="1560" w:type="dxa"/>
            <w:tcBorders>
              <w:top w:val="single" w:sz="4" w:space="0" w:color="auto"/>
              <w:bottom w:val="single" w:sz="4" w:space="0" w:color="auto"/>
            </w:tcBorders>
          </w:tcPr>
          <w:p w14:paraId="6724E933" w14:textId="77777777" w:rsidR="00B51828" w:rsidRDefault="00B51828" w:rsidP="002101D2">
            <w:pPr>
              <w:pStyle w:val="Tabletextcentred"/>
              <w:rPr>
                <w:szCs w:val="20"/>
              </w:rPr>
            </w:pPr>
            <w:r>
              <w:rPr>
                <w:szCs w:val="20"/>
              </w:rPr>
              <w:t>85%</w:t>
            </w:r>
          </w:p>
          <w:p w14:paraId="0E132804" w14:textId="77777777" w:rsidR="00B51828" w:rsidRPr="00C34E92" w:rsidRDefault="00B51828" w:rsidP="002101D2">
            <w:pPr>
              <w:pStyle w:val="Tabletextcentred"/>
              <w:rPr>
                <w:szCs w:val="20"/>
              </w:rPr>
            </w:pPr>
            <w:r>
              <w:rPr>
                <w:szCs w:val="20"/>
              </w:rPr>
              <w:t>[</w:t>
            </w:r>
            <w:r w:rsidRPr="00C34E92">
              <w:rPr>
                <w:szCs w:val="20"/>
              </w:rPr>
              <w:t>10% to &gt;95%</w:t>
            </w:r>
            <w:r>
              <w:rPr>
                <w:szCs w:val="20"/>
              </w:rPr>
              <w:t>]</w:t>
            </w:r>
          </w:p>
        </w:tc>
      </w:tr>
      <w:tr w:rsidR="00B51828" w14:paraId="63BAAF0B" w14:textId="77777777" w:rsidTr="00616882">
        <w:trPr>
          <w:trHeight w:val="211"/>
        </w:trPr>
        <w:tc>
          <w:tcPr>
            <w:tcW w:w="11199" w:type="dxa"/>
            <w:tcBorders>
              <w:top w:val="single" w:sz="4" w:space="0" w:color="auto"/>
              <w:bottom w:val="nil"/>
            </w:tcBorders>
          </w:tcPr>
          <w:p w14:paraId="72275CE6" w14:textId="77777777" w:rsidR="00B51828" w:rsidRPr="00096F4D" w:rsidRDefault="00B51828" w:rsidP="00B51828">
            <w:pPr>
              <w:pStyle w:val="Tabletextcentred"/>
              <w:numPr>
                <w:ilvl w:val="3"/>
                <w:numId w:val="12"/>
              </w:numPr>
              <w:spacing w:after="240"/>
              <w:jc w:val="left"/>
            </w:pPr>
            <w:r w:rsidRPr="001E3640">
              <w:t>It is expected that difficult cases would be referred to a pathologist with particular expertise in the condition or type of disease (e.g. breast pathologist, dermatopathologist, urogenital pathologist).  Due to their expertise, some cases considered difficult by the initial pathologist may be relatively straightforward or ‘non-complex’ for the expert pathologist.  Non-complex cases may be defined as those that take up to 30 minutes for an expert pathologist to review, while ‘complex’ cases may be defined as cases which involve over 30 minutes of the expert pathologist’s time (excluding administrative tasks such as unpacking, accessioning, data entry etc.).</w:t>
            </w:r>
          </w:p>
        </w:tc>
        <w:tc>
          <w:tcPr>
            <w:tcW w:w="1275" w:type="dxa"/>
            <w:tcBorders>
              <w:top w:val="single" w:sz="4" w:space="0" w:color="auto"/>
              <w:bottom w:val="nil"/>
            </w:tcBorders>
          </w:tcPr>
          <w:p w14:paraId="6B23C901" w14:textId="77777777" w:rsidR="00B51828" w:rsidRPr="00C34E92" w:rsidRDefault="00B51828" w:rsidP="002101D2">
            <w:pPr>
              <w:pStyle w:val="Tabletextcentred"/>
              <w:rPr>
                <w:szCs w:val="20"/>
              </w:rPr>
            </w:pPr>
            <w:r w:rsidRPr="00C34E92">
              <w:rPr>
                <w:szCs w:val="20"/>
              </w:rPr>
              <w:t>-</w:t>
            </w:r>
          </w:p>
        </w:tc>
        <w:tc>
          <w:tcPr>
            <w:tcW w:w="1560" w:type="dxa"/>
            <w:tcBorders>
              <w:top w:val="single" w:sz="4" w:space="0" w:color="auto"/>
              <w:bottom w:val="nil"/>
            </w:tcBorders>
          </w:tcPr>
          <w:p w14:paraId="56E32977" w14:textId="77777777" w:rsidR="00B51828" w:rsidRPr="00C34E92" w:rsidRDefault="00B51828" w:rsidP="002101D2">
            <w:pPr>
              <w:pStyle w:val="Tabletextcentred"/>
              <w:rPr>
                <w:szCs w:val="20"/>
              </w:rPr>
            </w:pPr>
            <w:r w:rsidRPr="00C34E92">
              <w:rPr>
                <w:szCs w:val="20"/>
              </w:rPr>
              <w:t>-</w:t>
            </w:r>
          </w:p>
        </w:tc>
      </w:tr>
      <w:tr w:rsidR="00B51828" w14:paraId="5BE2559B" w14:textId="77777777" w:rsidTr="00616882">
        <w:trPr>
          <w:trHeight w:val="211"/>
        </w:trPr>
        <w:tc>
          <w:tcPr>
            <w:tcW w:w="11199" w:type="dxa"/>
            <w:tcBorders>
              <w:top w:val="nil"/>
              <w:bottom w:val="nil"/>
            </w:tcBorders>
          </w:tcPr>
          <w:p w14:paraId="0BDA19A8" w14:textId="77777777" w:rsidR="00B51828" w:rsidRPr="00096F4D" w:rsidRDefault="00B51828" w:rsidP="00B51828">
            <w:pPr>
              <w:pStyle w:val="Tabletextcentred"/>
              <w:numPr>
                <w:ilvl w:val="0"/>
                <w:numId w:val="41"/>
              </w:numPr>
              <w:spacing w:after="240"/>
              <w:ind w:left="714" w:hanging="357"/>
              <w:jc w:val="left"/>
            </w:pPr>
            <w:r w:rsidRPr="004F3D6E">
              <w:t>In your opinion, what proportion of tissue pathology cases that are referred by a pathologist for expert opinion are ‘complex’, involving over 30 minutes of the expert pathologist’s time?</w:t>
            </w:r>
          </w:p>
        </w:tc>
        <w:tc>
          <w:tcPr>
            <w:tcW w:w="1275" w:type="dxa"/>
            <w:tcBorders>
              <w:top w:val="nil"/>
              <w:bottom w:val="nil"/>
            </w:tcBorders>
          </w:tcPr>
          <w:p w14:paraId="491701A5"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60.00%</w:t>
            </w:r>
          </w:p>
          <w:p w14:paraId="12A6F8F3" w14:textId="77777777" w:rsidR="00B51828" w:rsidRPr="00C34E92" w:rsidRDefault="00B51828" w:rsidP="002101D2">
            <w:pPr>
              <w:pStyle w:val="Tabletextcentred"/>
              <w:rPr>
                <w:szCs w:val="20"/>
              </w:rPr>
            </w:pPr>
            <w:r>
              <w:rPr>
                <w:szCs w:val="20"/>
              </w:rPr>
              <w:t>(33.49%)</w:t>
            </w:r>
          </w:p>
        </w:tc>
        <w:tc>
          <w:tcPr>
            <w:tcW w:w="1560" w:type="dxa"/>
            <w:tcBorders>
              <w:top w:val="nil"/>
              <w:bottom w:val="nil"/>
            </w:tcBorders>
          </w:tcPr>
          <w:p w14:paraId="2AA94C3C" w14:textId="77777777" w:rsidR="00B51828" w:rsidRDefault="00B51828" w:rsidP="002101D2">
            <w:pPr>
              <w:pStyle w:val="Tabletextcentred"/>
              <w:rPr>
                <w:szCs w:val="20"/>
              </w:rPr>
            </w:pPr>
            <w:r>
              <w:rPr>
                <w:szCs w:val="20"/>
              </w:rPr>
              <w:t>67.5%</w:t>
            </w:r>
          </w:p>
          <w:p w14:paraId="3BDE57FD" w14:textId="77777777" w:rsidR="00B51828" w:rsidRPr="00C34E92" w:rsidRDefault="00B51828" w:rsidP="002101D2">
            <w:pPr>
              <w:pStyle w:val="Tabletextcentred"/>
              <w:rPr>
                <w:szCs w:val="20"/>
              </w:rPr>
            </w:pPr>
            <w:r>
              <w:rPr>
                <w:szCs w:val="20"/>
              </w:rPr>
              <w:t>[&lt;5% to 100%]</w:t>
            </w:r>
          </w:p>
        </w:tc>
      </w:tr>
      <w:tr w:rsidR="00B51828" w14:paraId="00539567" w14:textId="77777777" w:rsidTr="00616882">
        <w:trPr>
          <w:trHeight w:val="211"/>
        </w:trPr>
        <w:tc>
          <w:tcPr>
            <w:tcW w:w="11199" w:type="dxa"/>
            <w:tcBorders>
              <w:top w:val="nil"/>
              <w:bottom w:val="single" w:sz="4" w:space="0" w:color="auto"/>
            </w:tcBorders>
          </w:tcPr>
          <w:p w14:paraId="14FB0D34" w14:textId="77777777" w:rsidR="00B51828" w:rsidRPr="00096F4D" w:rsidRDefault="00B51828" w:rsidP="00B51828">
            <w:pPr>
              <w:pStyle w:val="Tabletextcentred"/>
              <w:numPr>
                <w:ilvl w:val="0"/>
                <w:numId w:val="41"/>
              </w:numPr>
              <w:spacing w:after="240"/>
              <w:ind w:left="714" w:hanging="357"/>
              <w:jc w:val="left"/>
            </w:pPr>
            <w:r w:rsidRPr="004F3D6E">
              <w:t>In your opinion, what proportion of tissue pathology cases that are referred by a clinician for expert opinion are ‘complex’, involving over 30 minutes of the expert pathologist’s time?</w:t>
            </w:r>
          </w:p>
        </w:tc>
        <w:tc>
          <w:tcPr>
            <w:tcW w:w="1275" w:type="dxa"/>
            <w:tcBorders>
              <w:top w:val="nil"/>
              <w:bottom w:val="single" w:sz="4" w:space="0" w:color="auto"/>
            </w:tcBorders>
          </w:tcPr>
          <w:p w14:paraId="7E363AF6"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31.25%</w:t>
            </w:r>
          </w:p>
          <w:p w14:paraId="0180DC9E" w14:textId="77777777" w:rsidR="00B51828" w:rsidRPr="00C34E92" w:rsidRDefault="00B51828" w:rsidP="002101D2">
            <w:pPr>
              <w:pStyle w:val="Tabletextcentred"/>
              <w:rPr>
                <w:szCs w:val="20"/>
              </w:rPr>
            </w:pPr>
            <w:r>
              <w:rPr>
                <w:szCs w:val="20"/>
              </w:rPr>
              <w:t>(21.67%)</w:t>
            </w:r>
          </w:p>
        </w:tc>
        <w:tc>
          <w:tcPr>
            <w:tcW w:w="1560" w:type="dxa"/>
            <w:tcBorders>
              <w:top w:val="nil"/>
              <w:bottom w:val="single" w:sz="4" w:space="0" w:color="auto"/>
            </w:tcBorders>
          </w:tcPr>
          <w:p w14:paraId="479C4694" w14:textId="77777777" w:rsidR="00B51828" w:rsidRDefault="00B51828" w:rsidP="002101D2">
            <w:pPr>
              <w:pStyle w:val="Tabletextcentred"/>
              <w:rPr>
                <w:szCs w:val="20"/>
              </w:rPr>
            </w:pPr>
            <w:r>
              <w:rPr>
                <w:szCs w:val="20"/>
              </w:rPr>
              <w:t>40.0%</w:t>
            </w:r>
          </w:p>
          <w:p w14:paraId="514C89E9" w14:textId="77777777" w:rsidR="00B51828" w:rsidRPr="00C34E92" w:rsidRDefault="00B51828" w:rsidP="002101D2">
            <w:pPr>
              <w:pStyle w:val="Tabletextcentred"/>
              <w:rPr>
                <w:szCs w:val="20"/>
              </w:rPr>
            </w:pPr>
            <w:r>
              <w:rPr>
                <w:szCs w:val="20"/>
              </w:rPr>
              <w:t>[0% to 50%]</w:t>
            </w:r>
          </w:p>
        </w:tc>
      </w:tr>
      <w:tr w:rsidR="00B51828" w14:paraId="2E661BC6" w14:textId="77777777" w:rsidTr="00616882">
        <w:trPr>
          <w:trHeight w:val="211"/>
        </w:trPr>
        <w:tc>
          <w:tcPr>
            <w:tcW w:w="11199" w:type="dxa"/>
            <w:tcBorders>
              <w:top w:val="single" w:sz="4" w:space="0" w:color="auto"/>
              <w:bottom w:val="nil"/>
            </w:tcBorders>
          </w:tcPr>
          <w:p w14:paraId="21973728" w14:textId="77777777" w:rsidR="00B51828" w:rsidRPr="00096F4D" w:rsidRDefault="00B51828" w:rsidP="00B51828">
            <w:pPr>
              <w:pStyle w:val="Tabletextcentred"/>
              <w:numPr>
                <w:ilvl w:val="3"/>
                <w:numId w:val="12"/>
              </w:numPr>
              <w:spacing w:after="240"/>
              <w:jc w:val="left"/>
            </w:pPr>
            <w:r w:rsidRPr="004D1435">
              <w:t>If an MBS rebate was available for pathology second, expert opinions:</w:t>
            </w:r>
          </w:p>
        </w:tc>
        <w:tc>
          <w:tcPr>
            <w:tcW w:w="1275" w:type="dxa"/>
            <w:tcBorders>
              <w:top w:val="single" w:sz="4" w:space="0" w:color="auto"/>
              <w:bottom w:val="nil"/>
            </w:tcBorders>
          </w:tcPr>
          <w:p w14:paraId="412BCFDA" w14:textId="77777777" w:rsidR="00B51828" w:rsidRPr="00C34E92" w:rsidRDefault="00B51828" w:rsidP="002101D2">
            <w:pPr>
              <w:pStyle w:val="Tabletextcentred"/>
              <w:rPr>
                <w:szCs w:val="20"/>
              </w:rPr>
            </w:pPr>
            <w:r w:rsidRPr="00C34E92">
              <w:rPr>
                <w:szCs w:val="20"/>
              </w:rPr>
              <w:t>-</w:t>
            </w:r>
          </w:p>
        </w:tc>
        <w:tc>
          <w:tcPr>
            <w:tcW w:w="1560" w:type="dxa"/>
            <w:tcBorders>
              <w:top w:val="single" w:sz="4" w:space="0" w:color="auto"/>
              <w:bottom w:val="nil"/>
            </w:tcBorders>
          </w:tcPr>
          <w:p w14:paraId="48D1A9A6" w14:textId="77777777" w:rsidR="00B51828" w:rsidRPr="00C34E92" w:rsidRDefault="00B51828" w:rsidP="002101D2">
            <w:pPr>
              <w:pStyle w:val="Tabletextcentred"/>
              <w:rPr>
                <w:szCs w:val="20"/>
              </w:rPr>
            </w:pPr>
            <w:r w:rsidRPr="00C34E92">
              <w:rPr>
                <w:szCs w:val="20"/>
              </w:rPr>
              <w:t>-</w:t>
            </w:r>
          </w:p>
        </w:tc>
      </w:tr>
      <w:tr w:rsidR="00B51828" w14:paraId="34AD5BE9" w14:textId="77777777" w:rsidTr="00616882">
        <w:trPr>
          <w:trHeight w:val="211"/>
        </w:trPr>
        <w:tc>
          <w:tcPr>
            <w:tcW w:w="11199" w:type="dxa"/>
            <w:tcBorders>
              <w:top w:val="nil"/>
              <w:bottom w:val="nil"/>
            </w:tcBorders>
          </w:tcPr>
          <w:p w14:paraId="1E4445EF" w14:textId="2754D00C" w:rsidR="00A7320C" w:rsidRDefault="00B51828" w:rsidP="00B51828">
            <w:pPr>
              <w:pStyle w:val="Tabletextcentred"/>
              <w:numPr>
                <w:ilvl w:val="0"/>
                <w:numId w:val="42"/>
              </w:numPr>
              <w:spacing w:after="240"/>
              <w:jc w:val="left"/>
            </w:pPr>
            <w:r w:rsidRPr="004D1435">
              <w:t>What proportion of tissue pathology cases that are referred by a pathologist for expert opinion would be ‘complex’, involving over 30 minutes of the expert pathologist’s time?</w:t>
            </w:r>
          </w:p>
          <w:p w14:paraId="7BBE221D" w14:textId="77777777" w:rsidR="00B51828" w:rsidRPr="00A7320C" w:rsidRDefault="00B51828" w:rsidP="00A7320C"/>
        </w:tc>
        <w:tc>
          <w:tcPr>
            <w:tcW w:w="1275" w:type="dxa"/>
            <w:tcBorders>
              <w:top w:val="nil"/>
              <w:bottom w:val="nil"/>
            </w:tcBorders>
          </w:tcPr>
          <w:p w14:paraId="3C3BB4D8"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53.75%</w:t>
            </w:r>
          </w:p>
          <w:p w14:paraId="5995A632" w14:textId="77777777" w:rsidR="00B51828" w:rsidRPr="00C34E92" w:rsidRDefault="00B51828" w:rsidP="002101D2">
            <w:pPr>
              <w:pStyle w:val="Tabletextcentred"/>
              <w:rPr>
                <w:szCs w:val="20"/>
              </w:rPr>
            </w:pPr>
            <w:r>
              <w:rPr>
                <w:szCs w:val="20"/>
              </w:rPr>
              <w:t>(31.71%)</w:t>
            </w:r>
          </w:p>
        </w:tc>
        <w:tc>
          <w:tcPr>
            <w:tcW w:w="1560" w:type="dxa"/>
            <w:tcBorders>
              <w:top w:val="nil"/>
              <w:bottom w:val="nil"/>
            </w:tcBorders>
          </w:tcPr>
          <w:p w14:paraId="5D15C34C" w14:textId="77777777" w:rsidR="00B51828" w:rsidRDefault="00B51828" w:rsidP="002101D2">
            <w:pPr>
              <w:pStyle w:val="Tabletextcentred"/>
              <w:rPr>
                <w:szCs w:val="20"/>
              </w:rPr>
            </w:pPr>
            <w:r>
              <w:rPr>
                <w:szCs w:val="20"/>
              </w:rPr>
              <w:t>55%</w:t>
            </w:r>
          </w:p>
          <w:p w14:paraId="26F23378" w14:textId="77777777" w:rsidR="00B51828" w:rsidRPr="00C34E92" w:rsidRDefault="00B51828" w:rsidP="002101D2">
            <w:pPr>
              <w:pStyle w:val="Tabletextcentred"/>
              <w:rPr>
                <w:szCs w:val="20"/>
              </w:rPr>
            </w:pPr>
            <w:r>
              <w:rPr>
                <w:szCs w:val="20"/>
              </w:rPr>
              <w:t>[&lt;5% to 100%]</w:t>
            </w:r>
          </w:p>
        </w:tc>
      </w:tr>
      <w:tr w:rsidR="00B51828" w14:paraId="4E8D9E69" w14:textId="77777777" w:rsidTr="00616882">
        <w:trPr>
          <w:trHeight w:val="211"/>
        </w:trPr>
        <w:tc>
          <w:tcPr>
            <w:tcW w:w="11199" w:type="dxa"/>
            <w:tcBorders>
              <w:top w:val="nil"/>
              <w:bottom w:val="single" w:sz="4" w:space="0" w:color="auto"/>
            </w:tcBorders>
          </w:tcPr>
          <w:p w14:paraId="79ABC0E6" w14:textId="77777777" w:rsidR="00B51828" w:rsidRPr="00096F4D" w:rsidRDefault="00B51828" w:rsidP="00B51828">
            <w:pPr>
              <w:pStyle w:val="Tabletextcentred"/>
              <w:numPr>
                <w:ilvl w:val="0"/>
                <w:numId w:val="42"/>
              </w:numPr>
              <w:spacing w:after="240"/>
              <w:jc w:val="left"/>
            </w:pPr>
            <w:r w:rsidRPr="004D1435">
              <w:lastRenderedPageBreak/>
              <w:t>What proportion of tissue pathology cases that are referred by a clinician for expert opinion would be ‘complex’, involving over 30 minutes of the expert pathologist’s time?</w:t>
            </w:r>
          </w:p>
        </w:tc>
        <w:tc>
          <w:tcPr>
            <w:tcW w:w="1275" w:type="dxa"/>
            <w:tcBorders>
              <w:top w:val="nil"/>
              <w:bottom w:val="single" w:sz="4" w:space="0" w:color="auto"/>
            </w:tcBorders>
          </w:tcPr>
          <w:p w14:paraId="4D142DCB"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30.00%</w:t>
            </w:r>
          </w:p>
          <w:p w14:paraId="1A2D9080" w14:textId="77777777" w:rsidR="00B51828" w:rsidRPr="00C34E92" w:rsidRDefault="00B51828" w:rsidP="002101D2">
            <w:pPr>
              <w:pStyle w:val="Tabletextcentred"/>
              <w:rPr>
                <w:szCs w:val="20"/>
              </w:rPr>
            </w:pPr>
            <w:r>
              <w:rPr>
                <w:szCs w:val="20"/>
              </w:rPr>
              <w:t>(20.70%)</w:t>
            </w:r>
          </w:p>
        </w:tc>
        <w:tc>
          <w:tcPr>
            <w:tcW w:w="1560" w:type="dxa"/>
            <w:tcBorders>
              <w:top w:val="nil"/>
              <w:bottom w:val="single" w:sz="4" w:space="0" w:color="auto"/>
            </w:tcBorders>
          </w:tcPr>
          <w:p w14:paraId="610D4A7A" w14:textId="77777777" w:rsidR="00B51828" w:rsidRDefault="00B51828" w:rsidP="002101D2">
            <w:pPr>
              <w:pStyle w:val="Tabletextcentred"/>
              <w:rPr>
                <w:szCs w:val="20"/>
              </w:rPr>
            </w:pPr>
            <w:r>
              <w:rPr>
                <w:szCs w:val="20"/>
              </w:rPr>
              <w:t>35.0%</w:t>
            </w:r>
          </w:p>
          <w:p w14:paraId="55EF0B34" w14:textId="77777777" w:rsidR="00B51828" w:rsidRPr="00C34E92" w:rsidRDefault="00B51828" w:rsidP="002101D2">
            <w:pPr>
              <w:pStyle w:val="Tabletextcentred"/>
              <w:rPr>
                <w:szCs w:val="20"/>
              </w:rPr>
            </w:pPr>
            <w:r>
              <w:rPr>
                <w:szCs w:val="20"/>
              </w:rPr>
              <w:t>[0% to 50%]</w:t>
            </w:r>
          </w:p>
        </w:tc>
      </w:tr>
      <w:tr w:rsidR="00B51828" w14:paraId="451B7C2B" w14:textId="77777777" w:rsidTr="00616882">
        <w:trPr>
          <w:trHeight w:val="211"/>
        </w:trPr>
        <w:tc>
          <w:tcPr>
            <w:tcW w:w="11199" w:type="dxa"/>
            <w:tcBorders>
              <w:top w:val="single" w:sz="4" w:space="0" w:color="auto"/>
              <w:bottom w:val="nil"/>
            </w:tcBorders>
          </w:tcPr>
          <w:p w14:paraId="2A02F7CA" w14:textId="77777777" w:rsidR="00B51828" w:rsidRPr="00096F4D" w:rsidRDefault="00B51828" w:rsidP="00B51828">
            <w:pPr>
              <w:pStyle w:val="Tabletextcentred"/>
              <w:numPr>
                <w:ilvl w:val="3"/>
                <w:numId w:val="12"/>
              </w:numPr>
              <w:spacing w:after="240"/>
              <w:jc w:val="left"/>
            </w:pPr>
            <w:r w:rsidRPr="004D1435">
              <w:t xml:space="preserve">In some cases, the second, expert opinion may only involve the examination of slides that were previously prepared (with or without staining) by the initial pathologist, while in other </w:t>
            </w:r>
            <w:r w:rsidRPr="00C34E92">
              <w:t>cases additional sectioning may be required.  Furthermore, the expert pathologist may conduct ancillary tests (such as immunohistochemical staining) to aid diagnosis.  The proportion of cases in which ancillary tests are used may vary between ‘non-complex’ and ‘complex’ expert opinions, outlined in Question 5.</w:t>
            </w:r>
          </w:p>
        </w:tc>
        <w:tc>
          <w:tcPr>
            <w:tcW w:w="1275" w:type="dxa"/>
            <w:tcBorders>
              <w:top w:val="single" w:sz="4" w:space="0" w:color="auto"/>
              <w:bottom w:val="nil"/>
            </w:tcBorders>
          </w:tcPr>
          <w:p w14:paraId="4EE8CB76" w14:textId="77777777" w:rsidR="00B51828" w:rsidRPr="00C34E92" w:rsidRDefault="00B51828" w:rsidP="002101D2">
            <w:pPr>
              <w:pStyle w:val="Tabletextcentred"/>
              <w:rPr>
                <w:szCs w:val="20"/>
              </w:rPr>
            </w:pPr>
            <w:r>
              <w:rPr>
                <w:szCs w:val="20"/>
              </w:rPr>
              <w:t>-</w:t>
            </w:r>
          </w:p>
        </w:tc>
        <w:tc>
          <w:tcPr>
            <w:tcW w:w="1560" w:type="dxa"/>
            <w:tcBorders>
              <w:top w:val="single" w:sz="4" w:space="0" w:color="auto"/>
              <w:bottom w:val="nil"/>
            </w:tcBorders>
          </w:tcPr>
          <w:p w14:paraId="53D247DB" w14:textId="77777777" w:rsidR="00B51828" w:rsidRPr="00C34E92" w:rsidRDefault="00B51828" w:rsidP="002101D2">
            <w:pPr>
              <w:pStyle w:val="Tabletextcentred"/>
              <w:rPr>
                <w:szCs w:val="20"/>
              </w:rPr>
            </w:pPr>
            <w:r>
              <w:rPr>
                <w:szCs w:val="20"/>
              </w:rPr>
              <w:t>-</w:t>
            </w:r>
          </w:p>
        </w:tc>
      </w:tr>
      <w:tr w:rsidR="00B51828" w14:paraId="0BF0527D" w14:textId="77777777" w:rsidTr="002101D2">
        <w:trPr>
          <w:trHeight w:val="211"/>
        </w:trPr>
        <w:tc>
          <w:tcPr>
            <w:tcW w:w="11199" w:type="dxa"/>
            <w:tcBorders>
              <w:top w:val="nil"/>
              <w:bottom w:val="nil"/>
            </w:tcBorders>
          </w:tcPr>
          <w:p w14:paraId="4A774EC5" w14:textId="77777777" w:rsidR="00B51828" w:rsidRPr="00096F4D" w:rsidRDefault="00B51828" w:rsidP="00B51828">
            <w:pPr>
              <w:pStyle w:val="Tabletextcentred"/>
              <w:numPr>
                <w:ilvl w:val="0"/>
                <w:numId w:val="43"/>
              </w:numPr>
              <w:spacing w:after="240"/>
              <w:jc w:val="left"/>
            </w:pPr>
            <w:r w:rsidRPr="004D1435">
              <w:t>Please estimate the proportion of ‘non-complex’ second, expert opinions in which ancillary tests (e.g. immunohistochemistry) are currently used.</w:t>
            </w:r>
          </w:p>
        </w:tc>
        <w:tc>
          <w:tcPr>
            <w:tcW w:w="1275" w:type="dxa"/>
            <w:tcBorders>
              <w:top w:val="nil"/>
              <w:bottom w:val="nil"/>
            </w:tcBorders>
          </w:tcPr>
          <w:p w14:paraId="5E15AA8A"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25.00%</w:t>
            </w:r>
          </w:p>
          <w:p w14:paraId="003C5B36" w14:textId="77777777" w:rsidR="00B51828" w:rsidRPr="00C34E92" w:rsidRDefault="00B51828" w:rsidP="002101D2">
            <w:pPr>
              <w:pStyle w:val="Tabletextcentred"/>
              <w:rPr>
                <w:szCs w:val="20"/>
              </w:rPr>
            </w:pPr>
            <w:r>
              <w:rPr>
                <w:szCs w:val="20"/>
              </w:rPr>
              <w:t>(12.82%)</w:t>
            </w:r>
          </w:p>
        </w:tc>
        <w:tc>
          <w:tcPr>
            <w:tcW w:w="1560" w:type="dxa"/>
            <w:tcBorders>
              <w:top w:val="nil"/>
              <w:bottom w:val="nil"/>
            </w:tcBorders>
          </w:tcPr>
          <w:p w14:paraId="2683C963" w14:textId="77777777" w:rsidR="00B51828" w:rsidRDefault="00B51828" w:rsidP="002101D2">
            <w:pPr>
              <w:pStyle w:val="Tabletextcentred"/>
              <w:rPr>
                <w:szCs w:val="20"/>
              </w:rPr>
            </w:pPr>
            <w:r>
              <w:rPr>
                <w:szCs w:val="20"/>
              </w:rPr>
              <w:t>22.5%</w:t>
            </w:r>
          </w:p>
          <w:p w14:paraId="28D1993C" w14:textId="77777777" w:rsidR="00B51828" w:rsidRPr="00C34E92" w:rsidRDefault="00B51828" w:rsidP="002101D2">
            <w:pPr>
              <w:pStyle w:val="Tabletextcentred"/>
              <w:rPr>
                <w:szCs w:val="20"/>
              </w:rPr>
            </w:pPr>
            <w:r>
              <w:rPr>
                <w:szCs w:val="20"/>
              </w:rPr>
              <w:t>[5% to 50%]</w:t>
            </w:r>
          </w:p>
        </w:tc>
      </w:tr>
      <w:tr w:rsidR="00B51828" w14:paraId="37F71E42" w14:textId="77777777" w:rsidTr="00616882">
        <w:trPr>
          <w:trHeight w:val="211"/>
        </w:trPr>
        <w:tc>
          <w:tcPr>
            <w:tcW w:w="11199" w:type="dxa"/>
            <w:tcBorders>
              <w:top w:val="nil"/>
              <w:bottom w:val="single" w:sz="4" w:space="0" w:color="auto"/>
            </w:tcBorders>
          </w:tcPr>
          <w:p w14:paraId="1D994806" w14:textId="77777777" w:rsidR="00B51828" w:rsidRPr="00096F4D" w:rsidRDefault="00B51828" w:rsidP="00B51828">
            <w:pPr>
              <w:pStyle w:val="Tabletextcentred"/>
              <w:numPr>
                <w:ilvl w:val="0"/>
                <w:numId w:val="43"/>
              </w:numPr>
              <w:spacing w:after="240"/>
              <w:jc w:val="left"/>
            </w:pPr>
            <w:r w:rsidRPr="004D1435">
              <w:t>Please estimate the proportion of ‘complex’ second, expert opinions in which ancillary tests (e.g. immunohistochemistry) are currently used.</w:t>
            </w:r>
          </w:p>
        </w:tc>
        <w:tc>
          <w:tcPr>
            <w:tcW w:w="1275" w:type="dxa"/>
            <w:tcBorders>
              <w:top w:val="nil"/>
              <w:bottom w:val="single" w:sz="4" w:space="0" w:color="auto"/>
            </w:tcBorders>
          </w:tcPr>
          <w:p w14:paraId="1C6CD404"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62.63%</w:t>
            </w:r>
          </w:p>
          <w:p w14:paraId="160E5C05" w14:textId="77777777" w:rsidR="00B51828" w:rsidRPr="00C34E92" w:rsidRDefault="00B51828" w:rsidP="002101D2">
            <w:pPr>
              <w:pStyle w:val="Tabletextcentred"/>
              <w:rPr>
                <w:szCs w:val="20"/>
              </w:rPr>
            </w:pPr>
            <w:r>
              <w:rPr>
                <w:szCs w:val="20"/>
              </w:rPr>
              <w:t>(27.71%)</w:t>
            </w:r>
          </w:p>
        </w:tc>
        <w:tc>
          <w:tcPr>
            <w:tcW w:w="1560" w:type="dxa"/>
            <w:tcBorders>
              <w:top w:val="nil"/>
              <w:bottom w:val="single" w:sz="4" w:space="0" w:color="auto"/>
            </w:tcBorders>
          </w:tcPr>
          <w:p w14:paraId="3FECF8FE" w14:textId="77777777" w:rsidR="00B51828" w:rsidRDefault="00B51828" w:rsidP="002101D2">
            <w:pPr>
              <w:pStyle w:val="Tabletextcentred"/>
              <w:rPr>
                <w:szCs w:val="20"/>
              </w:rPr>
            </w:pPr>
            <w:r>
              <w:rPr>
                <w:szCs w:val="20"/>
              </w:rPr>
              <w:t>72.5%</w:t>
            </w:r>
          </w:p>
          <w:p w14:paraId="01190590" w14:textId="77777777" w:rsidR="00B51828" w:rsidRPr="00C34E92" w:rsidRDefault="00B51828" w:rsidP="002101D2">
            <w:pPr>
              <w:pStyle w:val="Tabletextcentred"/>
              <w:rPr>
                <w:szCs w:val="20"/>
              </w:rPr>
            </w:pPr>
            <w:r>
              <w:rPr>
                <w:szCs w:val="20"/>
              </w:rPr>
              <w:t>[1% to 90%]</w:t>
            </w:r>
          </w:p>
        </w:tc>
      </w:tr>
      <w:tr w:rsidR="00B51828" w14:paraId="763B84D1" w14:textId="77777777" w:rsidTr="00616882">
        <w:trPr>
          <w:trHeight w:val="211"/>
        </w:trPr>
        <w:tc>
          <w:tcPr>
            <w:tcW w:w="11199" w:type="dxa"/>
            <w:tcBorders>
              <w:top w:val="single" w:sz="4" w:space="0" w:color="auto"/>
              <w:bottom w:val="nil"/>
            </w:tcBorders>
          </w:tcPr>
          <w:p w14:paraId="1E50A59E" w14:textId="77777777" w:rsidR="00B51828" w:rsidRPr="00096F4D" w:rsidRDefault="00B51828" w:rsidP="00B51828">
            <w:pPr>
              <w:pStyle w:val="Tabletextcentred"/>
              <w:numPr>
                <w:ilvl w:val="3"/>
                <w:numId w:val="12"/>
              </w:numPr>
              <w:spacing w:after="240"/>
              <w:jc w:val="left"/>
            </w:pPr>
            <w:r w:rsidRPr="004D1435">
              <w:t>If an MBS rebate was available for pathology second, expert opinions and expert pathologists were able to bill the MBS for any ancillary tests conducted (regardless of whether or not the initial pathologist had already billed the MBS for the test(s)), please estimate:</w:t>
            </w:r>
          </w:p>
        </w:tc>
        <w:tc>
          <w:tcPr>
            <w:tcW w:w="1275" w:type="dxa"/>
            <w:tcBorders>
              <w:top w:val="single" w:sz="4" w:space="0" w:color="auto"/>
              <w:bottom w:val="nil"/>
            </w:tcBorders>
          </w:tcPr>
          <w:p w14:paraId="16EE62F6" w14:textId="77777777" w:rsidR="00B51828" w:rsidRPr="00C34E92" w:rsidRDefault="00B51828" w:rsidP="002101D2">
            <w:pPr>
              <w:pStyle w:val="Tabletextcentred"/>
              <w:rPr>
                <w:szCs w:val="20"/>
              </w:rPr>
            </w:pPr>
            <w:r>
              <w:rPr>
                <w:szCs w:val="20"/>
              </w:rPr>
              <w:t>-</w:t>
            </w:r>
          </w:p>
        </w:tc>
        <w:tc>
          <w:tcPr>
            <w:tcW w:w="1560" w:type="dxa"/>
            <w:tcBorders>
              <w:top w:val="single" w:sz="4" w:space="0" w:color="auto"/>
              <w:bottom w:val="nil"/>
            </w:tcBorders>
          </w:tcPr>
          <w:p w14:paraId="5257328F" w14:textId="77777777" w:rsidR="00B51828" w:rsidRPr="00C34E92" w:rsidRDefault="00B51828" w:rsidP="002101D2">
            <w:pPr>
              <w:pStyle w:val="Tabletextcentred"/>
              <w:rPr>
                <w:szCs w:val="20"/>
              </w:rPr>
            </w:pPr>
            <w:r>
              <w:rPr>
                <w:szCs w:val="20"/>
              </w:rPr>
              <w:t>-</w:t>
            </w:r>
          </w:p>
        </w:tc>
      </w:tr>
      <w:tr w:rsidR="00B51828" w14:paraId="389DEC34" w14:textId="77777777" w:rsidTr="002101D2">
        <w:trPr>
          <w:trHeight w:val="211"/>
        </w:trPr>
        <w:tc>
          <w:tcPr>
            <w:tcW w:w="11199" w:type="dxa"/>
            <w:tcBorders>
              <w:top w:val="nil"/>
              <w:bottom w:val="nil"/>
            </w:tcBorders>
          </w:tcPr>
          <w:p w14:paraId="64634334" w14:textId="77777777" w:rsidR="00B51828" w:rsidRPr="00096F4D" w:rsidRDefault="00B51828" w:rsidP="00B51828">
            <w:pPr>
              <w:pStyle w:val="Tabletextcentred"/>
              <w:numPr>
                <w:ilvl w:val="0"/>
                <w:numId w:val="44"/>
              </w:numPr>
              <w:spacing w:after="240"/>
              <w:jc w:val="left"/>
            </w:pPr>
            <w:r w:rsidRPr="004D1435">
              <w:t>The proportion of ‘non-complex’ second, expert opinions in which ancillary tests (e.g. immunohistochemistry) would be used.</w:t>
            </w:r>
          </w:p>
        </w:tc>
        <w:tc>
          <w:tcPr>
            <w:tcW w:w="1275" w:type="dxa"/>
            <w:tcBorders>
              <w:top w:val="nil"/>
              <w:bottom w:val="nil"/>
            </w:tcBorders>
          </w:tcPr>
          <w:p w14:paraId="4F1616B4"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23.75%</w:t>
            </w:r>
          </w:p>
          <w:p w14:paraId="1D71D80D" w14:textId="77777777" w:rsidR="00B51828" w:rsidRPr="00C34E92" w:rsidRDefault="00B51828" w:rsidP="002101D2">
            <w:pPr>
              <w:pStyle w:val="Tabletextcentred"/>
              <w:rPr>
                <w:szCs w:val="20"/>
              </w:rPr>
            </w:pPr>
            <w:r>
              <w:rPr>
                <w:szCs w:val="20"/>
              </w:rPr>
              <w:t>(10.26%)</w:t>
            </w:r>
          </w:p>
        </w:tc>
        <w:tc>
          <w:tcPr>
            <w:tcW w:w="1560" w:type="dxa"/>
            <w:tcBorders>
              <w:top w:val="nil"/>
              <w:bottom w:val="nil"/>
            </w:tcBorders>
          </w:tcPr>
          <w:p w14:paraId="337A2A56" w14:textId="77777777" w:rsidR="00B51828" w:rsidRDefault="00B51828" w:rsidP="002101D2">
            <w:pPr>
              <w:pStyle w:val="Tabletextcentred"/>
              <w:rPr>
                <w:szCs w:val="20"/>
              </w:rPr>
            </w:pPr>
            <w:r>
              <w:rPr>
                <w:szCs w:val="20"/>
              </w:rPr>
              <w:t>22.5%</w:t>
            </w:r>
          </w:p>
          <w:p w14:paraId="70B7073F" w14:textId="77777777" w:rsidR="00B51828" w:rsidRPr="00C34E92" w:rsidRDefault="00B51828" w:rsidP="002101D2">
            <w:pPr>
              <w:pStyle w:val="Tabletextcentred"/>
              <w:rPr>
                <w:szCs w:val="20"/>
              </w:rPr>
            </w:pPr>
            <w:r>
              <w:rPr>
                <w:szCs w:val="20"/>
              </w:rPr>
              <w:t>[5% to 40%]</w:t>
            </w:r>
          </w:p>
        </w:tc>
      </w:tr>
      <w:tr w:rsidR="00B51828" w14:paraId="373D78A7" w14:textId="77777777" w:rsidTr="00616882">
        <w:trPr>
          <w:trHeight w:val="211"/>
        </w:trPr>
        <w:tc>
          <w:tcPr>
            <w:tcW w:w="11199" w:type="dxa"/>
            <w:tcBorders>
              <w:top w:val="nil"/>
              <w:bottom w:val="single" w:sz="4" w:space="0" w:color="auto"/>
            </w:tcBorders>
          </w:tcPr>
          <w:p w14:paraId="1D7B6B86" w14:textId="77777777" w:rsidR="00B51828" w:rsidRPr="00096F4D" w:rsidRDefault="00B51828" w:rsidP="00B51828">
            <w:pPr>
              <w:pStyle w:val="Tabletextcentred"/>
              <w:numPr>
                <w:ilvl w:val="0"/>
                <w:numId w:val="44"/>
              </w:numPr>
              <w:spacing w:after="240"/>
              <w:jc w:val="left"/>
            </w:pPr>
            <w:r w:rsidRPr="004D1435">
              <w:t>The proportion of ‘complex’ second, expert opinions in which ancillary tests (e.g. immunohistochemistry) would be used.</w:t>
            </w:r>
          </w:p>
        </w:tc>
        <w:tc>
          <w:tcPr>
            <w:tcW w:w="1275" w:type="dxa"/>
            <w:tcBorders>
              <w:top w:val="nil"/>
              <w:bottom w:val="single" w:sz="4" w:space="0" w:color="auto"/>
            </w:tcBorders>
          </w:tcPr>
          <w:p w14:paraId="22D8A4FC"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62.50%</w:t>
            </w:r>
          </w:p>
          <w:p w14:paraId="6C3E1EF3" w14:textId="77777777" w:rsidR="00B51828" w:rsidRPr="00C34E92" w:rsidRDefault="00B51828" w:rsidP="002101D2">
            <w:pPr>
              <w:pStyle w:val="Tabletextcentred"/>
              <w:rPr>
                <w:szCs w:val="20"/>
              </w:rPr>
            </w:pPr>
            <w:r>
              <w:rPr>
                <w:szCs w:val="20"/>
              </w:rPr>
              <w:t>(24.78%)</w:t>
            </w:r>
          </w:p>
        </w:tc>
        <w:tc>
          <w:tcPr>
            <w:tcW w:w="1560" w:type="dxa"/>
            <w:tcBorders>
              <w:top w:val="nil"/>
              <w:bottom w:val="single" w:sz="4" w:space="0" w:color="auto"/>
            </w:tcBorders>
          </w:tcPr>
          <w:p w14:paraId="26365474" w14:textId="77777777" w:rsidR="00B51828" w:rsidRDefault="00B51828" w:rsidP="002101D2">
            <w:pPr>
              <w:pStyle w:val="Tabletextcentred"/>
              <w:rPr>
                <w:szCs w:val="20"/>
              </w:rPr>
            </w:pPr>
            <w:r>
              <w:rPr>
                <w:szCs w:val="20"/>
              </w:rPr>
              <w:t>70.0%</w:t>
            </w:r>
          </w:p>
          <w:p w14:paraId="0D52A981" w14:textId="77777777" w:rsidR="00B51828" w:rsidRPr="00C34E92" w:rsidRDefault="00B51828" w:rsidP="002101D2">
            <w:pPr>
              <w:pStyle w:val="Tabletextcentred"/>
              <w:rPr>
                <w:szCs w:val="20"/>
              </w:rPr>
            </w:pPr>
            <w:r>
              <w:rPr>
                <w:szCs w:val="20"/>
              </w:rPr>
              <w:t>[10% to 90%]</w:t>
            </w:r>
          </w:p>
        </w:tc>
      </w:tr>
      <w:tr w:rsidR="00B51828" w14:paraId="57B79C71" w14:textId="77777777" w:rsidTr="002101D2">
        <w:trPr>
          <w:trHeight w:val="211"/>
        </w:trPr>
        <w:tc>
          <w:tcPr>
            <w:tcW w:w="11199" w:type="dxa"/>
            <w:tcBorders>
              <w:bottom w:val="single" w:sz="4" w:space="0" w:color="auto"/>
            </w:tcBorders>
            <w:shd w:val="clear" w:color="auto" w:fill="BFBFBF" w:themeFill="background1" w:themeFillShade="BF"/>
          </w:tcPr>
          <w:p w14:paraId="4C4A80C0" w14:textId="77777777" w:rsidR="00B51828" w:rsidRPr="004D1435" w:rsidRDefault="00B51828" w:rsidP="002101D2">
            <w:pPr>
              <w:pStyle w:val="Tabletextcentred"/>
              <w:spacing w:after="240"/>
              <w:jc w:val="left"/>
              <w:rPr>
                <w:b/>
              </w:rPr>
            </w:pPr>
            <w:r>
              <w:rPr>
                <w:b/>
              </w:rPr>
              <w:t>Part 2 – Non-gynaecological cytology</w:t>
            </w:r>
          </w:p>
        </w:tc>
        <w:tc>
          <w:tcPr>
            <w:tcW w:w="1275" w:type="dxa"/>
            <w:tcBorders>
              <w:bottom w:val="single" w:sz="4" w:space="0" w:color="auto"/>
            </w:tcBorders>
            <w:shd w:val="clear" w:color="auto" w:fill="BFBFBF" w:themeFill="background1" w:themeFillShade="BF"/>
          </w:tcPr>
          <w:p w14:paraId="613A16AC" w14:textId="77777777" w:rsidR="00B51828" w:rsidRPr="00844AC5" w:rsidRDefault="00B51828" w:rsidP="002101D2">
            <w:pPr>
              <w:pStyle w:val="Tabletextcentred"/>
              <w:rPr>
                <w:b/>
                <w:szCs w:val="20"/>
              </w:rPr>
            </w:pPr>
            <w:r>
              <w:rPr>
                <w:b/>
                <w:szCs w:val="20"/>
              </w:rPr>
              <w:t>N=7</w:t>
            </w:r>
          </w:p>
        </w:tc>
        <w:tc>
          <w:tcPr>
            <w:tcW w:w="1560" w:type="dxa"/>
            <w:tcBorders>
              <w:bottom w:val="single" w:sz="4" w:space="0" w:color="auto"/>
            </w:tcBorders>
            <w:shd w:val="clear" w:color="auto" w:fill="BFBFBF" w:themeFill="background1" w:themeFillShade="BF"/>
          </w:tcPr>
          <w:p w14:paraId="0C84A4EC" w14:textId="77777777" w:rsidR="00B51828" w:rsidRPr="00C34E92" w:rsidRDefault="00B51828" w:rsidP="002101D2">
            <w:pPr>
              <w:pStyle w:val="Tabletextcentred"/>
              <w:rPr>
                <w:szCs w:val="20"/>
              </w:rPr>
            </w:pPr>
            <w:r>
              <w:rPr>
                <w:szCs w:val="20"/>
              </w:rPr>
              <w:t>-</w:t>
            </w:r>
          </w:p>
        </w:tc>
      </w:tr>
      <w:tr w:rsidR="00B51828" w14:paraId="6AF87B9C" w14:textId="77777777" w:rsidTr="00616882">
        <w:trPr>
          <w:trHeight w:val="211"/>
        </w:trPr>
        <w:tc>
          <w:tcPr>
            <w:tcW w:w="11199" w:type="dxa"/>
            <w:tcBorders>
              <w:bottom w:val="single" w:sz="4" w:space="0" w:color="auto"/>
            </w:tcBorders>
          </w:tcPr>
          <w:p w14:paraId="39F9896C" w14:textId="77777777" w:rsidR="00B51828" w:rsidRPr="00096F4D" w:rsidRDefault="00B51828" w:rsidP="002101D2">
            <w:pPr>
              <w:pStyle w:val="Tabletextcentred"/>
              <w:spacing w:after="240"/>
              <w:jc w:val="left"/>
            </w:pPr>
            <w:r w:rsidRPr="004D1435">
              <w:t>Approximately 75% of all cytopathology claims received by the MBS relate to item 73053 (i.e. cytology of a smear from the cervix in women with no symptoms, signs or recent history suggestive of cervical neoplasia). Expert pathologists have suggested that a second, expert opinion for this and other gynaecological cytology items are rarely required.  As such, the following section relates to non-gynaecological cytology cases only.</w:t>
            </w:r>
          </w:p>
        </w:tc>
        <w:tc>
          <w:tcPr>
            <w:tcW w:w="1275" w:type="dxa"/>
            <w:tcBorders>
              <w:bottom w:val="single" w:sz="4" w:space="0" w:color="auto"/>
            </w:tcBorders>
          </w:tcPr>
          <w:p w14:paraId="3519BD11" w14:textId="77777777" w:rsidR="00B51828" w:rsidRPr="00C34E92" w:rsidRDefault="00B51828" w:rsidP="002101D2">
            <w:pPr>
              <w:pStyle w:val="Tabletextcentred"/>
              <w:rPr>
                <w:szCs w:val="20"/>
              </w:rPr>
            </w:pPr>
            <w:r>
              <w:rPr>
                <w:szCs w:val="20"/>
              </w:rPr>
              <w:t>-</w:t>
            </w:r>
          </w:p>
        </w:tc>
        <w:tc>
          <w:tcPr>
            <w:tcW w:w="1560" w:type="dxa"/>
            <w:tcBorders>
              <w:bottom w:val="single" w:sz="4" w:space="0" w:color="auto"/>
            </w:tcBorders>
          </w:tcPr>
          <w:p w14:paraId="3776FDEF" w14:textId="77777777" w:rsidR="00B51828" w:rsidRPr="00C34E92" w:rsidRDefault="00B51828" w:rsidP="002101D2">
            <w:pPr>
              <w:pStyle w:val="Tabletextcentred"/>
              <w:rPr>
                <w:szCs w:val="20"/>
              </w:rPr>
            </w:pPr>
            <w:r>
              <w:rPr>
                <w:szCs w:val="20"/>
              </w:rPr>
              <w:t>-</w:t>
            </w:r>
          </w:p>
        </w:tc>
      </w:tr>
      <w:tr w:rsidR="00B51828" w14:paraId="770179A2" w14:textId="77777777" w:rsidTr="00616882">
        <w:trPr>
          <w:trHeight w:val="197"/>
        </w:trPr>
        <w:tc>
          <w:tcPr>
            <w:tcW w:w="11199" w:type="dxa"/>
            <w:tcBorders>
              <w:top w:val="single" w:sz="4" w:space="0" w:color="auto"/>
              <w:bottom w:val="single" w:sz="4" w:space="0" w:color="auto"/>
            </w:tcBorders>
          </w:tcPr>
          <w:p w14:paraId="59AAFBF1" w14:textId="77777777" w:rsidR="00B51828" w:rsidRPr="00096F4D" w:rsidRDefault="00B51828" w:rsidP="00B51828">
            <w:pPr>
              <w:pStyle w:val="Tabletextcentred"/>
              <w:numPr>
                <w:ilvl w:val="3"/>
                <w:numId w:val="12"/>
              </w:numPr>
              <w:spacing w:after="240"/>
              <w:jc w:val="left"/>
            </w:pPr>
            <w:r w:rsidRPr="004D1435">
              <w:t>An expert opinion referral rate of 0.5% (Azam et al, 2002) was used as a starting point for estimating second, expert opinion referral rates for tissue pathology cases in Australia. Is it reasonable to assume that the proportion of initial non-gynaecological cytopathology cases that are referred for second, expert opinion in Australia across all types of pathology institutions (e.g. remote single-pathologist laboratories, pathology departments at large, metropolitan hospitals, tertiary treatment centres) is approximately 0.5%? If no, specify a figure.</w:t>
            </w:r>
          </w:p>
        </w:tc>
        <w:tc>
          <w:tcPr>
            <w:tcW w:w="1275" w:type="dxa"/>
            <w:tcBorders>
              <w:top w:val="single" w:sz="4" w:space="0" w:color="auto"/>
              <w:bottom w:val="single" w:sz="4" w:space="0" w:color="auto"/>
            </w:tcBorders>
          </w:tcPr>
          <w:p w14:paraId="0F903887"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0.33%</w:t>
            </w:r>
          </w:p>
          <w:p w14:paraId="2AD53CB4" w14:textId="77777777" w:rsidR="00B51828" w:rsidRPr="00C34E92" w:rsidRDefault="00B51828" w:rsidP="002101D2">
            <w:pPr>
              <w:pStyle w:val="Tabletextcentred"/>
              <w:rPr>
                <w:szCs w:val="20"/>
              </w:rPr>
            </w:pPr>
            <w:r>
              <w:rPr>
                <w:szCs w:val="20"/>
              </w:rPr>
              <w:t>(0.21%)</w:t>
            </w:r>
          </w:p>
        </w:tc>
        <w:tc>
          <w:tcPr>
            <w:tcW w:w="1560" w:type="dxa"/>
            <w:tcBorders>
              <w:top w:val="single" w:sz="4" w:space="0" w:color="auto"/>
              <w:bottom w:val="single" w:sz="4" w:space="0" w:color="auto"/>
            </w:tcBorders>
          </w:tcPr>
          <w:p w14:paraId="51869EEE" w14:textId="77777777" w:rsidR="00B51828" w:rsidRDefault="00B51828" w:rsidP="002101D2">
            <w:pPr>
              <w:pStyle w:val="Tabletextcentred"/>
              <w:rPr>
                <w:szCs w:val="20"/>
              </w:rPr>
            </w:pPr>
            <w:r>
              <w:rPr>
                <w:szCs w:val="20"/>
              </w:rPr>
              <w:t>0.5%</w:t>
            </w:r>
          </w:p>
          <w:p w14:paraId="348BECA0" w14:textId="77777777" w:rsidR="00B51828" w:rsidRPr="00C34E92" w:rsidRDefault="00B51828" w:rsidP="002101D2">
            <w:pPr>
              <w:pStyle w:val="Tabletextcentred"/>
              <w:rPr>
                <w:szCs w:val="20"/>
              </w:rPr>
            </w:pPr>
            <w:r>
              <w:rPr>
                <w:szCs w:val="20"/>
              </w:rPr>
              <w:t>[&lt;0.1% to 0.5%]</w:t>
            </w:r>
          </w:p>
        </w:tc>
      </w:tr>
      <w:tr w:rsidR="00B51828" w14:paraId="691E1956" w14:textId="77777777" w:rsidTr="00616882">
        <w:trPr>
          <w:trHeight w:val="197"/>
        </w:trPr>
        <w:tc>
          <w:tcPr>
            <w:tcW w:w="11199" w:type="dxa"/>
            <w:tcBorders>
              <w:top w:val="single" w:sz="4" w:space="0" w:color="auto"/>
              <w:bottom w:val="single" w:sz="4" w:space="0" w:color="auto"/>
            </w:tcBorders>
          </w:tcPr>
          <w:p w14:paraId="0EA42EF2" w14:textId="77777777" w:rsidR="00B51828" w:rsidRPr="00096F4D" w:rsidRDefault="00B51828" w:rsidP="00B51828">
            <w:pPr>
              <w:pStyle w:val="Tabletextcentred"/>
              <w:numPr>
                <w:ilvl w:val="3"/>
                <w:numId w:val="12"/>
              </w:numPr>
              <w:spacing w:after="240"/>
              <w:jc w:val="left"/>
            </w:pPr>
            <w:r w:rsidRPr="004D1435">
              <w:t>What is a reasonable estimate of the proportion of initial non-gynaecological cytopathology cases that would be referred for second, expert opinion in Australia if an MBS rebate was available? Note that the two proposed Schedule fees are $180 and $370 for second, expert opinions requiring ≤ or &gt;30 minutes of expert pathologist’s time, respectively.</w:t>
            </w:r>
          </w:p>
        </w:tc>
        <w:tc>
          <w:tcPr>
            <w:tcW w:w="1275" w:type="dxa"/>
            <w:tcBorders>
              <w:top w:val="single" w:sz="4" w:space="0" w:color="auto"/>
              <w:bottom w:val="single" w:sz="4" w:space="0" w:color="auto"/>
            </w:tcBorders>
          </w:tcPr>
          <w:p w14:paraId="4BA9AD64"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1.17%</w:t>
            </w:r>
          </w:p>
          <w:p w14:paraId="476DA700" w14:textId="77777777" w:rsidR="00B51828" w:rsidRPr="00C34E92" w:rsidRDefault="00B51828" w:rsidP="002101D2">
            <w:pPr>
              <w:pStyle w:val="Tabletextcentred"/>
              <w:rPr>
                <w:szCs w:val="20"/>
              </w:rPr>
            </w:pPr>
            <w:r>
              <w:rPr>
                <w:szCs w:val="20"/>
              </w:rPr>
              <w:t>(1.73%)</w:t>
            </w:r>
          </w:p>
        </w:tc>
        <w:tc>
          <w:tcPr>
            <w:tcW w:w="1560" w:type="dxa"/>
            <w:tcBorders>
              <w:top w:val="single" w:sz="4" w:space="0" w:color="auto"/>
              <w:bottom w:val="single" w:sz="4" w:space="0" w:color="auto"/>
            </w:tcBorders>
          </w:tcPr>
          <w:p w14:paraId="54AC8463" w14:textId="77777777" w:rsidR="00B51828" w:rsidRDefault="00B51828" w:rsidP="002101D2">
            <w:pPr>
              <w:pStyle w:val="Tabletextcentred"/>
              <w:rPr>
                <w:szCs w:val="20"/>
              </w:rPr>
            </w:pPr>
            <w:r>
              <w:rPr>
                <w:szCs w:val="20"/>
              </w:rPr>
              <w:t>0.5%</w:t>
            </w:r>
          </w:p>
          <w:p w14:paraId="795FBE8D" w14:textId="77777777" w:rsidR="00B51828" w:rsidRPr="00C34E92" w:rsidRDefault="00B51828" w:rsidP="002101D2">
            <w:pPr>
              <w:pStyle w:val="Tabletextcentred"/>
              <w:rPr>
                <w:szCs w:val="20"/>
              </w:rPr>
            </w:pPr>
            <w:r>
              <w:rPr>
                <w:szCs w:val="20"/>
              </w:rPr>
              <w:t>[&lt;0.1% to &lt;5%]</w:t>
            </w:r>
          </w:p>
        </w:tc>
      </w:tr>
      <w:tr w:rsidR="00B51828" w14:paraId="2C9797C3" w14:textId="77777777" w:rsidTr="00616882">
        <w:trPr>
          <w:trHeight w:val="197"/>
        </w:trPr>
        <w:tc>
          <w:tcPr>
            <w:tcW w:w="11199" w:type="dxa"/>
            <w:tcBorders>
              <w:top w:val="single" w:sz="4" w:space="0" w:color="auto"/>
              <w:bottom w:val="single" w:sz="4" w:space="0" w:color="auto"/>
            </w:tcBorders>
          </w:tcPr>
          <w:p w14:paraId="42BEEAA8" w14:textId="77777777" w:rsidR="00B51828" w:rsidRPr="00096F4D" w:rsidRDefault="00B51828" w:rsidP="00B51828">
            <w:pPr>
              <w:pStyle w:val="Tabletextcentred"/>
              <w:numPr>
                <w:ilvl w:val="3"/>
                <w:numId w:val="12"/>
              </w:numPr>
              <w:spacing w:after="240"/>
              <w:jc w:val="left"/>
            </w:pPr>
            <w:r w:rsidRPr="004D1435">
              <w:t xml:space="preserve">The study by Azam et al (2002) found that approximately 85% of tissue pathology requests for a second, expert opinion on tissue pathology </w:t>
            </w:r>
            <w:r w:rsidRPr="004D1435">
              <w:lastRenderedPageBreak/>
              <w:t>samples were initiated by the pathologist. Does this reflect current referral patterns for non-gynaecological cytopathology in Australia, assuming that all referrals are from the initial pathologist, the clinician who requested the initial pathology, or the clinician in charge of treatment? If no, specify a figure.</w:t>
            </w:r>
          </w:p>
        </w:tc>
        <w:tc>
          <w:tcPr>
            <w:tcW w:w="1275" w:type="dxa"/>
            <w:tcBorders>
              <w:top w:val="single" w:sz="4" w:space="0" w:color="auto"/>
              <w:bottom w:val="single" w:sz="4" w:space="0" w:color="auto"/>
            </w:tcBorders>
          </w:tcPr>
          <w:p w14:paraId="313D16E2"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lastRenderedPageBreak/>
              <w:t>76.43%</w:t>
            </w:r>
          </w:p>
          <w:p w14:paraId="0FA3AC81" w14:textId="77777777" w:rsidR="00B51828" w:rsidRPr="00C34E92" w:rsidRDefault="00B51828" w:rsidP="002101D2">
            <w:pPr>
              <w:pStyle w:val="Tabletextcentred"/>
              <w:rPr>
                <w:szCs w:val="20"/>
              </w:rPr>
            </w:pPr>
            <w:r>
              <w:rPr>
                <w:szCs w:val="20"/>
              </w:rPr>
              <w:lastRenderedPageBreak/>
              <w:t>(26.10%)</w:t>
            </w:r>
          </w:p>
        </w:tc>
        <w:tc>
          <w:tcPr>
            <w:tcW w:w="1560" w:type="dxa"/>
            <w:tcBorders>
              <w:top w:val="single" w:sz="4" w:space="0" w:color="auto"/>
              <w:bottom w:val="single" w:sz="4" w:space="0" w:color="auto"/>
            </w:tcBorders>
          </w:tcPr>
          <w:p w14:paraId="151D8085" w14:textId="77777777" w:rsidR="00B51828" w:rsidRDefault="00B51828" w:rsidP="002101D2">
            <w:pPr>
              <w:pStyle w:val="Tabletextcentred"/>
              <w:rPr>
                <w:szCs w:val="20"/>
              </w:rPr>
            </w:pPr>
            <w:r>
              <w:rPr>
                <w:szCs w:val="20"/>
              </w:rPr>
              <w:lastRenderedPageBreak/>
              <w:t>85.0%</w:t>
            </w:r>
          </w:p>
          <w:p w14:paraId="27D835E0" w14:textId="77777777" w:rsidR="00B51828" w:rsidRPr="00C34E92" w:rsidRDefault="00B51828" w:rsidP="002101D2">
            <w:pPr>
              <w:pStyle w:val="Tabletextcentred"/>
              <w:rPr>
                <w:szCs w:val="20"/>
              </w:rPr>
            </w:pPr>
            <w:r>
              <w:rPr>
                <w:szCs w:val="20"/>
              </w:rPr>
              <w:lastRenderedPageBreak/>
              <w:t>[50% to 100%]</w:t>
            </w:r>
          </w:p>
        </w:tc>
      </w:tr>
      <w:tr w:rsidR="00B51828" w14:paraId="4E019F73" w14:textId="77777777" w:rsidTr="00616882">
        <w:trPr>
          <w:trHeight w:val="197"/>
        </w:trPr>
        <w:tc>
          <w:tcPr>
            <w:tcW w:w="11199" w:type="dxa"/>
            <w:tcBorders>
              <w:top w:val="single" w:sz="4" w:space="0" w:color="auto"/>
              <w:bottom w:val="single" w:sz="4" w:space="0" w:color="auto"/>
            </w:tcBorders>
          </w:tcPr>
          <w:p w14:paraId="4EA5CEF5" w14:textId="77777777" w:rsidR="00B51828" w:rsidRPr="00096F4D" w:rsidRDefault="00B51828" w:rsidP="00B51828">
            <w:pPr>
              <w:pStyle w:val="Tabletextcentred"/>
              <w:numPr>
                <w:ilvl w:val="3"/>
                <w:numId w:val="12"/>
              </w:numPr>
              <w:spacing w:after="240"/>
              <w:jc w:val="left"/>
            </w:pPr>
            <w:r w:rsidRPr="004D1435">
              <w:lastRenderedPageBreak/>
              <w:t>If an MBS rebate was available for cytopathology second, expert opinions, what proportion of requests for a second, expert opinion are likely to be initiated by the pathologist (</w:t>
            </w:r>
            <w:r w:rsidRPr="00154CBB">
              <w:t xml:space="preserve">see </w:t>
            </w:r>
            <w:r>
              <w:t>Question 10</w:t>
            </w:r>
            <w:r w:rsidRPr="00F22D49">
              <w:t xml:space="preserve"> for</w:t>
            </w:r>
            <w:r w:rsidRPr="004D1435">
              <w:t xml:space="preserve"> the proposed MBS fee)?</w:t>
            </w:r>
          </w:p>
        </w:tc>
        <w:tc>
          <w:tcPr>
            <w:tcW w:w="1275" w:type="dxa"/>
            <w:tcBorders>
              <w:top w:val="single" w:sz="4" w:space="0" w:color="auto"/>
              <w:bottom w:val="single" w:sz="4" w:space="0" w:color="auto"/>
            </w:tcBorders>
          </w:tcPr>
          <w:p w14:paraId="4A0172E8" w14:textId="0AB44AFC"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5</w:t>
            </w:r>
            <w:r w:rsidR="001C42A1">
              <w:rPr>
                <w:rFonts w:ascii="Arial Narrow" w:hAnsi="Arial Narrow"/>
                <w:color w:val="000000"/>
                <w:sz w:val="20"/>
                <w:szCs w:val="20"/>
              </w:rPr>
              <w:t>9</w:t>
            </w:r>
            <w:r w:rsidRPr="00C34E92">
              <w:rPr>
                <w:rFonts w:ascii="Arial Narrow" w:hAnsi="Arial Narrow"/>
                <w:color w:val="000000"/>
                <w:sz w:val="20"/>
                <w:szCs w:val="20"/>
              </w:rPr>
              <w:t>.</w:t>
            </w:r>
            <w:r w:rsidR="001C42A1">
              <w:rPr>
                <w:rFonts w:ascii="Arial Narrow" w:hAnsi="Arial Narrow"/>
                <w:color w:val="000000"/>
                <w:sz w:val="20"/>
                <w:szCs w:val="20"/>
              </w:rPr>
              <w:t>50</w:t>
            </w:r>
            <w:r w:rsidRPr="00C34E92">
              <w:rPr>
                <w:rFonts w:ascii="Arial Narrow" w:hAnsi="Arial Narrow"/>
                <w:color w:val="000000"/>
                <w:sz w:val="20"/>
                <w:szCs w:val="20"/>
              </w:rPr>
              <w:t>%</w:t>
            </w:r>
          </w:p>
          <w:p w14:paraId="34A20952" w14:textId="215C1216" w:rsidR="00B51828" w:rsidRPr="00C34E92" w:rsidRDefault="00B51828" w:rsidP="001C42A1">
            <w:pPr>
              <w:spacing w:after="0"/>
              <w:ind w:left="0"/>
              <w:jc w:val="center"/>
              <w:rPr>
                <w:rFonts w:ascii="Arial Narrow" w:hAnsi="Arial Narrow"/>
                <w:sz w:val="20"/>
                <w:szCs w:val="20"/>
              </w:rPr>
            </w:pPr>
            <w:r>
              <w:rPr>
                <w:rFonts w:ascii="Arial Narrow" w:hAnsi="Arial Narrow"/>
                <w:sz w:val="20"/>
                <w:szCs w:val="20"/>
              </w:rPr>
              <w:t>(4</w:t>
            </w:r>
            <w:r w:rsidR="001C42A1">
              <w:rPr>
                <w:rFonts w:ascii="Arial Narrow" w:hAnsi="Arial Narrow"/>
                <w:sz w:val="20"/>
                <w:szCs w:val="20"/>
              </w:rPr>
              <w:t>0.96</w:t>
            </w:r>
            <w:r>
              <w:rPr>
                <w:rFonts w:ascii="Arial Narrow" w:hAnsi="Arial Narrow"/>
                <w:sz w:val="20"/>
                <w:szCs w:val="20"/>
              </w:rPr>
              <w:t>%)</w:t>
            </w:r>
          </w:p>
        </w:tc>
        <w:tc>
          <w:tcPr>
            <w:tcW w:w="1560" w:type="dxa"/>
            <w:tcBorders>
              <w:top w:val="single" w:sz="4" w:space="0" w:color="auto"/>
              <w:bottom w:val="single" w:sz="4" w:space="0" w:color="auto"/>
            </w:tcBorders>
          </w:tcPr>
          <w:p w14:paraId="474C5CDD" w14:textId="77777777" w:rsidR="00B51828" w:rsidRDefault="00B51828" w:rsidP="002101D2">
            <w:pPr>
              <w:pStyle w:val="Tabletextcentred"/>
              <w:rPr>
                <w:szCs w:val="20"/>
              </w:rPr>
            </w:pPr>
            <w:r>
              <w:rPr>
                <w:szCs w:val="20"/>
              </w:rPr>
              <w:t>85.0%</w:t>
            </w:r>
          </w:p>
          <w:p w14:paraId="57936E77" w14:textId="77777777" w:rsidR="00B51828" w:rsidRPr="00C34E92" w:rsidRDefault="00B51828" w:rsidP="002101D2">
            <w:pPr>
              <w:pStyle w:val="Tabletextcentred"/>
              <w:rPr>
                <w:szCs w:val="20"/>
              </w:rPr>
            </w:pPr>
            <w:r>
              <w:rPr>
                <w:szCs w:val="20"/>
              </w:rPr>
              <w:t>[1-2% to 100%]</w:t>
            </w:r>
          </w:p>
        </w:tc>
      </w:tr>
      <w:tr w:rsidR="00B51828" w14:paraId="633737CB" w14:textId="77777777" w:rsidTr="00616882">
        <w:trPr>
          <w:trHeight w:val="197"/>
        </w:trPr>
        <w:tc>
          <w:tcPr>
            <w:tcW w:w="11199" w:type="dxa"/>
            <w:tcBorders>
              <w:top w:val="single" w:sz="4" w:space="0" w:color="auto"/>
              <w:bottom w:val="nil"/>
            </w:tcBorders>
          </w:tcPr>
          <w:p w14:paraId="2F4EDEE9" w14:textId="77777777" w:rsidR="00B51828" w:rsidRPr="00096F4D" w:rsidRDefault="00B51828" w:rsidP="00B51828">
            <w:pPr>
              <w:pStyle w:val="Tabletextcentred"/>
              <w:numPr>
                <w:ilvl w:val="3"/>
                <w:numId w:val="12"/>
              </w:numPr>
              <w:spacing w:after="240"/>
              <w:jc w:val="left"/>
            </w:pPr>
            <w:r w:rsidRPr="004D1435">
              <w:t>It is expected that difficult cytopathology cases would be referred to a pathologist with particular expertise in the condition or type of disease.  Due to their expertise, some cases considered difficult by the initial pathologist may be relatively straightforward or ‘non-complex’ for the expert pathologist.  Non-complex cases may be defined as those that take up to 30 minutes for an expert pathologist to review, while ‘complex’ cases may be defined as cases which involve over 30 minutes of the expert pathologist’s time (excluding administrative tasks such as unpacking, accessioning, data entry etc.).</w:t>
            </w:r>
          </w:p>
        </w:tc>
        <w:tc>
          <w:tcPr>
            <w:tcW w:w="1275" w:type="dxa"/>
            <w:tcBorders>
              <w:top w:val="single" w:sz="4" w:space="0" w:color="auto"/>
              <w:bottom w:val="nil"/>
            </w:tcBorders>
          </w:tcPr>
          <w:p w14:paraId="7FCA6C34" w14:textId="77777777" w:rsidR="00B51828" w:rsidRPr="00C34E92" w:rsidRDefault="00B51828" w:rsidP="002101D2">
            <w:pPr>
              <w:spacing w:after="0"/>
              <w:ind w:left="0"/>
              <w:jc w:val="center"/>
              <w:rPr>
                <w:rFonts w:ascii="Arial Narrow" w:hAnsi="Arial Narrow"/>
                <w:sz w:val="20"/>
                <w:szCs w:val="20"/>
              </w:rPr>
            </w:pPr>
            <w:r>
              <w:rPr>
                <w:rFonts w:ascii="Arial Narrow" w:hAnsi="Arial Narrow"/>
                <w:sz w:val="20"/>
                <w:szCs w:val="20"/>
              </w:rPr>
              <w:t>-</w:t>
            </w:r>
          </w:p>
        </w:tc>
        <w:tc>
          <w:tcPr>
            <w:tcW w:w="1560" w:type="dxa"/>
            <w:tcBorders>
              <w:top w:val="single" w:sz="4" w:space="0" w:color="auto"/>
              <w:bottom w:val="nil"/>
            </w:tcBorders>
          </w:tcPr>
          <w:p w14:paraId="13A605BF" w14:textId="77777777" w:rsidR="00B51828" w:rsidRPr="00C34E92" w:rsidRDefault="00B51828" w:rsidP="002101D2">
            <w:pPr>
              <w:pStyle w:val="Tabletextcentred"/>
              <w:rPr>
                <w:szCs w:val="20"/>
              </w:rPr>
            </w:pPr>
            <w:r>
              <w:rPr>
                <w:szCs w:val="20"/>
              </w:rPr>
              <w:t>-</w:t>
            </w:r>
          </w:p>
        </w:tc>
      </w:tr>
      <w:tr w:rsidR="00B51828" w14:paraId="4AB9C1EA" w14:textId="77777777" w:rsidTr="002101D2">
        <w:trPr>
          <w:trHeight w:val="197"/>
        </w:trPr>
        <w:tc>
          <w:tcPr>
            <w:tcW w:w="11199" w:type="dxa"/>
            <w:tcBorders>
              <w:top w:val="nil"/>
              <w:bottom w:val="nil"/>
            </w:tcBorders>
          </w:tcPr>
          <w:p w14:paraId="5864448E" w14:textId="77777777" w:rsidR="00B51828" w:rsidRPr="00096F4D" w:rsidRDefault="00B51828" w:rsidP="00B51828">
            <w:pPr>
              <w:pStyle w:val="Tabletextcentred"/>
              <w:numPr>
                <w:ilvl w:val="0"/>
                <w:numId w:val="45"/>
              </w:numPr>
              <w:spacing w:after="240"/>
              <w:jc w:val="left"/>
            </w:pPr>
            <w:r w:rsidRPr="004D1435">
              <w:t>In your opinion, what proportion of non-gynaecological cytopathology cases that are referred by a pathologist for expert opinion are ‘complex’, involving over 30 minutes of the expert pathologist’s time?</w:t>
            </w:r>
          </w:p>
        </w:tc>
        <w:tc>
          <w:tcPr>
            <w:tcW w:w="1275" w:type="dxa"/>
            <w:tcBorders>
              <w:top w:val="nil"/>
              <w:bottom w:val="nil"/>
            </w:tcBorders>
          </w:tcPr>
          <w:p w14:paraId="19A6E550"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19.29%</w:t>
            </w:r>
          </w:p>
          <w:p w14:paraId="32B7ECDB" w14:textId="77777777" w:rsidR="00B51828" w:rsidRPr="00C34E92" w:rsidRDefault="00B51828" w:rsidP="002101D2">
            <w:pPr>
              <w:pStyle w:val="Tabletextcentred"/>
              <w:rPr>
                <w:szCs w:val="20"/>
              </w:rPr>
            </w:pPr>
            <w:r>
              <w:rPr>
                <w:szCs w:val="20"/>
              </w:rPr>
              <w:t>(18.80%)</w:t>
            </w:r>
          </w:p>
        </w:tc>
        <w:tc>
          <w:tcPr>
            <w:tcW w:w="1560" w:type="dxa"/>
            <w:tcBorders>
              <w:top w:val="nil"/>
              <w:bottom w:val="nil"/>
            </w:tcBorders>
          </w:tcPr>
          <w:p w14:paraId="55064947" w14:textId="77777777" w:rsidR="00B51828" w:rsidRDefault="00B51828" w:rsidP="002101D2">
            <w:pPr>
              <w:pStyle w:val="Tabletextcentred"/>
              <w:rPr>
                <w:szCs w:val="20"/>
              </w:rPr>
            </w:pPr>
            <w:r>
              <w:rPr>
                <w:szCs w:val="20"/>
              </w:rPr>
              <w:t>10.0%</w:t>
            </w:r>
          </w:p>
          <w:p w14:paraId="6D35F9B7" w14:textId="77777777" w:rsidR="00B51828" w:rsidRPr="00C34E92" w:rsidRDefault="00B51828" w:rsidP="002101D2">
            <w:pPr>
              <w:pStyle w:val="Tabletextcentred"/>
              <w:rPr>
                <w:szCs w:val="20"/>
              </w:rPr>
            </w:pPr>
            <w:r>
              <w:rPr>
                <w:szCs w:val="20"/>
              </w:rPr>
              <w:t>[0% to 50%]</w:t>
            </w:r>
          </w:p>
        </w:tc>
      </w:tr>
      <w:tr w:rsidR="00B51828" w14:paraId="214B43C1" w14:textId="77777777" w:rsidTr="00616882">
        <w:trPr>
          <w:trHeight w:val="197"/>
        </w:trPr>
        <w:tc>
          <w:tcPr>
            <w:tcW w:w="11199" w:type="dxa"/>
            <w:tcBorders>
              <w:top w:val="nil"/>
              <w:bottom w:val="single" w:sz="4" w:space="0" w:color="auto"/>
            </w:tcBorders>
          </w:tcPr>
          <w:p w14:paraId="5350FF28" w14:textId="77777777" w:rsidR="00B51828" w:rsidRPr="00096F4D" w:rsidRDefault="00B51828" w:rsidP="00B51828">
            <w:pPr>
              <w:pStyle w:val="Tabletextcentred"/>
              <w:numPr>
                <w:ilvl w:val="0"/>
                <w:numId w:val="45"/>
              </w:numPr>
              <w:spacing w:after="240"/>
              <w:jc w:val="left"/>
            </w:pPr>
            <w:r w:rsidRPr="004D1435">
              <w:t>In your opinion, what proportion of non-gynaecological cytopathology cases that are referred by a clinician for expert opinion are ‘complex’, involving over 30 minutes of the expert pathologist’s time?</w:t>
            </w:r>
          </w:p>
        </w:tc>
        <w:tc>
          <w:tcPr>
            <w:tcW w:w="1275" w:type="dxa"/>
            <w:tcBorders>
              <w:top w:val="nil"/>
              <w:bottom w:val="single" w:sz="4" w:space="0" w:color="auto"/>
            </w:tcBorders>
          </w:tcPr>
          <w:p w14:paraId="65597081" w14:textId="77777777" w:rsidR="00B51828" w:rsidRPr="008E75DA" w:rsidRDefault="00B51828" w:rsidP="002101D2">
            <w:pPr>
              <w:spacing w:after="0"/>
              <w:ind w:left="0"/>
              <w:jc w:val="center"/>
              <w:rPr>
                <w:rFonts w:ascii="Arial Narrow" w:hAnsi="Arial Narrow"/>
                <w:color w:val="000000"/>
                <w:sz w:val="20"/>
                <w:szCs w:val="20"/>
                <w:vertAlign w:val="superscript"/>
              </w:rPr>
            </w:pPr>
            <w:r w:rsidRPr="008E75DA">
              <w:rPr>
                <w:rFonts w:ascii="Arial Narrow" w:hAnsi="Arial Narrow"/>
                <w:color w:val="000000"/>
                <w:sz w:val="20"/>
                <w:szCs w:val="20"/>
              </w:rPr>
              <w:t>18.33%</w:t>
            </w:r>
          </w:p>
          <w:p w14:paraId="333DEFF0" w14:textId="77777777" w:rsidR="00B51828" w:rsidRPr="008E75DA" w:rsidRDefault="00B51828" w:rsidP="002101D2">
            <w:pPr>
              <w:pStyle w:val="Tabletextcentred"/>
              <w:rPr>
                <w:szCs w:val="20"/>
              </w:rPr>
            </w:pPr>
            <w:r>
              <w:rPr>
                <w:szCs w:val="20"/>
              </w:rPr>
              <w:t>(19.15%)</w:t>
            </w:r>
          </w:p>
        </w:tc>
        <w:tc>
          <w:tcPr>
            <w:tcW w:w="1560" w:type="dxa"/>
            <w:tcBorders>
              <w:top w:val="nil"/>
              <w:bottom w:val="single" w:sz="4" w:space="0" w:color="auto"/>
            </w:tcBorders>
          </w:tcPr>
          <w:p w14:paraId="6A2A9351" w14:textId="77777777" w:rsidR="00B51828" w:rsidRDefault="00B51828" w:rsidP="002101D2">
            <w:pPr>
              <w:pStyle w:val="Tabletextcentred"/>
              <w:rPr>
                <w:szCs w:val="20"/>
              </w:rPr>
            </w:pPr>
            <w:r>
              <w:rPr>
                <w:szCs w:val="20"/>
              </w:rPr>
              <w:t>12.5%</w:t>
            </w:r>
          </w:p>
          <w:p w14:paraId="7E626F0D" w14:textId="77777777" w:rsidR="00B51828" w:rsidRPr="00C34E92" w:rsidRDefault="00B51828" w:rsidP="002101D2">
            <w:pPr>
              <w:pStyle w:val="Tabletextcentred"/>
              <w:rPr>
                <w:szCs w:val="20"/>
              </w:rPr>
            </w:pPr>
            <w:r>
              <w:rPr>
                <w:szCs w:val="20"/>
              </w:rPr>
              <w:t>[0% to 50%]</w:t>
            </w:r>
          </w:p>
        </w:tc>
      </w:tr>
      <w:tr w:rsidR="00B51828" w14:paraId="4A6AFAE4" w14:textId="77777777" w:rsidTr="00616882">
        <w:trPr>
          <w:trHeight w:val="197"/>
        </w:trPr>
        <w:tc>
          <w:tcPr>
            <w:tcW w:w="11199" w:type="dxa"/>
            <w:tcBorders>
              <w:top w:val="single" w:sz="4" w:space="0" w:color="auto"/>
              <w:bottom w:val="nil"/>
            </w:tcBorders>
          </w:tcPr>
          <w:p w14:paraId="5F730AAB" w14:textId="77777777" w:rsidR="00B51828" w:rsidRPr="00096F4D" w:rsidRDefault="00B51828" w:rsidP="00B51828">
            <w:pPr>
              <w:pStyle w:val="Tabletextcentred"/>
              <w:numPr>
                <w:ilvl w:val="3"/>
                <w:numId w:val="12"/>
              </w:numPr>
              <w:spacing w:after="240"/>
              <w:jc w:val="left"/>
            </w:pPr>
            <w:r w:rsidRPr="004D1435">
              <w:t>If an MBS rebate was available for pathology second, expert opinions:</w:t>
            </w:r>
          </w:p>
        </w:tc>
        <w:tc>
          <w:tcPr>
            <w:tcW w:w="1275" w:type="dxa"/>
            <w:tcBorders>
              <w:top w:val="single" w:sz="4" w:space="0" w:color="auto"/>
              <w:bottom w:val="nil"/>
            </w:tcBorders>
          </w:tcPr>
          <w:p w14:paraId="5B6D2DDE" w14:textId="77777777" w:rsidR="00B51828" w:rsidRPr="008E75DA" w:rsidRDefault="00B51828" w:rsidP="002101D2">
            <w:pPr>
              <w:pStyle w:val="Tabletextcentred"/>
              <w:rPr>
                <w:szCs w:val="20"/>
              </w:rPr>
            </w:pPr>
            <w:r>
              <w:rPr>
                <w:szCs w:val="20"/>
              </w:rPr>
              <w:t>-</w:t>
            </w:r>
          </w:p>
        </w:tc>
        <w:tc>
          <w:tcPr>
            <w:tcW w:w="1560" w:type="dxa"/>
            <w:tcBorders>
              <w:top w:val="single" w:sz="4" w:space="0" w:color="auto"/>
              <w:bottom w:val="nil"/>
            </w:tcBorders>
          </w:tcPr>
          <w:p w14:paraId="06857F22" w14:textId="77777777" w:rsidR="00B51828" w:rsidRPr="00C34E92" w:rsidRDefault="00B51828" w:rsidP="002101D2">
            <w:pPr>
              <w:pStyle w:val="Tabletextcentred"/>
              <w:rPr>
                <w:szCs w:val="20"/>
              </w:rPr>
            </w:pPr>
            <w:r>
              <w:rPr>
                <w:szCs w:val="20"/>
              </w:rPr>
              <w:t>-</w:t>
            </w:r>
          </w:p>
        </w:tc>
      </w:tr>
      <w:tr w:rsidR="00B51828" w14:paraId="3E8173D1" w14:textId="77777777" w:rsidTr="002101D2">
        <w:trPr>
          <w:trHeight w:val="197"/>
        </w:trPr>
        <w:tc>
          <w:tcPr>
            <w:tcW w:w="11199" w:type="dxa"/>
            <w:tcBorders>
              <w:top w:val="nil"/>
              <w:bottom w:val="nil"/>
            </w:tcBorders>
          </w:tcPr>
          <w:p w14:paraId="0527D7DF" w14:textId="77777777" w:rsidR="00B51828" w:rsidRPr="004D1435" w:rsidRDefault="00B51828" w:rsidP="00B51828">
            <w:pPr>
              <w:pStyle w:val="Tabletextcentred"/>
              <w:numPr>
                <w:ilvl w:val="0"/>
                <w:numId w:val="46"/>
              </w:numPr>
              <w:spacing w:after="240"/>
              <w:jc w:val="left"/>
            </w:pPr>
            <w:r w:rsidRPr="004D1435">
              <w:t>What proportion of non-gynaecological cytopathology cases that are referred by a pathologist for expert opinion would be ‘complex’, involving over 30 minutes of the expert pathologist’s time?</w:t>
            </w:r>
          </w:p>
        </w:tc>
        <w:tc>
          <w:tcPr>
            <w:tcW w:w="1275" w:type="dxa"/>
            <w:tcBorders>
              <w:top w:val="nil"/>
              <w:bottom w:val="nil"/>
            </w:tcBorders>
          </w:tcPr>
          <w:p w14:paraId="64912DB9" w14:textId="77777777" w:rsidR="00B51828" w:rsidRPr="008E75DA" w:rsidRDefault="00B51828" w:rsidP="002101D2">
            <w:pPr>
              <w:spacing w:after="0"/>
              <w:ind w:left="0"/>
              <w:jc w:val="center"/>
              <w:rPr>
                <w:rFonts w:ascii="Arial Narrow" w:hAnsi="Arial Narrow"/>
                <w:color w:val="000000"/>
                <w:sz w:val="20"/>
                <w:szCs w:val="20"/>
              </w:rPr>
            </w:pPr>
            <w:r w:rsidRPr="008E75DA">
              <w:rPr>
                <w:rFonts w:ascii="Arial Narrow" w:hAnsi="Arial Narrow"/>
                <w:color w:val="000000"/>
                <w:sz w:val="20"/>
                <w:szCs w:val="20"/>
              </w:rPr>
              <w:t>18.57%</w:t>
            </w:r>
          </w:p>
          <w:p w14:paraId="3093F663" w14:textId="77777777" w:rsidR="00B51828" w:rsidRPr="008E75DA"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(19.30%)</w:t>
            </w:r>
          </w:p>
        </w:tc>
        <w:tc>
          <w:tcPr>
            <w:tcW w:w="1560" w:type="dxa"/>
            <w:tcBorders>
              <w:top w:val="nil"/>
              <w:bottom w:val="nil"/>
            </w:tcBorders>
          </w:tcPr>
          <w:p w14:paraId="3760082F" w14:textId="77777777" w:rsidR="00B51828" w:rsidRDefault="00B51828" w:rsidP="002101D2">
            <w:pPr>
              <w:pStyle w:val="Tabletextcentred"/>
              <w:rPr>
                <w:szCs w:val="20"/>
              </w:rPr>
            </w:pPr>
            <w:r>
              <w:rPr>
                <w:szCs w:val="20"/>
              </w:rPr>
              <w:t>10.0%</w:t>
            </w:r>
          </w:p>
          <w:p w14:paraId="7A26D334" w14:textId="77777777" w:rsidR="00B51828" w:rsidRPr="00C34E92" w:rsidRDefault="00B51828" w:rsidP="002101D2">
            <w:pPr>
              <w:pStyle w:val="Tabletextcentred"/>
              <w:rPr>
                <w:szCs w:val="20"/>
              </w:rPr>
            </w:pPr>
            <w:r>
              <w:rPr>
                <w:szCs w:val="20"/>
              </w:rPr>
              <w:t>[0% to 50%]</w:t>
            </w:r>
          </w:p>
        </w:tc>
      </w:tr>
      <w:tr w:rsidR="00B51828" w14:paraId="6792F6EC" w14:textId="77777777" w:rsidTr="00616882">
        <w:trPr>
          <w:trHeight w:val="197"/>
        </w:trPr>
        <w:tc>
          <w:tcPr>
            <w:tcW w:w="11199" w:type="dxa"/>
            <w:tcBorders>
              <w:top w:val="nil"/>
              <w:bottom w:val="single" w:sz="4" w:space="0" w:color="auto"/>
            </w:tcBorders>
          </w:tcPr>
          <w:p w14:paraId="0744F192" w14:textId="77777777" w:rsidR="00B51828" w:rsidRPr="004D1435" w:rsidRDefault="00B51828" w:rsidP="00B51828">
            <w:pPr>
              <w:pStyle w:val="Tabletextcentred"/>
              <w:numPr>
                <w:ilvl w:val="0"/>
                <w:numId w:val="46"/>
              </w:numPr>
              <w:spacing w:after="240"/>
              <w:jc w:val="left"/>
            </w:pPr>
            <w:r w:rsidRPr="004D1435">
              <w:t>What proportion of non-gynaecological cytopathology cases that are referred by a clinician for expert opinion would be ‘complex’, involving over 30 minutes of the expert pathologist’s time?</w:t>
            </w:r>
          </w:p>
        </w:tc>
        <w:tc>
          <w:tcPr>
            <w:tcW w:w="1275" w:type="dxa"/>
            <w:tcBorders>
              <w:top w:val="nil"/>
              <w:bottom w:val="single" w:sz="4" w:space="0" w:color="auto"/>
            </w:tcBorders>
          </w:tcPr>
          <w:p w14:paraId="7AF41CF1" w14:textId="77777777" w:rsidR="00B51828" w:rsidRPr="008E75DA" w:rsidRDefault="00B51828" w:rsidP="002101D2">
            <w:pPr>
              <w:spacing w:after="0"/>
              <w:ind w:left="0"/>
              <w:jc w:val="center"/>
              <w:rPr>
                <w:rFonts w:ascii="Arial Narrow" w:hAnsi="Arial Narrow"/>
                <w:color w:val="000000"/>
                <w:sz w:val="20"/>
                <w:szCs w:val="20"/>
              </w:rPr>
            </w:pPr>
            <w:r w:rsidRPr="008E75DA">
              <w:rPr>
                <w:rFonts w:ascii="Arial Narrow" w:hAnsi="Arial Narrow"/>
                <w:color w:val="000000"/>
                <w:sz w:val="20"/>
                <w:szCs w:val="20"/>
              </w:rPr>
              <w:t>18.33%</w:t>
            </w:r>
          </w:p>
          <w:p w14:paraId="02073E85"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(19.15%)</w:t>
            </w:r>
          </w:p>
        </w:tc>
        <w:tc>
          <w:tcPr>
            <w:tcW w:w="1560" w:type="dxa"/>
            <w:tcBorders>
              <w:top w:val="nil"/>
              <w:bottom w:val="single" w:sz="4" w:space="0" w:color="auto"/>
            </w:tcBorders>
          </w:tcPr>
          <w:p w14:paraId="6AF61642" w14:textId="77777777" w:rsidR="00B51828" w:rsidRDefault="00B51828" w:rsidP="002101D2">
            <w:pPr>
              <w:pStyle w:val="Tabletextcentred"/>
              <w:rPr>
                <w:szCs w:val="20"/>
              </w:rPr>
            </w:pPr>
            <w:r>
              <w:rPr>
                <w:szCs w:val="20"/>
              </w:rPr>
              <w:t>12.5%</w:t>
            </w:r>
          </w:p>
          <w:p w14:paraId="7DC0C6AE" w14:textId="77777777" w:rsidR="00B51828" w:rsidRPr="00C34E92" w:rsidRDefault="00B51828" w:rsidP="002101D2">
            <w:pPr>
              <w:pStyle w:val="Tabletextcentred"/>
              <w:rPr>
                <w:szCs w:val="20"/>
              </w:rPr>
            </w:pPr>
            <w:r>
              <w:rPr>
                <w:szCs w:val="20"/>
              </w:rPr>
              <w:t>[0% to 50%]</w:t>
            </w:r>
          </w:p>
        </w:tc>
      </w:tr>
      <w:tr w:rsidR="00B51828" w14:paraId="0A80A4C9" w14:textId="77777777" w:rsidTr="00616882">
        <w:trPr>
          <w:trHeight w:val="197"/>
        </w:trPr>
        <w:tc>
          <w:tcPr>
            <w:tcW w:w="11199" w:type="dxa"/>
            <w:tcBorders>
              <w:top w:val="single" w:sz="4" w:space="0" w:color="auto"/>
              <w:bottom w:val="nil"/>
            </w:tcBorders>
          </w:tcPr>
          <w:p w14:paraId="0C17A35D" w14:textId="77777777" w:rsidR="00B51828" w:rsidRPr="004D1435" w:rsidRDefault="00B51828" w:rsidP="00B51828">
            <w:pPr>
              <w:pStyle w:val="Tabletextcentred"/>
              <w:numPr>
                <w:ilvl w:val="3"/>
                <w:numId w:val="12"/>
              </w:numPr>
              <w:spacing w:after="240"/>
              <w:jc w:val="left"/>
            </w:pPr>
            <w:r w:rsidRPr="004D1435">
              <w:t xml:space="preserve">For second, expert opinion on a cytopathology sample the expert pathologist may conduct ancillary tests (such as immunocytochemical staining) to aid diagnosis.  The proportion of cases in which ancillary tests are used may vary between ‘non-complex’ and ‘complex’ expert opinions, outlined </w:t>
            </w:r>
            <w:r>
              <w:t>in Question 13</w:t>
            </w:r>
            <w:r w:rsidRPr="008E75DA">
              <w:t>.</w:t>
            </w:r>
          </w:p>
        </w:tc>
        <w:tc>
          <w:tcPr>
            <w:tcW w:w="1275" w:type="dxa"/>
            <w:tcBorders>
              <w:top w:val="single" w:sz="4" w:space="0" w:color="auto"/>
              <w:bottom w:val="nil"/>
            </w:tcBorders>
          </w:tcPr>
          <w:p w14:paraId="01E2E248"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w:t>
            </w:r>
          </w:p>
        </w:tc>
        <w:tc>
          <w:tcPr>
            <w:tcW w:w="1560" w:type="dxa"/>
            <w:tcBorders>
              <w:top w:val="single" w:sz="4" w:space="0" w:color="auto"/>
              <w:bottom w:val="nil"/>
            </w:tcBorders>
          </w:tcPr>
          <w:p w14:paraId="780FA02C" w14:textId="77777777" w:rsidR="00B51828" w:rsidRPr="00C34E92" w:rsidRDefault="00B51828" w:rsidP="002101D2">
            <w:pPr>
              <w:pStyle w:val="Tabletextcentred"/>
              <w:rPr>
                <w:szCs w:val="20"/>
              </w:rPr>
            </w:pPr>
            <w:r>
              <w:rPr>
                <w:szCs w:val="20"/>
              </w:rPr>
              <w:t>-</w:t>
            </w:r>
          </w:p>
        </w:tc>
      </w:tr>
      <w:tr w:rsidR="00B51828" w14:paraId="3C4C9178" w14:textId="77777777" w:rsidTr="00616882">
        <w:trPr>
          <w:trHeight w:val="197"/>
        </w:trPr>
        <w:tc>
          <w:tcPr>
            <w:tcW w:w="11199" w:type="dxa"/>
            <w:tcBorders>
              <w:top w:val="nil"/>
              <w:bottom w:val="nil"/>
            </w:tcBorders>
          </w:tcPr>
          <w:p w14:paraId="043E73B0" w14:textId="77777777" w:rsidR="00B51828" w:rsidRPr="004D1435" w:rsidRDefault="00B51828" w:rsidP="00B51828">
            <w:pPr>
              <w:pStyle w:val="Tabletextcentred"/>
              <w:numPr>
                <w:ilvl w:val="0"/>
                <w:numId w:val="48"/>
              </w:numPr>
              <w:spacing w:after="240"/>
              <w:jc w:val="left"/>
            </w:pPr>
            <w:r w:rsidRPr="004D1435">
              <w:t>Please estimate the proportion of ‘non-complex’ second, expert opinions in which ancillary tests (e.g. immunocytochemistry) are used.</w:t>
            </w:r>
          </w:p>
        </w:tc>
        <w:tc>
          <w:tcPr>
            <w:tcW w:w="1275" w:type="dxa"/>
            <w:tcBorders>
              <w:top w:val="nil"/>
              <w:bottom w:val="nil"/>
            </w:tcBorders>
          </w:tcPr>
          <w:p w14:paraId="6AE8D10B"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10.14%</w:t>
            </w:r>
          </w:p>
          <w:p w14:paraId="00A89659"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(7.43%)</w:t>
            </w:r>
          </w:p>
        </w:tc>
        <w:tc>
          <w:tcPr>
            <w:tcW w:w="1560" w:type="dxa"/>
            <w:tcBorders>
              <w:top w:val="nil"/>
              <w:bottom w:val="nil"/>
            </w:tcBorders>
          </w:tcPr>
          <w:p w14:paraId="5E9C97D7" w14:textId="77777777" w:rsidR="00B51828" w:rsidRDefault="00B51828" w:rsidP="002101D2">
            <w:pPr>
              <w:pStyle w:val="Tabletextcentred"/>
              <w:rPr>
                <w:szCs w:val="20"/>
              </w:rPr>
            </w:pPr>
            <w:r>
              <w:rPr>
                <w:szCs w:val="20"/>
              </w:rPr>
              <w:t>10.0%</w:t>
            </w:r>
          </w:p>
          <w:p w14:paraId="387A0633" w14:textId="77777777" w:rsidR="00B51828" w:rsidRPr="00C34E92" w:rsidRDefault="00B51828" w:rsidP="002101D2">
            <w:pPr>
              <w:pStyle w:val="Tabletextcentred"/>
              <w:rPr>
                <w:szCs w:val="20"/>
              </w:rPr>
            </w:pPr>
            <w:r>
              <w:rPr>
                <w:szCs w:val="20"/>
              </w:rPr>
              <w:t>[1% to 20%]</w:t>
            </w:r>
          </w:p>
        </w:tc>
      </w:tr>
      <w:tr w:rsidR="00B51828" w14:paraId="3618C60D" w14:textId="77777777" w:rsidTr="00616882">
        <w:trPr>
          <w:trHeight w:val="197"/>
        </w:trPr>
        <w:tc>
          <w:tcPr>
            <w:tcW w:w="11199" w:type="dxa"/>
            <w:tcBorders>
              <w:top w:val="nil"/>
              <w:bottom w:val="single" w:sz="4" w:space="0" w:color="auto"/>
            </w:tcBorders>
          </w:tcPr>
          <w:p w14:paraId="6075723F" w14:textId="77777777" w:rsidR="00B51828" w:rsidRPr="004D1435" w:rsidRDefault="00B51828" w:rsidP="00B51828">
            <w:pPr>
              <w:pStyle w:val="Tabletextcentred"/>
              <w:numPr>
                <w:ilvl w:val="0"/>
                <w:numId w:val="48"/>
              </w:numPr>
              <w:spacing w:after="240"/>
              <w:jc w:val="left"/>
            </w:pPr>
            <w:r w:rsidRPr="004D1435">
              <w:t>Please estimate the proportion of ‘complex’ second, expert opinions in which ancillary tests (e.g. immunocytochemistry) are used.</w:t>
            </w:r>
          </w:p>
        </w:tc>
        <w:tc>
          <w:tcPr>
            <w:tcW w:w="1275" w:type="dxa"/>
            <w:tcBorders>
              <w:top w:val="nil"/>
              <w:bottom w:val="single" w:sz="4" w:space="0" w:color="auto"/>
            </w:tcBorders>
          </w:tcPr>
          <w:p w14:paraId="14ACC9EF"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30.43%</w:t>
            </w:r>
          </w:p>
          <w:p w14:paraId="43CB90A5"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(27.17%)</w:t>
            </w:r>
          </w:p>
        </w:tc>
        <w:tc>
          <w:tcPr>
            <w:tcW w:w="1560" w:type="dxa"/>
            <w:tcBorders>
              <w:top w:val="nil"/>
              <w:bottom w:val="single" w:sz="4" w:space="0" w:color="auto"/>
            </w:tcBorders>
          </w:tcPr>
          <w:p w14:paraId="7378D3F8" w14:textId="77777777" w:rsidR="00B51828" w:rsidRDefault="00B51828" w:rsidP="002101D2">
            <w:pPr>
              <w:pStyle w:val="Tabletextcentred"/>
              <w:rPr>
                <w:szCs w:val="20"/>
              </w:rPr>
            </w:pPr>
            <w:r>
              <w:rPr>
                <w:szCs w:val="20"/>
              </w:rPr>
              <w:t>30%</w:t>
            </w:r>
          </w:p>
          <w:p w14:paraId="7D68BC9D" w14:textId="77777777" w:rsidR="00B51828" w:rsidRPr="00C34E92" w:rsidRDefault="00B51828" w:rsidP="002101D2">
            <w:pPr>
              <w:pStyle w:val="Tabletextcentred"/>
              <w:rPr>
                <w:szCs w:val="20"/>
              </w:rPr>
            </w:pPr>
            <w:r>
              <w:rPr>
                <w:szCs w:val="20"/>
              </w:rPr>
              <w:t>[3% to 80%]</w:t>
            </w:r>
          </w:p>
        </w:tc>
      </w:tr>
      <w:tr w:rsidR="00B51828" w14:paraId="7A744D7F" w14:textId="77777777" w:rsidTr="00616882">
        <w:trPr>
          <w:trHeight w:val="197"/>
        </w:trPr>
        <w:tc>
          <w:tcPr>
            <w:tcW w:w="11199" w:type="dxa"/>
            <w:tcBorders>
              <w:top w:val="single" w:sz="4" w:space="0" w:color="auto"/>
              <w:bottom w:val="nil"/>
            </w:tcBorders>
          </w:tcPr>
          <w:p w14:paraId="6F72B3AA" w14:textId="77777777" w:rsidR="00B51828" w:rsidRPr="004D1435" w:rsidRDefault="00B51828" w:rsidP="00B51828">
            <w:pPr>
              <w:pStyle w:val="Tabletextcentred"/>
              <w:numPr>
                <w:ilvl w:val="3"/>
                <w:numId w:val="12"/>
              </w:numPr>
              <w:spacing w:after="240"/>
              <w:jc w:val="left"/>
            </w:pPr>
            <w:r w:rsidRPr="004D1435">
              <w:t xml:space="preserve">If an MBS rebate was available for pathology second, expert opinions and expert pathologists were able to bill the MBS for any ancillary tests </w:t>
            </w:r>
            <w:r w:rsidRPr="004D1435">
              <w:lastRenderedPageBreak/>
              <w:t>conducted (regardless of whether or not the initial pathologist had already billed the MBS for the test(s)), please estimate:</w:t>
            </w:r>
          </w:p>
        </w:tc>
        <w:tc>
          <w:tcPr>
            <w:tcW w:w="1275" w:type="dxa"/>
            <w:tcBorders>
              <w:top w:val="single" w:sz="4" w:space="0" w:color="auto"/>
              <w:bottom w:val="nil"/>
            </w:tcBorders>
          </w:tcPr>
          <w:p w14:paraId="1E6383E2"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lastRenderedPageBreak/>
              <w:t>-</w:t>
            </w:r>
          </w:p>
        </w:tc>
        <w:tc>
          <w:tcPr>
            <w:tcW w:w="1560" w:type="dxa"/>
            <w:tcBorders>
              <w:top w:val="single" w:sz="4" w:space="0" w:color="auto"/>
              <w:bottom w:val="nil"/>
            </w:tcBorders>
          </w:tcPr>
          <w:p w14:paraId="6AC74A25" w14:textId="77777777" w:rsidR="00B51828" w:rsidRPr="00C34E92" w:rsidRDefault="00B51828" w:rsidP="002101D2">
            <w:pPr>
              <w:pStyle w:val="Tabletextcentred"/>
              <w:rPr>
                <w:szCs w:val="20"/>
              </w:rPr>
            </w:pPr>
            <w:r>
              <w:rPr>
                <w:szCs w:val="20"/>
              </w:rPr>
              <w:t>-</w:t>
            </w:r>
          </w:p>
        </w:tc>
      </w:tr>
      <w:tr w:rsidR="00B51828" w14:paraId="02A82848" w14:textId="77777777" w:rsidTr="002101D2">
        <w:trPr>
          <w:trHeight w:val="197"/>
        </w:trPr>
        <w:tc>
          <w:tcPr>
            <w:tcW w:w="11199" w:type="dxa"/>
            <w:tcBorders>
              <w:top w:val="nil"/>
              <w:bottom w:val="nil"/>
            </w:tcBorders>
          </w:tcPr>
          <w:p w14:paraId="5ACDFC3E" w14:textId="77777777" w:rsidR="00B51828" w:rsidRPr="004D1435" w:rsidRDefault="00B51828" w:rsidP="00B51828">
            <w:pPr>
              <w:pStyle w:val="Tabletextcentred"/>
              <w:numPr>
                <w:ilvl w:val="0"/>
                <w:numId w:val="47"/>
              </w:numPr>
              <w:spacing w:after="240"/>
              <w:jc w:val="left"/>
            </w:pPr>
            <w:r w:rsidRPr="004D1435">
              <w:lastRenderedPageBreak/>
              <w:t>The proportion of ‘non-complex’ second, expert opinions in which ancillary tests (e.g. immunocytochemistry) would be used.</w:t>
            </w:r>
          </w:p>
        </w:tc>
        <w:tc>
          <w:tcPr>
            <w:tcW w:w="1275" w:type="dxa"/>
            <w:tcBorders>
              <w:top w:val="nil"/>
              <w:bottom w:val="nil"/>
            </w:tcBorders>
          </w:tcPr>
          <w:p w14:paraId="2B52C126"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11.57%</w:t>
            </w:r>
          </w:p>
          <w:p w14:paraId="20C8947D"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(10.11%)</w:t>
            </w:r>
          </w:p>
        </w:tc>
        <w:tc>
          <w:tcPr>
            <w:tcW w:w="1560" w:type="dxa"/>
            <w:tcBorders>
              <w:top w:val="nil"/>
              <w:bottom w:val="nil"/>
            </w:tcBorders>
          </w:tcPr>
          <w:p w14:paraId="49F55667" w14:textId="77777777" w:rsidR="00B51828" w:rsidRDefault="00B51828" w:rsidP="002101D2">
            <w:pPr>
              <w:pStyle w:val="Tabletextcentred"/>
              <w:rPr>
                <w:szCs w:val="20"/>
              </w:rPr>
            </w:pPr>
            <w:r>
              <w:rPr>
                <w:szCs w:val="20"/>
              </w:rPr>
              <w:t>10.0%</w:t>
            </w:r>
          </w:p>
          <w:p w14:paraId="640082D6" w14:textId="77777777" w:rsidR="00B51828" w:rsidRPr="00C34E92" w:rsidRDefault="00B51828" w:rsidP="002101D2">
            <w:pPr>
              <w:pStyle w:val="Tabletextcentred"/>
              <w:rPr>
                <w:szCs w:val="20"/>
              </w:rPr>
            </w:pPr>
            <w:r>
              <w:rPr>
                <w:szCs w:val="20"/>
              </w:rPr>
              <w:t>[1% to 30%]</w:t>
            </w:r>
          </w:p>
        </w:tc>
      </w:tr>
      <w:tr w:rsidR="00B51828" w14:paraId="4236C991" w14:textId="77777777" w:rsidTr="002101D2">
        <w:trPr>
          <w:trHeight w:val="197"/>
        </w:trPr>
        <w:tc>
          <w:tcPr>
            <w:tcW w:w="11199" w:type="dxa"/>
            <w:tcBorders>
              <w:top w:val="nil"/>
            </w:tcBorders>
          </w:tcPr>
          <w:p w14:paraId="081E1226" w14:textId="77777777" w:rsidR="00B51828" w:rsidRPr="004D1435" w:rsidRDefault="00B51828" w:rsidP="00B51828">
            <w:pPr>
              <w:pStyle w:val="Tabletextcentred"/>
              <w:numPr>
                <w:ilvl w:val="0"/>
                <w:numId w:val="47"/>
              </w:numPr>
              <w:spacing w:after="240"/>
              <w:jc w:val="left"/>
            </w:pPr>
            <w:r w:rsidRPr="004D1435">
              <w:t>The proportion of ‘complex’ second, expert opinions in which ancillary tests (e.g. immunocytochemistry) would be used.</w:t>
            </w:r>
          </w:p>
        </w:tc>
        <w:tc>
          <w:tcPr>
            <w:tcW w:w="1275" w:type="dxa"/>
            <w:tcBorders>
              <w:top w:val="nil"/>
            </w:tcBorders>
          </w:tcPr>
          <w:p w14:paraId="04AAF3EF" w14:textId="77777777" w:rsidR="00B51828" w:rsidRPr="00C34E92" w:rsidRDefault="00B51828" w:rsidP="002101D2">
            <w:pPr>
              <w:spacing w:after="0"/>
              <w:ind w:left="0"/>
              <w:jc w:val="center"/>
              <w:rPr>
                <w:rFonts w:ascii="Arial Narrow" w:hAnsi="Arial Narrow"/>
                <w:color w:val="000000"/>
                <w:sz w:val="20"/>
                <w:szCs w:val="20"/>
              </w:rPr>
            </w:pPr>
            <w:r w:rsidRPr="00C34E92">
              <w:rPr>
                <w:rFonts w:ascii="Arial Narrow" w:hAnsi="Arial Narrow"/>
                <w:color w:val="000000"/>
                <w:sz w:val="20"/>
                <w:szCs w:val="20"/>
              </w:rPr>
              <w:t>32.14%</w:t>
            </w:r>
          </w:p>
          <w:p w14:paraId="2D5CBDCE" w14:textId="77777777" w:rsidR="00B51828" w:rsidRPr="00C34E92" w:rsidRDefault="00B51828" w:rsidP="002101D2">
            <w:pPr>
              <w:spacing w:after="0"/>
              <w:ind w:left="0"/>
              <w:jc w:val="center"/>
              <w:rPr>
                <w:rFonts w:ascii="Arial Narrow" w:hAnsi="Arial Narrow"/>
                <w:color w:val="000000"/>
                <w:sz w:val="20"/>
                <w:szCs w:val="20"/>
              </w:rPr>
            </w:pPr>
            <w:r>
              <w:rPr>
                <w:rFonts w:ascii="Arial Narrow" w:hAnsi="Arial Narrow"/>
                <w:color w:val="000000"/>
                <w:sz w:val="20"/>
                <w:szCs w:val="20"/>
              </w:rPr>
              <w:t>(27.06%)</w:t>
            </w:r>
          </w:p>
        </w:tc>
        <w:tc>
          <w:tcPr>
            <w:tcW w:w="1560" w:type="dxa"/>
            <w:tcBorders>
              <w:top w:val="nil"/>
            </w:tcBorders>
          </w:tcPr>
          <w:p w14:paraId="59EA55F0" w14:textId="77777777" w:rsidR="00B51828" w:rsidRDefault="00B51828" w:rsidP="002101D2">
            <w:pPr>
              <w:pStyle w:val="Tabletextcentred"/>
              <w:rPr>
                <w:szCs w:val="20"/>
              </w:rPr>
            </w:pPr>
            <w:r>
              <w:rPr>
                <w:szCs w:val="20"/>
              </w:rPr>
              <w:t>30.0%</w:t>
            </w:r>
          </w:p>
          <w:p w14:paraId="0DEFC3CA" w14:textId="77777777" w:rsidR="00B51828" w:rsidRPr="00C34E92" w:rsidRDefault="00B51828" w:rsidP="002101D2">
            <w:pPr>
              <w:pStyle w:val="Tabletextcentred"/>
              <w:rPr>
                <w:szCs w:val="20"/>
              </w:rPr>
            </w:pPr>
            <w:r>
              <w:rPr>
                <w:szCs w:val="20"/>
              </w:rPr>
              <w:t>[5% to 80%]</w:t>
            </w:r>
          </w:p>
        </w:tc>
      </w:tr>
    </w:tbl>
    <w:p w14:paraId="4ADF8775" w14:textId="77777777" w:rsidR="00B51828" w:rsidRPr="00800E75" w:rsidRDefault="00B51828" w:rsidP="002101D2">
      <w:pPr>
        <w:rPr>
          <w:rFonts w:ascii="Arial Narrow" w:hAnsi="Arial Narrow"/>
          <w:sz w:val="18"/>
          <w:szCs w:val="18"/>
        </w:rPr>
      </w:pPr>
      <w:r>
        <w:rPr>
          <w:rFonts w:ascii="Arial Narrow" w:hAnsi="Arial Narrow"/>
          <w:sz w:val="18"/>
          <w:szCs w:val="18"/>
        </w:rPr>
        <w:t xml:space="preserve"> </w:t>
      </w:r>
    </w:p>
    <w:p w14:paraId="7C5C6DCA" w14:textId="77777777" w:rsidR="00B51828" w:rsidRPr="0012305E" w:rsidRDefault="00B51828" w:rsidP="002101D2">
      <w:pPr>
        <w:rPr>
          <w:i/>
        </w:rPr>
        <w:sectPr w:rsidR="00B51828" w:rsidRPr="0012305E" w:rsidSect="002101D2">
          <w:footerReference w:type="default" r:id="rId39"/>
          <w:pgSz w:w="16838" w:h="11906" w:orient="landscape" w:code="9"/>
          <w:pgMar w:top="1440" w:right="1440" w:bottom="1440" w:left="1440" w:header="680" w:footer="1021" w:gutter="0"/>
          <w:cols w:space="708"/>
          <w:docGrid w:linePitch="360"/>
        </w:sectPr>
      </w:pPr>
    </w:p>
    <w:p w14:paraId="00ECD9DE" w14:textId="77777777" w:rsidR="00B51828" w:rsidRDefault="00B51828" w:rsidP="00B51828">
      <w:pPr>
        <w:pStyle w:val="Heading1"/>
        <w:numPr>
          <w:ilvl w:val="0"/>
          <w:numId w:val="8"/>
        </w:numPr>
        <w:ind w:left="3402" w:hanging="3402"/>
      </w:pPr>
      <w:bookmarkStart w:id="392" w:name="_Toc382312203"/>
      <w:bookmarkStart w:id="393" w:name="_Ref395093694"/>
      <w:bookmarkStart w:id="394" w:name="_Toc396211724"/>
      <w:r>
        <w:lastRenderedPageBreak/>
        <w:t>Additional economic information</w:t>
      </w:r>
      <w:bookmarkEnd w:id="392"/>
      <w:bookmarkEnd w:id="393"/>
      <w:bookmarkEnd w:id="394"/>
    </w:p>
    <w:p w14:paraId="196EDA50" w14:textId="77777777" w:rsidR="00B51828" w:rsidRPr="00723E43" w:rsidRDefault="00B51828" w:rsidP="002101D2">
      <w:pPr>
        <w:pStyle w:val="Caption"/>
      </w:pPr>
      <w:r w:rsidRPr="00723E43">
        <w:t>Table A6.1</w:t>
      </w:r>
      <w:r w:rsidRPr="00723E43">
        <w:tab/>
        <w:t>Summary of economic studies identified in the literature search</w:t>
      </w:r>
    </w:p>
    <w:tbl>
      <w:tblPr>
        <w:tblStyle w:val="TableGrid4"/>
        <w:tblW w:w="5000" w:type="pct"/>
        <w:tblLook w:val="04A0" w:firstRow="1" w:lastRow="0" w:firstColumn="1" w:lastColumn="0" w:noHBand="0" w:noVBand="1"/>
        <w:tblCaption w:val="Summary of economic studies identified in the literature search"/>
        <w:tblDescription w:val="Study characteristics of nine economic studies identified in the literature search. "/>
      </w:tblPr>
      <w:tblGrid>
        <w:gridCol w:w="956"/>
        <w:gridCol w:w="1778"/>
        <w:gridCol w:w="2447"/>
        <w:gridCol w:w="3029"/>
        <w:gridCol w:w="2445"/>
        <w:gridCol w:w="3519"/>
      </w:tblGrid>
      <w:tr w:rsidR="00B51828" w:rsidRPr="00E0511C" w14:paraId="4AEF1B21" w14:textId="77777777" w:rsidTr="002101D2">
        <w:trPr>
          <w:tblHeader/>
        </w:trPr>
        <w:tc>
          <w:tcPr>
            <w:tcW w:w="337" w:type="pct"/>
          </w:tcPr>
          <w:p w14:paraId="4CB9FF89" w14:textId="77777777" w:rsidR="00B51828" w:rsidRPr="00E0511C" w:rsidRDefault="00B51828" w:rsidP="002101D2">
            <w:pPr>
              <w:spacing w:after="0"/>
              <w:ind w:left="0"/>
              <w:rPr>
                <w:rFonts w:ascii="Arial Narrow" w:hAnsi="Arial Narrow"/>
                <w:b/>
                <w:sz w:val="20"/>
                <w:szCs w:val="20"/>
              </w:rPr>
            </w:pPr>
            <w:r w:rsidRPr="00E0511C">
              <w:rPr>
                <w:rFonts w:ascii="Arial Narrow" w:hAnsi="Arial Narrow"/>
                <w:b/>
                <w:sz w:val="20"/>
                <w:szCs w:val="20"/>
              </w:rPr>
              <w:t>Author (year)</w:t>
            </w:r>
          </w:p>
        </w:tc>
        <w:tc>
          <w:tcPr>
            <w:tcW w:w="627" w:type="pct"/>
          </w:tcPr>
          <w:p w14:paraId="168D1343" w14:textId="77777777" w:rsidR="00B51828" w:rsidRPr="00E0511C" w:rsidRDefault="00B51828" w:rsidP="002101D2">
            <w:pPr>
              <w:spacing w:after="0"/>
              <w:ind w:left="0"/>
              <w:rPr>
                <w:rFonts w:ascii="Arial Narrow" w:hAnsi="Arial Narrow"/>
                <w:b/>
                <w:sz w:val="20"/>
                <w:szCs w:val="20"/>
              </w:rPr>
            </w:pPr>
            <w:r w:rsidRPr="00E0511C">
              <w:rPr>
                <w:rFonts w:ascii="Arial Narrow" w:hAnsi="Arial Narrow"/>
                <w:b/>
                <w:sz w:val="20"/>
                <w:szCs w:val="20"/>
              </w:rPr>
              <w:t>Population</w:t>
            </w:r>
          </w:p>
          <w:p w14:paraId="3D289D19" w14:textId="77777777" w:rsidR="00B51828" w:rsidRPr="00E0511C" w:rsidRDefault="00B51828" w:rsidP="002101D2">
            <w:pPr>
              <w:spacing w:after="0"/>
              <w:ind w:left="0"/>
              <w:rPr>
                <w:rFonts w:ascii="Arial Narrow" w:hAnsi="Arial Narrow"/>
                <w:b/>
                <w:i/>
                <w:sz w:val="20"/>
                <w:szCs w:val="20"/>
              </w:rPr>
            </w:pPr>
            <w:r w:rsidRPr="00E0511C">
              <w:rPr>
                <w:rFonts w:ascii="Arial Narrow" w:hAnsi="Arial Narrow"/>
                <w:b/>
                <w:i/>
                <w:sz w:val="20"/>
                <w:szCs w:val="20"/>
              </w:rPr>
              <w:t>Setting/Country</w:t>
            </w:r>
          </w:p>
        </w:tc>
        <w:tc>
          <w:tcPr>
            <w:tcW w:w="863" w:type="pct"/>
          </w:tcPr>
          <w:p w14:paraId="5A1FA4EB" w14:textId="77777777" w:rsidR="00B51828" w:rsidRPr="00E0511C" w:rsidRDefault="00B51828" w:rsidP="002101D2">
            <w:pPr>
              <w:spacing w:after="0"/>
              <w:ind w:left="0"/>
              <w:rPr>
                <w:rFonts w:ascii="Arial Narrow" w:hAnsi="Arial Narrow"/>
                <w:b/>
                <w:sz w:val="20"/>
                <w:szCs w:val="20"/>
              </w:rPr>
            </w:pPr>
            <w:r w:rsidRPr="00E0511C">
              <w:rPr>
                <w:rFonts w:ascii="Arial Narrow" w:hAnsi="Arial Narrow"/>
                <w:b/>
                <w:sz w:val="20"/>
                <w:szCs w:val="20"/>
              </w:rPr>
              <w:t>Intervention</w:t>
            </w:r>
          </w:p>
        </w:tc>
        <w:tc>
          <w:tcPr>
            <w:tcW w:w="1068" w:type="pct"/>
          </w:tcPr>
          <w:p w14:paraId="0B06A73D" w14:textId="77777777" w:rsidR="00B51828" w:rsidRPr="00E0511C" w:rsidRDefault="00B51828" w:rsidP="002101D2">
            <w:pPr>
              <w:spacing w:after="0"/>
              <w:ind w:left="0"/>
              <w:rPr>
                <w:rFonts w:ascii="Arial Narrow" w:hAnsi="Arial Narrow"/>
                <w:b/>
                <w:sz w:val="20"/>
                <w:szCs w:val="20"/>
              </w:rPr>
            </w:pPr>
            <w:r w:rsidRPr="00E0511C">
              <w:rPr>
                <w:rFonts w:ascii="Arial Narrow" w:hAnsi="Arial Narrow"/>
                <w:b/>
                <w:sz w:val="20"/>
                <w:szCs w:val="20"/>
              </w:rPr>
              <w:t>Diagnostic accuracy and change in management</w:t>
            </w:r>
          </w:p>
        </w:tc>
        <w:tc>
          <w:tcPr>
            <w:tcW w:w="862" w:type="pct"/>
          </w:tcPr>
          <w:p w14:paraId="194A76CD" w14:textId="77777777" w:rsidR="00B51828" w:rsidRPr="00E0511C" w:rsidRDefault="00B51828" w:rsidP="002101D2">
            <w:pPr>
              <w:spacing w:after="0"/>
              <w:ind w:left="0"/>
              <w:rPr>
                <w:rFonts w:ascii="Arial Narrow" w:hAnsi="Arial Narrow"/>
                <w:b/>
                <w:sz w:val="20"/>
                <w:szCs w:val="20"/>
              </w:rPr>
            </w:pPr>
            <w:r w:rsidRPr="00E0511C">
              <w:rPr>
                <w:rFonts w:ascii="Arial Narrow" w:hAnsi="Arial Narrow"/>
                <w:b/>
                <w:sz w:val="20"/>
                <w:szCs w:val="20"/>
              </w:rPr>
              <w:t>Economic evaluation</w:t>
            </w:r>
          </w:p>
        </w:tc>
        <w:tc>
          <w:tcPr>
            <w:tcW w:w="1241" w:type="pct"/>
          </w:tcPr>
          <w:p w14:paraId="58BC4D52" w14:textId="77777777" w:rsidR="00B51828" w:rsidRPr="00E0511C" w:rsidRDefault="00B51828" w:rsidP="002101D2">
            <w:pPr>
              <w:spacing w:after="0"/>
              <w:ind w:left="0"/>
              <w:rPr>
                <w:rFonts w:ascii="Arial Narrow" w:hAnsi="Arial Narrow"/>
                <w:b/>
                <w:sz w:val="20"/>
                <w:szCs w:val="20"/>
              </w:rPr>
            </w:pPr>
            <w:r w:rsidRPr="00E0511C">
              <w:rPr>
                <w:rFonts w:ascii="Arial Narrow" w:hAnsi="Arial Narrow"/>
                <w:b/>
                <w:sz w:val="20"/>
                <w:szCs w:val="20"/>
              </w:rPr>
              <w:t>Results of economic evaluation</w:t>
            </w:r>
          </w:p>
        </w:tc>
      </w:tr>
      <w:tr w:rsidR="00B51828" w:rsidRPr="00E0511C" w14:paraId="388B3E46" w14:textId="77777777" w:rsidTr="002101D2">
        <w:tc>
          <w:tcPr>
            <w:tcW w:w="337" w:type="pct"/>
          </w:tcPr>
          <w:p w14:paraId="51F0A0BF"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Bajaj (2012)</w:t>
            </w:r>
          </w:p>
        </w:tc>
        <w:tc>
          <w:tcPr>
            <w:tcW w:w="627" w:type="pct"/>
          </w:tcPr>
          <w:p w14:paraId="17539E79"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N=922 thyroid FNAC cases referred to institution over a 2-year period.</w:t>
            </w:r>
          </w:p>
          <w:p w14:paraId="7DF34EB0" w14:textId="77777777" w:rsidR="00B51828" w:rsidRPr="00E0511C" w:rsidRDefault="00B51828" w:rsidP="002101D2">
            <w:pPr>
              <w:spacing w:after="0"/>
              <w:ind w:left="0"/>
              <w:rPr>
                <w:rFonts w:ascii="Arial Narrow" w:hAnsi="Arial Narrow"/>
                <w:sz w:val="20"/>
                <w:szCs w:val="20"/>
              </w:rPr>
            </w:pPr>
            <w:r w:rsidRPr="00E0511C">
              <w:rPr>
                <w:rFonts w:ascii="Arial Narrow" w:hAnsi="Arial Narrow"/>
                <w:i/>
                <w:sz w:val="20"/>
                <w:szCs w:val="20"/>
              </w:rPr>
              <w:t>Long Island Jewish Medical Center in the United States</w:t>
            </w:r>
          </w:p>
        </w:tc>
        <w:tc>
          <w:tcPr>
            <w:tcW w:w="863" w:type="pct"/>
          </w:tcPr>
          <w:p w14:paraId="7A1EA1C2"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Second opinion on outside FNAC specimens for all cases referred to the institution.</w:t>
            </w:r>
          </w:p>
        </w:tc>
        <w:tc>
          <w:tcPr>
            <w:tcW w:w="1068" w:type="pct"/>
          </w:tcPr>
          <w:p w14:paraId="04307801"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122/922 (13%) discordant, 44 major and 78 minor.</w:t>
            </w:r>
          </w:p>
          <w:p w14:paraId="527880D3"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75/122 (62%) resulted in change in management:</w:t>
            </w:r>
          </w:p>
          <w:p w14:paraId="73F2FCE9"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33 surgical to medical</w:t>
            </w:r>
          </w:p>
          <w:p w14:paraId="4BDD63D1"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29 medical to surgical</w:t>
            </w:r>
          </w:p>
          <w:p w14:paraId="074B156E"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13 changed surgery type</w:t>
            </w:r>
          </w:p>
          <w:p w14:paraId="6681E1E5" w14:textId="77777777" w:rsidR="00B51828" w:rsidRPr="00E0511C" w:rsidRDefault="00B51828" w:rsidP="002101D2">
            <w:pPr>
              <w:spacing w:after="0"/>
              <w:ind w:left="0"/>
              <w:rPr>
                <w:rFonts w:ascii="Arial Narrow" w:hAnsi="Arial Narrow"/>
                <w:sz w:val="20"/>
                <w:szCs w:val="20"/>
              </w:rPr>
            </w:pPr>
          </w:p>
          <w:p w14:paraId="1FC3EC3B"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39/44 (90%) major discrepancies resulted in a change in management, with 28 undergoing surgery. Of those, the second opinion was supported in 25 patients and the original opinion was supported in 3 patients.</w:t>
            </w:r>
          </w:p>
        </w:tc>
        <w:tc>
          <w:tcPr>
            <w:tcW w:w="862" w:type="pct"/>
          </w:tcPr>
          <w:p w14:paraId="3A4A4556"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CBA in USD.</w:t>
            </w:r>
          </w:p>
          <w:p w14:paraId="4E52CD08"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Considers savings due to unnecessary surgery avoided.</w:t>
            </w:r>
          </w:p>
          <w:p w14:paraId="59908F1C"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Excludes potential savings due to:</w:t>
            </w:r>
          </w:p>
          <w:p w14:paraId="19CF11E5"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lost wages</w:t>
            </w:r>
          </w:p>
          <w:p w14:paraId="37EE472C"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surgical complications</w:t>
            </w:r>
          </w:p>
          <w:p w14:paraId="4B2D39AD"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life-long thyroid replacement therapy, with accompanying morbidity</w:t>
            </w:r>
          </w:p>
          <w:p w14:paraId="210A81C2"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litigation</w:t>
            </w:r>
          </w:p>
        </w:tc>
        <w:tc>
          <w:tcPr>
            <w:tcW w:w="1241" w:type="pct"/>
          </w:tcPr>
          <w:p w14:paraId="2B20B623"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cost of 922 FNAC consultations (assuming Medicare reimbursement $97/consult): $89,434.</w:t>
            </w:r>
          </w:p>
          <w:p w14:paraId="20F81B35" w14:textId="77777777" w:rsidR="00B51828" w:rsidRPr="00E0511C" w:rsidRDefault="00B51828" w:rsidP="002101D2">
            <w:pPr>
              <w:spacing w:after="0"/>
              <w:ind w:left="0"/>
              <w:rPr>
                <w:rFonts w:ascii="Arial Narrow" w:hAnsi="Arial Narrow"/>
                <w:sz w:val="20"/>
                <w:szCs w:val="20"/>
              </w:rPr>
            </w:pPr>
          </w:p>
          <w:p w14:paraId="69388676"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Potential cost saving for 33 patients that avoided surgery (at an average cost of $31,200/case): $940,166.</w:t>
            </w:r>
          </w:p>
        </w:tc>
      </w:tr>
      <w:tr w:rsidR="00B51828" w:rsidRPr="00E0511C" w14:paraId="18823DF2" w14:textId="77777777" w:rsidTr="002101D2">
        <w:tc>
          <w:tcPr>
            <w:tcW w:w="337" w:type="pct"/>
          </w:tcPr>
          <w:p w14:paraId="50E0E25D"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Bejarano (2001)</w:t>
            </w:r>
          </w:p>
        </w:tc>
        <w:tc>
          <w:tcPr>
            <w:tcW w:w="627" w:type="pct"/>
          </w:tcPr>
          <w:p w14:paraId="5E58E8F1"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N=124 patients (125 cases) who had undergone a liver biopsy and were referred for treatment over a 2-year period.</w:t>
            </w:r>
          </w:p>
          <w:p w14:paraId="13ED599E" w14:textId="77777777" w:rsidR="00B51828" w:rsidRPr="00E0511C" w:rsidRDefault="00B51828" w:rsidP="002101D2">
            <w:pPr>
              <w:spacing w:after="0"/>
              <w:ind w:left="0"/>
              <w:rPr>
                <w:rFonts w:ascii="Arial Narrow" w:hAnsi="Arial Narrow"/>
                <w:i/>
                <w:sz w:val="20"/>
                <w:szCs w:val="20"/>
              </w:rPr>
            </w:pPr>
            <w:r w:rsidRPr="00E0511C">
              <w:rPr>
                <w:rFonts w:ascii="Arial Narrow" w:hAnsi="Arial Narrow"/>
                <w:i/>
                <w:sz w:val="20"/>
                <w:szCs w:val="20"/>
              </w:rPr>
              <w:t>University medical centre in the United States</w:t>
            </w:r>
          </w:p>
        </w:tc>
        <w:tc>
          <w:tcPr>
            <w:tcW w:w="863" w:type="pct"/>
          </w:tcPr>
          <w:p w14:paraId="1393C3BD"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Second opinion on outside specimens by a hepatopathologist with a hepatologist who shared clinical information. All discordant diagnoses were reviewed by another hepatopathologist.</w:t>
            </w:r>
          </w:p>
        </w:tc>
        <w:tc>
          <w:tcPr>
            <w:tcW w:w="1068" w:type="pct"/>
          </w:tcPr>
          <w:p w14:paraId="26C8EC20"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35/125 (28%) discordant, classified as major (defined as a description or diagnosis that may have resulted in inappropriate management decisions if left unmodified.</w:t>
            </w:r>
          </w:p>
        </w:tc>
        <w:tc>
          <w:tcPr>
            <w:tcW w:w="862" w:type="pct"/>
          </w:tcPr>
          <w:p w14:paraId="05173F87"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cost of second opinion in USD.</w:t>
            </w:r>
          </w:p>
        </w:tc>
        <w:tc>
          <w:tcPr>
            <w:tcW w:w="1241" w:type="pct"/>
          </w:tcPr>
          <w:p w14:paraId="67ECBE7C"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Direct pathology cost at original institutions: $18,422.45.</w:t>
            </w:r>
          </w:p>
          <w:p w14:paraId="00548DD7"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Second opinion on 125 cases: $8,490.56, including:</w:t>
            </w:r>
          </w:p>
          <w:p w14:paraId="46D22F12"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$7,332.50 as professional charge by consult pathologists</w:t>
            </w:r>
          </w:p>
          <w:p w14:paraId="0864A7B3"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$1,158.06 for charges relating to generation of additional slides and special stains</w:t>
            </w:r>
          </w:p>
        </w:tc>
      </w:tr>
      <w:tr w:rsidR="00B51828" w:rsidRPr="00E0511C" w14:paraId="7C964170" w14:textId="77777777" w:rsidTr="002101D2">
        <w:tc>
          <w:tcPr>
            <w:tcW w:w="337" w:type="pct"/>
          </w:tcPr>
          <w:p w14:paraId="578F1E11"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lastRenderedPageBreak/>
              <w:t>Chan (1999)</w:t>
            </w:r>
          </w:p>
        </w:tc>
        <w:tc>
          <w:tcPr>
            <w:tcW w:w="627" w:type="pct"/>
          </w:tcPr>
          <w:p w14:paraId="28815203"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Retrospective review of N=569 specimens from 498 patients referred for gynaecologic oncology treatment over a 5-year period.</w:t>
            </w:r>
          </w:p>
          <w:p w14:paraId="0433FCC8" w14:textId="77777777" w:rsidR="00B51828" w:rsidRPr="00E0511C" w:rsidRDefault="00B51828" w:rsidP="002101D2">
            <w:pPr>
              <w:keepNext/>
              <w:spacing w:after="0"/>
              <w:ind w:left="0"/>
              <w:rPr>
                <w:rFonts w:ascii="Arial Narrow" w:hAnsi="Arial Narrow"/>
                <w:i/>
                <w:sz w:val="20"/>
                <w:szCs w:val="20"/>
              </w:rPr>
            </w:pPr>
            <w:r w:rsidRPr="00E0511C">
              <w:rPr>
                <w:rFonts w:ascii="Arial Narrow" w:hAnsi="Arial Narrow"/>
                <w:i/>
                <w:sz w:val="20"/>
                <w:szCs w:val="20"/>
              </w:rPr>
              <w:t>University hospital in Hong Kong</w:t>
            </w:r>
          </w:p>
        </w:tc>
        <w:tc>
          <w:tcPr>
            <w:tcW w:w="863" w:type="pct"/>
          </w:tcPr>
          <w:p w14:paraId="59754744"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Routine second opinion of cervical biopsy and cytologic specimens by gynaecologic pathologists, with findings discussed at fortnightly conferences with the gynaecologic oncology team prior to treatment planning. Consultation error determined by comparison with subsequent pathologic diagnosis and clinical follow-up.</w:t>
            </w:r>
          </w:p>
        </w:tc>
        <w:tc>
          <w:tcPr>
            <w:tcW w:w="1068" w:type="pct"/>
          </w:tcPr>
          <w:p w14:paraId="033BE7E7"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108/569 (19%) discordant, 37/569 (6.5%) major (defined as leading to a change in therapy or clinical evaluation). Rate drops to 4.2% if changes in extent and grading not taken into account.</w:t>
            </w:r>
          </w:p>
          <w:p w14:paraId="2C3C477C"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Treatment changes involved: 17 surgery alteration, 6 chemotherapy alteration, 3 added radiotherapy, 3 cancelled radiotherapy.</w:t>
            </w:r>
          </w:p>
          <w:p w14:paraId="1F8F2D3A"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When compared with final diagnoses, there were 5 discrepant cases, none of which resulted in alteration of clinical care; in 3 cases the original pathology diagnosis was more correct than second opinion; in 2 cases both original and second opinion were incorrect.</w:t>
            </w:r>
          </w:p>
        </w:tc>
        <w:tc>
          <w:tcPr>
            <w:tcW w:w="862" w:type="pct"/>
          </w:tcPr>
          <w:p w14:paraId="52C6D7FF"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Cost of finding a major discrepancy with therapeutic or prognostic implications, in HKD and USD.</w:t>
            </w:r>
          </w:p>
        </w:tc>
        <w:tc>
          <w:tcPr>
            <w:tcW w:w="1241" w:type="pct"/>
          </w:tcPr>
          <w:p w14:paraId="315927E1"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Total cost of review of 569 specimens from 498 patients (assuming $142/consultation): US$70,870.</w:t>
            </w:r>
          </w:p>
          <w:p w14:paraId="445BBF33"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Cost of finding a discrepancy: US$656</w:t>
            </w:r>
          </w:p>
          <w:p w14:paraId="0EC2E6EA"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Cost of finding a major discrepancy: $1,915.</w:t>
            </w:r>
          </w:p>
          <w:p w14:paraId="66215B40"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Each review cost the patient a delay of treatment: mean 4.6 days (median 2 days).</w:t>
            </w:r>
          </w:p>
          <w:p w14:paraId="28B68197" w14:textId="52199954" w:rsidR="00B51828" w:rsidRPr="00E0511C" w:rsidRDefault="005414B7" w:rsidP="005414B7">
            <w:pPr>
              <w:keepNext/>
              <w:spacing w:after="0"/>
              <w:ind w:left="0"/>
              <w:rPr>
                <w:rFonts w:ascii="Arial Narrow" w:hAnsi="Arial Narrow"/>
                <w:sz w:val="20"/>
                <w:szCs w:val="20"/>
              </w:rPr>
            </w:pPr>
            <w:r>
              <w:rPr>
                <w:rFonts w:ascii="Arial Narrow" w:hAnsi="Arial Narrow"/>
                <w:sz w:val="20"/>
                <w:szCs w:val="20"/>
              </w:rPr>
              <w:t>It</w:t>
            </w:r>
            <w:r w:rsidR="00B51828" w:rsidRPr="00E0511C">
              <w:rPr>
                <w:rFonts w:ascii="Arial Narrow" w:hAnsi="Arial Narrow"/>
                <w:sz w:val="20"/>
                <w:szCs w:val="20"/>
              </w:rPr>
              <w:t xml:space="preserve"> e</w:t>
            </w:r>
            <w:r>
              <w:rPr>
                <w:rFonts w:ascii="Arial Narrow" w:hAnsi="Arial Narrow"/>
                <w:sz w:val="20"/>
                <w:szCs w:val="20"/>
              </w:rPr>
              <w:t>xcluded specimen types that do not</w:t>
            </w:r>
            <w:r w:rsidR="00B51828" w:rsidRPr="00E0511C">
              <w:rPr>
                <w:rFonts w:ascii="Arial Narrow" w:hAnsi="Arial Narrow"/>
                <w:sz w:val="20"/>
                <w:szCs w:val="20"/>
              </w:rPr>
              <w:t xml:space="preserve"> require second opinion (cervical biopsy specimens in patients with gross tumours and cervical/vaginal smears), cost of finding a major discrepancy: $1,430.  </w:t>
            </w:r>
          </w:p>
        </w:tc>
      </w:tr>
      <w:tr w:rsidR="00B51828" w:rsidRPr="00E0511C" w14:paraId="37A68491" w14:textId="77777777" w:rsidTr="002101D2">
        <w:tc>
          <w:tcPr>
            <w:tcW w:w="337" w:type="pct"/>
          </w:tcPr>
          <w:p w14:paraId="2B595FBF"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 xml:space="preserve">Coblentz (2001) </w:t>
            </w:r>
          </w:p>
        </w:tc>
        <w:tc>
          <w:tcPr>
            <w:tcW w:w="627" w:type="pct"/>
          </w:tcPr>
          <w:p w14:paraId="1EBAF82F"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N=97 patients (131 TUR or biopsies) with a diagnosis of urothelial carcinoma of the bladder referred for treatment over a 3-year period.</w:t>
            </w:r>
          </w:p>
          <w:p w14:paraId="05CFD5BB" w14:textId="77777777" w:rsidR="00B51828" w:rsidRPr="00E0511C" w:rsidRDefault="00B51828" w:rsidP="002101D2">
            <w:pPr>
              <w:spacing w:after="0"/>
              <w:ind w:left="0"/>
              <w:rPr>
                <w:rFonts w:ascii="Arial Narrow" w:hAnsi="Arial Narrow"/>
                <w:sz w:val="20"/>
                <w:szCs w:val="20"/>
              </w:rPr>
            </w:pPr>
            <w:r w:rsidRPr="00E0511C">
              <w:rPr>
                <w:rFonts w:ascii="Arial Narrow" w:hAnsi="Arial Narrow"/>
                <w:i/>
                <w:sz w:val="20"/>
                <w:szCs w:val="20"/>
              </w:rPr>
              <w:t>Academic urology department in the United States</w:t>
            </w:r>
          </w:p>
        </w:tc>
        <w:tc>
          <w:tcPr>
            <w:tcW w:w="863" w:type="pct"/>
          </w:tcPr>
          <w:p w14:paraId="11471252"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 xml:space="preserve">Second opinion on all outside specimens prior to surgery. Slides initially reviewed by any one of six general surgical pathologists, without preparation of new slides or special stains. All discordant diagnoses were re-reviewed in a blinded manner by an expert genitourinary pathologist. </w:t>
            </w:r>
          </w:p>
        </w:tc>
        <w:tc>
          <w:tcPr>
            <w:tcW w:w="1068" w:type="pct"/>
          </w:tcPr>
          <w:p w14:paraId="6E968DC8"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24/131 (18%) discordant.</w:t>
            </w:r>
          </w:p>
          <w:p w14:paraId="20CA2220"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19/24 (78%) had adequate pathologic material for re-review by expert pathologist who confirmed second opinion diagnosis in all cases.</w:t>
            </w:r>
          </w:p>
          <w:p w14:paraId="058BF1D5"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5 repeat TUR procedures were recommended for inadequate staging. One TUR was avoided due to patient proceeding directly to cystectomy.</w:t>
            </w:r>
          </w:p>
          <w:p w14:paraId="64C92170"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5 radical cystectomies avoided. One cystectomy was recommended on pathology review.</w:t>
            </w:r>
          </w:p>
        </w:tc>
        <w:tc>
          <w:tcPr>
            <w:tcW w:w="862" w:type="pct"/>
          </w:tcPr>
          <w:p w14:paraId="1314B436"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CEA in USD.</w:t>
            </w:r>
          </w:p>
          <w:p w14:paraId="1C522C06"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Excludes potential savings due to:</w:t>
            </w:r>
          </w:p>
          <w:p w14:paraId="176FA2B2"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morbidity</w:t>
            </w:r>
          </w:p>
          <w:p w14:paraId="30C14934"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pain</w:t>
            </w:r>
          </w:p>
          <w:p w14:paraId="02220EC2"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quality of life</w:t>
            </w:r>
          </w:p>
          <w:p w14:paraId="6F9CEB29"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2-3% perioperative mortality rate for radical cystectomy</w:t>
            </w:r>
          </w:p>
        </w:tc>
        <w:tc>
          <w:tcPr>
            <w:tcW w:w="1241" w:type="pct"/>
          </w:tcPr>
          <w:p w14:paraId="71F6770F"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cost of pathologic review of 131 cases (assuming $120/case for second opinion): $15,720.</w:t>
            </w:r>
          </w:p>
          <w:p w14:paraId="17427243"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cost of 4 additional TUR (assuming average cost of TUR for bladder tumour is $14,907): $59,628.</w:t>
            </w:r>
          </w:p>
          <w:p w14:paraId="6B2638E6"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cost of 4 fewer radical cystectomies (assuming average cost of radical cystectomy is $40,381): $161,524.</w:t>
            </w:r>
          </w:p>
          <w:p w14:paraId="3461B11D"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savings generated by pathology second opinion: $86,176.</w:t>
            </w:r>
          </w:p>
          <w:p w14:paraId="22D46C32"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$658 per TUR reviewed.</w:t>
            </w:r>
          </w:p>
          <w:p w14:paraId="4A4778A7"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$888 per patient reviewed.</w:t>
            </w:r>
          </w:p>
          <w:p w14:paraId="32EC8B3D"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$1310 per patient to identify significant therapeutic changes in 12 patients.</w:t>
            </w:r>
          </w:p>
        </w:tc>
      </w:tr>
      <w:tr w:rsidR="00B51828" w:rsidRPr="00E0511C" w14:paraId="550B1B4B" w14:textId="77777777" w:rsidTr="002101D2">
        <w:tc>
          <w:tcPr>
            <w:tcW w:w="337" w:type="pct"/>
          </w:tcPr>
          <w:p w14:paraId="0A388D9D"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lastRenderedPageBreak/>
              <w:t>Epstein (1996)</w:t>
            </w:r>
          </w:p>
        </w:tc>
        <w:tc>
          <w:tcPr>
            <w:tcW w:w="627" w:type="pct"/>
          </w:tcPr>
          <w:p w14:paraId="369D78D5"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N=535 consecutive men referred over a 12-month period for radical prostatectomy after needle biopsy initially diagnosed as adenocarcinoma.</w:t>
            </w:r>
          </w:p>
          <w:p w14:paraId="52315114" w14:textId="77777777" w:rsidR="00B51828" w:rsidRPr="00E0511C" w:rsidRDefault="00B51828" w:rsidP="002101D2">
            <w:pPr>
              <w:keepNext/>
              <w:spacing w:after="0"/>
              <w:ind w:left="0"/>
              <w:rPr>
                <w:rFonts w:ascii="Arial Narrow" w:hAnsi="Arial Narrow"/>
                <w:i/>
                <w:sz w:val="20"/>
                <w:szCs w:val="20"/>
              </w:rPr>
            </w:pPr>
            <w:r w:rsidRPr="00E0511C">
              <w:rPr>
                <w:rFonts w:ascii="Arial Narrow" w:hAnsi="Arial Narrow"/>
                <w:i/>
                <w:sz w:val="20"/>
                <w:szCs w:val="20"/>
              </w:rPr>
              <w:t>John Hopkins Hospital in the United States</w:t>
            </w:r>
          </w:p>
        </w:tc>
        <w:tc>
          <w:tcPr>
            <w:tcW w:w="863" w:type="pct"/>
          </w:tcPr>
          <w:p w14:paraId="490053F7"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Mandatory review program. Second opinion on all outside biopsies prior to surgery. Slides initially reviewed by any one of six general surgical pathologists. All discordant diagnoses were reviewed in consultation with a second surgical pathologist.</w:t>
            </w:r>
          </w:p>
          <w:p w14:paraId="2CA2138F"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Authors acknowledge that findings do not reflect second ‘expert’ opinion.</w:t>
            </w:r>
          </w:p>
        </w:tc>
        <w:tc>
          <w:tcPr>
            <w:tcW w:w="1068" w:type="pct"/>
          </w:tcPr>
          <w:p w14:paraId="60D50CD8"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528/535 (98.7%) concordant; confirmed on subsequent surgery.</w:t>
            </w:r>
          </w:p>
          <w:p w14:paraId="685AA7A3"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 xml:space="preserve">7/535 discordant (5/7 were originally from teaching hospitals); 1/7 shown to have adenocarcinoma on subsequent biopsy (i.e. second opinion incorrect); 4/7 confirmed benign on subsequent biopsy; no repeat biopsy for 2/7. </w:t>
            </w:r>
          </w:p>
        </w:tc>
        <w:tc>
          <w:tcPr>
            <w:tcW w:w="862" w:type="pct"/>
          </w:tcPr>
          <w:p w14:paraId="78DE0B00"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 xml:space="preserve">CBA in USD, including direct healthcare costs only. </w:t>
            </w:r>
          </w:p>
          <w:p w14:paraId="795909B0"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Excludes potential savings in:</w:t>
            </w:r>
          </w:p>
          <w:p w14:paraId="67D5AD88"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lost wages</w:t>
            </w:r>
          </w:p>
          <w:p w14:paraId="0B6F1958"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 xml:space="preserve">potential litigation </w:t>
            </w:r>
          </w:p>
          <w:p w14:paraId="402BFDC4"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cost of work-up for surgery (e.g. radiology)</w:t>
            </w:r>
          </w:p>
          <w:p w14:paraId="72B315E7"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cost of treating side effects of surgery (incontinence and impotence)</w:t>
            </w:r>
          </w:p>
        </w:tc>
        <w:tc>
          <w:tcPr>
            <w:tcW w:w="1241" w:type="pct"/>
          </w:tcPr>
          <w:p w14:paraId="5B5C269E"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Total cost of reviewing all 535 biopsies was $44,883, includes:</w:t>
            </w:r>
          </w:p>
          <w:p w14:paraId="79426438"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$42,800 for slide review ($80/review)</w:t>
            </w:r>
          </w:p>
          <w:p w14:paraId="030BBCF9"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$783 for IHC (n=7)</w:t>
            </w:r>
          </w:p>
          <w:p w14:paraId="745D3D0C"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$1,300 for repeat TRUS and biopsy (n=4)</w:t>
            </w:r>
          </w:p>
          <w:p w14:paraId="37FBF617"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Cost saved due to cancellation of surgery (includes hospitalisation, anaesthesia, pathology and surgery) for 6 men was $85,686, includes:</w:t>
            </w:r>
          </w:p>
          <w:p w14:paraId="581C9D28"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$60,728 for 4 non-Medicare patients</w:t>
            </w:r>
          </w:p>
          <w:p w14:paraId="5CC5E856" w14:textId="77777777" w:rsidR="00B51828" w:rsidRPr="00E0511C" w:rsidRDefault="00B51828" w:rsidP="00B51828">
            <w:pPr>
              <w:keepNext/>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$24,958 for 2 Medicare patients</w:t>
            </w:r>
          </w:p>
          <w:p w14:paraId="2F6F1F28"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Second opinion prior to surgery saved $1.91 per dollar spent.</w:t>
            </w:r>
          </w:p>
        </w:tc>
      </w:tr>
      <w:tr w:rsidR="00B51828" w:rsidRPr="00E0511C" w14:paraId="42BB09C3" w14:textId="77777777" w:rsidTr="002101D2">
        <w:tc>
          <w:tcPr>
            <w:tcW w:w="337" w:type="pct"/>
          </w:tcPr>
          <w:p w14:paraId="2622FD51"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Safrin (1993)</w:t>
            </w:r>
            <w:r w:rsidRPr="00E0511C">
              <w:rPr>
                <w:rFonts w:ascii="Arial Narrow" w:hAnsi="Arial Narrow"/>
                <w:sz w:val="20"/>
                <w:szCs w:val="20"/>
                <w:vertAlign w:val="superscript"/>
              </w:rPr>
              <w:footnoteReference w:id="13"/>
            </w:r>
          </w:p>
        </w:tc>
        <w:tc>
          <w:tcPr>
            <w:tcW w:w="627" w:type="pct"/>
          </w:tcPr>
          <w:p w14:paraId="275CC393"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N=5,397 surgical pathology cases over a 1-year period.</w:t>
            </w:r>
          </w:p>
          <w:p w14:paraId="2CC7AC41" w14:textId="77777777" w:rsidR="00B51828" w:rsidRPr="00E0511C" w:rsidRDefault="00B51828" w:rsidP="002101D2">
            <w:pPr>
              <w:spacing w:after="0"/>
              <w:ind w:left="0"/>
              <w:rPr>
                <w:rFonts w:ascii="Arial Narrow" w:hAnsi="Arial Narrow"/>
                <w:i/>
                <w:sz w:val="20"/>
                <w:szCs w:val="20"/>
              </w:rPr>
            </w:pPr>
            <w:r w:rsidRPr="00E0511C">
              <w:rPr>
                <w:rFonts w:ascii="Arial Narrow" w:hAnsi="Arial Narrow"/>
                <w:i/>
                <w:sz w:val="20"/>
                <w:szCs w:val="20"/>
              </w:rPr>
              <w:t xml:space="preserve">Alvarado Hospital Medical Center in the United States </w:t>
            </w:r>
          </w:p>
        </w:tc>
        <w:tc>
          <w:tcPr>
            <w:tcW w:w="863" w:type="pct"/>
          </w:tcPr>
          <w:p w14:paraId="032808E4"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Surgical pathology quality assurance system in which a second (internal) pathologist routinely reviews all surgical pathology cases before release of the report.</w:t>
            </w:r>
          </w:p>
        </w:tc>
        <w:tc>
          <w:tcPr>
            <w:tcW w:w="1068" w:type="pct"/>
          </w:tcPr>
          <w:p w14:paraId="31E9CD0C"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 xml:space="preserve">14/5397 (25.9%) discrepancies of potential clinical significance were detected by the second observer. </w:t>
            </w:r>
          </w:p>
          <w:p w14:paraId="716C245E"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In 7/14 of these cases, the error would have resulted in a different clinical intervention than actually occurred.</w:t>
            </w:r>
          </w:p>
        </w:tc>
        <w:tc>
          <w:tcPr>
            <w:tcW w:w="862" w:type="pct"/>
          </w:tcPr>
          <w:p w14:paraId="5CBC2747"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Cost of finding a major discrepancy.</w:t>
            </w:r>
          </w:p>
        </w:tc>
        <w:tc>
          <w:tcPr>
            <w:tcW w:w="1241" w:type="pct"/>
          </w:tcPr>
          <w:p w14:paraId="393BB5D2"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Routine review added an estimated $7 to the cost of each case, or $2,700 for each discrepancy of potential clinical significance.</w:t>
            </w:r>
          </w:p>
        </w:tc>
      </w:tr>
      <w:tr w:rsidR="00B51828" w:rsidRPr="00E0511C" w14:paraId="66A985C5" w14:textId="77777777" w:rsidTr="002101D2">
        <w:tc>
          <w:tcPr>
            <w:tcW w:w="337" w:type="pct"/>
          </w:tcPr>
          <w:p w14:paraId="1C725AD4"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Santoso (1998)</w:t>
            </w:r>
          </w:p>
        </w:tc>
        <w:tc>
          <w:tcPr>
            <w:tcW w:w="627" w:type="pct"/>
          </w:tcPr>
          <w:p w14:paraId="6A133A73"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Retrospective review of N=720 gynaecological patients referred to the institution for care over an 8-year period.</w:t>
            </w:r>
          </w:p>
          <w:p w14:paraId="7EB639E5" w14:textId="77777777" w:rsidR="00B51828" w:rsidRPr="00E0511C" w:rsidRDefault="00B51828" w:rsidP="002101D2">
            <w:pPr>
              <w:spacing w:after="0"/>
              <w:ind w:left="0"/>
              <w:rPr>
                <w:rFonts w:ascii="Arial Narrow" w:hAnsi="Arial Narrow"/>
                <w:sz w:val="20"/>
                <w:szCs w:val="20"/>
              </w:rPr>
            </w:pPr>
            <w:r w:rsidRPr="00E0511C">
              <w:rPr>
                <w:rFonts w:ascii="Arial Narrow" w:hAnsi="Arial Narrow"/>
                <w:i/>
                <w:sz w:val="20"/>
                <w:szCs w:val="20"/>
              </w:rPr>
              <w:t>Tertiary care hospital in the United States</w:t>
            </w:r>
          </w:p>
        </w:tc>
        <w:tc>
          <w:tcPr>
            <w:tcW w:w="863" w:type="pct"/>
          </w:tcPr>
          <w:p w14:paraId="2FD80A84" w14:textId="4878BD99"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Second opinion by a gynaecologic pathologist. All discrepancies were re-reviewed by a gyn</w:t>
            </w:r>
            <w:r w:rsidR="005414B7">
              <w:rPr>
                <w:rFonts w:ascii="Arial Narrow" w:hAnsi="Arial Narrow"/>
                <w:sz w:val="20"/>
                <w:szCs w:val="20"/>
              </w:rPr>
              <w:t>a</w:t>
            </w:r>
            <w:r w:rsidRPr="00E0511C">
              <w:rPr>
                <w:rFonts w:ascii="Arial Narrow" w:hAnsi="Arial Narrow"/>
                <w:sz w:val="20"/>
                <w:szCs w:val="20"/>
              </w:rPr>
              <w:t>ecologic pathologist, a gynaecologist, and three gynaecologic oncologists.</w:t>
            </w:r>
          </w:p>
        </w:tc>
        <w:tc>
          <w:tcPr>
            <w:tcW w:w="1068" w:type="pct"/>
          </w:tcPr>
          <w:p w14:paraId="0E183B67"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119/720 discordant, including 15/720 (2%) major (defined as a diagnostic difference that led to an altered clinical intervention) and 104/720 (14%) minor.</w:t>
            </w:r>
          </w:p>
          <w:p w14:paraId="52ABA2E7"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 xml:space="preserve">The 15 major discrepancies resulted in: 6 surgeries cancelled, 2 surgeries modified, 1 adjuvant radiation treatment added, 1 chemotherapy treatment modified, 5 adjuvant chemotherapy treatments cancelled. </w:t>
            </w:r>
          </w:p>
        </w:tc>
        <w:tc>
          <w:tcPr>
            <w:tcW w:w="862" w:type="pct"/>
          </w:tcPr>
          <w:p w14:paraId="1D955282"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Cost of finding a major discrepancy with therapeutic implications, in USD.</w:t>
            </w:r>
          </w:p>
          <w:p w14:paraId="048B0FDC" w14:textId="77777777" w:rsidR="00B51828" w:rsidRPr="00E0511C" w:rsidRDefault="00B51828" w:rsidP="002101D2">
            <w:pPr>
              <w:spacing w:after="0"/>
              <w:ind w:left="0"/>
              <w:rPr>
                <w:rFonts w:ascii="Arial Narrow" w:hAnsi="Arial Narrow"/>
                <w:sz w:val="20"/>
                <w:szCs w:val="20"/>
              </w:rPr>
            </w:pPr>
          </w:p>
        </w:tc>
        <w:tc>
          <w:tcPr>
            <w:tcW w:w="1241" w:type="pct"/>
          </w:tcPr>
          <w:p w14:paraId="65EC1B19"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cost of pathology review of 720 cases (assuming $150/case): $108,000.</w:t>
            </w:r>
          </w:p>
          <w:p w14:paraId="2DD8866B"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Cost of identifying each major discrepancy that would result in altered clinical intervention: $7,200.</w:t>
            </w:r>
          </w:p>
        </w:tc>
      </w:tr>
      <w:tr w:rsidR="00B51828" w:rsidRPr="00E0511C" w14:paraId="05769FBE" w14:textId="77777777" w:rsidTr="002101D2">
        <w:tc>
          <w:tcPr>
            <w:tcW w:w="337" w:type="pct"/>
          </w:tcPr>
          <w:p w14:paraId="107DBAAD"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lastRenderedPageBreak/>
              <w:t>Selman (1999)</w:t>
            </w:r>
          </w:p>
        </w:tc>
        <w:tc>
          <w:tcPr>
            <w:tcW w:w="627" w:type="pct"/>
          </w:tcPr>
          <w:p w14:paraId="426F25BC"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Retrospective review of N=297 gynaecologic oncologic histopathologic cases referred to the institution for treatment over a 12-month period.</w:t>
            </w:r>
          </w:p>
          <w:p w14:paraId="3D07818D" w14:textId="77777777" w:rsidR="00B51828" w:rsidRPr="00E0511C" w:rsidRDefault="00B51828" w:rsidP="002101D2">
            <w:pPr>
              <w:keepNext/>
              <w:spacing w:after="0"/>
              <w:ind w:left="0"/>
              <w:rPr>
                <w:rFonts w:ascii="Arial Narrow" w:hAnsi="Arial Narrow"/>
                <w:i/>
                <w:sz w:val="20"/>
                <w:szCs w:val="20"/>
              </w:rPr>
            </w:pPr>
            <w:r w:rsidRPr="00E0511C">
              <w:rPr>
                <w:rFonts w:ascii="Arial Narrow" w:hAnsi="Arial Narrow"/>
                <w:i/>
                <w:sz w:val="20"/>
                <w:szCs w:val="20"/>
              </w:rPr>
              <w:t>Ohio State University Medical Center in the United States</w:t>
            </w:r>
          </w:p>
        </w:tc>
        <w:tc>
          <w:tcPr>
            <w:tcW w:w="863" w:type="pct"/>
          </w:tcPr>
          <w:p w14:paraId="6401D969"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Routine second opinion by one of three pathologists with a particular interest in gynaecologic pathology. Rare, unusual or uncertain cases were reviewed by two gynaecologic pathologists.</w:t>
            </w:r>
          </w:p>
        </w:tc>
        <w:tc>
          <w:tcPr>
            <w:tcW w:w="1068" w:type="pct"/>
          </w:tcPr>
          <w:p w14:paraId="35FE6D28"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 xml:space="preserve">50/297 (17%) discordant, including 14/297 (4.7%) with major therapeutic or prognostic implications (7 malignant or low malignant to benign, 3 malignant to low malignant potential, 2 change in tumour type, 2 change from superficially invasive to invasive). </w:t>
            </w:r>
          </w:p>
          <w:p w14:paraId="7CAE7377"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In 4 cases, surgery was cancelled (including 2 hysterectomies) and surgery was modified in 3 cases. In 3 cases adjuvant treatment was cancelled and in 2 cases adjuvant treatment was added.</w:t>
            </w:r>
          </w:p>
        </w:tc>
        <w:tc>
          <w:tcPr>
            <w:tcW w:w="862" w:type="pct"/>
          </w:tcPr>
          <w:p w14:paraId="4B909790"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Cost of finding a major discrepancy with therapeutic or prognostic implications, in USD.</w:t>
            </w:r>
          </w:p>
          <w:p w14:paraId="0513488E" w14:textId="77777777" w:rsidR="00B51828" w:rsidRPr="00E0511C" w:rsidRDefault="00B51828" w:rsidP="002101D2">
            <w:pPr>
              <w:keepNext/>
              <w:spacing w:after="0"/>
              <w:ind w:left="0"/>
              <w:rPr>
                <w:rFonts w:ascii="Arial Narrow" w:hAnsi="Arial Narrow"/>
                <w:sz w:val="20"/>
                <w:szCs w:val="20"/>
              </w:rPr>
            </w:pPr>
          </w:p>
        </w:tc>
        <w:tc>
          <w:tcPr>
            <w:tcW w:w="1241" w:type="pct"/>
          </w:tcPr>
          <w:p w14:paraId="4FD32FE0"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Total cost of pathology review of 295 cases (assuming $133/specimen): $39,235.</w:t>
            </w:r>
          </w:p>
          <w:p w14:paraId="73E0785E" w14:textId="77777777" w:rsidR="00B51828" w:rsidRPr="00E0511C" w:rsidRDefault="00B51828" w:rsidP="002101D2">
            <w:pPr>
              <w:keepNext/>
              <w:spacing w:after="0"/>
              <w:ind w:left="0"/>
              <w:rPr>
                <w:rFonts w:ascii="Arial Narrow" w:hAnsi="Arial Narrow"/>
                <w:sz w:val="20"/>
                <w:szCs w:val="20"/>
              </w:rPr>
            </w:pPr>
            <w:r w:rsidRPr="00E0511C">
              <w:rPr>
                <w:rFonts w:ascii="Arial Narrow" w:hAnsi="Arial Narrow"/>
                <w:sz w:val="20"/>
                <w:szCs w:val="20"/>
              </w:rPr>
              <w:t>Average cost of finding each major discrepancy: $2,802.</w:t>
            </w:r>
          </w:p>
        </w:tc>
      </w:tr>
      <w:tr w:rsidR="00B51828" w:rsidRPr="00E0511C" w14:paraId="2C0101BF" w14:textId="77777777" w:rsidTr="002101D2">
        <w:tc>
          <w:tcPr>
            <w:tcW w:w="337" w:type="pct"/>
          </w:tcPr>
          <w:p w14:paraId="32DAFD96"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Wurzer (1998)</w:t>
            </w:r>
          </w:p>
        </w:tc>
        <w:tc>
          <w:tcPr>
            <w:tcW w:w="627" w:type="pct"/>
          </w:tcPr>
          <w:p w14:paraId="163F3ADD"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N=538 patients with a biopsy diagnosis of adenocarcinoma who were referred for management over a 4-year period.</w:t>
            </w:r>
          </w:p>
          <w:p w14:paraId="12C1DBD2" w14:textId="77777777" w:rsidR="00B51828" w:rsidRPr="00E0511C" w:rsidRDefault="00B51828" w:rsidP="002101D2">
            <w:pPr>
              <w:spacing w:after="0"/>
              <w:ind w:left="0"/>
              <w:rPr>
                <w:rFonts w:ascii="Arial Narrow" w:hAnsi="Arial Narrow"/>
                <w:i/>
                <w:sz w:val="20"/>
                <w:szCs w:val="20"/>
              </w:rPr>
            </w:pPr>
            <w:r w:rsidRPr="00E0511C">
              <w:rPr>
                <w:rFonts w:ascii="Arial Narrow" w:hAnsi="Arial Narrow"/>
                <w:i/>
                <w:sz w:val="20"/>
                <w:szCs w:val="20"/>
              </w:rPr>
              <w:t>Fox Chance Cancer Centre in the United States</w:t>
            </w:r>
          </w:p>
        </w:tc>
        <w:tc>
          <w:tcPr>
            <w:tcW w:w="863" w:type="pct"/>
          </w:tcPr>
          <w:p w14:paraId="321ACF39"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Routine second opinion of prostate biopsies conducted by a single pathologist who is a specialist in prostate pathology. Seven other pathologists specialising in cancer-related pathology reviewed the remainder of the outside biopsy specimens.</w:t>
            </w:r>
          </w:p>
        </w:tc>
        <w:tc>
          <w:tcPr>
            <w:tcW w:w="1068" w:type="pct"/>
          </w:tcPr>
          <w:p w14:paraId="498C7F92"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212/538 (39.4%) changes in Gleason score, including 128 (23.8%) upgrading and 84 (15.6%) downgrading.</w:t>
            </w:r>
          </w:p>
          <w:p w14:paraId="2E06D0EB"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3 cases where adenocarcinoma was not confirmed on second opinion.</w:t>
            </w:r>
          </w:p>
          <w:p w14:paraId="568988C8"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 xml:space="preserve">26 cases (5%) required treatment modification: 17 required modification of treatment volume or doses, 6 changed from adjuvant hormonal therapy to no hormonal therapy, 3 changed from no hormonal to adjuvant hormonal therapy. </w:t>
            </w:r>
          </w:p>
        </w:tc>
        <w:tc>
          <w:tcPr>
            <w:tcW w:w="862" w:type="pct"/>
          </w:tcPr>
          <w:p w14:paraId="75515072"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CEA in USD.</w:t>
            </w:r>
          </w:p>
          <w:p w14:paraId="4B8825EA"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Excludes potential savings due to:</w:t>
            </w:r>
          </w:p>
          <w:p w14:paraId="41236FA1"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morbidity</w:t>
            </w:r>
          </w:p>
          <w:p w14:paraId="077E435E"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lost productivity</w:t>
            </w:r>
          </w:p>
          <w:p w14:paraId="11EB1264" w14:textId="77777777" w:rsidR="00B51828" w:rsidRPr="00E0511C" w:rsidRDefault="00B51828" w:rsidP="00B51828">
            <w:pPr>
              <w:numPr>
                <w:ilvl w:val="0"/>
                <w:numId w:val="39"/>
              </w:numPr>
              <w:spacing w:after="0"/>
              <w:ind w:left="193" w:hanging="193"/>
              <w:contextualSpacing/>
              <w:rPr>
                <w:rFonts w:ascii="Arial Narrow" w:hAnsi="Arial Narrow"/>
                <w:sz w:val="20"/>
                <w:szCs w:val="20"/>
              </w:rPr>
            </w:pPr>
            <w:r w:rsidRPr="00E0511C">
              <w:rPr>
                <w:rFonts w:ascii="Arial Narrow" w:hAnsi="Arial Narrow"/>
                <w:sz w:val="20"/>
                <w:szCs w:val="20"/>
              </w:rPr>
              <w:t>litigation</w:t>
            </w:r>
          </w:p>
          <w:p w14:paraId="022D445F" w14:textId="77777777" w:rsidR="00B51828" w:rsidRPr="00E0511C" w:rsidRDefault="00B51828" w:rsidP="002101D2">
            <w:pPr>
              <w:spacing w:after="0"/>
              <w:ind w:left="0"/>
              <w:rPr>
                <w:rFonts w:ascii="Arial Narrow" w:hAnsi="Arial Narrow"/>
                <w:sz w:val="20"/>
                <w:szCs w:val="20"/>
              </w:rPr>
            </w:pPr>
          </w:p>
        </w:tc>
        <w:tc>
          <w:tcPr>
            <w:tcW w:w="1241" w:type="pct"/>
          </w:tcPr>
          <w:p w14:paraId="1DA4B346"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Charge for second opinion: $251.</w:t>
            </w:r>
          </w:p>
          <w:p w14:paraId="527E5833"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Reimbursement for second opinion: $104.</w:t>
            </w:r>
          </w:p>
          <w:p w14:paraId="540A9037"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cost of review of 538 cases (assuming reimbursement fee for second opinion is $104): $55,952.</w:t>
            </w:r>
          </w:p>
          <w:p w14:paraId="344B7934"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Cost saved for 3 avoided courses of radiation therapy for prostate carcinoma (assuming $12,399 reimbursed per course): $37,197.</w:t>
            </w:r>
          </w:p>
          <w:p w14:paraId="4E7596F5"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Cost saved for 3 avoided 1-year courses of adjuvant hormonal therapy (assuming $882 reimbursed per monthly injection): $31,752.</w:t>
            </w:r>
          </w:p>
          <w:p w14:paraId="102D1165" w14:textId="77777777" w:rsidR="00B51828" w:rsidRPr="00E0511C" w:rsidRDefault="00B51828" w:rsidP="002101D2">
            <w:pPr>
              <w:spacing w:after="0"/>
              <w:ind w:left="0"/>
              <w:rPr>
                <w:rFonts w:ascii="Arial Narrow" w:hAnsi="Arial Narrow"/>
                <w:sz w:val="20"/>
                <w:szCs w:val="20"/>
              </w:rPr>
            </w:pPr>
            <w:r w:rsidRPr="00E0511C">
              <w:rPr>
                <w:rFonts w:ascii="Arial Narrow" w:hAnsi="Arial Narrow"/>
                <w:sz w:val="20"/>
                <w:szCs w:val="20"/>
              </w:rPr>
              <w:t>Total savings generated by pathology review: $12,997.</w:t>
            </w:r>
          </w:p>
        </w:tc>
      </w:tr>
    </w:tbl>
    <w:p w14:paraId="3DACBCC0" w14:textId="77777777" w:rsidR="00B51828" w:rsidRPr="00723E43" w:rsidRDefault="00B51828" w:rsidP="002101D2">
      <w:pPr>
        <w:spacing w:before="20" w:after="0"/>
        <w:ind w:left="0"/>
        <w:rPr>
          <w:rFonts w:ascii="Arial Narrow" w:hAnsi="Arial Narrow"/>
          <w:sz w:val="18"/>
          <w:szCs w:val="18"/>
        </w:rPr>
      </w:pPr>
      <w:r w:rsidRPr="00723E43">
        <w:rPr>
          <w:rFonts w:ascii="Arial Narrow" w:hAnsi="Arial Narrow"/>
          <w:sz w:val="18"/>
          <w:szCs w:val="18"/>
        </w:rPr>
        <w:t>Abbreviations: CBA, cost-benefit analysis; CEA, cost-effectiveness analysis; FNAC, fine needle aspiration cytology; HKD, Hong Kong dollar; IHC, immunohistochemistry; TRUS, transrectal ultrasound; TUR, transurethral resection; USD, United States dollar</w:t>
      </w:r>
    </w:p>
    <w:p w14:paraId="26D1ECB7" w14:textId="77777777" w:rsidR="00B51828" w:rsidRDefault="00B51828" w:rsidP="002101D2">
      <w:pPr>
        <w:spacing w:after="0"/>
        <w:ind w:left="0"/>
        <w:rPr>
          <w:sz w:val="18"/>
          <w:szCs w:val="18"/>
        </w:rPr>
      </w:pPr>
    </w:p>
    <w:p w14:paraId="5E72EF96" w14:textId="77777777" w:rsidR="00B51828" w:rsidRDefault="00B51828" w:rsidP="002101D2">
      <w:pPr>
        <w:spacing w:after="0"/>
        <w:ind w:left="0"/>
        <w:rPr>
          <w:sz w:val="18"/>
          <w:szCs w:val="18"/>
        </w:rPr>
        <w:sectPr w:rsidR="00B51828" w:rsidSect="002101D2">
          <w:footerReference w:type="default" r:id="rId40"/>
          <w:pgSz w:w="16838" w:h="11906" w:orient="landscape" w:code="9"/>
          <w:pgMar w:top="1440" w:right="1440" w:bottom="1440" w:left="1440" w:header="680" w:footer="1021" w:gutter="0"/>
          <w:cols w:space="708"/>
          <w:docGrid w:linePitch="360"/>
        </w:sectPr>
      </w:pPr>
    </w:p>
    <w:p w14:paraId="7A5E35CA" w14:textId="77777777" w:rsidR="00B51828" w:rsidRDefault="00B51828" w:rsidP="002101D2">
      <w:pPr>
        <w:pStyle w:val="Heading1"/>
        <w:ind w:left="851" w:hanging="851"/>
      </w:pPr>
      <w:bookmarkStart w:id="395" w:name="_Toc396211725"/>
      <w:r>
        <w:lastRenderedPageBreak/>
        <w:t>References</w:t>
      </w:r>
      <w:bookmarkEnd w:id="395"/>
    </w:p>
    <w:p w14:paraId="1771216D" w14:textId="77777777" w:rsidR="00132BD2" w:rsidRDefault="00132BD2" w:rsidP="001B22C7">
      <w:pPr>
        <w:ind w:hanging="720"/>
        <w:rPr>
          <w:noProof/>
        </w:rPr>
      </w:pPr>
      <w:bookmarkStart w:id="396" w:name="_ENREF_1"/>
      <w:r>
        <w:rPr>
          <w:noProof/>
        </w:rPr>
        <w:t xml:space="preserve">Ahmed Z, Yaqoob N, Muzaffar S, Kayani N, Pervez S &amp; Hasan SH (2004). Diagnostic surgical pathology: The importance of second opinion in a developing country. </w:t>
      </w:r>
      <w:r w:rsidRPr="00A64C14">
        <w:rPr>
          <w:i/>
          <w:noProof/>
        </w:rPr>
        <w:t>Journal of the Pakistan Medical Association,</w:t>
      </w:r>
      <w:r>
        <w:rPr>
          <w:noProof/>
        </w:rPr>
        <w:t xml:space="preserve"> 54(6):306-311.</w:t>
      </w:r>
      <w:bookmarkEnd w:id="396"/>
    </w:p>
    <w:p w14:paraId="6A1BFE0E" w14:textId="77777777" w:rsidR="00132BD2" w:rsidRDefault="00132BD2" w:rsidP="001B22C7">
      <w:pPr>
        <w:ind w:hanging="720"/>
        <w:rPr>
          <w:noProof/>
        </w:rPr>
      </w:pPr>
      <w:bookmarkStart w:id="397" w:name="_ENREF_2"/>
      <w:r>
        <w:rPr>
          <w:noProof/>
        </w:rPr>
        <w:t xml:space="preserve">Arbiser ZK, Folpe AL &amp; Weiss SW (2001). Consultative (expert) second opinions in soft tissue pathology: Analysis of problem-prone diagnostic situations. </w:t>
      </w:r>
      <w:r w:rsidRPr="00A64C14">
        <w:rPr>
          <w:i/>
          <w:noProof/>
        </w:rPr>
        <w:t>American Journal of Clinical Pathology,</w:t>
      </w:r>
      <w:r>
        <w:rPr>
          <w:noProof/>
        </w:rPr>
        <w:t xml:space="preserve"> 116(4):473-476.</w:t>
      </w:r>
      <w:bookmarkEnd w:id="397"/>
    </w:p>
    <w:p w14:paraId="4EEE4669" w14:textId="77777777" w:rsidR="00132BD2" w:rsidRDefault="00132BD2" w:rsidP="001B22C7">
      <w:pPr>
        <w:ind w:hanging="720"/>
        <w:rPr>
          <w:noProof/>
        </w:rPr>
      </w:pPr>
      <w:bookmarkStart w:id="398" w:name="_ENREF_3"/>
      <w:r>
        <w:rPr>
          <w:noProof/>
        </w:rPr>
        <w:t xml:space="preserve">Azam M &amp; Nakhleh RE (2002). Surgical pathology extradepartmental consultation practices: A College of American Pathologists Q-Probes study of 2746 consultations from 180 laboratories. </w:t>
      </w:r>
      <w:r w:rsidRPr="00A64C14">
        <w:rPr>
          <w:i/>
          <w:noProof/>
        </w:rPr>
        <w:t>Archives of Pathology and Laboratory Medicine,</w:t>
      </w:r>
      <w:r>
        <w:rPr>
          <w:noProof/>
        </w:rPr>
        <w:t xml:space="preserve"> 126(4):405-412.</w:t>
      </w:r>
      <w:bookmarkEnd w:id="398"/>
    </w:p>
    <w:p w14:paraId="2610167E" w14:textId="77777777" w:rsidR="00132BD2" w:rsidRPr="000C308C" w:rsidRDefault="00132BD2" w:rsidP="001B22C7">
      <w:pPr>
        <w:ind w:hanging="720"/>
        <w:rPr>
          <w:noProof/>
        </w:rPr>
      </w:pPr>
      <w:r w:rsidRPr="000C308C">
        <w:rPr>
          <w:noProof/>
        </w:rPr>
        <w:t xml:space="preserve">Bajaj J, Morgenstern N, Sugrue C, Wasserman J &amp; Wasserman P (2012). Clinical impact of second opinion in thyroid fine needle aspiration cytology (FNAC): A study of 922 interinstitutional consultations. </w:t>
      </w:r>
      <w:r w:rsidRPr="000C308C">
        <w:rPr>
          <w:i/>
          <w:noProof/>
        </w:rPr>
        <w:t>Diagnostic Cytopathology,</w:t>
      </w:r>
      <w:r w:rsidRPr="000C308C">
        <w:rPr>
          <w:noProof/>
        </w:rPr>
        <w:t xml:space="preserve"> 40(5):422-429.</w:t>
      </w:r>
    </w:p>
    <w:p w14:paraId="523BAC46" w14:textId="77777777" w:rsidR="00132BD2" w:rsidRDefault="00132BD2" w:rsidP="001B22C7">
      <w:pPr>
        <w:ind w:hanging="720"/>
        <w:rPr>
          <w:noProof/>
        </w:rPr>
      </w:pPr>
      <w:r w:rsidRPr="000C308C">
        <w:rPr>
          <w:noProof/>
        </w:rPr>
        <w:t xml:space="preserve">Bejarano PA, Koehler A &amp; Sherman KE (2001). Second opinion pathology in liver biopsy interpretation. </w:t>
      </w:r>
      <w:r w:rsidRPr="000C308C">
        <w:rPr>
          <w:i/>
          <w:noProof/>
        </w:rPr>
        <w:t>American Journal of Gastroenterology,</w:t>
      </w:r>
      <w:r w:rsidRPr="000C308C">
        <w:rPr>
          <w:noProof/>
        </w:rPr>
        <w:t xml:space="preserve"> 96(11):3158-3164.</w:t>
      </w:r>
    </w:p>
    <w:p w14:paraId="564CE4BA" w14:textId="77777777" w:rsidR="00132BD2" w:rsidRDefault="00132BD2" w:rsidP="001B22C7">
      <w:pPr>
        <w:ind w:hanging="720"/>
        <w:rPr>
          <w:noProof/>
        </w:rPr>
      </w:pPr>
      <w:bookmarkStart w:id="399" w:name="_ENREF_4"/>
      <w:r>
        <w:rPr>
          <w:noProof/>
        </w:rPr>
        <w:t xml:space="preserve">Bruner JM, Inouye L, Fuller GN &amp; Langford LA (1997). Diagnostic discrepancies and their clinical impact in a neuropathology referral practice. </w:t>
      </w:r>
      <w:r w:rsidRPr="00A64C14">
        <w:rPr>
          <w:i/>
          <w:noProof/>
        </w:rPr>
        <w:t>Cancer,</w:t>
      </w:r>
      <w:r>
        <w:rPr>
          <w:noProof/>
        </w:rPr>
        <w:t xml:space="preserve"> 79(4):796-803.</w:t>
      </w:r>
      <w:bookmarkEnd w:id="399"/>
    </w:p>
    <w:p w14:paraId="5EEF919B" w14:textId="77777777" w:rsidR="00132BD2" w:rsidRDefault="00132BD2" w:rsidP="001B22C7">
      <w:pPr>
        <w:ind w:hanging="720"/>
        <w:rPr>
          <w:noProof/>
        </w:rPr>
      </w:pPr>
      <w:r w:rsidRPr="000C308C">
        <w:rPr>
          <w:noProof/>
        </w:rPr>
        <w:t xml:space="preserve">Chan Y, Cheung AN, Cheng DK, Ng T, Ngan HY &amp; Wong L (1999). Pathology slide reivew in gynecologic oncology: routine or selective? </w:t>
      </w:r>
      <w:r w:rsidRPr="000C308C">
        <w:rPr>
          <w:i/>
          <w:noProof/>
        </w:rPr>
        <w:t xml:space="preserve">Gynecologic Oncology, </w:t>
      </w:r>
      <w:r w:rsidRPr="000C308C">
        <w:rPr>
          <w:noProof/>
        </w:rPr>
        <w:t xml:space="preserve">75:267-271. </w:t>
      </w:r>
    </w:p>
    <w:p w14:paraId="27B1BF93" w14:textId="77777777" w:rsidR="00132BD2" w:rsidRDefault="00132BD2" w:rsidP="001B22C7">
      <w:pPr>
        <w:ind w:hanging="720"/>
        <w:rPr>
          <w:noProof/>
        </w:rPr>
      </w:pPr>
      <w:bookmarkStart w:id="400" w:name="_ENREF_5"/>
      <w:r>
        <w:rPr>
          <w:noProof/>
        </w:rPr>
        <w:t xml:space="preserve">Chan TY &amp; Epstein JI (2005). Patient and urologist driven second opinion of prostate needle biopsies. </w:t>
      </w:r>
      <w:r w:rsidRPr="00A64C14">
        <w:rPr>
          <w:i/>
          <w:noProof/>
        </w:rPr>
        <w:t>Journal of Urology,</w:t>
      </w:r>
      <w:r>
        <w:rPr>
          <w:noProof/>
        </w:rPr>
        <w:t xml:space="preserve"> 174(4 I):1390-1394.</w:t>
      </w:r>
      <w:bookmarkEnd w:id="400"/>
    </w:p>
    <w:p w14:paraId="690F4331" w14:textId="77777777" w:rsidR="00132BD2" w:rsidRDefault="00132BD2" w:rsidP="001B22C7">
      <w:pPr>
        <w:ind w:hanging="720"/>
        <w:rPr>
          <w:noProof/>
        </w:rPr>
      </w:pPr>
      <w:r w:rsidRPr="000C308C">
        <w:rPr>
          <w:noProof/>
        </w:rPr>
        <w:t xml:space="preserve">Coblentz TR, Mills SE &amp; Theodorescu D (2001). Impact of second opinion pathology in the definitive management of patients with bladder carcinoma. </w:t>
      </w:r>
      <w:r w:rsidRPr="000C308C">
        <w:rPr>
          <w:i/>
          <w:noProof/>
        </w:rPr>
        <w:t>Cancer,</w:t>
      </w:r>
      <w:r w:rsidRPr="000C308C">
        <w:rPr>
          <w:noProof/>
        </w:rPr>
        <w:t xml:space="preserve"> 91(7):1284-1290.</w:t>
      </w:r>
    </w:p>
    <w:p w14:paraId="09919202" w14:textId="77777777" w:rsidR="00132BD2" w:rsidRDefault="00132BD2" w:rsidP="001B22C7">
      <w:pPr>
        <w:ind w:hanging="720"/>
        <w:rPr>
          <w:noProof/>
        </w:rPr>
      </w:pPr>
      <w:bookmarkStart w:id="401" w:name="_ENREF_6"/>
      <w:r>
        <w:rPr>
          <w:noProof/>
        </w:rPr>
        <w:t xml:space="preserve">Cook IS, McCormick D &amp; Poller DN (2001). Referrals for second opinion in surgical pathology: Implications for management of cancer patients in the UK. </w:t>
      </w:r>
      <w:r w:rsidRPr="00A64C14">
        <w:rPr>
          <w:i/>
          <w:noProof/>
        </w:rPr>
        <w:t>European Journal of Surgical Oncology,</w:t>
      </w:r>
      <w:r>
        <w:rPr>
          <w:noProof/>
        </w:rPr>
        <w:t xml:space="preserve"> 27(6):589-594.</w:t>
      </w:r>
      <w:bookmarkEnd w:id="401"/>
    </w:p>
    <w:p w14:paraId="309B1D16" w14:textId="77777777" w:rsidR="00132BD2" w:rsidRDefault="00132BD2" w:rsidP="001B22C7">
      <w:pPr>
        <w:ind w:hanging="720"/>
        <w:rPr>
          <w:noProof/>
        </w:rPr>
      </w:pPr>
      <w:r w:rsidRPr="000C308C">
        <w:rPr>
          <w:noProof/>
        </w:rPr>
        <w:t xml:space="preserve">Epstein JI, Walsh PC &amp; Sanfilippo F (1996). Clinical and cost impact of second-opinion pathology: Review of prostate biopsies prior to radical prostatectomy. </w:t>
      </w:r>
      <w:r w:rsidRPr="000C308C">
        <w:rPr>
          <w:i/>
          <w:noProof/>
        </w:rPr>
        <w:t>American Journal of Surgical Pathology,</w:t>
      </w:r>
      <w:r w:rsidRPr="000C308C">
        <w:rPr>
          <w:noProof/>
        </w:rPr>
        <w:t xml:space="preserve"> 20(7):851-857.</w:t>
      </w:r>
    </w:p>
    <w:p w14:paraId="49B79DF9" w14:textId="77777777" w:rsidR="00132BD2" w:rsidRDefault="00132BD2" w:rsidP="001B22C7">
      <w:pPr>
        <w:ind w:hanging="720"/>
        <w:rPr>
          <w:noProof/>
        </w:rPr>
      </w:pPr>
      <w:bookmarkStart w:id="402" w:name="_ENREF_7"/>
      <w:r>
        <w:rPr>
          <w:noProof/>
        </w:rPr>
        <w:t xml:space="preserve">Fajardo DA, Miyamoto H, Miller JS, Lee TK &amp; Epstein JI (2011). Identification of gleason pattern 5 on prostatic needle core biopsy: Frequency of underdiagnosis and relation to morphology. </w:t>
      </w:r>
      <w:r w:rsidRPr="00A64C14">
        <w:rPr>
          <w:i/>
          <w:noProof/>
        </w:rPr>
        <w:t>American Journal of Surgical Pathology,</w:t>
      </w:r>
      <w:r>
        <w:rPr>
          <w:noProof/>
        </w:rPr>
        <w:t xml:space="preserve"> 35(11):1706-1711.</w:t>
      </w:r>
      <w:bookmarkEnd w:id="402"/>
    </w:p>
    <w:p w14:paraId="24343027" w14:textId="77777777" w:rsidR="00132BD2" w:rsidRDefault="00132BD2" w:rsidP="001B22C7">
      <w:pPr>
        <w:ind w:hanging="720"/>
        <w:rPr>
          <w:noProof/>
        </w:rPr>
      </w:pPr>
      <w:bookmarkStart w:id="403" w:name="_ENREF_8"/>
      <w:r>
        <w:rPr>
          <w:noProof/>
        </w:rPr>
        <w:t xml:space="preserve">Gaudi S, Zarandona JM, Raab SS, English JC &amp; Jukic DM (2013). Discrepancies in dermatopathology diagnoses: The role of second review policies and dermatopathology fellowship training. </w:t>
      </w:r>
      <w:r w:rsidRPr="00A64C14">
        <w:rPr>
          <w:i/>
          <w:noProof/>
        </w:rPr>
        <w:t>Journal of the American Academy of Dermatology,</w:t>
      </w:r>
      <w:r>
        <w:rPr>
          <w:noProof/>
        </w:rPr>
        <w:t xml:space="preserve"> 68(1):119-128.</w:t>
      </w:r>
      <w:bookmarkEnd w:id="403"/>
    </w:p>
    <w:p w14:paraId="012801B8" w14:textId="77777777" w:rsidR="00132BD2" w:rsidRDefault="00132BD2" w:rsidP="001B22C7">
      <w:pPr>
        <w:ind w:hanging="720"/>
        <w:rPr>
          <w:noProof/>
        </w:rPr>
      </w:pPr>
      <w:bookmarkStart w:id="404" w:name="_ENREF_9"/>
      <w:r>
        <w:rPr>
          <w:noProof/>
        </w:rPr>
        <w:lastRenderedPageBreak/>
        <w:t xml:space="preserve">Hamady ZZR, Mather N, Lansdown MR, Davidson L &amp; Maclennan KA (2005). Surgical pathological second opinion in thyroid malignancy: Impact on patients' management and prognosis. </w:t>
      </w:r>
      <w:r w:rsidRPr="00A64C14">
        <w:rPr>
          <w:i/>
          <w:noProof/>
        </w:rPr>
        <w:t>European Journal of Surgical Oncology,</w:t>
      </w:r>
      <w:r>
        <w:rPr>
          <w:noProof/>
        </w:rPr>
        <w:t xml:space="preserve"> 31(1):74-77.</w:t>
      </w:r>
      <w:bookmarkEnd w:id="404"/>
    </w:p>
    <w:p w14:paraId="76D69023" w14:textId="77777777" w:rsidR="00132BD2" w:rsidRDefault="00132BD2" w:rsidP="001B22C7">
      <w:pPr>
        <w:ind w:hanging="720"/>
        <w:rPr>
          <w:noProof/>
        </w:rPr>
      </w:pPr>
      <w:bookmarkStart w:id="405" w:name="_ENREF_10"/>
      <w:r>
        <w:rPr>
          <w:noProof/>
        </w:rPr>
        <w:t xml:space="preserve">Herawi M, Parwani AV, Irie J &amp; Epstein JI (2005). Small glandular proliferations on needle biopsies: Most common benign mimickers of prostatic adenocarcinoma sent in for expert second opinion. </w:t>
      </w:r>
      <w:r w:rsidRPr="00A64C14">
        <w:rPr>
          <w:i/>
          <w:noProof/>
        </w:rPr>
        <w:t>American Journal of Surgical Pathology,</w:t>
      </w:r>
      <w:r>
        <w:rPr>
          <w:noProof/>
        </w:rPr>
        <w:t xml:space="preserve"> 29(7):874-880.</w:t>
      </w:r>
      <w:bookmarkEnd w:id="405"/>
    </w:p>
    <w:p w14:paraId="20647392" w14:textId="77777777" w:rsidR="00132BD2" w:rsidRDefault="00132BD2" w:rsidP="001B22C7">
      <w:pPr>
        <w:ind w:hanging="720"/>
        <w:rPr>
          <w:noProof/>
        </w:rPr>
      </w:pPr>
      <w:bookmarkStart w:id="406" w:name="_ENREF_11"/>
      <w:r>
        <w:rPr>
          <w:noProof/>
        </w:rPr>
        <w:t xml:space="preserve">Hsu CY, Su IJ, Lin MC, Kuo TT, Jung SM &amp; Ho DMT (2010). Extra-departmental anatomic pathology expert consultation in Taiwan: A research grant supported 4-year experience. </w:t>
      </w:r>
      <w:r w:rsidRPr="00A64C14">
        <w:rPr>
          <w:i/>
          <w:noProof/>
        </w:rPr>
        <w:t>Journal of Surgical Oncology,</w:t>
      </w:r>
      <w:r>
        <w:rPr>
          <w:noProof/>
        </w:rPr>
        <w:t xml:space="preserve"> 101(5):430-435.</w:t>
      </w:r>
      <w:bookmarkEnd w:id="406"/>
    </w:p>
    <w:p w14:paraId="48B279C9" w14:textId="77777777" w:rsidR="00132BD2" w:rsidRDefault="00132BD2" w:rsidP="001B22C7">
      <w:pPr>
        <w:ind w:hanging="720"/>
        <w:rPr>
          <w:noProof/>
        </w:rPr>
      </w:pPr>
      <w:bookmarkStart w:id="407" w:name="_ENREF_12"/>
      <w:r>
        <w:rPr>
          <w:noProof/>
        </w:rPr>
        <w:t xml:space="preserve">Hutton Klein JR, Tazelaar HD, Leslie KO &amp; Colby TV (2010). One hundred consecutive granulomas in a pulmonary pathology consultation practice. </w:t>
      </w:r>
      <w:r w:rsidRPr="00A64C14">
        <w:rPr>
          <w:i/>
          <w:noProof/>
        </w:rPr>
        <w:t>The American journal of surgical pathology,</w:t>
      </w:r>
      <w:r>
        <w:rPr>
          <w:noProof/>
        </w:rPr>
        <w:t xml:space="preserve"> 34(10):1456-1464.</w:t>
      </w:r>
      <w:bookmarkEnd w:id="407"/>
    </w:p>
    <w:p w14:paraId="01F6F462" w14:textId="77777777" w:rsidR="00132BD2" w:rsidRDefault="00132BD2" w:rsidP="001B22C7">
      <w:pPr>
        <w:ind w:hanging="720"/>
        <w:rPr>
          <w:noProof/>
        </w:rPr>
      </w:pPr>
      <w:bookmarkStart w:id="408" w:name="_ENREF_13"/>
      <w:r>
        <w:rPr>
          <w:noProof/>
        </w:rPr>
        <w:t xml:space="preserve">Jones K &amp; Jordan RCK (2010). Patterns of second-opinion diagnosis in oral and maxillofacial pathology. </w:t>
      </w:r>
      <w:r w:rsidRPr="00A64C14">
        <w:rPr>
          <w:i/>
          <w:noProof/>
        </w:rPr>
        <w:t>Oral Surgery, Oral Medicine, Oral Pathology, Oral Radiology and Endodontology,</w:t>
      </w:r>
      <w:r>
        <w:rPr>
          <w:noProof/>
        </w:rPr>
        <w:t xml:space="preserve"> 109(6):865-869.</w:t>
      </w:r>
      <w:bookmarkEnd w:id="408"/>
    </w:p>
    <w:p w14:paraId="7A09F757" w14:textId="77777777" w:rsidR="00132BD2" w:rsidRDefault="00132BD2" w:rsidP="001B22C7">
      <w:pPr>
        <w:ind w:hanging="720"/>
        <w:rPr>
          <w:noProof/>
        </w:rPr>
      </w:pPr>
      <w:bookmarkStart w:id="409" w:name="_ENREF_14"/>
      <w:r>
        <w:rPr>
          <w:noProof/>
        </w:rPr>
        <w:t xml:space="preserve">Kronz JD, Milord R, Wilentz R, Weir EG, Schreiner SR &amp; Epstein JI (2003). Lesions missed on prostate biopsies in cases sent in for consultation. </w:t>
      </w:r>
      <w:r w:rsidRPr="00A64C14">
        <w:rPr>
          <w:i/>
          <w:noProof/>
        </w:rPr>
        <w:t>Prostate,</w:t>
      </w:r>
      <w:r>
        <w:rPr>
          <w:noProof/>
        </w:rPr>
        <w:t xml:space="preserve"> 54(4):310-314.</w:t>
      </w:r>
      <w:bookmarkEnd w:id="409"/>
    </w:p>
    <w:p w14:paraId="6B62B719" w14:textId="77777777" w:rsidR="00132BD2" w:rsidRDefault="00132BD2" w:rsidP="001B22C7">
      <w:pPr>
        <w:ind w:hanging="720"/>
        <w:rPr>
          <w:noProof/>
        </w:rPr>
      </w:pPr>
      <w:bookmarkStart w:id="410" w:name="_ENREF_15"/>
      <w:r>
        <w:rPr>
          <w:noProof/>
        </w:rPr>
        <w:t xml:space="preserve">Lueck N, Manion EM, Cohen MB &amp; Weydert JA (2009). Institutional second opinion. </w:t>
      </w:r>
      <w:r w:rsidRPr="00A64C14">
        <w:rPr>
          <w:i/>
          <w:noProof/>
        </w:rPr>
        <w:t>Pathology Case Reviews,</w:t>
      </w:r>
      <w:r>
        <w:rPr>
          <w:noProof/>
        </w:rPr>
        <w:t xml:space="preserve"> 14(2):62-65.</w:t>
      </w:r>
      <w:bookmarkEnd w:id="410"/>
    </w:p>
    <w:p w14:paraId="4517199E" w14:textId="77777777" w:rsidR="00132BD2" w:rsidRDefault="00132BD2" w:rsidP="001B22C7">
      <w:pPr>
        <w:ind w:hanging="720"/>
        <w:rPr>
          <w:noProof/>
        </w:rPr>
      </w:pPr>
      <w:bookmarkStart w:id="411" w:name="_ENREF_16"/>
      <w:r>
        <w:rPr>
          <w:noProof/>
        </w:rPr>
        <w:t xml:space="preserve">Ray-Coquard I, Montesco MC, Coindre JM, Dei tos AP, Lurkin A, Ranchere-vince D, et al. (2012). Sarcoma: Concordance between initial diagnosis and centralized expert review in a population-based study within three European regions. </w:t>
      </w:r>
      <w:r w:rsidRPr="00A64C14">
        <w:rPr>
          <w:i/>
          <w:noProof/>
        </w:rPr>
        <w:t>Annals of Oncology,</w:t>
      </w:r>
      <w:r>
        <w:rPr>
          <w:noProof/>
        </w:rPr>
        <w:t xml:space="preserve"> 23(9):2442-2449.</w:t>
      </w:r>
      <w:bookmarkEnd w:id="411"/>
    </w:p>
    <w:p w14:paraId="223E8CA8" w14:textId="77777777" w:rsidR="00132BD2" w:rsidRDefault="00132BD2" w:rsidP="001B22C7">
      <w:pPr>
        <w:ind w:hanging="720"/>
        <w:rPr>
          <w:noProof/>
        </w:rPr>
      </w:pPr>
      <w:bookmarkStart w:id="412" w:name="_ENREF_17"/>
      <w:r>
        <w:rPr>
          <w:noProof/>
        </w:rPr>
        <w:t xml:space="preserve">Renshaw AA &amp; Gould EW (2005). Comparison of disagreement and error rates for three types of interdepartmental consultations. </w:t>
      </w:r>
      <w:r w:rsidRPr="00A64C14">
        <w:rPr>
          <w:i/>
          <w:noProof/>
        </w:rPr>
        <w:t>American Journal of Clinical Pathology,</w:t>
      </w:r>
      <w:r>
        <w:rPr>
          <w:noProof/>
        </w:rPr>
        <w:t xml:space="preserve"> 124(6):878-882.</w:t>
      </w:r>
      <w:bookmarkEnd w:id="412"/>
    </w:p>
    <w:p w14:paraId="54A6BCBB" w14:textId="77777777" w:rsidR="00132BD2" w:rsidRDefault="00132BD2" w:rsidP="001B22C7">
      <w:pPr>
        <w:ind w:hanging="720"/>
        <w:rPr>
          <w:noProof/>
        </w:rPr>
      </w:pPr>
      <w:bookmarkStart w:id="413" w:name="_ENREF_18"/>
      <w:r>
        <w:rPr>
          <w:noProof/>
        </w:rPr>
        <w:t xml:space="preserve">Renshaw AA &amp; Gould EW (2013). Increasing agreement over time in interlaboratory anatomic pathology consultation material. </w:t>
      </w:r>
      <w:r w:rsidRPr="00A64C14">
        <w:rPr>
          <w:i/>
          <w:noProof/>
        </w:rPr>
        <w:t>American Journal of Clinical Pathology,</w:t>
      </w:r>
      <w:r>
        <w:rPr>
          <w:noProof/>
        </w:rPr>
        <w:t xml:space="preserve"> 140(2):215-218.</w:t>
      </w:r>
      <w:bookmarkEnd w:id="413"/>
    </w:p>
    <w:p w14:paraId="1BA33883" w14:textId="77777777" w:rsidR="00132BD2" w:rsidRDefault="00132BD2" w:rsidP="001B22C7">
      <w:pPr>
        <w:ind w:hanging="720"/>
        <w:rPr>
          <w:noProof/>
        </w:rPr>
      </w:pPr>
      <w:bookmarkStart w:id="414" w:name="_ENREF_19"/>
      <w:r>
        <w:rPr>
          <w:noProof/>
        </w:rPr>
        <w:t xml:space="preserve">Renshaw MA, Renshaw AA &amp; Gould EW (2009). Should pathologists send all or only selected slides for patient-requested interlaboratory second opinion? </w:t>
      </w:r>
      <w:r w:rsidRPr="00A64C14">
        <w:rPr>
          <w:i/>
          <w:noProof/>
        </w:rPr>
        <w:t>American Journal of Clinical Pathology,</w:t>
      </w:r>
      <w:r>
        <w:rPr>
          <w:noProof/>
        </w:rPr>
        <w:t xml:space="preserve"> 132(5):763-766.</w:t>
      </w:r>
      <w:bookmarkEnd w:id="414"/>
    </w:p>
    <w:p w14:paraId="5FBBC69D" w14:textId="77777777" w:rsidR="00132BD2" w:rsidRPr="000C308C" w:rsidRDefault="00132BD2" w:rsidP="001B22C7">
      <w:pPr>
        <w:ind w:hanging="720"/>
        <w:rPr>
          <w:noProof/>
        </w:rPr>
      </w:pPr>
      <w:r>
        <w:rPr>
          <w:noProof/>
        </w:rPr>
        <w:t xml:space="preserve">Safrin RE, Bark CJ (1993). Surgical pathology sign-out. Routine review of every case by a second pathologist. </w:t>
      </w:r>
      <w:r>
        <w:rPr>
          <w:i/>
          <w:noProof/>
        </w:rPr>
        <w:t>American Journal of Surgical Pathology</w:t>
      </w:r>
      <w:r>
        <w:rPr>
          <w:noProof/>
        </w:rPr>
        <w:t>, 17(11):1190-1192.</w:t>
      </w:r>
    </w:p>
    <w:p w14:paraId="41BF6ABF" w14:textId="77777777" w:rsidR="00132BD2" w:rsidRDefault="00132BD2" w:rsidP="001B22C7">
      <w:pPr>
        <w:ind w:hanging="720"/>
        <w:rPr>
          <w:noProof/>
        </w:rPr>
      </w:pPr>
      <w:bookmarkStart w:id="415" w:name="_ENREF_20"/>
      <w:r>
        <w:rPr>
          <w:noProof/>
        </w:rPr>
        <w:t xml:space="preserve">Santiago TC, Jenkins JJ, Pedrosa F, Billups C, Quintana Y, Ribeiro RC, et al. (2012). Improving the histopathologic diagnosis of pediatric malignancies in a low-resource setting by combining focused training and telepathology strategies. </w:t>
      </w:r>
      <w:r w:rsidRPr="00A64C14">
        <w:rPr>
          <w:i/>
          <w:noProof/>
        </w:rPr>
        <w:t>Pediatric Blood and Cancer,</w:t>
      </w:r>
      <w:r>
        <w:rPr>
          <w:noProof/>
        </w:rPr>
        <w:t xml:space="preserve"> 59(2):221-225.</w:t>
      </w:r>
      <w:bookmarkEnd w:id="415"/>
    </w:p>
    <w:p w14:paraId="676F08EF" w14:textId="77777777" w:rsidR="00132BD2" w:rsidRDefault="00132BD2" w:rsidP="001B22C7">
      <w:pPr>
        <w:ind w:hanging="720"/>
        <w:rPr>
          <w:noProof/>
        </w:rPr>
      </w:pPr>
      <w:r w:rsidRPr="000C308C">
        <w:rPr>
          <w:noProof/>
        </w:rPr>
        <w:t xml:space="preserve">Santoso JT, Coleman RL, Voet RL, Bernstein SG, Lifshitz S &amp; Miller D (1998). Pathology slide review in gynecologic oncology. </w:t>
      </w:r>
      <w:r w:rsidRPr="000C308C">
        <w:rPr>
          <w:i/>
          <w:noProof/>
        </w:rPr>
        <w:t>Obstetrics &amp; Gynecology</w:t>
      </w:r>
      <w:r w:rsidRPr="000C308C">
        <w:rPr>
          <w:noProof/>
        </w:rPr>
        <w:t xml:space="preserve">, 91(5):730-734. </w:t>
      </w:r>
    </w:p>
    <w:p w14:paraId="29B6BA14" w14:textId="77777777" w:rsidR="00132BD2" w:rsidRDefault="00132BD2" w:rsidP="001B22C7">
      <w:pPr>
        <w:ind w:hanging="720"/>
        <w:rPr>
          <w:noProof/>
        </w:rPr>
      </w:pPr>
      <w:r w:rsidRPr="000C308C">
        <w:rPr>
          <w:noProof/>
        </w:rPr>
        <w:lastRenderedPageBreak/>
        <w:t xml:space="preserve">Selman AE, Niemann TH, Fowler JM &amp; Copeland LJ (1999). Quality assurance of second opinion pathology in gynecologic oncology. </w:t>
      </w:r>
      <w:r w:rsidRPr="000C308C">
        <w:rPr>
          <w:i/>
          <w:noProof/>
        </w:rPr>
        <w:t>Obstetrics and Gynecology,</w:t>
      </w:r>
      <w:r w:rsidRPr="000C308C">
        <w:rPr>
          <w:noProof/>
        </w:rPr>
        <w:t xml:space="preserve"> 94(2):302-306.</w:t>
      </w:r>
    </w:p>
    <w:p w14:paraId="620D5167" w14:textId="77777777" w:rsidR="00132BD2" w:rsidRDefault="00132BD2" w:rsidP="001B22C7">
      <w:pPr>
        <w:ind w:hanging="720"/>
        <w:rPr>
          <w:noProof/>
        </w:rPr>
      </w:pPr>
      <w:bookmarkStart w:id="416" w:name="_ENREF_21"/>
      <w:r>
        <w:rPr>
          <w:noProof/>
        </w:rPr>
        <w:t xml:space="preserve">Tavora F, Fajardo DA, Lee TK, Lotan T, Miller JS, Miyamoto H, et al. (2009). Small endoscopic biopsies of the ureter and renal pelvis: Pathologic pitfalls. </w:t>
      </w:r>
      <w:r w:rsidRPr="00A64C14">
        <w:rPr>
          <w:i/>
          <w:noProof/>
        </w:rPr>
        <w:t>American Journal of Surgical Pathology,</w:t>
      </w:r>
      <w:r>
        <w:rPr>
          <w:noProof/>
        </w:rPr>
        <w:t xml:space="preserve"> 33(10):1540-1546.</w:t>
      </w:r>
      <w:bookmarkEnd w:id="416"/>
    </w:p>
    <w:p w14:paraId="33F8C8D7" w14:textId="77777777" w:rsidR="00132BD2" w:rsidRDefault="00132BD2" w:rsidP="001B22C7">
      <w:pPr>
        <w:ind w:hanging="720"/>
        <w:rPr>
          <w:noProof/>
        </w:rPr>
      </w:pPr>
      <w:bookmarkStart w:id="417" w:name="_ENREF_22"/>
      <w:r>
        <w:rPr>
          <w:noProof/>
        </w:rPr>
        <w:t xml:space="preserve">Van Dijk MCRF, Aben KKH, Van Hees F, Klaasen A, Blokx WAM, Kiemeney LALM, et al. (2008). Expert review remains important in the histopathological diagnosis of cutaneous melanocytic lesions. </w:t>
      </w:r>
      <w:r w:rsidRPr="00A64C14">
        <w:rPr>
          <w:i/>
          <w:noProof/>
        </w:rPr>
        <w:t>Histopathology,</w:t>
      </w:r>
      <w:r>
        <w:rPr>
          <w:noProof/>
        </w:rPr>
        <w:t xml:space="preserve"> 52(2):139-146.</w:t>
      </w:r>
      <w:bookmarkEnd w:id="417"/>
    </w:p>
    <w:p w14:paraId="6A3DB393" w14:textId="77777777" w:rsidR="00132BD2" w:rsidRDefault="00132BD2" w:rsidP="001B22C7">
      <w:pPr>
        <w:ind w:hanging="720"/>
        <w:rPr>
          <w:noProof/>
        </w:rPr>
      </w:pPr>
      <w:bookmarkStart w:id="418" w:name="_ENREF_23"/>
      <w:r>
        <w:rPr>
          <w:noProof/>
        </w:rPr>
        <w:t xml:space="preserve">Veenhuizen KCW, De Wit PEJ, Mooi WJ, Scheffer E, Verbeek ALM &amp; Ruiter DJ (1997). Quality assessment by expert opinion in melanoma pathology: Experience of the Pathology Panel of the Dutch Melanoma Working Party. </w:t>
      </w:r>
      <w:r w:rsidRPr="00A64C14">
        <w:rPr>
          <w:i/>
          <w:noProof/>
        </w:rPr>
        <w:t>Journal of Pathology,</w:t>
      </w:r>
      <w:r>
        <w:rPr>
          <w:noProof/>
        </w:rPr>
        <w:t xml:space="preserve"> 182(3):266-272.</w:t>
      </w:r>
      <w:bookmarkEnd w:id="418"/>
    </w:p>
    <w:p w14:paraId="5C1EF594" w14:textId="77777777" w:rsidR="00132BD2" w:rsidRDefault="00132BD2" w:rsidP="001B22C7">
      <w:pPr>
        <w:ind w:hanging="720"/>
        <w:rPr>
          <w:noProof/>
        </w:rPr>
      </w:pPr>
      <w:bookmarkStart w:id="419" w:name="_ENREF_24"/>
      <w:r>
        <w:rPr>
          <w:noProof/>
        </w:rPr>
        <w:t xml:space="preserve">Vivino FB, Gala I &amp; Hermann GA (2002). Change in final diagnosis on second evaluation of labial minor salivary gland biopsies. </w:t>
      </w:r>
      <w:r w:rsidRPr="00A64C14">
        <w:rPr>
          <w:i/>
          <w:noProof/>
        </w:rPr>
        <w:t>Journal of Rheumatology,</w:t>
      </w:r>
      <w:r>
        <w:rPr>
          <w:noProof/>
        </w:rPr>
        <w:t xml:space="preserve"> 29(5):938-944.</w:t>
      </w:r>
      <w:bookmarkEnd w:id="419"/>
    </w:p>
    <w:p w14:paraId="2AC00D2D" w14:textId="77777777" w:rsidR="00132BD2" w:rsidRDefault="00132BD2" w:rsidP="001B22C7">
      <w:pPr>
        <w:ind w:hanging="720"/>
        <w:rPr>
          <w:noProof/>
        </w:rPr>
      </w:pPr>
      <w:r w:rsidRPr="000C308C">
        <w:rPr>
          <w:noProof/>
        </w:rPr>
        <w:t xml:space="preserve">Wurzer JC, Al-Saleem TI, Hanlon AL, Freedman GM, Patchefsky A &amp; Hanks GE (1998). Histopathologic review of prostate biopsies from patients referred to a comprehensive cancer centre: correlation of pathologic findings, analysis of costs, and impact on treatment. </w:t>
      </w:r>
      <w:r w:rsidRPr="000C308C">
        <w:rPr>
          <w:i/>
          <w:noProof/>
        </w:rPr>
        <w:t xml:space="preserve">Cancer, </w:t>
      </w:r>
      <w:r w:rsidRPr="000C308C">
        <w:rPr>
          <w:noProof/>
        </w:rPr>
        <w:t xml:space="preserve">83:753-759. </w:t>
      </w:r>
    </w:p>
    <w:p w14:paraId="071C415A" w14:textId="65B8E89C" w:rsidR="007A053B" w:rsidRDefault="00132BD2" w:rsidP="001B22C7">
      <w:pPr>
        <w:ind w:hanging="720"/>
        <w:rPr>
          <w:noProof/>
        </w:rPr>
      </w:pPr>
      <w:bookmarkStart w:id="420" w:name="_ENREF_25"/>
      <w:r>
        <w:rPr>
          <w:noProof/>
        </w:rPr>
        <w:t xml:space="preserve">Zembowicz A, Ahmad A &amp; Lyle SR (2011). A comprehensive analysis of a Web-based dermatopathology second opinion consultation practice. </w:t>
      </w:r>
      <w:r w:rsidRPr="00A64C14">
        <w:rPr>
          <w:i/>
          <w:noProof/>
        </w:rPr>
        <w:t>Archives of Pathology and Laboratory Medicine,</w:t>
      </w:r>
      <w:r>
        <w:rPr>
          <w:noProof/>
        </w:rPr>
        <w:t xml:space="preserve"> 135(3):379-383.</w:t>
      </w:r>
      <w:bookmarkEnd w:id="420"/>
    </w:p>
    <w:sectPr w:rsidR="007A053B" w:rsidSect="002101D2">
      <w:footerReference w:type="default" r:id="rId41"/>
      <w:pgSz w:w="11906" w:h="16838" w:code="9"/>
      <w:pgMar w:top="1440" w:right="1440" w:bottom="1440" w:left="1440" w:header="68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E93B51" w14:textId="77777777" w:rsidR="002E2C3B" w:rsidRDefault="002E2C3B" w:rsidP="00B51828">
      <w:pPr>
        <w:spacing w:after="0"/>
      </w:pPr>
      <w:r>
        <w:separator/>
      </w:r>
    </w:p>
  </w:endnote>
  <w:endnote w:type="continuationSeparator" w:id="0">
    <w:p w14:paraId="0DFCE32A" w14:textId="77777777" w:rsidR="002E2C3B" w:rsidRDefault="002E2C3B" w:rsidP="00B518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BF4A7" w14:textId="77777777" w:rsidR="004D06BC" w:rsidRPr="00E81E63" w:rsidRDefault="004D06BC" w:rsidP="002101D2">
    <w:pPr>
      <w:pStyle w:val="Footer"/>
      <w:tabs>
        <w:tab w:val="left" w:pos="3402"/>
        <w:tab w:val="left" w:pos="7371"/>
        <w:tab w:val="right" w:pos="9072"/>
        <w:tab w:val="right" w:pos="14628"/>
      </w:tabs>
      <w:ind w:left="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C8A22"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209C29EC" w14:textId="70D3F8D6"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71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6883"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041C2D41" w14:textId="323559F6"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72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5449A"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6AD5C0BA" w14:textId="616C6A28"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75</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1CD9B"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6989B023" w14:textId="64179995"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79</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C5863"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5B37CFD0" w14:textId="1906AC34"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80</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251A"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5F9C28CA" w14:textId="4A0B4B18"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83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1FE20"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284EE0C0" w14:textId="2E4CB1A2"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84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621F2"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17210015" w14:textId="388DBB99"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87</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6CA55"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29AD0130" w14:textId="3062A4D1"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90</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2FF68"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361CF660" w14:textId="5359B44D"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95</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572AC"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405D10EB" w14:textId="7350B967"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30</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94</w:t>
    </w:r>
    <w:r>
      <w:rPr>
        <w:snapToGrid w:val="0"/>
      </w:rPr>
      <w:fldChar w:fldCharType="end"/>
    </w:r>
    <w:bookmarkStart w:id="5" w:name="_Toc374972251"/>
    <w:bookmarkStart w:id="6" w:name="_Toc374972612"/>
    <w:bookmarkEnd w:id="5"/>
    <w:bookmarkEnd w:id="6"/>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B1BD1"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5366D932" w14:textId="5AAF2B67"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96</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1BB3C"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0388BB8D" w14:textId="0D210243"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110</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06AFE"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5D353E41" w14:textId="2534F757"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111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5B390"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7A264412" w14:textId="7C019334"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152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6530"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375AA86C" w14:textId="00B5F998"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154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2E97"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66905B40" w14:textId="38943DCF"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156</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A0466"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37579C24" w14:textId="70E4E578"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160</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D0C06"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5A630444" w14:textId="4E573FCE"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164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F1E75"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46A05F6C" w14:textId="2EC82790"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167</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2556B" w14:textId="4E93242B"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w:t>
    </w:r>
    <w:r w:rsidR="00C171CA">
      <w:t>y (Histology and Cytopathology)</w:t>
    </w:r>
  </w:p>
  <w:p w14:paraId="50B3D910" w14:textId="3BAB5538"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rsidR="00C171CA">
      <w:tab/>
    </w:r>
    <w:r w:rsidR="00C171CA">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33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94</w:t>
    </w:r>
    <w:r>
      <w:rPr>
        <w:snapToGrid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4779D"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5D8D87F1" w14:textId="263D08D6"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39</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94</w:t>
    </w:r>
    <w:r>
      <w:rPr>
        <w:snapToGrid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E48D4"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580CF10A" w14:textId="6E589D15"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rsidR="00C171CA">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51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FE03"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51AA6BD1" w14:textId="29EBC61C"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52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9B4D0"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39DA8068" w14:textId="60F53686" w:rsidR="004D06BC" w:rsidRPr="00E81E63" w:rsidRDefault="004D06BC" w:rsidP="00C171CA">
    <w:pPr>
      <w:pStyle w:val="Footer"/>
      <w:pBdr>
        <w:top w:val="single" w:sz="4" w:space="0" w:color="auto"/>
      </w:pBdr>
      <w:tabs>
        <w:tab w:val="left" w:pos="3402"/>
        <w:tab w:val="left" w:pos="7371"/>
        <w:tab w:val="right" w:pos="9072"/>
        <w:tab w:val="left" w:pos="9675"/>
        <w:tab w:val="right" w:pos="14628"/>
      </w:tabs>
      <w:spacing w:after="0"/>
      <w:ind w:left="0"/>
    </w:pPr>
    <w:r>
      <w:t>August 2014</w:t>
    </w:r>
    <w:r w:rsidR="00C171CA">
      <w:tab/>
    </w:r>
    <w:r w:rsidR="00C171CA">
      <w:tab/>
    </w:r>
    <w:r w:rsidR="00C171CA">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58</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C562D"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4232F0DD" w14:textId="2CEB46C0"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62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B69A3" w14:textId="77777777" w:rsidR="004D06BC" w:rsidRDefault="004D06BC" w:rsidP="002101D2">
    <w:pPr>
      <w:pStyle w:val="Footer"/>
      <w:pBdr>
        <w:top w:val="single" w:sz="4" w:space="0" w:color="auto"/>
      </w:pBdr>
      <w:tabs>
        <w:tab w:val="left" w:pos="3402"/>
        <w:tab w:val="left" w:pos="7371"/>
        <w:tab w:val="right" w:pos="9072"/>
        <w:tab w:val="right" w:pos="14628"/>
      </w:tabs>
      <w:spacing w:after="0"/>
      <w:ind w:left="0"/>
    </w:pPr>
    <w:r>
      <w:t>1332: External Expert Opinions for Morphological Pathology (Histology and Cytopathology)</w:t>
    </w:r>
    <w:r>
      <w:tab/>
    </w:r>
  </w:p>
  <w:p w14:paraId="383072B9" w14:textId="3A35D5B1" w:rsidR="004D06BC" w:rsidRPr="00E81E63" w:rsidRDefault="004D06BC" w:rsidP="002101D2">
    <w:pPr>
      <w:pStyle w:val="Footer"/>
      <w:pBdr>
        <w:top w:val="single" w:sz="4" w:space="0" w:color="auto"/>
      </w:pBdr>
      <w:tabs>
        <w:tab w:val="left" w:pos="3402"/>
        <w:tab w:val="left" w:pos="7371"/>
        <w:tab w:val="right" w:pos="9072"/>
        <w:tab w:val="right" w:pos="14628"/>
      </w:tabs>
      <w:spacing w:after="0"/>
      <w:ind w:left="0"/>
    </w:pPr>
    <w:r>
      <w:t>August 2014</w:t>
    </w:r>
    <w:r>
      <w:tab/>
    </w:r>
    <w:r>
      <w:tab/>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44620B">
      <w:rPr>
        <w:noProof/>
        <w:snapToGrid w:val="0"/>
      </w:rPr>
      <w:t>70</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4620B">
      <w:rPr>
        <w:noProof/>
        <w:snapToGrid w:val="0"/>
      </w:rPr>
      <w:t>167</w:t>
    </w:r>
    <w:r>
      <w:rPr>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43DB7" w14:textId="77777777" w:rsidR="002E2C3B" w:rsidRDefault="002E2C3B" w:rsidP="00B51828">
      <w:pPr>
        <w:spacing w:after="0"/>
      </w:pPr>
      <w:r>
        <w:separator/>
      </w:r>
    </w:p>
  </w:footnote>
  <w:footnote w:type="continuationSeparator" w:id="0">
    <w:p w14:paraId="62F3D3E8" w14:textId="77777777" w:rsidR="002E2C3B" w:rsidRDefault="002E2C3B" w:rsidP="00B51828">
      <w:pPr>
        <w:spacing w:after="0"/>
      </w:pPr>
      <w:r>
        <w:continuationSeparator/>
      </w:r>
    </w:p>
  </w:footnote>
  <w:footnote w:id="1">
    <w:p w14:paraId="3A1A3478" w14:textId="77777777" w:rsidR="004D06BC" w:rsidRDefault="004D06BC" w:rsidP="002101D2">
      <w:pPr>
        <w:pStyle w:val="FootnoteText"/>
      </w:pPr>
      <w:r w:rsidRPr="00F75935">
        <w:rPr>
          <w:rStyle w:val="FootnoteReference"/>
        </w:rPr>
        <w:footnoteRef/>
      </w:r>
      <w:r w:rsidRPr="00F75935">
        <w:t xml:space="preserve"> </w:t>
      </w:r>
      <w:r w:rsidRPr="00F75935">
        <w:rPr>
          <w:szCs w:val="24"/>
        </w:rPr>
        <w:t>MSAC Application 1331: Retrieval of tissue for further diagnostic testing specifically genetic testing for diagnostic/prognostic purposes.</w:t>
      </w:r>
    </w:p>
  </w:footnote>
  <w:footnote w:id="2">
    <w:p w14:paraId="1A5BC4E6" w14:textId="77777777" w:rsidR="004D06BC" w:rsidRDefault="004D06BC" w:rsidP="00C71314">
      <w:pPr>
        <w:pStyle w:val="FootnoteText"/>
      </w:pPr>
      <w:r>
        <w:rPr>
          <w:rStyle w:val="FootnoteReference"/>
        </w:rPr>
        <w:footnoteRef/>
      </w:r>
      <w:r>
        <w:t xml:space="preserve"> Expert pathologist opinion (Prof A Morey, HESP), email 5/7/2013.</w:t>
      </w:r>
    </w:p>
  </w:footnote>
  <w:footnote w:id="3">
    <w:p w14:paraId="4D9D7535" w14:textId="77777777" w:rsidR="004D06BC" w:rsidRDefault="004D06BC" w:rsidP="002101D2">
      <w:pPr>
        <w:pStyle w:val="FootnoteText"/>
      </w:pPr>
      <w:r>
        <w:rPr>
          <w:rStyle w:val="FootnoteReference"/>
        </w:rPr>
        <w:footnoteRef/>
      </w:r>
      <w:r>
        <w:t xml:space="preserve"> Expert pathologist opinion (Prof J Dahlstrom, HESP), email 17/3/2014</w:t>
      </w:r>
    </w:p>
  </w:footnote>
  <w:footnote w:id="4">
    <w:p w14:paraId="2CA6614D" w14:textId="77777777" w:rsidR="004D06BC" w:rsidRDefault="004D06BC" w:rsidP="002101D2">
      <w:pPr>
        <w:pStyle w:val="FootnoteText"/>
      </w:pPr>
      <w:r>
        <w:rPr>
          <w:rStyle w:val="FootnoteReference"/>
        </w:rPr>
        <w:footnoteRef/>
      </w:r>
      <w:r>
        <w:t xml:space="preserve"> Royal College of Pathologists response to draft PROTOCOL, 9</w:t>
      </w:r>
      <w:r w:rsidRPr="006C31EF">
        <w:rPr>
          <w:vertAlign w:val="superscript"/>
        </w:rPr>
        <w:t>th</w:t>
      </w:r>
      <w:r>
        <w:t xml:space="preserve"> August 2013</w:t>
      </w:r>
    </w:p>
  </w:footnote>
  <w:footnote w:id="5">
    <w:p w14:paraId="05EF81CC" w14:textId="77777777" w:rsidR="004D06BC" w:rsidRDefault="004D06BC" w:rsidP="002101D2">
      <w:pPr>
        <w:pStyle w:val="FootnoteText"/>
      </w:pPr>
      <w:r>
        <w:rPr>
          <w:rStyle w:val="FootnoteReference"/>
        </w:rPr>
        <w:footnoteRef/>
      </w:r>
      <w:r>
        <w:t xml:space="preserve"> Expert pathologist opinion (Prof A Morey, HESP), email 5/7/2013.</w:t>
      </w:r>
    </w:p>
  </w:footnote>
  <w:footnote w:id="6">
    <w:p w14:paraId="505312C6" w14:textId="77777777" w:rsidR="004D06BC" w:rsidRDefault="004D06BC" w:rsidP="002101D2">
      <w:pPr>
        <w:pStyle w:val="FootnoteText"/>
      </w:pPr>
      <w:r>
        <w:rPr>
          <w:rStyle w:val="FootnoteReference"/>
        </w:rPr>
        <w:footnoteRef/>
      </w:r>
      <w:r>
        <w:t xml:space="preserve"> MSAC 61st Meeting (</w:t>
      </w:r>
      <w:r w:rsidRPr="00F063C6">
        <w:t>3-4 April 2014</w:t>
      </w:r>
      <w:r>
        <w:t xml:space="preserve">) Outcomes for </w:t>
      </w:r>
      <w:r w:rsidRPr="000E4FA3">
        <w:t>Application No. 1276 – Renewal of the National Cervical Screening Program</w:t>
      </w:r>
      <w:r>
        <w:t xml:space="preserve"> [available at </w:t>
      </w:r>
      <w:r w:rsidRPr="00F063C6">
        <w:t>http://www.msac.gov.au/</w:t>
      </w:r>
      <w:r>
        <w:t>]</w:t>
      </w:r>
    </w:p>
  </w:footnote>
  <w:footnote w:id="7">
    <w:p w14:paraId="1E042174" w14:textId="77777777" w:rsidR="004D06BC" w:rsidRDefault="004D06BC">
      <w:pPr>
        <w:pStyle w:val="FootnoteText"/>
      </w:pPr>
      <w:r>
        <w:rPr>
          <w:rStyle w:val="FootnoteReference"/>
        </w:rPr>
        <w:footnoteRef/>
      </w:r>
      <w:r>
        <w:t xml:space="preserve"> Advice from the Applicant (Dr Bronwen Ross, Deputy CEO, RCPA), email 17 March 2014</w:t>
      </w:r>
    </w:p>
  </w:footnote>
  <w:footnote w:id="8">
    <w:p w14:paraId="1F842BB8" w14:textId="77777777" w:rsidR="004D06BC" w:rsidRDefault="004D06BC">
      <w:pPr>
        <w:pStyle w:val="FootnoteText"/>
      </w:pPr>
      <w:r>
        <w:rPr>
          <w:rStyle w:val="FootnoteReference"/>
        </w:rPr>
        <w:footnoteRef/>
      </w:r>
      <w:r>
        <w:t xml:space="preserve"> Expert pathologist opinion (Prof A Morey and Prof J Dahlstrom), email 17 March 2014</w:t>
      </w:r>
    </w:p>
  </w:footnote>
  <w:footnote w:id="9">
    <w:p w14:paraId="2C8DFDBF" w14:textId="77777777" w:rsidR="004D06BC" w:rsidRDefault="004D06BC">
      <w:pPr>
        <w:pStyle w:val="FootnoteText"/>
      </w:pPr>
      <w:r>
        <w:rPr>
          <w:rStyle w:val="FootnoteReference"/>
        </w:rPr>
        <w:footnoteRef/>
      </w:r>
      <w:r>
        <w:t xml:space="preserve"> Expert pathologist opinion (Prof A Morey), email 05 July 2013.</w:t>
      </w:r>
    </w:p>
  </w:footnote>
  <w:footnote w:id="10">
    <w:p w14:paraId="5E4C624D" w14:textId="77777777" w:rsidR="004D06BC" w:rsidRDefault="004D06BC" w:rsidP="002101D2">
      <w:pPr>
        <w:pStyle w:val="FootnoteText"/>
      </w:pPr>
      <w:r>
        <w:rPr>
          <w:rStyle w:val="FootnoteReference"/>
        </w:rPr>
        <w:footnoteRef/>
      </w:r>
      <w:r>
        <w:t xml:space="preserve"> Actual MBS data for the financial year 2013-2014 were not available as at 22 July, 2014. </w:t>
      </w:r>
    </w:p>
  </w:footnote>
  <w:footnote w:id="11">
    <w:p w14:paraId="3363FC9D" w14:textId="77777777" w:rsidR="004D06BC" w:rsidRDefault="004D06BC" w:rsidP="002101D2">
      <w:pPr>
        <w:pStyle w:val="FootnoteText"/>
      </w:pPr>
      <w:r>
        <w:rPr>
          <w:rStyle w:val="FootnoteReference"/>
        </w:rPr>
        <w:footnoteRef/>
      </w:r>
      <w:r>
        <w:t xml:space="preserve"> The Expert Opinion Survey was developed by HealthConsult Pty Ltd to inform the financial estimates in the Assessment Report. The survey was distributed to experts in the field who were selected by the Applicant.</w:t>
      </w:r>
    </w:p>
  </w:footnote>
  <w:footnote w:id="12">
    <w:p w14:paraId="1DDEE84E" w14:textId="77777777" w:rsidR="004D06BC" w:rsidRDefault="004D06BC" w:rsidP="002101D2">
      <w:pPr>
        <w:pStyle w:val="FootnoteText"/>
      </w:pPr>
      <w:r>
        <w:rPr>
          <w:rStyle w:val="FootnoteReference"/>
        </w:rPr>
        <w:footnoteRef/>
      </w:r>
      <w:r>
        <w:t xml:space="preserve"> MSAC 61st Meeting (</w:t>
      </w:r>
      <w:r w:rsidRPr="00F063C6">
        <w:t>3-4 April 2014</w:t>
      </w:r>
      <w:r>
        <w:t xml:space="preserve">) Outcomes for </w:t>
      </w:r>
      <w:r w:rsidRPr="000E4FA3">
        <w:t>Application No. 1276 – Renewal of the National Cervical Screening Program</w:t>
      </w:r>
      <w:r>
        <w:t xml:space="preserve"> [available at </w:t>
      </w:r>
      <w:r w:rsidRPr="00F063C6">
        <w:t>http://www.msac.gov.au/</w:t>
      </w:r>
      <w:r>
        <w:t>]</w:t>
      </w:r>
    </w:p>
  </w:footnote>
  <w:footnote w:id="13">
    <w:p w14:paraId="0B82C6F0" w14:textId="77777777" w:rsidR="004D06BC" w:rsidRDefault="004D06BC" w:rsidP="002101D2">
      <w:pPr>
        <w:pStyle w:val="FootnoteText"/>
      </w:pPr>
      <w:r>
        <w:rPr>
          <w:rStyle w:val="FootnoteReference"/>
        </w:rPr>
        <w:footnoteRef/>
      </w:r>
      <w:r>
        <w:t xml:space="preserve"> </w:t>
      </w:r>
      <w:r>
        <w:rPr>
          <w:sz w:val="18"/>
          <w:szCs w:val="18"/>
        </w:rPr>
        <w:t>Safrin RE, Bark CJ</w:t>
      </w:r>
      <w:r w:rsidRPr="00765F5F">
        <w:rPr>
          <w:sz w:val="18"/>
          <w:szCs w:val="18"/>
        </w:rPr>
        <w:t>. Surgical pathology sign-out. Routine review of every case by a second pathologist.</w:t>
      </w:r>
      <w:r>
        <w:rPr>
          <w:sz w:val="18"/>
          <w:szCs w:val="18"/>
        </w:rPr>
        <w:t xml:space="preserve"> Am J Surg Pathol. 1993;</w:t>
      </w:r>
      <w:r w:rsidRPr="00765F5F">
        <w:rPr>
          <w:sz w:val="18"/>
          <w:szCs w:val="18"/>
        </w:rPr>
        <w:t>17(11):1190-2.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F073" w14:textId="2EBC705F" w:rsidR="004D06BC" w:rsidRPr="00C5297B" w:rsidRDefault="004D06BC" w:rsidP="002101D2">
    <w:pPr>
      <w:pStyle w:val="Header"/>
      <w:tabs>
        <w:tab w:val="right" w:pos="9072"/>
      </w:tabs>
      <w:jc w:val="right"/>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CFE"/>
    <w:multiLevelType w:val="hybridMultilevel"/>
    <w:tmpl w:val="4C8E3C28"/>
    <w:lvl w:ilvl="0" w:tplc="2DF20D88">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420C8E"/>
    <w:multiLevelType w:val="hybridMultilevel"/>
    <w:tmpl w:val="3064BCAC"/>
    <w:lvl w:ilvl="0" w:tplc="160AE4FC">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D03B64"/>
    <w:multiLevelType w:val="hybridMultilevel"/>
    <w:tmpl w:val="98F8CEF0"/>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2804D3"/>
    <w:multiLevelType w:val="hybridMultilevel"/>
    <w:tmpl w:val="8258F5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0BFA190D"/>
    <w:multiLevelType w:val="hybridMultilevel"/>
    <w:tmpl w:val="2D5C7432"/>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C27394"/>
    <w:multiLevelType w:val="hybridMultilevel"/>
    <w:tmpl w:val="6600AC0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
    <w:nsid w:val="0F83572E"/>
    <w:multiLevelType w:val="hybridMultilevel"/>
    <w:tmpl w:val="C3E606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1440A9B"/>
    <w:multiLevelType w:val="hybridMultilevel"/>
    <w:tmpl w:val="4128F4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9">
    <w:nsid w:val="14204BE1"/>
    <w:multiLevelType w:val="multilevel"/>
    <w:tmpl w:val="B784DD0C"/>
    <w:lvl w:ilvl="0">
      <w:start w:val="1"/>
      <w:numFmt w:val="upperLetter"/>
      <w:lvlText w:val="Section %1."/>
      <w:lvlJc w:val="left"/>
      <w:pPr>
        <w:ind w:left="2552" w:hanging="2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6185722"/>
    <w:multiLevelType w:val="hybridMultilevel"/>
    <w:tmpl w:val="E6E812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181C1271"/>
    <w:multiLevelType w:val="hybridMultilevel"/>
    <w:tmpl w:val="9E8AB236"/>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910866"/>
    <w:multiLevelType w:val="hybridMultilevel"/>
    <w:tmpl w:val="E5C43008"/>
    <w:lvl w:ilvl="0" w:tplc="DB0A8C96">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1F72EA"/>
    <w:multiLevelType w:val="hybridMultilevel"/>
    <w:tmpl w:val="A19C4476"/>
    <w:lvl w:ilvl="0" w:tplc="563810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1045187"/>
    <w:multiLevelType w:val="hybridMultilevel"/>
    <w:tmpl w:val="EE560330"/>
    <w:lvl w:ilvl="0" w:tplc="563810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25F5F44"/>
    <w:multiLevelType w:val="hybridMultilevel"/>
    <w:tmpl w:val="94A8824C"/>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263F6B"/>
    <w:multiLevelType w:val="hybridMultilevel"/>
    <w:tmpl w:val="3146A70C"/>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3F0207"/>
    <w:multiLevelType w:val="hybridMultilevel"/>
    <w:tmpl w:val="38C2B7A8"/>
    <w:lvl w:ilvl="0" w:tplc="7F0675F8">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341ABD"/>
    <w:multiLevelType w:val="hybridMultilevel"/>
    <w:tmpl w:val="F19EE7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FE06A69"/>
    <w:multiLevelType w:val="hybridMultilevel"/>
    <w:tmpl w:val="E56E6B5C"/>
    <w:lvl w:ilvl="0" w:tplc="43C68F0A">
      <w:start w:val="1"/>
      <w:numFmt w:val="bullet"/>
      <w:pStyle w:val="Bulletpoin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31387B67"/>
    <w:multiLevelType w:val="hybridMultilevel"/>
    <w:tmpl w:val="D7383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8A421B"/>
    <w:multiLevelType w:val="hybridMultilevel"/>
    <w:tmpl w:val="40D0D6AE"/>
    <w:lvl w:ilvl="0" w:tplc="A3AA262E">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4A2132"/>
    <w:multiLevelType w:val="hybridMultilevel"/>
    <w:tmpl w:val="5DA4BFC8"/>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B7768E"/>
    <w:multiLevelType w:val="hybridMultilevel"/>
    <w:tmpl w:val="59380DC4"/>
    <w:lvl w:ilvl="0" w:tplc="A3B6E4E8">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35544E"/>
    <w:multiLevelType w:val="hybridMultilevel"/>
    <w:tmpl w:val="E236EC64"/>
    <w:lvl w:ilvl="0" w:tplc="563810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97A3CB7"/>
    <w:multiLevelType w:val="hybridMultilevel"/>
    <w:tmpl w:val="ADCC066C"/>
    <w:lvl w:ilvl="0" w:tplc="563810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A8D74AC"/>
    <w:multiLevelType w:val="hybridMultilevel"/>
    <w:tmpl w:val="13E0F3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E5B5F08"/>
    <w:multiLevelType w:val="hybridMultilevel"/>
    <w:tmpl w:val="64568F10"/>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FB675F6"/>
    <w:multiLevelType w:val="hybridMultilevel"/>
    <w:tmpl w:val="3E828F6A"/>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FF9076C"/>
    <w:multiLevelType w:val="hybridMultilevel"/>
    <w:tmpl w:val="56CA1126"/>
    <w:lvl w:ilvl="0" w:tplc="454E509E">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0BF2FF9"/>
    <w:multiLevelType w:val="hybridMultilevel"/>
    <w:tmpl w:val="D7B82E8A"/>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6DF0E88"/>
    <w:multiLevelType w:val="hybridMultilevel"/>
    <w:tmpl w:val="7876D7CA"/>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76F4384"/>
    <w:multiLevelType w:val="hybridMultilevel"/>
    <w:tmpl w:val="17DCCA54"/>
    <w:lvl w:ilvl="0" w:tplc="04090001">
      <w:start w:val="1"/>
      <w:numFmt w:val="bullet"/>
      <w:pStyle w:val="Bulletlevel2"/>
      <w:lvlText w:val=""/>
      <w:lvlJc w:val="left"/>
      <w:pPr>
        <w:ind w:left="717" w:hanging="360"/>
      </w:pPr>
      <w:rPr>
        <w:rFonts w:ascii="Wingdings" w:hAnsi="Wingdings" w:hint="default"/>
        <w:sz w:val="16"/>
        <w:szCs w:val="16"/>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3">
    <w:nsid w:val="48214D0F"/>
    <w:multiLevelType w:val="hybridMultilevel"/>
    <w:tmpl w:val="53068FD6"/>
    <w:lvl w:ilvl="0" w:tplc="563810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B50774C"/>
    <w:multiLevelType w:val="hybridMultilevel"/>
    <w:tmpl w:val="33E2C206"/>
    <w:lvl w:ilvl="0" w:tplc="4A727184">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BA255B9"/>
    <w:multiLevelType w:val="hybridMultilevel"/>
    <w:tmpl w:val="1B1A3CC6"/>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DA60D18"/>
    <w:multiLevelType w:val="hybridMultilevel"/>
    <w:tmpl w:val="F6DE38A8"/>
    <w:lvl w:ilvl="0" w:tplc="1D22F1C0">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EF149F5"/>
    <w:multiLevelType w:val="hybridMultilevel"/>
    <w:tmpl w:val="86F4A75C"/>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F1B0492"/>
    <w:multiLevelType w:val="hybridMultilevel"/>
    <w:tmpl w:val="FE629604"/>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3BF0C7D"/>
    <w:multiLevelType w:val="multilevel"/>
    <w:tmpl w:val="E0B89416"/>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46D2A85"/>
    <w:multiLevelType w:val="hybridMultilevel"/>
    <w:tmpl w:val="DE8C43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nsid w:val="56CE6B83"/>
    <w:multiLevelType w:val="hybridMultilevel"/>
    <w:tmpl w:val="A94C5BD0"/>
    <w:lvl w:ilvl="0" w:tplc="0C090001">
      <w:start w:val="1"/>
      <w:numFmt w:val="bullet"/>
      <w:lvlText w:val=""/>
      <w:lvlJc w:val="left"/>
      <w:pPr>
        <w:ind w:left="1091" w:hanging="360"/>
      </w:pPr>
      <w:rPr>
        <w:rFonts w:ascii="Symbol" w:hAnsi="Symbol"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abstractNum w:abstractNumId="42">
    <w:nsid w:val="5A8A2C2C"/>
    <w:multiLevelType w:val="hybridMultilevel"/>
    <w:tmpl w:val="9990D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C253BFF"/>
    <w:multiLevelType w:val="hybridMultilevel"/>
    <w:tmpl w:val="018A5C4A"/>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CF747E7"/>
    <w:multiLevelType w:val="hybridMultilevel"/>
    <w:tmpl w:val="8DC8B0BA"/>
    <w:lvl w:ilvl="0" w:tplc="563810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E80236E"/>
    <w:multiLevelType w:val="hybridMultilevel"/>
    <w:tmpl w:val="9D509880"/>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947048B"/>
    <w:multiLevelType w:val="hybridMultilevel"/>
    <w:tmpl w:val="043A6E92"/>
    <w:lvl w:ilvl="0" w:tplc="6F0C9012">
      <w:start w:val="1"/>
      <w:numFmt w:val="lowerLetter"/>
      <w:pStyle w:val="aNormaltex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9A94244"/>
    <w:multiLevelType w:val="hybridMultilevel"/>
    <w:tmpl w:val="41DE432E"/>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9C60FD7"/>
    <w:multiLevelType w:val="hybridMultilevel"/>
    <w:tmpl w:val="A76C5A56"/>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BBA0669"/>
    <w:multiLevelType w:val="multilevel"/>
    <w:tmpl w:val="F2461EF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340" w:hanging="34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0">
    <w:nsid w:val="6F0F5413"/>
    <w:multiLevelType w:val="hybridMultilevel"/>
    <w:tmpl w:val="A6021C20"/>
    <w:lvl w:ilvl="0" w:tplc="4880DE96">
      <w:start w:val="1"/>
      <w:numFmt w:val="decimal"/>
      <w:lvlText w:val="%1)"/>
      <w:lvlJc w:val="left"/>
      <w:pPr>
        <w:ind w:left="1069"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F7B2085"/>
    <w:multiLevelType w:val="hybridMultilevel"/>
    <w:tmpl w:val="5122E574"/>
    <w:lvl w:ilvl="0" w:tplc="563810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26B38F3"/>
    <w:multiLevelType w:val="hybridMultilevel"/>
    <w:tmpl w:val="A340369C"/>
    <w:lvl w:ilvl="0" w:tplc="5816A32A">
      <w:start w:val="1"/>
      <w:numFmt w:val="bullet"/>
      <w:pStyle w:val="BulletL1HC"/>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4C5846"/>
    <w:multiLevelType w:val="hybridMultilevel"/>
    <w:tmpl w:val="D264FC3E"/>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8D1434A"/>
    <w:multiLevelType w:val="hybridMultilevel"/>
    <w:tmpl w:val="36FCB878"/>
    <w:lvl w:ilvl="0" w:tplc="C2FCB466">
      <w:start w:val="1"/>
      <w:numFmt w:val="bullet"/>
      <w:lvlText w:val=""/>
      <w:lvlJc w:val="left"/>
      <w:pPr>
        <w:ind w:left="510" w:hanging="22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B037E27"/>
    <w:multiLevelType w:val="hybridMultilevel"/>
    <w:tmpl w:val="1B32CB00"/>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B3E422D"/>
    <w:multiLevelType w:val="hybridMultilevel"/>
    <w:tmpl w:val="9C247E9C"/>
    <w:lvl w:ilvl="0" w:tplc="0C090001">
      <w:start w:val="1"/>
      <w:numFmt w:val="bullet"/>
      <w:lvlText w:val=""/>
      <w:lvlJc w:val="left"/>
      <w:pPr>
        <w:ind w:left="1440" w:hanging="360"/>
      </w:pPr>
      <w:rPr>
        <w:rFonts w:ascii="Symbol" w:hAnsi="Symbol" w:hint="default"/>
      </w:rPr>
    </w:lvl>
    <w:lvl w:ilvl="1" w:tplc="BEF8E9EA">
      <w:numFmt w:val="bullet"/>
      <w:lvlText w:val="-"/>
      <w:lvlJc w:val="left"/>
      <w:pPr>
        <w:ind w:left="2160" w:hanging="360"/>
      </w:pPr>
      <w:rPr>
        <w:rFonts w:ascii="Garamond" w:eastAsiaTheme="minorHAnsi" w:hAnsi="Garamond" w:cs="Garamond"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nsid w:val="7BAD7148"/>
    <w:multiLevelType w:val="hybridMultilevel"/>
    <w:tmpl w:val="8102C9BE"/>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C7A1FB1"/>
    <w:multiLevelType w:val="hybridMultilevel"/>
    <w:tmpl w:val="877E4E5A"/>
    <w:lvl w:ilvl="0" w:tplc="70643B4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DA03C1A"/>
    <w:multiLevelType w:val="hybridMultilevel"/>
    <w:tmpl w:val="A6021C20"/>
    <w:lvl w:ilvl="0" w:tplc="4880DE96">
      <w:start w:val="1"/>
      <w:numFmt w:val="decimal"/>
      <w:lvlText w:val="%1)"/>
      <w:lvlJc w:val="left"/>
      <w:pPr>
        <w:ind w:left="1069"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9"/>
  </w:num>
  <w:num w:numId="3">
    <w:abstractNumId w:val="32"/>
  </w:num>
  <w:num w:numId="4">
    <w:abstractNumId w:val="46"/>
  </w:num>
  <w:num w:numId="5">
    <w:abstractNumId w:val="52"/>
  </w:num>
  <w:num w:numId="6">
    <w:abstractNumId w:val="8"/>
  </w:num>
  <w:num w:numId="7">
    <w:abstractNumId w:val="39"/>
    <w:lvlOverride w:ilvl="0">
      <w:lvl w:ilvl="0">
        <w:start w:val="1"/>
        <w:numFmt w:val="decimal"/>
        <w:lvlText w:val="Appendix %1."/>
        <w:lvlJc w:val="left"/>
        <w:pPr>
          <w:ind w:left="3402" w:hanging="3402"/>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9"/>
    <w:lvlOverride w:ilvl="0">
      <w:lvl w:ilvl="0">
        <w:start w:val="1"/>
        <w:numFmt w:val="decimal"/>
        <w:lvlText w:val="Appendix %1."/>
        <w:lvlJc w:val="left"/>
        <w:pPr>
          <w:ind w:left="502"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59"/>
    <w:lvlOverride w:ilvl="0">
      <w:startOverride w:val="1"/>
    </w:lvlOverride>
  </w:num>
  <w:num w:numId="10">
    <w:abstractNumId w:val="6"/>
  </w:num>
  <w:num w:numId="11">
    <w:abstractNumId w:val="40"/>
  </w:num>
  <w:num w:numId="12">
    <w:abstractNumId w:val="49"/>
  </w:num>
  <w:num w:numId="13">
    <w:abstractNumId w:val="20"/>
  </w:num>
  <w:num w:numId="14">
    <w:abstractNumId w:val="5"/>
  </w:num>
  <w:num w:numId="15">
    <w:abstractNumId w:val="11"/>
  </w:num>
  <w:num w:numId="16">
    <w:abstractNumId w:val="3"/>
  </w:num>
  <w:num w:numId="17">
    <w:abstractNumId w:val="53"/>
  </w:num>
  <w:num w:numId="18">
    <w:abstractNumId w:val="57"/>
  </w:num>
  <w:num w:numId="19">
    <w:abstractNumId w:val="48"/>
  </w:num>
  <w:num w:numId="20">
    <w:abstractNumId w:val="47"/>
  </w:num>
  <w:num w:numId="21">
    <w:abstractNumId w:val="30"/>
  </w:num>
  <w:num w:numId="22">
    <w:abstractNumId w:val="45"/>
  </w:num>
  <w:num w:numId="23">
    <w:abstractNumId w:val="16"/>
  </w:num>
  <w:num w:numId="24">
    <w:abstractNumId w:val="37"/>
  </w:num>
  <w:num w:numId="25">
    <w:abstractNumId w:val="27"/>
  </w:num>
  <w:num w:numId="26">
    <w:abstractNumId w:val="43"/>
  </w:num>
  <w:num w:numId="27">
    <w:abstractNumId w:val="35"/>
  </w:num>
  <w:num w:numId="28">
    <w:abstractNumId w:val="15"/>
  </w:num>
  <w:num w:numId="29">
    <w:abstractNumId w:val="58"/>
  </w:num>
  <w:num w:numId="30">
    <w:abstractNumId w:val="2"/>
  </w:num>
  <w:num w:numId="31">
    <w:abstractNumId w:val="55"/>
  </w:num>
  <w:num w:numId="32">
    <w:abstractNumId w:val="22"/>
  </w:num>
  <w:num w:numId="33">
    <w:abstractNumId w:val="38"/>
  </w:num>
  <w:num w:numId="34">
    <w:abstractNumId w:val="4"/>
  </w:num>
  <w:num w:numId="35">
    <w:abstractNumId w:val="31"/>
  </w:num>
  <w:num w:numId="36">
    <w:abstractNumId w:val="28"/>
  </w:num>
  <w:num w:numId="37">
    <w:abstractNumId w:val="23"/>
  </w:num>
  <w:num w:numId="38">
    <w:abstractNumId w:val="21"/>
  </w:num>
  <w:num w:numId="39">
    <w:abstractNumId w:val="42"/>
  </w:num>
  <w:num w:numId="40">
    <w:abstractNumId w:val="10"/>
  </w:num>
  <w:num w:numId="41">
    <w:abstractNumId w:val="26"/>
  </w:num>
  <w:num w:numId="42">
    <w:abstractNumId w:val="33"/>
  </w:num>
  <w:num w:numId="43">
    <w:abstractNumId w:val="25"/>
  </w:num>
  <w:num w:numId="44">
    <w:abstractNumId w:val="51"/>
  </w:num>
  <w:num w:numId="45">
    <w:abstractNumId w:val="13"/>
  </w:num>
  <w:num w:numId="46">
    <w:abstractNumId w:val="44"/>
  </w:num>
  <w:num w:numId="47">
    <w:abstractNumId w:val="14"/>
  </w:num>
  <w:num w:numId="48">
    <w:abstractNumId w:val="24"/>
  </w:num>
  <w:num w:numId="49">
    <w:abstractNumId w:val="18"/>
  </w:num>
  <w:num w:numId="50">
    <w:abstractNumId w:val="0"/>
  </w:num>
  <w:num w:numId="51">
    <w:abstractNumId w:val="1"/>
  </w:num>
  <w:num w:numId="52">
    <w:abstractNumId w:val="29"/>
  </w:num>
  <w:num w:numId="53">
    <w:abstractNumId w:val="36"/>
  </w:num>
  <w:num w:numId="54">
    <w:abstractNumId w:val="54"/>
  </w:num>
  <w:num w:numId="55">
    <w:abstractNumId w:val="12"/>
  </w:num>
  <w:num w:numId="56">
    <w:abstractNumId w:val="17"/>
  </w:num>
  <w:num w:numId="57">
    <w:abstractNumId w:val="34"/>
  </w:num>
  <w:num w:numId="58">
    <w:abstractNumId w:val="56"/>
  </w:num>
  <w:num w:numId="59">
    <w:abstractNumId w:val="7"/>
  </w:num>
  <w:num w:numId="60">
    <w:abstractNumId w:val="41"/>
  </w:num>
  <w:num w:numId="61">
    <w:abstractNumId w:val="59"/>
  </w:num>
  <w:num w:numId="62">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B51828"/>
    <w:rsid w:val="00001D6F"/>
    <w:rsid w:val="00082DCE"/>
    <w:rsid w:val="00083B66"/>
    <w:rsid w:val="000A51A6"/>
    <w:rsid w:val="000C66B3"/>
    <w:rsid w:val="000C79CF"/>
    <w:rsid w:val="000F5EF7"/>
    <w:rsid w:val="00104477"/>
    <w:rsid w:val="00124798"/>
    <w:rsid w:val="00132BD2"/>
    <w:rsid w:val="00136DB6"/>
    <w:rsid w:val="00140C67"/>
    <w:rsid w:val="0015690D"/>
    <w:rsid w:val="00193D1E"/>
    <w:rsid w:val="001B22C7"/>
    <w:rsid w:val="001C16F0"/>
    <w:rsid w:val="001C2742"/>
    <w:rsid w:val="001C42A1"/>
    <w:rsid w:val="001C7B3D"/>
    <w:rsid w:val="001D0C5F"/>
    <w:rsid w:val="001D5AA2"/>
    <w:rsid w:val="001D737A"/>
    <w:rsid w:val="001E6FF2"/>
    <w:rsid w:val="001F7D76"/>
    <w:rsid w:val="00200E92"/>
    <w:rsid w:val="002101D2"/>
    <w:rsid w:val="0024666E"/>
    <w:rsid w:val="00250161"/>
    <w:rsid w:val="002A47AE"/>
    <w:rsid w:val="002A4F98"/>
    <w:rsid w:val="002B275F"/>
    <w:rsid w:val="002B68A2"/>
    <w:rsid w:val="002C300A"/>
    <w:rsid w:val="002E2C3B"/>
    <w:rsid w:val="002F38AE"/>
    <w:rsid w:val="00301F60"/>
    <w:rsid w:val="00305EB7"/>
    <w:rsid w:val="0031441D"/>
    <w:rsid w:val="00360D4E"/>
    <w:rsid w:val="003771E9"/>
    <w:rsid w:val="00390E75"/>
    <w:rsid w:val="003D46BE"/>
    <w:rsid w:val="003D53E2"/>
    <w:rsid w:val="00414F37"/>
    <w:rsid w:val="004264B3"/>
    <w:rsid w:val="00427089"/>
    <w:rsid w:val="004332CE"/>
    <w:rsid w:val="004343B7"/>
    <w:rsid w:val="00443A7E"/>
    <w:rsid w:val="0044620B"/>
    <w:rsid w:val="00447D71"/>
    <w:rsid w:val="004605B5"/>
    <w:rsid w:val="004922D9"/>
    <w:rsid w:val="00495426"/>
    <w:rsid w:val="004A1E04"/>
    <w:rsid w:val="004D06BC"/>
    <w:rsid w:val="004F3ECB"/>
    <w:rsid w:val="004F5752"/>
    <w:rsid w:val="00506279"/>
    <w:rsid w:val="00513676"/>
    <w:rsid w:val="00513DAB"/>
    <w:rsid w:val="005176C0"/>
    <w:rsid w:val="00525F10"/>
    <w:rsid w:val="0053366E"/>
    <w:rsid w:val="0053670C"/>
    <w:rsid w:val="005414B7"/>
    <w:rsid w:val="00543AB2"/>
    <w:rsid w:val="00557A7A"/>
    <w:rsid w:val="005C0FF1"/>
    <w:rsid w:val="005E5757"/>
    <w:rsid w:val="005F209A"/>
    <w:rsid w:val="005F3576"/>
    <w:rsid w:val="005F7262"/>
    <w:rsid w:val="006010D6"/>
    <w:rsid w:val="00606769"/>
    <w:rsid w:val="00610DB1"/>
    <w:rsid w:val="00616882"/>
    <w:rsid w:val="00620F41"/>
    <w:rsid w:val="00633ED2"/>
    <w:rsid w:val="0067182D"/>
    <w:rsid w:val="006B6C0C"/>
    <w:rsid w:val="006D3405"/>
    <w:rsid w:val="006E65FC"/>
    <w:rsid w:val="006F2875"/>
    <w:rsid w:val="0071216F"/>
    <w:rsid w:val="00713649"/>
    <w:rsid w:val="00743C1E"/>
    <w:rsid w:val="00790101"/>
    <w:rsid w:val="007901D3"/>
    <w:rsid w:val="007A053B"/>
    <w:rsid w:val="007C2877"/>
    <w:rsid w:val="007C5E96"/>
    <w:rsid w:val="007D428B"/>
    <w:rsid w:val="007E5346"/>
    <w:rsid w:val="007E7D81"/>
    <w:rsid w:val="007F7C35"/>
    <w:rsid w:val="008103CA"/>
    <w:rsid w:val="008321D6"/>
    <w:rsid w:val="00833D04"/>
    <w:rsid w:val="00866491"/>
    <w:rsid w:val="008A4EDD"/>
    <w:rsid w:val="008B1BF8"/>
    <w:rsid w:val="008C494B"/>
    <w:rsid w:val="008F32BF"/>
    <w:rsid w:val="008F426B"/>
    <w:rsid w:val="00906081"/>
    <w:rsid w:val="00910278"/>
    <w:rsid w:val="009429EA"/>
    <w:rsid w:val="0095400D"/>
    <w:rsid w:val="0099795D"/>
    <w:rsid w:val="009A4CD2"/>
    <w:rsid w:val="009C3110"/>
    <w:rsid w:val="009C6FFB"/>
    <w:rsid w:val="009D263E"/>
    <w:rsid w:val="009E5DB5"/>
    <w:rsid w:val="00A15F7D"/>
    <w:rsid w:val="00A41772"/>
    <w:rsid w:val="00A722EB"/>
    <w:rsid w:val="00A7320C"/>
    <w:rsid w:val="00A77D98"/>
    <w:rsid w:val="00A93B10"/>
    <w:rsid w:val="00AA5AE6"/>
    <w:rsid w:val="00AC0E02"/>
    <w:rsid w:val="00AC49C3"/>
    <w:rsid w:val="00AC5C83"/>
    <w:rsid w:val="00B0039E"/>
    <w:rsid w:val="00B1247F"/>
    <w:rsid w:val="00B24D93"/>
    <w:rsid w:val="00B2597E"/>
    <w:rsid w:val="00B47A7E"/>
    <w:rsid w:val="00B51828"/>
    <w:rsid w:val="00B57A0A"/>
    <w:rsid w:val="00B7466D"/>
    <w:rsid w:val="00B8213B"/>
    <w:rsid w:val="00B934E9"/>
    <w:rsid w:val="00BA0884"/>
    <w:rsid w:val="00BB0CAB"/>
    <w:rsid w:val="00BB6067"/>
    <w:rsid w:val="00BB6F3A"/>
    <w:rsid w:val="00BC1181"/>
    <w:rsid w:val="00BC48A3"/>
    <w:rsid w:val="00BF730F"/>
    <w:rsid w:val="00C04E58"/>
    <w:rsid w:val="00C105AB"/>
    <w:rsid w:val="00C15935"/>
    <w:rsid w:val="00C171CA"/>
    <w:rsid w:val="00C413BD"/>
    <w:rsid w:val="00C5412A"/>
    <w:rsid w:val="00C66BA0"/>
    <w:rsid w:val="00C67EEB"/>
    <w:rsid w:val="00C71314"/>
    <w:rsid w:val="00C80864"/>
    <w:rsid w:val="00C90E22"/>
    <w:rsid w:val="00C932DC"/>
    <w:rsid w:val="00D00BEC"/>
    <w:rsid w:val="00D1669E"/>
    <w:rsid w:val="00D60D8B"/>
    <w:rsid w:val="00D655C9"/>
    <w:rsid w:val="00D74ADF"/>
    <w:rsid w:val="00D834E3"/>
    <w:rsid w:val="00D9575B"/>
    <w:rsid w:val="00DA233F"/>
    <w:rsid w:val="00DB23AB"/>
    <w:rsid w:val="00DB4FF8"/>
    <w:rsid w:val="00DD2CDD"/>
    <w:rsid w:val="00E054DA"/>
    <w:rsid w:val="00E61184"/>
    <w:rsid w:val="00E7540C"/>
    <w:rsid w:val="00E80BCE"/>
    <w:rsid w:val="00E82FEA"/>
    <w:rsid w:val="00E96544"/>
    <w:rsid w:val="00EA2243"/>
    <w:rsid w:val="00EB0506"/>
    <w:rsid w:val="00EB2785"/>
    <w:rsid w:val="00EB5266"/>
    <w:rsid w:val="00F00E2B"/>
    <w:rsid w:val="00F014C0"/>
    <w:rsid w:val="00F21F07"/>
    <w:rsid w:val="00F65A10"/>
    <w:rsid w:val="00F66E63"/>
    <w:rsid w:val="00F674FE"/>
    <w:rsid w:val="00F773C1"/>
    <w:rsid w:val="00FC5992"/>
    <w:rsid w:val="00FD59CA"/>
    <w:rsid w:val="00FF1D11"/>
    <w:rsid w:val="00FF68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93C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828"/>
    <w:pPr>
      <w:spacing w:after="240" w:line="240" w:lineRule="auto"/>
      <w:ind w:left="720"/>
    </w:pPr>
    <w:rPr>
      <w:rFonts w:ascii="Garamond" w:hAnsi="Garamond"/>
      <w:sz w:val="24"/>
    </w:rPr>
  </w:style>
  <w:style w:type="paragraph" w:styleId="Heading1">
    <w:name w:val="heading 1"/>
    <w:basedOn w:val="Normal"/>
    <w:next w:val="Normal"/>
    <w:link w:val="Heading1Char"/>
    <w:uiPriority w:val="9"/>
    <w:qFormat/>
    <w:rsid w:val="00B51828"/>
    <w:pPr>
      <w:keepNext/>
      <w:keepLines/>
      <w:pageBreakBefore/>
      <w:pBdr>
        <w:bottom w:val="single" w:sz="4" w:space="1" w:color="auto"/>
      </w:pBdr>
      <w:spacing w:after="360"/>
      <w:ind w:left="2552" w:hanging="2552"/>
      <w:outlineLvl w:val="0"/>
    </w:pPr>
    <w:rPr>
      <w:rFonts w:ascii="Tahoma" w:eastAsiaTheme="majorEastAsia" w:hAnsi="Tahoma" w:cstheme="majorBidi"/>
      <w:b/>
      <w:sz w:val="44"/>
      <w:szCs w:val="32"/>
    </w:rPr>
  </w:style>
  <w:style w:type="paragraph" w:styleId="Heading2">
    <w:name w:val="heading 2"/>
    <w:basedOn w:val="Normal"/>
    <w:next w:val="Normal"/>
    <w:link w:val="Heading2Char"/>
    <w:uiPriority w:val="9"/>
    <w:unhideWhenUsed/>
    <w:qFormat/>
    <w:rsid w:val="00B51828"/>
    <w:pPr>
      <w:keepNext/>
      <w:keepLines/>
      <w:spacing w:before="240" w:after="120"/>
      <w:ind w:hanging="720"/>
      <w:outlineLvl w:val="1"/>
    </w:pPr>
    <w:rPr>
      <w:rFonts w:ascii="Tahoma" w:eastAsiaTheme="majorEastAsia" w:hAnsi="Tahoma" w:cstheme="majorBidi"/>
      <w:b/>
      <w:sz w:val="28"/>
      <w:szCs w:val="26"/>
    </w:rPr>
  </w:style>
  <w:style w:type="paragraph" w:styleId="Heading3">
    <w:name w:val="heading 3"/>
    <w:basedOn w:val="Normal"/>
    <w:next w:val="Normal"/>
    <w:link w:val="Heading3Char"/>
    <w:uiPriority w:val="9"/>
    <w:unhideWhenUsed/>
    <w:qFormat/>
    <w:rsid w:val="00B51828"/>
    <w:pPr>
      <w:keepNext/>
      <w:keepLines/>
      <w:spacing w:before="240" w:after="120"/>
      <w:ind w:hanging="720"/>
      <w:outlineLvl w:val="2"/>
    </w:pPr>
    <w:rPr>
      <w:rFonts w:ascii="Tahoma" w:eastAsiaTheme="majorEastAsia" w:hAnsi="Tahoma" w:cstheme="majorBidi"/>
      <w:b/>
      <w:sz w:val="22"/>
      <w:szCs w:val="24"/>
    </w:rPr>
  </w:style>
  <w:style w:type="paragraph" w:styleId="Heading4">
    <w:name w:val="heading 4"/>
    <w:basedOn w:val="Normal"/>
    <w:next w:val="Normal"/>
    <w:link w:val="Heading4Char"/>
    <w:uiPriority w:val="9"/>
    <w:unhideWhenUsed/>
    <w:qFormat/>
    <w:rsid w:val="00B51828"/>
    <w:pPr>
      <w:keepNext/>
      <w:keepLines/>
      <w:spacing w:before="200" w:after="0"/>
      <w:outlineLvl w:val="3"/>
    </w:pPr>
    <w:rPr>
      <w:rFonts w:ascii="Tahoma" w:eastAsiaTheme="majorEastAsia" w:hAnsi="Tahoma" w:cstheme="majorBid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828"/>
    <w:rPr>
      <w:rFonts w:ascii="Tahoma" w:eastAsiaTheme="majorEastAsia" w:hAnsi="Tahoma" w:cstheme="majorBidi"/>
      <w:b/>
      <w:sz w:val="44"/>
      <w:szCs w:val="32"/>
    </w:rPr>
  </w:style>
  <w:style w:type="character" w:customStyle="1" w:styleId="Heading2Char">
    <w:name w:val="Heading 2 Char"/>
    <w:basedOn w:val="DefaultParagraphFont"/>
    <w:link w:val="Heading2"/>
    <w:uiPriority w:val="9"/>
    <w:rsid w:val="00B51828"/>
    <w:rPr>
      <w:rFonts w:ascii="Tahoma" w:eastAsiaTheme="majorEastAsia" w:hAnsi="Tahoma" w:cstheme="majorBidi"/>
      <w:b/>
      <w:sz w:val="28"/>
      <w:szCs w:val="26"/>
    </w:rPr>
  </w:style>
  <w:style w:type="character" w:customStyle="1" w:styleId="Heading3Char">
    <w:name w:val="Heading 3 Char"/>
    <w:basedOn w:val="DefaultParagraphFont"/>
    <w:link w:val="Heading3"/>
    <w:uiPriority w:val="9"/>
    <w:rsid w:val="00B51828"/>
    <w:rPr>
      <w:rFonts w:ascii="Tahoma" w:eastAsiaTheme="majorEastAsia" w:hAnsi="Tahoma" w:cstheme="majorBidi"/>
      <w:b/>
      <w:szCs w:val="24"/>
    </w:rPr>
  </w:style>
  <w:style w:type="character" w:customStyle="1" w:styleId="Heading4Char">
    <w:name w:val="Heading 4 Char"/>
    <w:basedOn w:val="DefaultParagraphFont"/>
    <w:link w:val="Heading4"/>
    <w:uiPriority w:val="9"/>
    <w:rsid w:val="00B51828"/>
    <w:rPr>
      <w:rFonts w:ascii="Tahoma" w:eastAsiaTheme="majorEastAsia" w:hAnsi="Tahoma" w:cstheme="majorBidi"/>
      <w:b/>
      <w:bCs/>
      <w:i/>
      <w:iCs/>
    </w:rPr>
  </w:style>
  <w:style w:type="table" w:styleId="TableGrid">
    <w:name w:val="Table Grid"/>
    <w:basedOn w:val="TableNormal"/>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51828"/>
    <w:pPr>
      <w:keepNext/>
      <w:spacing w:before="40" w:after="40"/>
      <w:ind w:left="2127" w:hanging="1407"/>
    </w:pPr>
    <w:rPr>
      <w:rFonts w:ascii="Arial Narrow" w:hAnsi="Arial Narrow"/>
      <w:b/>
      <w:iCs/>
      <w:sz w:val="20"/>
      <w:szCs w:val="18"/>
    </w:rPr>
  </w:style>
  <w:style w:type="paragraph" w:styleId="ListParagraph">
    <w:name w:val="List Paragraph"/>
    <w:basedOn w:val="Normal"/>
    <w:link w:val="ListParagraphChar"/>
    <w:uiPriority w:val="34"/>
    <w:qFormat/>
    <w:rsid w:val="00B51828"/>
    <w:pPr>
      <w:contextualSpacing/>
    </w:pPr>
  </w:style>
  <w:style w:type="paragraph" w:customStyle="1" w:styleId="Tabletext">
    <w:name w:val="Table text"/>
    <w:basedOn w:val="Normal"/>
    <w:link w:val="TabletextChar"/>
    <w:qFormat/>
    <w:rsid w:val="00B51828"/>
    <w:pPr>
      <w:spacing w:before="60" w:after="60"/>
      <w:jc w:val="both"/>
    </w:pPr>
    <w:rPr>
      <w:rFonts w:cs="Times New Roman"/>
      <w:sz w:val="22"/>
    </w:rPr>
  </w:style>
  <w:style w:type="paragraph" w:customStyle="1" w:styleId="Tablerowheading">
    <w:name w:val="Table row heading"/>
    <w:basedOn w:val="Tabletext"/>
    <w:link w:val="TablerowheadingChar"/>
    <w:qFormat/>
    <w:rsid w:val="00B51828"/>
    <w:rPr>
      <w:b/>
      <w:color w:val="FFFFFF" w:themeColor="background1"/>
    </w:rPr>
  </w:style>
  <w:style w:type="character" w:customStyle="1" w:styleId="TabletextChar">
    <w:name w:val="Table text Char"/>
    <w:basedOn w:val="DefaultParagraphFont"/>
    <w:link w:val="Tabletext"/>
    <w:rsid w:val="00B51828"/>
    <w:rPr>
      <w:rFonts w:ascii="Garamond" w:hAnsi="Garamond" w:cs="Times New Roman"/>
    </w:rPr>
  </w:style>
  <w:style w:type="character" w:customStyle="1" w:styleId="TablerowheadingChar">
    <w:name w:val="Table row heading Char"/>
    <w:basedOn w:val="TabletextChar"/>
    <w:link w:val="Tablerowheading"/>
    <w:rsid w:val="00B51828"/>
    <w:rPr>
      <w:rFonts w:ascii="Garamond" w:hAnsi="Garamond" w:cs="Times New Roman"/>
      <w:b/>
      <w:color w:val="FFFFFF" w:themeColor="background1"/>
    </w:rPr>
  </w:style>
  <w:style w:type="paragraph" w:styleId="TOC1">
    <w:name w:val="toc 1"/>
    <w:basedOn w:val="Normal"/>
    <w:next w:val="Normal"/>
    <w:autoRedefine/>
    <w:uiPriority w:val="39"/>
    <w:unhideWhenUsed/>
    <w:rsid w:val="0095400D"/>
    <w:pPr>
      <w:keepNext/>
      <w:tabs>
        <w:tab w:val="left" w:pos="2163"/>
        <w:tab w:val="right" w:leader="dot" w:pos="9016"/>
      </w:tabs>
      <w:spacing w:before="120" w:after="60"/>
      <w:ind w:left="1741" w:right="720" w:hanging="1021"/>
    </w:pPr>
    <w:rPr>
      <w:b/>
      <w:bCs/>
    </w:rPr>
  </w:style>
  <w:style w:type="paragraph" w:styleId="TOC2">
    <w:name w:val="toc 2"/>
    <w:basedOn w:val="Normal"/>
    <w:next w:val="Normal"/>
    <w:autoRedefine/>
    <w:uiPriority w:val="39"/>
    <w:unhideWhenUsed/>
    <w:rsid w:val="0095400D"/>
    <w:pPr>
      <w:spacing w:after="60"/>
      <w:ind w:left="2160" w:right="720" w:hanging="720"/>
    </w:pPr>
    <w:rPr>
      <w:bCs/>
    </w:rPr>
  </w:style>
  <w:style w:type="paragraph" w:styleId="TOC3">
    <w:name w:val="toc 3"/>
    <w:basedOn w:val="Normal"/>
    <w:next w:val="Normal"/>
    <w:autoRedefine/>
    <w:uiPriority w:val="39"/>
    <w:unhideWhenUsed/>
    <w:rsid w:val="00B51828"/>
    <w:pPr>
      <w:spacing w:after="0"/>
    </w:pPr>
    <w:rPr>
      <w:rFonts w:asciiTheme="minorHAnsi" w:hAnsiTheme="minorHAnsi"/>
      <w:smallCaps/>
      <w:sz w:val="22"/>
    </w:rPr>
  </w:style>
  <w:style w:type="paragraph" w:styleId="TOC4">
    <w:name w:val="toc 4"/>
    <w:basedOn w:val="Normal"/>
    <w:next w:val="Normal"/>
    <w:autoRedefine/>
    <w:uiPriority w:val="39"/>
    <w:unhideWhenUsed/>
    <w:rsid w:val="00B51828"/>
    <w:pPr>
      <w:spacing w:after="0"/>
    </w:pPr>
    <w:rPr>
      <w:rFonts w:asciiTheme="minorHAnsi" w:hAnsiTheme="minorHAnsi"/>
      <w:sz w:val="22"/>
    </w:rPr>
  </w:style>
  <w:style w:type="paragraph" w:styleId="TOC5">
    <w:name w:val="toc 5"/>
    <w:basedOn w:val="Normal"/>
    <w:next w:val="Normal"/>
    <w:autoRedefine/>
    <w:uiPriority w:val="39"/>
    <w:unhideWhenUsed/>
    <w:rsid w:val="00B51828"/>
    <w:pPr>
      <w:spacing w:after="0"/>
    </w:pPr>
    <w:rPr>
      <w:rFonts w:asciiTheme="minorHAnsi" w:hAnsiTheme="minorHAnsi"/>
      <w:sz w:val="22"/>
    </w:rPr>
  </w:style>
  <w:style w:type="paragraph" w:styleId="TOC6">
    <w:name w:val="toc 6"/>
    <w:basedOn w:val="Normal"/>
    <w:next w:val="Normal"/>
    <w:autoRedefine/>
    <w:uiPriority w:val="39"/>
    <w:unhideWhenUsed/>
    <w:rsid w:val="00B51828"/>
    <w:pPr>
      <w:spacing w:after="0"/>
    </w:pPr>
    <w:rPr>
      <w:rFonts w:asciiTheme="minorHAnsi" w:hAnsiTheme="minorHAnsi"/>
      <w:sz w:val="22"/>
    </w:rPr>
  </w:style>
  <w:style w:type="paragraph" w:styleId="TOC7">
    <w:name w:val="toc 7"/>
    <w:basedOn w:val="Normal"/>
    <w:next w:val="Normal"/>
    <w:autoRedefine/>
    <w:uiPriority w:val="39"/>
    <w:unhideWhenUsed/>
    <w:rsid w:val="00B51828"/>
    <w:pPr>
      <w:spacing w:after="0"/>
    </w:pPr>
    <w:rPr>
      <w:rFonts w:asciiTheme="minorHAnsi" w:hAnsiTheme="minorHAnsi"/>
      <w:sz w:val="22"/>
    </w:rPr>
  </w:style>
  <w:style w:type="paragraph" w:styleId="TOC8">
    <w:name w:val="toc 8"/>
    <w:basedOn w:val="Normal"/>
    <w:next w:val="Normal"/>
    <w:autoRedefine/>
    <w:uiPriority w:val="39"/>
    <w:unhideWhenUsed/>
    <w:rsid w:val="00B51828"/>
    <w:pPr>
      <w:spacing w:after="0"/>
    </w:pPr>
    <w:rPr>
      <w:rFonts w:asciiTheme="minorHAnsi" w:hAnsiTheme="minorHAnsi"/>
      <w:sz w:val="22"/>
    </w:rPr>
  </w:style>
  <w:style w:type="paragraph" w:styleId="TOC9">
    <w:name w:val="toc 9"/>
    <w:basedOn w:val="Normal"/>
    <w:next w:val="Normal"/>
    <w:autoRedefine/>
    <w:uiPriority w:val="39"/>
    <w:unhideWhenUsed/>
    <w:rsid w:val="00B51828"/>
    <w:pPr>
      <w:spacing w:after="0"/>
    </w:pPr>
    <w:rPr>
      <w:rFonts w:asciiTheme="minorHAnsi" w:hAnsiTheme="minorHAnsi"/>
      <w:sz w:val="22"/>
    </w:rPr>
  </w:style>
  <w:style w:type="character" w:styleId="Hyperlink">
    <w:name w:val="Hyperlink"/>
    <w:basedOn w:val="DefaultParagraphFont"/>
    <w:uiPriority w:val="99"/>
    <w:unhideWhenUsed/>
    <w:rsid w:val="00B51828"/>
    <w:rPr>
      <w:color w:val="0563C1" w:themeColor="hyperlink"/>
      <w:u w:val="single"/>
    </w:rPr>
  </w:style>
  <w:style w:type="paragraph" w:styleId="TOCHeading">
    <w:name w:val="TOC Heading"/>
    <w:basedOn w:val="Heading1"/>
    <w:next w:val="Normal"/>
    <w:uiPriority w:val="39"/>
    <w:unhideWhenUsed/>
    <w:qFormat/>
    <w:rsid w:val="00B51828"/>
    <w:pPr>
      <w:ind w:left="0" w:firstLine="0"/>
      <w:outlineLvl w:val="9"/>
    </w:pPr>
    <w:rPr>
      <w:lang w:val="en-US"/>
    </w:rPr>
  </w:style>
  <w:style w:type="paragraph" w:styleId="Header">
    <w:name w:val="header"/>
    <w:basedOn w:val="Normal"/>
    <w:link w:val="HeaderChar"/>
    <w:unhideWhenUsed/>
    <w:rsid w:val="00B51828"/>
    <w:pPr>
      <w:tabs>
        <w:tab w:val="center" w:pos="4513"/>
        <w:tab w:val="right" w:pos="9026"/>
      </w:tabs>
      <w:spacing w:after="0"/>
    </w:pPr>
  </w:style>
  <w:style w:type="character" w:customStyle="1" w:styleId="HeaderChar">
    <w:name w:val="Header Char"/>
    <w:basedOn w:val="DefaultParagraphFont"/>
    <w:link w:val="Header"/>
    <w:rsid w:val="00B51828"/>
    <w:rPr>
      <w:rFonts w:ascii="Garamond" w:hAnsi="Garamond"/>
      <w:sz w:val="24"/>
    </w:rPr>
  </w:style>
  <w:style w:type="paragraph" w:styleId="Footer">
    <w:name w:val="footer"/>
    <w:basedOn w:val="Normal"/>
    <w:link w:val="FooterChar"/>
    <w:uiPriority w:val="99"/>
    <w:unhideWhenUsed/>
    <w:rsid w:val="00B51828"/>
    <w:pPr>
      <w:tabs>
        <w:tab w:val="center" w:pos="4513"/>
        <w:tab w:val="right" w:pos="9026"/>
      </w:tabs>
    </w:pPr>
    <w:rPr>
      <w:rFonts w:ascii="Arial" w:hAnsi="Arial"/>
      <w:b/>
      <w:sz w:val="20"/>
    </w:rPr>
  </w:style>
  <w:style w:type="character" w:customStyle="1" w:styleId="FooterChar">
    <w:name w:val="Footer Char"/>
    <w:basedOn w:val="DefaultParagraphFont"/>
    <w:link w:val="Footer"/>
    <w:uiPriority w:val="99"/>
    <w:rsid w:val="00B51828"/>
    <w:rPr>
      <w:rFonts w:ascii="Arial" w:hAnsi="Arial"/>
      <w:b/>
      <w:sz w:val="20"/>
    </w:rPr>
  </w:style>
  <w:style w:type="character" w:styleId="PageNumber">
    <w:name w:val="page number"/>
    <w:basedOn w:val="DefaultParagraphFont"/>
    <w:rsid w:val="00B51828"/>
  </w:style>
  <w:style w:type="paragraph" w:customStyle="1" w:styleId="TitlePageLowercase">
    <w:name w:val="Title Page Lowercase"/>
    <w:basedOn w:val="Normal"/>
    <w:link w:val="TitlePageLowercaseChar"/>
    <w:qFormat/>
    <w:rsid w:val="00B51828"/>
    <w:pPr>
      <w:tabs>
        <w:tab w:val="left" w:pos="885"/>
      </w:tabs>
      <w:jc w:val="center"/>
    </w:pPr>
    <w:rPr>
      <w:b/>
      <w:sz w:val="36"/>
      <w:szCs w:val="36"/>
    </w:rPr>
  </w:style>
  <w:style w:type="paragraph" w:customStyle="1" w:styleId="TITLEPAGECAPS">
    <w:name w:val="TITLE PAGE CAPS"/>
    <w:basedOn w:val="Normal"/>
    <w:link w:val="TITLEPAGECAPSChar"/>
    <w:qFormat/>
    <w:rsid w:val="00B51828"/>
    <w:pPr>
      <w:tabs>
        <w:tab w:val="left" w:pos="885"/>
      </w:tabs>
      <w:jc w:val="center"/>
    </w:pPr>
    <w:rPr>
      <w:rFonts w:ascii="Times New Roman Bold" w:hAnsi="Times New Roman Bold"/>
      <w:b/>
      <w:caps/>
      <w:sz w:val="36"/>
      <w:szCs w:val="36"/>
    </w:rPr>
  </w:style>
  <w:style w:type="character" w:customStyle="1" w:styleId="TitlePageLowercaseChar">
    <w:name w:val="Title Page Lowercase Char"/>
    <w:basedOn w:val="DefaultParagraphFont"/>
    <w:link w:val="TitlePageLowercase"/>
    <w:rsid w:val="00B51828"/>
    <w:rPr>
      <w:rFonts w:ascii="Garamond" w:hAnsi="Garamond"/>
      <w:b/>
      <w:sz w:val="36"/>
      <w:szCs w:val="36"/>
    </w:rPr>
  </w:style>
  <w:style w:type="paragraph" w:customStyle="1" w:styleId="Nonumberheading">
    <w:name w:val="No number heading"/>
    <w:basedOn w:val="Normal"/>
    <w:link w:val="NonumberheadingChar"/>
    <w:rsid w:val="00B51828"/>
    <w:rPr>
      <w:rFonts w:ascii="Cambria" w:hAnsi="Cambria"/>
      <w:b/>
      <w:caps/>
      <w:color w:val="2E74B5" w:themeColor="accent1" w:themeShade="BF"/>
      <w:sz w:val="28"/>
      <w:szCs w:val="28"/>
    </w:rPr>
  </w:style>
  <w:style w:type="character" w:customStyle="1" w:styleId="TITLEPAGECAPSChar">
    <w:name w:val="TITLE PAGE CAPS Char"/>
    <w:basedOn w:val="DefaultParagraphFont"/>
    <w:link w:val="TITLEPAGECAPS"/>
    <w:rsid w:val="00B51828"/>
    <w:rPr>
      <w:rFonts w:ascii="Times New Roman Bold" w:hAnsi="Times New Roman Bold"/>
      <w:b/>
      <w:caps/>
      <w:sz w:val="36"/>
      <w:szCs w:val="36"/>
    </w:rPr>
  </w:style>
  <w:style w:type="paragraph" w:customStyle="1" w:styleId="StyleListParagraphAfter6pt">
    <w:name w:val="Style List Paragraph + After:  6 pt"/>
    <w:basedOn w:val="ListParagraph"/>
    <w:rsid w:val="00B51828"/>
    <w:pPr>
      <w:spacing w:line="276" w:lineRule="auto"/>
      <w:contextualSpacing w:val="0"/>
    </w:pPr>
    <w:rPr>
      <w:rFonts w:eastAsia="Times New Roman" w:cs="Times New Roman"/>
      <w:szCs w:val="20"/>
      <w:lang w:val="en-US"/>
    </w:rPr>
  </w:style>
  <w:style w:type="character" w:customStyle="1" w:styleId="NonumberheadingChar">
    <w:name w:val="No number heading Char"/>
    <w:basedOn w:val="DefaultParagraphFont"/>
    <w:link w:val="Nonumberheading"/>
    <w:rsid w:val="00B51828"/>
    <w:rPr>
      <w:rFonts w:ascii="Cambria" w:hAnsi="Cambria"/>
      <w:b/>
      <w:caps/>
      <w:color w:val="2E74B5" w:themeColor="accent1" w:themeShade="BF"/>
      <w:sz w:val="28"/>
      <w:szCs w:val="28"/>
    </w:rPr>
  </w:style>
  <w:style w:type="paragraph" w:customStyle="1" w:styleId="StyleStyleStyleListParagraphAfter6ptItalicAfter0">
    <w:name w:val="Style Style Style List Paragraph + After:  6 pt + Italic After:  0 ..."/>
    <w:basedOn w:val="Normal"/>
    <w:link w:val="StyleStyleStyleListParagraphAfter6ptItalicAfter0Char"/>
    <w:rsid w:val="00B51828"/>
    <w:pPr>
      <w:spacing w:after="0"/>
    </w:pPr>
    <w:rPr>
      <w:rFonts w:eastAsia="Times New Roman" w:cs="Times New Roman"/>
      <w:iCs/>
      <w:szCs w:val="20"/>
      <w:lang w:val="en-US"/>
    </w:rPr>
  </w:style>
  <w:style w:type="paragraph" w:styleId="BalloonText">
    <w:name w:val="Balloon Text"/>
    <w:basedOn w:val="Normal"/>
    <w:link w:val="BalloonTextChar"/>
    <w:uiPriority w:val="99"/>
    <w:semiHidden/>
    <w:unhideWhenUsed/>
    <w:rsid w:val="00B51828"/>
    <w:pPr>
      <w:spacing w:after="0"/>
    </w:pPr>
    <w:rPr>
      <w:rFonts w:cs="Tahoma"/>
      <w:szCs w:val="16"/>
    </w:rPr>
  </w:style>
  <w:style w:type="character" w:customStyle="1" w:styleId="BalloonTextChar">
    <w:name w:val="Balloon Text Char"/>
    <w:basedOn w:val="DefaultParagraphFont"/>
    <w:link w:val="BalloonText"/>
    <w:uiPriority w:val="99"/>
    <w:semiHidden/>
    <w:rsid w:val="00B51828"/>
    <w:rPr>
      <w:rFonts w:ascii="Garamond" w:hAnsi="Garamond" w:cs="Tahoma"/>
      <w:sz w:val="24"/>
      <w:szCs w:val="16"/>
    </w:rPr>
  </w:style>
  <w:style w:type="paragraph" w:customStyle="1" w:styleId="Bulletpoints">
    <w:name w:val="Bullet points"/>
    <w:basedOn w:val="StyleStyleStyleListParagraphAfter6ptItalicAfter0"/>
    <w:link w:val="BulletpointsChar"/>
    <w:qFormat/>
    <w:rsid w:val="00B51828"/>
    <w:pPr>
      <w:numPr>
        <w:numId w:val="2"/>
      </w:numPr>
      <w:spacing w:before="240" w:after="240" w:line="288" w:lineRule="auto"/>
      <w:ind w:left="709" w:hanging="284"/>
      <w:contextualSpacing/>
    </w:pPr>
  </w:style>
  <w:style w:type="character" w:customStyle="1" w:styleId="StyleStyleStyleListParagraphAfter6ptItalicAfter0Char">
    <w:name w:val="Style Style Style List Paragraph + After:  6 pt + Italic After:  0 ... Char"/>
    <w:basedOn w:val="DefaultParagraphFont"/>
    <w:link w:val="StyleStyleStyleListParagraphAfter6ptItalicAfter0"/>
    <w:rsid w:val="00B51828"/>
    <w:rPr>
      <w:rFonts w:ascii="Garamond" w:eastAsia="Times New Roman" w:hAnsi="Garamond" w:cs="Times New Roman"/>
      <w:iCs/>
      <w:sz w:val="24"/>
      <w:szCs w:val="20"/>
      <w:lang w:val="en-US"/>
    </w:rPr>
  </w:style>
  <w:style w:type="character" w:customStyle="1" w:styleId="BulletpointsChar">
    <w:name w:val="Bullet points Char"/>
    <w:basedOn w:val="StyleStyleStyleListParagraphAfter6ptItalicAfter0Char"/>
    <w:link w:val="Bulletpoints"/>
    <w:rsid w:val="00B51828"/>
    <w:rPr>
      <w:rFonts w:ascii="Garamond" w:eastAsia="Times New Roman" w:hAnsi="Garamond" w:cs="Times New Roman"/>
      <w:iCs/>
      <w:sz w:val="24"/>
      <w:szCs w:val="20"/>
      <w:lang w:val="en-US"/>
    </w:rPr>
  </w:style>
  <w:style w:type="paragraph" w:customStyle="1" w:styleId="Tablefootnotes">
    <w:name w:val="Table footnotes"/>
    <w:basedOn w:val="Normal"/>
    <w:link w:val="TablefootnotesChar"/>
    <w:qFormat/>
    <w:rsid w:val="00B51828"/>
    <w:pPr>
      <w:spacing w:after="360"/>
      <w:contextualSpacing/>
    </w:pPr>
    <w:rPr>
      <w:rFonts w:ascii="Arial Narrow" w:hAnsi="Arial Narrow"/>
      <w:sz w:val="16"/>
      <w:szCs w:val="16"/>
    </w:rPr>
  </w:style>
  <w:style w:type="character" w:customStyle="1" w:styleId="TablefootnotesChar">
    <w:name w:val="Table footnotes Char"/>
    <w:basedOn w:val="DefaultParagraphFont"/>
    <w:link w:val="Tablefootnotes"/>
    <w:rsid w:val="00B51828"/>
    <w:rPr>
      <w:rFonts w:ascii="Arial Narrow" w:hAnsi="Arial Narrow"/>
      <w:sz w:val="16"/>
      <w:szCs w:val="16"/>
    </w:rPr>
  </w:style>
  <w:style w:type="paragraph" w:customStyle="1" w:styleId="Style8ptCentered">
    <w:name w:val="Style 8 pt Centered"/>
    <w:basedOn w:val="Normal"/>
    <w:rsid w:val="00B51828"/>
    <w:pPr>
      <w:spacing w:after="0"/>
    </w:pPr>
    <w:rPr>
      <w:rFonts w:eastAsia="Times New Roman" w:cs="Times New Roman"/>
      <w:sz w:val="16"/>
      <w:szCs w:val="20"/>
    </w:rPr>
  </w:style>
  <w:style w:type="paragraph" w:customStyle="1" w:styleId="Bulletlevel2">
    <w:name w:val="Bullet level 2"/>
    <w:basedOn w:val="Normal"/>
    <w:qFormat/>
    <w:rsid w:val="00B51828"/>
    <w:pPr>
      <w:numPr>
        <w:numId w:val="3"/>
      </w:numPr>
      <w:spacing w:after="0"/>
      <w:jc w:val="both"/>
    </w:pPr>
    <w:rPr>
      <w:rFonts w:eastAsia="Times New Roman" w:cs="Times New Roman"/>
      <w:color w:val="000000"/>
      <w:szCs w:val="24"/>
    </w:rPr>
  </w:style>
  <w:style w:type="character" w:customStyle="1" w:styleId="Style8ptBoldBlack">
    <w:name w:val="Style 8 pt Bold Black"/>
    <w:basedOn w:val="DefaultParagraphFont"/>
    <w:rsid w:val="00B51828"/>
    <w:rPr>
      <w:b/>
      <w:bCs/>
      <w:color w:val="000000"/>
      <w:sz w:val="16"/>
    </w:rPr>
  </w:style>
  <w:style w:type="paragraph" w:styleId="BodyTextIndent">
    <w:name w:val="Body Text Indent"/>
    <w:basedOn w:val="Normal"/>
    <w:link w:val="BodyTextIndentChar"/>
    <w:rsid w:val="00B51828"/>
    <w:pPr>
      <w:spacing w:after="120"/>
      <w:ind w:left="283"/>
      <w:jc w:val="both"/>
    </w:pPr>
    <w:rPr>
      <w:rFonts w:eastAsia="Times New Roman" w:cs="Times New Roman"/>
      <w:szCs w:val="24"/>
    </w:rPr>
  </w:style>
  <w:style w:type="character" w:customStyle="1" w:styleId="BodyTextIndentChar">
    <w:name w:val="Body Text Indent Char"/>
    <w:basedOn w:val="DefaultParagraphFont"/>
    <w:link w:val="BodyTextIndent"/>
    <w:rsid w:val="00B51828"/>
    <w:rPr>
      <w:rFonts w:ascii="Garamond" w:eastAsia="Times New Roman" w:hAnsi="Garamond" w:cs="Times New Roman"/>
      <w:sz w:val="24"/>
      <w:szCs w:val="24"/>
    </w:rPr>
  </w:style>
  <w:style w:type="paragraph" w:customStyle="1" w:styleId="BulletL1HC">
    <w:name w:val="Bullet L1 HC"/>
    <w:basedOn w:val="Normal"/>
    <w:link w:val="BulletL1HCChar"/>
    <w:uiPriority w:val="99"/>
    <w:qFormat/>
    <w:rsid w:val="00B51828"/>
    <w:pPr>
      <w:numPr>
        <w:numId w:val="5"/>
      </w:numPr>
      <w:spacing w:after="0"/>
      <w:jc w:val="both"/>
    </w:pPr>
    <w:rPr>
      <w:rFonts w:eastAsia="Times New Roman" w:cs="Times New Roman"/>
      <w:szCs w:val="24"/>
    </w:rPr>
  </w:style>
  <w:style w:type="character" w:customStyle="1" w:styleId="BulletL1HCChar">
    <w:name w:val="Bullet L1 HC Char"/>
    <w:basedOn w:val="DefaultParagraphFont"/>
    <w:link w:val="BulletL1HC"/>
    <w:uiPriority w:val="99"/>
    <w:rsid w:val="00B51828"/>
    <w:rPr>
      <w:rFonts w:ascii="Garamond" w:eastAsia="Times New Roman" w:hAnsi="Garamond" w:cs="Times New Roman"/>
      <w:sz w:val="24"/>
      <w:szCs w:val="24"/>
    </w:rPr>
  </w:style>
  <w:style w:type="paragraph" w:customStyle="1" w:styleId="Numberedtext">
    <w:name w:val="Numbered text"/>
    <w:basedOn w:val="BulletL1HC"/>
    <w:link w:val="NumberedtextChar"/>
    <w:qFormat/>
    <w:rsid w:val="00B51828"/>
    <w:pPr>
      <w:numPr>
        <w:numId w:val="0"/>
      </w:numPr>
      <w:spacing w:after="120"/>
      <w:ind w:left="1066" w:hanging="357"/>
    </w:pPr>
  </w:style>
  <w:style w:type="paragraph" w:customStyle="1" w:styleId="aNormaltext">
    <w:name w:val="a. Normal text"/>
    <w:basedOn w:val="ListParagraph"/>
    <w:link w:val="aNormaltextChar"/>
    <w:qFormat/>
    <w:rsid w:val="00B51828"/>
    <w:pPr>
      <w:numPr>
        <w:numId w:val="4"/>
      </w:numPr>
      <w:ind w:left="714" w:hanging="357"/>
    </w:pPr>
  </w:style>
  <w:style w:type="character" w:customStyle="1" w:styleId="NumberedtextChar">
    <w:name w:val="Numbered text Char"/>
    <w:basedOn w:val="BulletL1HCChar"/>
    <w:link w:val="Numberedtext"/>
    <w:rsid w:val="00B51828"/>
    <w:rPr>
      <w:rFonts w:ascii="Garamond" w:eastAsia="Times New Roman" w:hAnsi="Garamond" w:cs="Times New Roman"/>
      <w:sz w:val="24"/>
      <w:szCs w:val="24"/>
    </w:rPr>
  </w:style>
  <w:style w:type="paragraph" w:styleId="FootnoteText">
    <w:name w:val="footnote text"/>
    <w:basedOn w:val="Normal"/>
    <w:link w:val="FootnoteTextChar"/>
    <w:uiPriority w:val="99"/>
    <w:rsid w:val="00B51828"/>
    <w:pPr>
      <w:spacing w:after="0"/>
      <w:jc w:val="both"/>
    </w:pPr>
    <w:rPr>
      <w:rFonts w:eastAsia="Times New Roman" w:cs="Times New Roman"/>
      <w:sz w:val="20"/>
      <w:szCs w:val="20"/>
    </w:rPr>
  </w:style>
  <w:style w:type="character" w:customStyle="1" w:styleId="FootnoteTextChar">
    <w:name w:val="Footnote Text Char"/>
    <w:basedOn w:val="DefaultParagraphFont"/>
    <w:link w:val="FootnoteText"/>
    <w:uiPriority w:val="99"/>
    <w:rsid w:val="00B51828"/>
    <w:rPr>
      <w:rFonts w:ascii="Garamond" w:eastAsia="Times New Roman" w:hAnsi="Garamond" w:cs="Times New Roman"/>
      <w:sz w:val="20"/>
      <w:szCs w:val="20"/>
    </w:rPr>
  </w:style>
  <w:style w:type="character" w:customStyle="1" w:styleId="ListParagraphChar">
    <w:name w:val="List Paragraph Char"/>
    <w:basedOn w:val="DefaultParagraphFont"/>
    <w:link w:val="ListParagraph"/>
    <w:uiPriority w:val="34"/>
    <w:rsid w:val="00B51828"/>
    <w:rPr>
      <w:rFonts w:ascii="Garamond" w:hAnsi="Garamond"/>
      <w:sz w:val="24"/>
    </w:rPr>
  </w:style>
  <w:style w:type="character" w:customStyle="1" w:styleId="aNormaltextChar">
    <w:name w:val="a. Normal text Char"/>
    <w:basedOn w:val="ListParagraphChar"/>
    <w:link w:val="aNormaltext"/>
    <w:rsid w:val="00B51828"/>
    <w:rPr>
      <w:rFonts w:ascii="Garamond" w:hAnsi="Garamond"/>
      <w:sz w:val="24"/>
    </w:rPr>
  </w:style>
  <w:style w:type="character" w:styleId="FootnoteReference">
    <w:name w:val="footnote reference"/>
    <w:basedOn w:val="DefaultParagraphFont"/>
    <w:uiPriority w:val="99"/>
    <w:rsid w:val="00B51828"/>
    <w:rPr>
      <w:vertAlign w:val="superscript"/>
    </w:rPr>
  </w:style>
  <w:style w:type="paragraph" w:customStyle="1" w:styleId="Fourthheading">
    <w:name w:val="Fourth heading"/>
    <w:basedOn w:val="Heading3"/>
    <w:link w:val="FourthheadingChar"/>
    <w:qFormat/>
    <w:rsid w:val="00B51828"/>
    <w:pPr>
      <w:ind w:left="851" w:hanging="851"/>
    </w:pPr>
    <w:rPr>
      <w:i/>
    </w:rPr>
  </w:style>
  <w:style w:type="character" w:customStyle="1" w:styleId="FourthheadingChar">
    <w:name w:val="Fourth heading Char"/>
    <w:basedOn w:val="Heading3Char"/>
    <w:link w:val="Fourthheading"/>
    <w:rsid w:val="00B51828"/>
    <w:rPr>
      <w:rFonts w:ascii="Tahoma" w:eastAsiaTheme="majorEastAsia" w:hAnsi="Tahoma" w:cstheme="majorBidi"/>
      <w:b/>
      <w:i/>
      <w:szCs w:val="24"/>
    </w:rPr>
  </w:style>
  <w:style w:type="character" w:styleId="CommentReference">
    <w:name w:val="annotation reference"/>
    <w:basedOn w:val="DefaultParagraphFont"/>
    <w:uiPriority w:val="99"/>
    <w:semiHidden/>
    <w:unhideWhenUsed/>
    <w:rsid w:val="00B51828"/>
    <w:rPr>
      <w:sz w:val="16"/>
      <w:szCs w:val="16"/>
    </w:rPr>
  </w:style>
  <w:style w:type="paragraph" w:styleId="CommentText">
    <w:name w:val="annotation text"/>
    <w:basedOn w:val="Normal"/>
    <w:link w:val="CommentTextChar"/>
    <w:autoRedefine/>
    <w:uiPriority w:val="99"/>
    <w:unhideWhenUsed/>
    <w:rsid w:val="00B51828"/>
    <w:rPr>
      <w:rFonts w:asciiTheme="minorHAnsi" w:hAnsiTheme="minorHAnsi"/>
      <w:sz w:val="12"/>
      <w:szCs w:val="20"/>
    </w:rPr>
  </w:style>
  <w:style w:type="character" w:customStyle="1" w:styleId="CommentTextChar">
    <w:name w:val="Comment Text Char"/>
    <w:basedOn w:val="DefaultParagraphFont"/>
    <w:link w:val="CommentText"/>
    <w:uiPriority w:val="99"/>
    <w:rsid w:val="00B51828"/>
    <w:rPr>
      <w:sz w:val="12"/>
      <w:szCs w:val="20"/>
    </w:rPr>
  </w:style>
  <w:style w:type="paragraph" w:styleId="CommentSubject">
    <w:name w:val="annotation subject"/>
    <w:basedOn w:val="CommentText"/>
    <w:next w:val="CommentText"/>
    <w:link w:val="CommentSubjectChar"/>
    <w:uiPriority w:val="99"/>
    <w:semiHidden/>
    <w:unhideWhenUsed/>
    <w:rsid w:val="00B51828"/>
    <w:rPr>
      <w:b/>
      <w:bCs/>
    </w:rPr>
  </w:style>
  <w:style w:type="character" w:customStyle="1" w:styleId="CommentSubjectChar">
    <w:name w:val="Comment Subject Char"/>
    <w:basedOn w:val="CommentTextChar"/>
    <w:link w:val="CommentSubject"/>
    <w:uiPriority w:val="99"/>
    <w:semiHidden/>
    <w:rsid w:val="00B51828"/>
    <w:rPr>
      <w:b/>
      <w:bCs/>
      <w:sz w:val="12"/>
      <w:szCs w:val="20"/>
    </w:rPr>
  </w:style>
  <w:style w:type="paragraph" w:styleId="Date">
    <w:name w:val="Date"/>
    <w:basedOn w:val="Normal"/>
    <w:next w:val="Normal"/>
    <w:link w:val="DateChar"/>
    <w:rsid w:val="00B51828"/>
    <w:pPr>
      <w:ind w:right="113"/>
      <w:jc w:val="right"/>
    </w:pPr>
    <w:rPr>
      <w:rFonts w:ascii="Arial" w:eastAsia="Times New Roman" w:hAnsi="Arial" w:cs="Times New Roman"/>
      <w:b/>
      <w:sz w:val="36"/>
      <w:szCs w:val="20"/>
      <w:lang w:eastAsia="en-AU"/>
    </w:rPr>
  </w:style>
  <w:style w:type="character" w:customStyle="1" w:styleId="DateChar">
    <w:name w:val="Date Char"/>
    <w:basedOn w:val="DefaultParagraphFont"/>
    <w:link w:val="Date"/>
    <w:rsid w:val="00B51828"/>
    <w:rPr>
      <w:rFonts w:ascii="Arial" w:eastAsia="Times New Roman" w:hAnsi="Arial" w:cs="Times New Roman"/>
      <w:b/>
      <w:sz w:val="36"/>
      <w:szCs w:val="20"/>
      <w:lang w:eastAsia="en-AU"/>
    </w:rPr>
  </w:style>
  <w:style w:type="paragraph" w:customStyle="1" w:styleId="PublicationTitle">
    <w:name w:val="PublicationTitle"/>
    <w:basedOn w:val="Normal"/>
    <w:rsid w:val="00B51828"/>
    <w:pPr>
      <w:spacing w:line="480" w:lineRule="exact"/>
      <w:ind w:right="113"/>
      <w:jc w:val="right"/>
    </w:pPr>
    <w:rPr>
      <w:rFonts w:ascii="Arial" w:eastAsia="Times New Roman" w:hAnsi="Arial" w:cs="Times New Roman"/>
      <w:b/>
      <w:i/>
      <w:sz w:val="44"/>
      <w:szCs w:val="20"/>
      <w:lang w:eastAsia="en-AU"/>
    </w:rPr>
  </w:style>
  <w:style w:type="paragraph" w:customStyle="1" w:styleId="Sub-title">
    <w:name w:val="Sub-title"/>
    <w:basedOn w:val="Normal"/>
    <w:rsid w:val="00B51828"/>
    <w:pPr>
      <w:ind w:right="113"/>
      <w:jc w:val="right"/>
    </w:pPr>
    <w:rPr>
      <w:rFonts w:ascii="Arial" w:eastAsia="Times New Roman" w:hAnsi="Arial" w:cs="Times New Roman"/>
      <w:b/>
      <w:sz w:val="32"/>
      <w:szCs w:val="20"/>
      <w:lang w:eastAsia="en-AU"/>
    </w:rPr>
  </w:style>
  <w:style w:type="paragraph" w:customStyle="1" w:styleId="Dash">
    <w:name w:val="Dash"/>
    <w:basedOn w:val="Normal"/>
    <w:rsid w:val="00B51828"/>
    <w:pPr>
      <w:numPr>
        <w:numId w:val="6"/>
      </w:numPr>
    </w:pPr>
    <w:rPr>
      <w:rFonts w:eastAsia="Times New Roman" w:cs="Times New Roman"/>
      <w:szCs w:val="20"/>
      <w:lang w:eastAsia="en-AU"/>
    </w:rPr>
  </w:style>
  <w:style w:type="paragraph" w:customStyle="1" w:styleId="Tabletextboldleft">
    <w:name w:val="Table text bold left"/>
    <w:basedOn w:val="Normal"/>
    <w:link w:val="TabletextboldleftChar"/>
    <w:qFormat/>
    <w:rsid w:val="00B51828"/>
    <w:pPr>
      <w:keepNext/>
      <w:spacing w:after="0"/>
      <w:ind w:left="0"/>
    </w:pPr>
    <w:rPr>
      <w:rFonts w:ascii="Arial Narrow" w:eastAsia="Times New Roman" w:hAnsi="Arial Narrow" w:cs="Arial"/>
      <w:b/>
      <w:sz w:val="20"/>
      <w:szCs w:val="20"/>
    </w:rPr>
  </w:style>
  <w:style w:type="paragraph" w:customStyle="1" w:styleId="Tabletextcentred">
    <w:name w:val="Table text centred"/>
    <w:basedOn w:val="Tabletext"/>
    <w:link w:val="TabletextcentredChar"/>
    <w:qFormat/>
    <w:rsid w:val="00B51828"/>
    <w:pPr>
      <w:spacing w:before="0" w:after="0"/>
      <w:ind w:left="0"/>
      <w:jc w:val="center"/>
    </w:pPr>
    <w:rPr>
      <w:rFonts w:ascii="Arial Narrow" w:eastAsia="Times New Roman" w:hAnsi="Arial Narrow"/>
      <w:sz w:val="20"/>
      <w:szCs w:val="24"/>
    </w:rPr>
  </w:style>
  <w:style w:type="character" w:customStyle="1" w:styleId="TabletextboldleftChar">
    <w:name w:val="Table text bold left Char"/>
    <w:basedOn w:val="DefaultParagraphFont"/>
    <w:link w:val="Tabletextboldleft"/>
    <w:rsid w:val="00B51828"/>
    <w:rPr>
      <w:rFonts w:ascii="Arial Narrow" w:eastAsia="Times New Roman" w:hAnsi="Arial Narrow" w:cs="Arial"/>
      <w:b/>
      <w:sz w:val="20"/>
      <w:szCs w:val="20"/>
    </w:rPr>
  </w:style>
  <w:style w:type="character" w:customStyle="1" w:styleId="TabletextcentredChar">
    <w:name w:val="Table text centred Char"/>
    <w:basedOn w:val="TabletextChar"/>
    <w:link w:val="Tabletextcentred"/>
    <w:rsid w:val="00B51828"/>
    <w:rPr>
      <w:rFonts w:ascii="Arial Narrow" w:eastAsia="Times New Roman" w:hAnsi="Arial Narrow" w:cs="Times New Roman"/>
      <w:sz w:val="20"/>
      <w:szCs w:val="24"/>
    </w:rPr>
  </w:style>
  <w:style w:type="paragraph" w:customStyle="1" w:styleId="Summaryboxheading">
    <w:name w:val="Summary box heading"/>
    <w:basedOn w:val="Normal"/>
    <w:rsid w:val="00B51828"/>
    <w:pPr>
      <w:spacing w:before="120" w:after="100" w:afterAutospacing="1"/>
      <w:ind w:left="0"/>
    </w:pPr>
    <w:rPr>
      <w:rFonts w:ascii="Arial Narrow" w:eastAsia="Times New Roman" w:hAnsi="Arial Narrow" w:cs="Times New Roman"/>
      <w:b/>
      <w:szCs w:val="20"/>
      <w:lang w:eastAsia="en-AU"/>
    </w:rPr>
  </w:style>
  <w:style w:type="paragraph" w:styleId="TableofFigures">
    <w:name w:val="table of figures"/>
    <w:basedOn w:val="Normal"/>
    <w:next w:val="Normal"/>
    <w:uiPriority w:val="99"/>
    <w:unhideWhenUsed/>
    <w:rsid w:val="00B51828"/>
    <w:pPr>
      <w:spacing w:after="60"/>
      <w:ind w:left="1967" w:right="720" w:hanging="1247"/>
    </w:pPr>
  </w:style>
  <w:style w:type="paragraph" w:styleId="BodyText">
    <w:name w:val="Body Text"/>
    <w:basedOn w:val="Normal"/>
    <w:link w:val="BodyTextChar"/>
    <w:uiPriority w:val="99"/>
    <w:semiHidden/>
    <w:unhideWhenUsed/>
    <w:rsid w:val="00B51828"/>
    <w:pPr>
      <w:spacing w:after="120"/>
    </w:pPr>
  </w:style>
  <w:style w:type="character" w:customStyle="1" w:styleId="BodyTextChar">
    <w:name w:val="Body Text Char"/>
    <w:basedOn w:val="DefaultParagraphFont"/>
    <w:link w:val="BodyText"/>
    <w:uiPriority w:val="99"/>
    <w:semiHidden/>
    <w:rsid w:val="00B51828"/>
    <w:rPr>
      <w:rFonts w:ascii="Garamond" w:hAnsi="Garamond"/>
      <w:sz w:val="24"/>
    </w:rPr>
  </w:style>
  <w:style w:type="paragraph" w:customStyle="1" w:styleId="TableText0">
    <w:name w:val="TableText"/>
    <w:basedOn w:val="Normal"/>
    <w:link w:val="TableTextChar0"/>
    <w:uiPriority w:val="99"/>
    <w:rsid w:val="00B51828"/>
    <w:pPr>
      <w:keepNext/>
      <w:spacing w:before="40" w:after="40"/>
      <w:ind w:left="0"/>
    </w:pPr>
    <w:rPr>
      <w:rFonts w:ascii="Arial Narrow" w:eastAsia="Times New Roman" w:hAnsi="Arial Narrow" w:cs="Times New Roman"/>
      <w:sz w:val="18"/>
      <w:szCs w:val="20"/>
      <w:lang w:eastAsia="en-AU"/>
    </w:rPr>
  </w:style>
  <w:style w:type="character" w:customStyle="1" w:styleId="TableTextChar0">
    <w:name w:val="TableText Char"/>
    <w:link w:val="TableText0"/>
    <w:uiPriority w:val="99"/>
    <w:rsid w:val="00B51828"/>
    <w:rPr>
      <w:rFonts w:ascii="Arial Narrow" w:eastAsia="Times New Roman" w:hAnsi="Arial Narrow" w:cs="Times New Roman"/>
      <w:sz w:val="18"/>
      <w:szCs w:val="20"/>
      <w:lang w:eastAsia="en-AU"/>
    </w:rPr>
  </w:style>
  <w:style w:type="paragraph" w:customStyle="1" w:styleId="TableHeading">
    <w:name w:val="TableHeading"/>
    <w:basedOn w:val="TableText0"/>
    <w:link w:val="TableHeadingChar"/>
    <w:rsid w:val="00B51828"/>
    <w:rPr>
      <w:b/>
    </w:rPr>
  </w:style>
  <w:style w:type="character" w:customStyle="1" w:styleId="TableHeadingChar">
    <w:name w:val="TableHeading Char"/>
    <w:link w:val="TableHeading"/>
    <w:rsid w:val="00B51828"/>
    <w:rPr>
      <w:rFonts w:ascii="Arial Narrow" w:eastAsia="Times New Roman" w:hAnsi="Arial Narrow" w:cs="Times New Roman"/>
      <w:b/>
      <w:sz w:val="18"/>
      <w:szCs w:val="20"/>
      <w:lang w:eastAsia="en-AU"/>
    </w:rPr>
  </w:style>
  <w:style w:type="paragraph" w:customStyle="1" w:styleId="TableHeading0">
    <w:name w:val="Table Heading"/>
    <w:basedOn w:val="Normal"/>
    <w:next w:val="Normal"/>
    <w:rsid w:val="00B51828"/>
    <w:pPr>
      <w:keepNext/>
      <w:spacing w:before="40" w:after="40"/>
      <w:ind w:left="0"/>
    </w:pPr>
    <w:rPr>
      <w:rFonts w:ascii="Arial" w:eastAsia="Times New Roman" w:hAnsi="Arial" w:cs="Times New Roman"/>
      <w:b/>
      <w:sz w:val="18"/>
      <w:szCs w:val="20"/>
      <w:lang w:val="en-GB"/>
    </w:rPr>
  </w:style>
  <w:style w:type="paragraph" w:customStyle="1" w:styleId="TableName">
    <w:name w:val="TableName"/>
    <w:basedOn w:val="Normal"/>
    <w:link w:val="TableNameChar"/>
    <w:rsid w:val="00B51828"/>
    <w:pPr>
      <w:keepNext/>
      <w:spacing w:before="40" w:after="40"/>
      <w:ind w:left="1440" w:hanging="720"/>
    </w:pPr>
    <w:rPr>
      <w:rFonts w:ascii="Arial Narrow" w:eastAsia="Times New Roman" w:hAnsi="Arial Narrow" w:cs="Times New Roman"/>
      <w:b/>
      <w:sz w:val="20"/>
      <w:szCs w:val="20"/>
      <w:lang w:eastAsia="en-AU"/>
    </w:rPr>
  </w:style>
  <w:style w:type="character" w:customStyle="1" w:styleId="TableNameChar">
    <w:name w:val="TableName Char"/>
    <w:link w:val="TableName"/>
    <w:rsid w:val="00B51828"/>
    <w:rPr>
      <w:rFonts w:ascii="Arial Narrow" w:eastAsia="Times New Roman" w:hAnsi="Arial Narrow" w:cs="Times New Roman"/>
      <w:b/>
      <w:sz w:val="20"/>
      <w:szCs w:val="20"/>
      <w:lang w:eastAsia="en-AU"/>
    </w:rPr>
  </w:style>
  <w:style w:type="paragraph" w:customStyle="1" w:styleId="CharChar1CharCharCharChar">
    <w:name w:val="Char Char1 Char Char Char Char"/>
    <w:basedOn w:val="Normal"/>
    <w:uiPriority w:val="99"/>
    <w:rsid w:val="00B51828"/>
    <w:pPr>
      <w:spacing w:after="0"/>
      <w:ind w:left="0"/>
    </w:pPr>
    <w:rPr>
      <w:rFonts w:ascii="Arial" w:eastAsia="Times New Roman" w:hAnsi="Arial" w:cs="Arial"/>
      <w:sz w:val="22"/>
    </w:rPr>
  </w:style>
  <w:style w:type="paragraph" w:customStyle="1" w:styleId="References">
    <w:name w:val="References"/>
    <w:basedOn w:val="Normal"/>
    <w:rsid w:val="00B51828"/>
    <w:pPr>
      <w:keepLines/>
      <w:ind w:left="1440" w:hanging="720"/>
    </w:pPr>
    <w:rPr>
      <w:rFonts w:eastAsia="Times New Roman" w:cs="Times New Roman"/>
      <w:szCs w:val="20"/>
      <w:lang w:eastAsia="en-AU"/>
    </w:rPr>
  </w:style>
  <w:style w:type="paragraph" w:customStyle="1" w:styleId="TableText1">
    <w:name w:val="Table Text"/>
    <w:basedOn w:val="Normal"/>
    <w:link w:val="TableTextChar1"/>
    <w:qFormat/>
    <w:rsid w:val="00B51828"/>
    <w:pPr>
      <w:keepNext/>
      <w:spacing w:before="40" w:after="40" w:line="312" w:lineRule="auto"/>
      <w:ind w:left="0"/>
    </w:pPr>
    <w:rPr>
      <w:rFonts w:ascii="Arial Narrow" w:eastAsia="SimSun" w:hAnsi="Arial Narrow" w:cs="Times New Roman"/>
      <w:sz w:val="18"/>
      <w:szCs w:val="20"/>
      <w:lang w:val="en-GB"/>
    </w:rPr>
  </w:style>
  <w:style w:type="character" w:customStyle="1" w:styleId="TableTextChar1">
    <w:name w:val="Table Text Char"/>
    <w:link w:val="TableText1"/>
    <w:rsid w:val="00B51828"/>
    <w:rPr>
      <w:rFonts w:ascii="Arial Narrow" w:eastAsia="SimSun" w:hAnsi="Arial Narrow" w:cs="Times New Roman"/>
      <w:sz w:val="18"/>
      <w:szCs w:val="20"/>
      <w:lang w:val="en-GB"/>
    </w:rPr>
  </w:style>
  <w:style w:type="table" w:customStyle="1" w:styleId="TableGrid1">
    <w:name w:val="Table Grid1"/>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1828"/>
    <w:pPr>
      <w:spacing w:after="0" w:line="240" w:lineRule="auto"/>
    </w:pPr>
    <w:rPr>
      <w:rFonts w:ascii="Garamond" w:hAnsi="Garamond"/>
      <w:sz w:val="24"/>
    </w:rPr>
  </w:style>
  <w:style w:type="table" w:customStyle="1" w:styleId="TableGrid4">
    <w:name w:val="Table Grid4"/>
    <w:basedOn w:val="TableNormal"/>
    <w:next w:val="TableGrid"/>
    <w:uiPriority w:val="3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828"/>
    <w:pPr>
      <w:spacing w:after="240" w:line="240" w:lineRule="auto"/>
      <w:ind w:left="720"/>
    </w:pPr>
    <w:rPr>
      <w:rFonts w:ascii="Garamond" w:hAnsi="Garamond"/>
      <w:sz w:val="24"/>
    </w:rPr>
  </w:style>
  <w:style w:type="paragraph" w:styleId="Heading1">
    <w:name w:val="heading 1"/>
    <w:basedOn w:val="Normal"/>
    <w:next w:val="Normal"/>
    <w:link w:val="Heading1Char"/>
    <w:uiPriority w:val="9"/>
    <w:qFormat/>
    <w:rsid w:val="00B51828"/>
    <w:pPr>
      <w:keepNext/>
      <w:keepLines/>
      <w:pageBreakBefore/>
      <w:pBdr>
        <w:bottom w:val="single" w:sz="4" w:space="1" w:color="auto"/>
      </w:pBdr>
      <w:spacing w:after="360"/>
      <w:ind w:left="2552" w:hanging="2552"/>
      <w:outlineLvl w:val="0"/>
    </w:pPr>
    <w:rPr>
      <w:rFonts w:ascii="Tahoma" w:eastAsiaTheme="majorEastAsia" w:hAnsi="Tahoma" w:cstheme="majorBidi"/>
      <w:b/>
      <w:sz w:val="44"/>
      <w:szCs w:val="32"/>
    </w:rPr>
  </w:style>
  <w:style w:type="paragraph" w:styleId="Heading2">
    <w:name w:val="heading 2"/>
    <w:basedOn w:val="Normal"/>
    <w:next w:val="Normal"/>
    <w:link w:val="Heading2Char"/>
    <w:uiPriority w:val="9"/>
    <w:unhideWhenUsed/>
    <w:qFormat/>
    <w:rsid w:val="00B51828"/>
    <w:pPr>
      <w:keepNext/>
      <w:keepLines/>
      <w:spacing w:before="240" w:after="120"/>
      <w:ind w:hanging="720"/>
      <w:outlineLvl w:val="1"/>
    </w:pPr>
    <w:rPr>
      <w:rFonts w:ascii="Tahoma" w:eastAsiaTheme="majorEastAsia" w:hAnsi="Tahoma" w:cstheme="majorBidi"/>
      <w:b/>
      <w:sz w:val="28"/>
      <w:szCs w:val="26"/>
    </w:rPr>
  </w:style>
  <w:style w:type="paragraph" w:styleId="Heading3">
    <w:name w:val="heading 3"/>
    <w:basedOn w:val="Normal"/>
    <w:next w:val="Normal"/>
    <w:link w:val="Heading3Char"/>
    <w:uiPriority w:val="9"/>
    <w:unhideWhenUsed/>
    <w:qFormat/>
    <w:rsid w:val="00B51828"/>
    <w:pPr>
      <w:keepNext/>
      <w:keepLines/>
      <w:spacing w:before="240" w:after="120"/>
      <w:ind w:hanging="720"/>
      <w:outlineLvl w:val="2"/>
    </w:pPr>
    <w:rPr>
      <w:rFonts w:ascii="Tahoma" w:eastAsiaTheme="majorEastAsia" w:hAnsi="Tahoma" w:cstheme="majorBidi"/>
      <w:b/>
      <w:sz w:val="22"/>
      <w:szCs w:val="24"/>
    </w:rPr>
  </w:style>
  <w:style w:type="paragraph" w:styleId="Heading4">
    <w:name w:val="heading 4"/>
    <w:basedOn w:val="Normal"/>
    <w:next w:val="Normal"/>
    <w:link w:val="Heading4Char"/>
    <w:uiPriority w:val="9"/>
    <w:unhideWhenUsed/>
    <w:qFormat/>
    <w:rsid w:val="00B51828"/>
    <w:pPr>
      <w:keepNext/>
      <w:keepLines/>
      <w:spacing w:before="200" w:after="0"/>
      <w:outlineLvl w:val="3"/>
    </w:pPr>
    <w:rPr>
      <w:rFonts w:ascii="Tahoma" w:eastAsiaTheme="majorEastAsia" w:hAnsi="Tahoma" w:cstheme="majorBid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828"/>
    <w:rPr>
      <w:rFonts w:ascii="Tahoma" w:eastAsiaTheme="majorEastAsia" w:hAnsi="Tahoma" w:cstheme="majorBidi"/>
      <w:b/>
      <w:sz w:val="44"/>
      <w:szCs w:val="32"/>
    </w:rPr>
  </w:style>
  <w:style w:type="character" w:customStyle="1" w:styleId="Heading2Char">
    <w:name w:val="Heading 2 Char"/>
    <w:basedOn w:val="DefaultParagraphFont"/>
    <w:link w:val="Heading2"/>
    <w:uiPriority w:val="9"/>
    <w:rsid w:val="00B51828"/>
    <w:rPr>
      <w:rFonts w:ascii="Tahoma" w:eastAsiaTheme="majorEastAsia" w:hAnsi="Tahoma" w:cstheme="majorBidi"/>
      <w:b/>
      <w:sz w:val="28"/>
      <w:szCs w:val="26"/>
    </w:rPr>
  </w:style>
  <w:style w:type="character" w:customStyle="1" w:styleId="Heading3Char">
    <w:name w:val="Heading 3 Char"/>
    <w:basedOn w:val="DefaultParagraphFont"/>
    <w:link w:val="Heading3"/>
    <w:uiPriority w:val="9"/>
    <w:rsid w:val="00B51828"/>
    <w:rPr>
      <w:rFonts w:ascii="Tahoma" w:eastAsiaTheme="majorEastAsia" w:hAnsi="Tahoma" w:cstheme="majorBidi"/>
      <w:b/>
      <w:szCs w:val="24"/>
    </w:rPr>
  </w:style>
  <w:style w:type="character" w:customStyle="1" w:styleId="Heading4Char">
    <w:name w:val="Heading 4 Char"/>
    <w:basedOn w:val="DefaultParagraphFont"/>
    <w:link w:val="Heading4"/>
    <w:uiPriority w:val="9"/>
    <w:rsid w:val="00B51828"/>
    <w:rPr>
      <w:rFonts w:ascii="Tahoma" w:eastAsiaTheme="majorEastAsia" w:hAnsi="Tahoma" w:cstheme="majorBidi"/>
      <w:b/>
      <w:bCs/>
      <w:i/>
      <w:iCs/>
    </w:rPr>
  </w:style>
  <w:style w:type="table" w:styleId="TableGrid">
    <w:name w:val="Table Grid"/>
    <w:basedOn w:val="TableNormal"/>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51828"/>
    <w:pPr>
      <w:keepNext/>
      <w:spacing w:before="40" w:after="40"/>
      <w:ind w:left="2127" w:hanging="1407"/>
    </w:pPr>
    <w:rPr>
      <w:rFonts w:ascii="Arial Narrow" w:hAnsi="Arial Narrow"/>
      <w:b/>
      <w:iCs/>
      <w:sz w:val="20"/>
      <w:szCs w:val="18"/>
    </w:rPr>
  </w:style>
  <w:style w:type="paragraph" w:styleId="ListParagraph">
    <w:name w:val="List Paragraph"/>
    <w:basedOn w:val="Normal"/>
    <w:link w:val="ListParagraphChar"/>
    <w:uiPriority w:val="34"/>
    <w:qFormat/>
    <w:rsid w:val="00B51828"/>
    <w:pPr>
      <w:contextualSpacing/>
    </w:pPr>
  </w:style>
  <w:style w:type="paragraph" w:customStyle="1" w:styleId="Tabletext">
    <w:name w:val="Table text"/>
    <w:basedOn w:val="Normal"/>
    <w:link w:val="TabletextChar"/>
    <w:qFormat/>
    <w:rsid w:val="00B51828"/>
    <w:pPr>
      <w:spacing w:before="60" w:after="60"/>
      <w:jc w:val="both"/>
    </w:pPr>
    <w:rPr>
      <w:rFonts w:cs="Times New Roman"/>
      <w:sz w:val="22"/>
    </w:rPr>
  </w:style>
  <w:style w:type="paragraph" w:customStyle="1" w:styleId="Tablerowheading">
    <w:name w:val="Table row heading"/>
    <w:basedOn w:val="Tabletext"/>
    <w:link w:val="TablerowheadingChar"/>
    <w:qFormat/>
    <w:rsid w:val="00B51828"/>
    <w:rPr>
      <w:b/>
      <w:color w:val="FFFFFF" w:themeColor="background1"/>
    </w:rPr>
  </w:style>
  <w:style w:type="character" w:customStyle="1" w:styleId="TabletextChar">
    <w:name w:val="Table text Char"/>
    <w:basedOn w:val="DefaultParagraphFont"/>
    <w:link w:val="Tabletext"/>
    <w:rsid w:val="00B51828"/>
    <w:rPr>
      <w:rFonts w:ascii="Garamond" w:hAnsi="Garamond" w:cs="Times New Roman"/>
    </w:rPr>
  </w:style>
  <w:style w:type="character" w:customStyle="1" w:styleId="TablerowheadingChar">
    <w:name w:val="Table row heading Char"/>
    <w:basedOn w:val="TabletextChar"/>
    <w:link w:val="Tablerowheading"/>
    <w:rsid w:val="00B51828"/>
    <w:rPr>
      <w:rFonts w:ascii="Garamond" w:hAnsi="Garamond" w:cs="Times New Roman"/>
      <w:b/>
      <w:color w:val="FFFFFF" w:themeColor="background1"/>
    </w:rPr>
  </w:style>
  <w:style w:type="paragraph" w:styleId="TOC1">
    <w:name w:val="toc 1"/>
    <w:basedOn w:val="Normal"/>
    <w:next w:val="Normal"/>
    <w:autoRedefine/>
    <w:uiPriority w:val="39"/>
    <w:unhideWhenUsed/>
    <w:rsid w:val="0095400D"/>
    <w:pPr>
      <w:keepNext/>
      <w:tabs>
        <w:tab w:val="left" w:pos="2163"/>
        <w:tab w:val="right" w:leader="dot" w:pos="9016"/>
      </w:tabs>
      <w:spacing w:before="120" w:after="60"/>
      <w:ind w:left="1741" w:right="720" w:hanging="1021"/>
    </w:pPr>
    <w:rPr>
      <w:b/>
      <w:bCs/>
    </w:rPr>
  </w:style>
  <w:style w:type="paragraph" w:styleId="TOC2">
    <w:name w:val="toc 2"/>
    <w:basedOn w:val="Normal"/>
    <w:next w:val="Normal"/>
    <w:autoRedefine/>
    <w:uiPriority w:val="39"/>
    <w:unhideWhenUsed/>
    <w:rsid w:val="0095400D"/>
    <w:pPr>
      <w:spacing w:after="60"/>
      <w:ind w:left="2160" w:right="720" w:hanging="720"/>
    </w:pPr>
    <w:rPr>
      <w:bCs/>
    </w:rPr>
  </w:style>
  <w:style w:type="paragraph" w:styleId="TOC3">
    <w:name w:val="toc 3"/>
    <w:basedOn w:val="Normal"/>
    <w:next w:val="Normal"/>
    <w:autoRedefine/>
    <w:uiPriority w:val="39"/>
    <w:unhideWhenUsed/>
    <w:rsid w:val="00B51828"/>
    <w:pPr>
      <w:spacing w:after="0"/>
    </w:pPr>
    <w:rPr>
      <w:rFonts w:asciiTheme="minorHAnsi" w:hAnsiTheme="minorHAnsi"/>
      <w:smallCaps/>
      <w:sz w:val="22"/>
    </w:rPr>
  </w:style>
  <w:style w:type="paragraph" w:styleId="TOC4">
    <w:name w:val="toc 4"/>
    <w:basedOn w:val="Normal"/>
    <w:next w:val="Normal"/>
    <w:autoRedefine/>
    <w:uiPriority w:val="39"/>
    <w:unhideWhenUsed/>
    <w:rsid w:val="00B51828"/>
    <w:pPr>
      <w:spacing w:after="0"/>
    </w:pPr>
    <w:rPr>
      <w:rFonts w:asciiTheme="minorHAnsi" w:hAnsiTheme="minorHAnsi"/>
      <w:sz w:val="22"/>
    </w:rPr>
  </w:style>
  <w:style w:type="paragraph" w:styleId="TOC5">
    <w:name w:val="toc 5"/>
    <w:basedOn w:val="Normal"/>
    <w:next w:val="Normal"/>
    <w:autoRedefine/>
    <w:uiPriority w:val="39"/>
    <w:unhideWhenUsed/>
    <w:rsid w:val="00B51828"/>
    <w:pPr>
      <w:spacing w:after="0"/>
    </w:pPr>
    <w:rPr>
      <w:rFonts w:asciiTheme="minorHAnsi" w:hAnsiTheme="minorHAnsi"/>
      <w:sz w:val="22"/>
    </w:rPr>
  </w:style>
  <w:style w:type="paragraph" w:styleId="TOC6">
    <w:name w:val="toc 6"/>
    <w:basedOn w:val="Normal"/>
    <w:next w:val="Normal"/>
    <w:autoRedefine/>
    <w:uiPriority w:val="39"/>
    <w:unhideWhenUsed/>
    <w:rsid w:val="00B51828"/>
    <w:pPr>
      <w:spacing w:after="0"/>
    </w:pPr>
    <w:rPr>
      <w:rFonts w:asciiTheme="minorHAnsi" w:hAnsiTheme="minorHAnsi"/>
      <w:sz w:val="22"/>
    </w:rPr>
  </w:style>
  <w:style w:type="paragraph" w:styleId="TOC7">
    <w:name w:val="toc 7"/>
    <w:basedOn w:val="Normal"/>
    <w:next w:val="Normal"/>
    <w:autoRedefine/>
    <w:uiPriority w:val="39"/>
    <w:unhideWhenUsed/>
    <w:rsid w:val="00B51828"/>
    <w:pPr>
      <w:spacing w:after="0"/>
    </w:pPr>
    <w:rPr>
      <w:rFonts w:asciiTheme="minorHAnsi" w:hAnsiTheme="minorHAnsi"/>
      <w:sz w:val="22"/>
    </w:rPr>
  </w:style>
  <w:style w:type="paragraph" w:styleId="TOC8">
    <w:name w:val="toc 8"/>
    <w:basedOn w:val="Normal"/>
    <w:next w:val="Normal"/>
    <w:autoRedefine/>
    <w:uiPriority w:val="39"/>
    <w:unhideWhenUsed/>
    <w:rsid w:val="00B51828"/>
    <w:pPr>
      <w:spacing w:after="0"/>
    </w:pPr>
    <w:rPr>
      <w:rFonts w:asciiTheme="minorHAnsi" w:hAnsiTheme="minorHAnsi"/>
      <w:sz w:val="22"/>
    </w:rPr>
  </w:style>
  <w:style w:type="paragraph" w:styleId="TOC9">
    <w:name w:val="toc 9"/>
    <w:basedOn w:val="Normal"/>
    <w:next w:val="Normal"/>
    <w:autoRedefine/>
    <w:uiPriority w:val="39"/>
    <w:unhideWhenUsed/>
    <w:rsid w:val="00B51828"/>
    <w:pPr>
      <w:spacing w:after="0"/>
    </w:pPr>
    <w:rPr>
      <w:rFonts w:asciiTheme="minorHAnsi" w:hAnsiTheme="minorHAnsi"/>
      <w:sz w:val="22"/>
    </w:rPr>
  </w:style>
  <w:style w:type="character" w:styleId="Hyperlink">
    <w:name w:val="Hyperlink"/>
    <w:basedOn w:val="DefaultParagraphFont"/>
    <w:uiPriority w:val="99"/>
    <w:unhideWhenUsed/>
    <w:rsid w:val="00B51828"/>
    <w:rPr>
      <w:color w:val="0563C1" w:themeColor="hyperlink"/>
      <w:u w:val="single"/>
    </w:rPr>
  </w:style>
  <w:style w:type="paragraph" w:styleId="TOCHeading">
    <w:name w:val="TOC Heading"/>
    <w:basedOn w:val="Heading1"/>
    <w:next w:val="Normal"/>
    <w:uiPriority w:val="39"/>
    <w:unhideWhenUsed/>
    <w:qFormat/>
    <w:rsid w:val="00B51828"/>
    <w:pPr>
      <w:ind w:left="0" w:firstLine="0"/>
      <w:outlineLvl w:val="9"/>
    </w:pPr>
    <w:rPr>
      <w:lang w:val="en-US"/>
    </w:rPr>
  </w:style>
  <w:style w:type="paragraph" w:styleId="Header">
    <w:name w:val="header"/>
    <w:basedOn w:val="Normal"/>
    <w:link w:val="HeaderChar"/>
    <w:unhideWhenUsed/>
    <w:rsid w:val="00B51828"/>
    <w:pPr>
      <w:tabs>
        <w:tab w:val="center" w:pos="4513"/>
        <w:tab w:val="right" w:pos="9026"/>
      </w:tabs>
      <w:spacing w:after="0"/>
    </w:pPr>
  </w:style>
  <w:style w:type="character" w:customStyle="1" w:styleId="HeaderChar">
    <w:name w:val="Header Char"/>
    <w:basedOn w:val="DefaultParagraphFont"/>
    <w:link w:val="Header"/>
    <w:rsid w:val="00B51828"/>
    <w:rPr>
      <w:rFonts w:ascii="Garamond" w:hAnsi="Garamond"/>
      <w:sz w:val="24"/>
    </w:rPr>
  </w:style>
  <w:style w:type="paragraph" w:styleId="Footer">
    <w:name w:val="footer"/>
    <w:basedOn w:val="Normal"/>
    <w:link w:val="FooterChar"/>
    <w:uiPriority w:val="99"/>
    <w:unhideWhenUsed/>
    <w:rsid w:val="00B51828"/>
    <w:pPr>
      <w:tabs>
        <w:tab w:val="center" w:pos="4513"/>
        <w:tab w:val="right" w:pos="9026"/>
      </w:tabs>
    </w:pPr>
    <w:rPr>
      <w:rFonts w:ascii="Arial" w:hAnsi="Arial"/>
      <w:b/>
      <w:sz w:val="20"/>
    </w:rPr>
  </w:style>
  <w:style w:type="character" w:customStyle="1" w:styleId="FooterChar">
    <w:name w:val="Footer Char"/>
    <w:basedOn w:val="DefaultParagraphFont"/>
    <w:link w:val="Footer"/>
    <w:uiPriority w:val="99"/>
    <w:rsid w:val="00B51828"/>
    <w:rPr>
      <w:rFonts w:ascii="Arial" w:hAnsi="Arial"/>
      <w:b/>
      <w:sz w:val="20"/>
    </w:rPr>
  </w:style>
  <w:style w:type="character" w:styleId="PageNumber">
    <w:name w:val="page number"/>
    <w:basedOn w:val="DefaultParagraphFont"/>
    <w:rsid w:val="00B51828"/>
  </w:style>
  <w:style w:type="paragraph" w:customStyle="1" w:styleId="TitlePageLowercase">
    <w:name w:val="Title Page Lowercase"/>
    <w:basedOn w:val="Normal"/>
    <w:link w:val="TitlePageLowercaseChar"/>
    <w:qFormat/>
    <w:rsid w:val="00B51828"/>
    <w:pPr>
      <w:tabs>
        <w:tab w:val="left" w:pos="885"/>
      </w:tabs>
      <w:jc w:val="center"/>
    </w:pPr>
    <w:rPr>
      <w:b/>
      <w:sz w:val="36"/>
      <w:szCs w:val="36"/>
    </w:rPr>
  </w:style>
  <w:style w:type="paragraph" w:customStyle="1" w:styleId="TITLEPAGECAPS">
    <w:name w:val="TITLE PAGE CAPS"/>
    <w:basedOn w:val="Normal"/>
    <w:link w:val="TITLEPAGECAPSChar"/>
    <w:qFormat/>
    <w:rsid w:val="00B51828"/>
    <w:pPr>
      <w:tabs>
        <w:tab w:val="left" w:pos="885"/>
      </w:tabs>
      <w:jc w:val="center"/>
    </w:pPr>
    <w:rPr>
      <w:rFonts w:ascii="Times New Roman Bold" w:hAnsi="Times New Roman Bold"/>
      <w:b/>
      <w:caps/>
      <w:sz w:val="36"/>
      <w:szCs w:val="36"/>
    </w:rPr>
  </w:style>
  <w:style w:type="character" w:customStyle="1" w:styleId="TitlePageLowercaseChar">
    <w:name w:val="Title Page Lowercase Char"/>
    <w:basedOn w:val="DefaultParagraphFont"/>
    <w:link w:val="TitlePageLowercase"/>
    <w:rsid w:val="00B51828"/>
    <w:rPr>
      <w:rFonts w:ascii="Garamond" w:hAnsi="Garamond"/>
      <w:b/>
      <w:sz w:val="36"/>
      <w:szCs w:val="36"/>
    </w:rPr>
  </w:style>
  <w:style w:type="paragraph" w:customStyle="1" w:styleId="Nonumberheading">
    <w:name w:val="No number heading"/>
    <w:basedOn w:val="Normal"/>
    <w:link w:val="NonumberheadingChar"/>
    <w:rsid w:val="00B51828"/>
    <w:rPr>
      <w:rFonts w:ascii="Cambria" w:hAnsi="Cambria"/>
      <w:b/>
      <w:caps/>
      <w:color w:val="2E74B5" w:themeColor="accent1" w:themeShade="BF"/>
      <w:sz w:val="28"/>
      <w:szCs w:val="28"/>
    </w:rPr>
  </w:style>
  <w:style w:type="character" w:customStyle="1" w:styleId="TITLEPAGECAPSChar">
    <w:name w:val="TITLE PAGE CAPS Char"/>
    <w:basedOn w:val="DefaultParagraphFont"/>
    <w:link w:val="TITLEPAGECAPS"/>
    <w:rsid w:val="00B51828"/>
    <w:rPr>
      <w:rFonts w:ascii="Times New Roman Bold" w:hAnsi="Times New Roman Bold"/>
      <w:b/>
      <w:caps/>
      <w:sz w:val="36"/>
      <w:szCs w:val="36"/>
    </w:rPr>
  </w:style>
  <w:style w:type="paragraph" w:customStyle="1" w:styleId="StyleListParagraphAfter6pt">
    <w:name w:val="Style List Paragraph + After:  6 pt"/>
    <w:basedOn w:val="ListParagraph"/>
    <w:rsid w:val="00B51828"/>
    <w:pPr>
      <w:spacing w:line="276" w:lineRule="auto"/>
      <w:contextualSpacing w:val="0"/>
    </w:pPr>
    <w:rPr>
      <w:rFonts w:eastAsia="Times New Roman" w:cs="Times New Roman"/>
      <w:szCs w:val="20"/>
      <w:lang w:val="en-US"/>
    </w:rPr>
  </w:style>
  <w:style w:type="character" w:customStyle="1" w:styleId="NonumberheadingChar">
    <w:name w:val="No number heading Char"/>
    <w:basedOn w:val="DefaultParagraphFont"/>
    <w:link w:val="Nonumberheading"/>
    <w:rsid w:val="00B51828"/>
    <w:rPr>
      <w:rFonts w:ascii="Cambria" w:hAnsi="Cambria"/>
      <w:b/>
      <w:caps/>
      <w:color w:val="2E74B5" w:themeColor="accent1" w:themeShade="BF"/>
      <w:sz w:val="28"/>
      <w:szCs w:val="28"/>
    </w:rPr>
  </w:style>
  <w:style w:type="paragraph" w:customStyle="1" w:styleId="StyleStyleStyleListParagraphAfter6ptItalicAfter0">
    <w:name w:val="Style Style Style List Paragraph + After:  6 pt + Italic After:  0 ..."/>
    <w:basedOn w:val="Normal"/>
    <w:link w:val="StyleStyleStyleListParagraphAfter6ptItalicAfter0Char"/>
    <w:rsid w:val="00B51828"/>
    <w:pPr>
      <w:spacing w:after="0"/>
    </w:pPr>
    <w:rPr>
      <w:rFonts w:eastAsia="Times New Roman" w:cs="Times New Roman"/>
      <w:iCs/>
      <w:szCs w:val="20"/>
      <w:lang w:val="en-US"/>
    </w:rPr>
  </w:style>
  <w:style w:type="paragraph" w:styleId="BalloonText">
    <w:name w:val="Balloon Text"/>
    <w:basedOn w:val="Normal"/>
    <w:link w:val="BalloonTextChar"/>
    <w:uiPriority w:val="99"/>
    <w:semiHidden/>
    <w:unhideWhenUsed/>
    <w:rsid w:val="00B51828"/>
    <w:pPr>
      <w:spacing w:after="0"/>
    </w:pPr>
    <w:rPr>
      <w:rFonts w:cs="Tahoma"/>
      <w:szCs w:val="16"/>
    </w:rPr>
  </w:style>
  <w:style w:type="character" w:customStyle="1" w:styleId="BalloonTextChar">
    <w:name w:val="Balloon Text Char"/>
    <w:basedOn w:val="DefaultParagraphFont"/>
    <w:link w:val="BalloonText"/>
    <w:uiPriority w:val="99"/>
    <w:semiHidden/>
    <w:rsid w:val="00B51828"/>
    <w:rPr>
      <w:rFonts w:ascii="Garamond" w:hAnsi="Garamond" w:cs="Tahoma"/>
      <w:sz w:val="24"/>
      <w:szCs w:val="16"/>
    </w:rPr>
  </w:style>
  <w:style w:type="paragraph" w:customStyle="1" w:styleId="Bulletpoints">
    <w:name w:val="Bullet points"/>
    <w:basedOn w:val="StyleStyleStyleListParagraphAfter6ptItalicAfter0"/>
    <w:link w:val="BulletpointsChar"/>
    <w:qFormat/>
    <w:rsid w:val="00B51828"/>
    <w:pPr>
      <w:numPr>
        <w:numId w:val="2"/>
      </w:numPr>
      <w:spacing w:before="240" w:after="240" w:line="288" w:lineRule="auto"/>
      <w:ind w:left="709" w:hanging="284"/>
      <w:contextualSpacing/>
    </w:pPr>
  </w:style>
  <w:style w:type="character" w:customStyle="1" w:styleId="StyleStyleStyleListParagraphAfter6ptItalicAfter0Char">
    <w:name w:val="Style Style Style List Paragraph + After:  6 pt + Italic After:  0 ... Char"/>
    <w:basedOn w:val="DefaultParagraphFont"/>
    <w:link w:val="StyleStyleStyleListParagraphAfter6ptItalicAfter0"/>
    <w:rsid w:val="00B51828"/>
    <w:rPr>
      <w:rFonts w:ascii="Garamond" w:eastAsia="Times New Roman" w:hAnsi="Garamond" w:cs="Times New Roman"/>
      <w:iCs/>
      <w:sz w:val="24"/>
      <w:szCs w:val="20"/>
      <w:lang w:val="en-US"/>
    </w:rPr>
  </w:style>
  <w:style w:type="character" w:customStyle="1" w:styleId="BulletpointsChar">
    <w:name w:val="Bullet points Char"/>
    <w:basedOn w:val="StyleStyleStyleListParagraphAfter6ptItalicAfter0Char"/>
    <w:link w:val="Bulletpoints"/>
    <w:rsid w:val="00B51828"/>
    <w:rPr>
      <w:rFonts w:ascii="Garamond" w:eastAsia="Times New Roman" w:hAnsi="Garamond" w:cs="Times New Roman"/>
      <w:iCs/>
      <w:sz w:val="24"/>
      <w:szCs w:val="20"/>
      <w:lang w:val="en-US"/>
    </w:rPr>
  </w:style>
  <w:style w:type="paragraph" w:customStyle="1" w:styleId="Tablefootnotes">
    <w:name w:val="Table footnotes"/>
    <w:basedOn w:val="Normal"/>
    <w:link w:val="TablefootnotesChar"/>
    <w:qFormat/>
    <w:rsid w:val="00B51828"/>
    <w:pPr>
      <w:spacing w:after="360"/>
      <w:contextualSpacing/>
    </w:pPr>
    <w:rPr>
      <w:rFonts w:ascii="Arial Narrow" w:hAnsi="Arial Narrow"/>
      <w:sz w:val="16"/>
      <w:szCs w:val="16"/>
    </w:rPr>
  </w:style>
  <w:style w:type="character" w:customStyle="1" w:styleId="TablefootnotesChar">
    <w:name w:val="Table footnotes Char"/>
    <w:basedOn w:val="DefaultParagraphFont"/>
    <w:link w:val="Tablefootnotes"/>
    <w:rsid w:val="00B51828"/>
    <w:rPr>
      <w:rFonts w:ascii="Arial Narrow" w:hAnsi="Arial Narrow"/>
      <w:sz w:val="16"/>
      <w:szCs w:val="16"/>
    </w:rPr>
  </w:style>
  <w:style w:type="paragraph" w:customStyle="1" w:styleId="Style8ptCentered">
    <w:name w:val="Style 8 pt Centered"/>
    <w:basedOn w:val="Normal"/>
    <w:rsid w:val="00B51828"/>
    <w:pPr>
      <w:spacing w:after="0"/>
    </w:pPr>
    <w:rPr>
      <w:rFonts w:eastAsia="Times New Roman" w:cs="Times New Roman"/>
      <w:sz w:val="16"/>
      <w:szCs w:val="20"/>
    </w:rPr>
  </w:style>
  <w:style w:type="paragraph" w:customStyle="1" w:styleId="Bulletlevel2">
    <w:name w:val="Bullet level 2"/>
    <w:basedOn w:val="Normal"/>
    <w:qFormat/>
    <w:rsid w:val="00B51828"/>
    <w:pPr>
      <w:numPr>
        <w:numId w:val="3"/>
      </w:numPr>
      <w:spacing w:after="0"/>
      <w:jc w:val="both"/>
    </w:pPr>
    <w:rPr>
      <w:rFonts w:eastAsia="Times New Roman" w:cs="Times New Roman"/>
      <w:color w:val="000000"/>
      <w:szCs w:val="24"/>
    </w:rPr>
  </w:style>
  <w:style w:type="character" w:customStyle="1" w:styleId="Style8ptBoldBlack">
    <w:name w:val="Style 8 pt Bold Black"/>
    <w:basedOn w:val="DefaultParagraphFont"/>
    <w:rsid w:val="00B51828"/>
    <w:rPr>
      <w:b/>
      <w:bCs/>
      <w:color w:val="000000"/>
      <w:sz w:val="16"/>
    </w:rPr>
  </w:style>
  <w:style w:type="paragraph" w:styleId="BodyTextIndent">
    <w:name w:val="Body Text Indent"/>
    <w:basedOn w:val="Normal"/>
    <w:link w:val="BodyTextIndentChar"/>
    <w:rsid w:val="00B51828"/>
    <w:pPr>
      <w:spacing w:after="120"/>
      <w:ind w:left="283"/>
      <w:jc w:val="both"/>
    </w:pPr>
    <w:rPr>
      <w:rFonts w:eastAsia="Times New Roman" w:cs="Times New Roman"/>
      <w:szCs w:val="24"/>
    </w:rPr>
  </w:style>
  <w:style w:type="character" w:customStyle="1" w:styleId="BodyTextIndentChar">
    <w:name w:val="Body Text Indent Char"/>
    <w:basedOn w:val="DefaultParagraphFont"/>
    <w:link w:val="BodyTextIndent"/>
    <w:rsid w:val="00B51828"/>
    <w:rPr>
      <w:rFonts w:ascii="Garamond" w:eastAsia="Times New Roman" w:hAnsi="Garamond" w:cs="Times New Roman"/>
      <w:sz w:val="24"/>
      <w:szCs w:val="24"/>
    </w:rPr>
  </w:style>
  <w:style w:type="paragraph" w:customStyle="1" w:styleId="BulletL1HC">
    <w:name w:val="Bullet L1 HC"/>
    <w:basedOn w:val="Normal"/>
    <w:link w:val="BulletL1HCChar"/>
    <w:uiPriority w:val="99"/>
    <w:qFormat/>
    <w:rsid w:val="00B51828"/>
    <w:pPr>
      <w:numPr>
        <w:numId w:val="5"/>
      </w:numPr>
      <w:spacing w:after="0"/>
      <w:jc w:val="both"/>
    </w:pPr>
    <w:rPr>
      <w:rFonts w:eastAsia="Times New Roman" w:cs="Times New Roman"/>
      <w:szCs w:val="24"/>
    </w:rPr>
  </w:style>
  <w:style w:type="character" w:customStyle="1" w:styleId="BulletL1HCChar">
    <w:name w:val="Bullet L1 HC Char"/>
    <w:basedOn w:val="DefaultParagraphFont"/>
    <w:link w:val="BulletL1HC"/>
    <w:uiPriority w:val="99"/>
    <w:rsid w:val="00B51828"/>
    <w:rPr>
      <w:rFonts w:ascii="Garamond" w:eastAsia="Times New Roman" w:hAnsi="Garamond" w:cs="Times New Roman"/>
      <w:sz w:val="24"/>
      <w:szCs w:val="24"/>
    </w:rPr>
  </w:style>
  <w:style w:type="paragraph" w:customStyle="1" w:styleId="Numberedtext">
    <w:name w:val="Numbered text"/>
    <w:basedOn w:val="BulletL1HC"/>
    <w:link w:val="NumberedtextChar"/>
    <w:qFormat/>
    <w:rsid w:val="00B51828"/>
    <w:pPr>
      <w:numPr>
        <w:numId w:val="0"/>
      </w:numPr>
      <w:spacing w:after="120"/>
      <w:ind w:left="1066" w:hanging="357"/>
    </w:pPr>
  </w:style>
  <w:style w:type="paragraph" w:customStyle="1" w:styleId="aNormaltext">
    <w:name w:val="a. Normal text"/>
    <w:basedOn w:val="ListParagraph"/>
    <w:link w:val="aNormaltextChar"/>
    <w:qFormat/>
    <w:rsid w:val="00B51828"/>
    <w:pPr>
      <w:numPr>
        <w:numId w:val="4"/>
      </w:numPr>
      <w:ind w:left="714" w:hanging="357"/>
    </w:pPr>
  </w:style>
  <w:style w:type="character" w:customStyle="1" w:styleId="NumberedtextChar">
    <w:name w:val="Numbered text Char"/>
    <w:basedOn w:val="BulletL1HCChar"/>
    <w:link w:val="Numberedtext"/>
    <w:rsid w:val="00B51828"/>
    <w:rPr>
      <w:rFonts w:ascii="Garamond" w:eastAsia="Times New Roman" w:hAnsi="Garamond" w:cs="Times New Roman"/>
      <w:sz w:val="24"/>
      <w:szCs w:val="24"/>
    </w:rPr>
  </w:style>
  <w:style w:type="paragraph" w:styleId="FootnoteText">
    <w:name w:val="footnote text"/>
    <w:basedOn w:val="Normal"/>
    <w:link w:val="FootnoteTextChar"/>
    <w:uiPriority w:val="99"/>
    <w:rsid w:val="00B51828"/>
    <w:pPr>
      <w:spacing w:after="0"/>
      <w:jc w:val="both"/>
    </w:pPr>
    <w:rPr>
      <w:rFonts w:eastAsia="Times New Roman" w:cs="Times New Roman"/>
      <w:sz w:val="20"/>
      <w:szCs w:val="20"/>
    </w:rPr>
  </w:style>
  <w:style w:type="character" w:customStyle="1" w:styleId="FootnoteTextChar">
    <w:name w:val="Footnote Text Char"/>
    <w:basedOn w:val="DefaultParagraphFont"/>
    <w:link w:val="FootnoteText"/>
    <w:uiPriority w:val="99"/>
    <w:rsid w:val="00B51828"/>
    <w:rPr>
      <w:rFonts w:ascii="Garamond" w:eastAsia="Times New Roman" w:hAnsi="Garamond" w:cs="Times New Roman"/>
      <w:sz w:val="20"/>
      <w:szCs w:val="20"/>
    </w:rPr>
  </w:style>
  <w:style w:type="character" w:customStyle="1" w:styleId="ListParagraphChar">
    <w:name w:val="List Paragraph Char"/>
    <w:basedOn w:val="DefaultParagraphFont"/>
    <w:link w:val="ListParagraph"/>
    <w:uiPriority w:val="34"/>
    <w:rsid w:val="00B51828"/>
    <w:rPr>
      <w:rFonts w:ascii="Garamond" w:hAnsi="Garamond"/>
      <w:sz w:val="24"/>
    </w:rPr>
  </w:style>
  <w:style w:type="character" w:customStyle="1" w:styleId="aNormaltextChar">
    <w:name w:val="a. Normal text Char"/>
    <w:basedOn w:val="ListParagraphChar"/>
    <w:link w:val="aNormaltext"/>
    <w:rsid w:val="00B51828"/>
    <w:rPr>
      <w:rFonts w:ascii="Garamond" w:hAnsi="Garamond"/>
      <w:sz w:val="24"/>
    </w:rPr>
  </w:style>
  <w:style w:type="character" w:styleId="FootnoteReference">
    <w:name w:val="footnote reference"/>
    <w:basedOn w:val="DefaultParagraphFont"/>
    <w:uiPriority w:val="99"/>
    <w:rsid w:val="00B51828"/>
    <w:rPr>
      <w:vertAlign w:val="superscript"/>
    </w:rPr>
  </w:style>
  <w:style w:type="paragraph" w:customStyle="1" w:styleId="Fourthheading">
    <w:name w:val="Fourth heading"/>
    <w:basedOn w:val="Heading3"/>
    <w:link w:val="FourthheadingChar"/>
    <w:qFormat/>
    <w:rsid w:val="00B51828"/>
    <w:pPr>
      <w:ind w:left="851" w:hanging="851"/>
    </w:pPr>
    <w:rPr>
      <w:i/>
    </w:rPr>
  </w:style>
  <w:style w:type="character" w:customStyle="1" w:styleId="FourthheadingChar">
    <w:name w:val="Fourth heading Char"/>
    <w:basedOn w:val="Heading3Char"/>
    <w:link w:val="Fourthheading"/>
    <w:rsid w:val="00B51828"/>
    <w:rPr>
      <w:rFonts w:ascii="Tahoma" w:eastAsiaTheme="majorEastAsia" w:hAnsi="Tahoma" w:cstheme="majorBidi"/>
      <w:b/>
      <w:i/>
      <w:szCs w:val="24"/>
    </w:rPr>
  </w:style>
  <w:style w:type="character" w:styleId="CommentReference">
    <w:name w:val="annotation reference"/>
    <w:basedOn w:val="DefaultParagraphFont"/>
    <w:uiPriority w:val="99"/>
    <w:semiHidden/>
    <w:unhideWhenUsed/>
    <w:rsid w:val="00B51828"/>
    <w:rPr>
      <w:sz w:val="16"/>
      <w:szCs w:val="16"/>
    </w:rPr>
  </w:style>
  <w:style w:type="paragraph" w:styleId="CommentText">
    <w:name w:val="annotation text"/>
    <w:basedOn w:val="Normal"/>
    <w:link w:val="CommentTextChar"/>
    <w:autoRedefine/>
    <w:uiPriority w:val="99"/>
    <w:unhideWhenUsed/>
    <w:rsid w:val="00B51828"/>
    <w:rPr>
      <w:rFonts w:asciiTheme="minorHAnsi" w:hAnsiTheme="minorHAnsi"/>
      <w:sz w:val="12"/>
      <w:szCs w:val="20"/>
    </w:rPr>
  </w:style>
  <w:style w:type="character" w:customStyle="1" w:styleId="CommentTextChar">
    <w:name w:val="Comment Text Char"/>
    <w:basedOn w:val="DefaultParagraphFont"/>
    <w:link w:val="CommentText"/>
    <w:uiPriority w:val="99"/>
    <w:rsid w:val="00B51828"/>
    <w:rPr>
      <w:sz w:val="12"/>
      <w:szCs w:val="20"/>
    </w:rPr>
  </w:style>
  <w:style w:type="paragraph" w:styleId="CommentSubject">
    <w:name w:val="annotation subject"/>
    <w:basedOn w:val="CommentText"/>
    <w:next w:val="CommentText"/>
    <w:link w:val="CommentSubjectChar"/>
    <w:uiPriority w:val="99"/>
    <w:semiHidden/>
    <w:unhideWhenUsed/>
    <w:rsid w:val="00B51828"/>
    <w:rPr>
      <w:b/>
      <w:bCs/>
    </w:rPr>
  </w:style>
  <w:style w:type="character" w:customStyle="1" w:styleId="CommentSubjectChar">
    <w:name w:val="Comment Subject Char"/>
    <w:basedOn w:val="CommentTextChar"/>
    <w:link w:val="CommentSubject"/>
    <w:uiPriority w:val="99"/>
    <w:semiHidden/>
    <w:rsid w:val="00B51828"/>
    <w:rPr>
      <w:b/>
      <w:bCs/>
      <w:sz w:val="12"/>
      <w:szCs w:val="20"/>
    </w:rPr>
  </w:style>
  <w:style w:type="paragraph" w:styleId="Date">
    <w:name w:val="Date"/>
    <w:basedOn w:val="Normal"/>
    <w:next w:val="Normal"/>
    <w:link w:val="DateChar"/>
    <w:rsid w:val="00B51828"/>
    <w:pPr>
      <w:ind w:right="113"/>
      <w:jc w:val="right"/>
    </w:pPr>
    <w:rPr>
      <w:rFonts w:ascii="Arial" w:eastAsia="Times New Roman" w:hAnsi="Arial" w:cs="Times New Roman"/>
      <w:b/>
      <w:sz w:val="36"/>
      <w:szCs w:val="20"/>
      <w:lang w:eastAsia="en-AU"/>
    </w:rPr>
  </w:style>
  <w:style w:type="character" w:customStyle="1" w:styleId="DateChar">
    <w:name w:val="Date Char"/>
    <w:basedOn w:val="DefaultParagraphFont"/>
    <w:link w:val="Date"/>
    <w:rsid w:val="00B51828"/>
    <w:rPr>
      <w:rFonts w:ascii="Arial" w:eastAsia="Times New Roman" w:hAnsi="Arial" w:cs="Times New Roman"/>
      <w:b/>
      <w:sz w:val="36"/>
      <w:szCs w:val="20"/>
      <w:lang w:eastAsia="en-AU"/>
    </w:rPr>
  </w:style>
  <w:style w:type="paragraph" w:customStyle="1" w:styleId="PublicationTitle">
    <w:name w:val="PublicationTitle"/>
    <w:basedOn w:val="Normal"/>
    <w:rsid w:val="00B51828"/>
    <w:pPr>
      <w:spacing w:line="480" w:lineRule="exact"/>
      <w:ind w:right="113"/>
      <w:jc w:val="right"/>
    </w:pPr>
    <w:rPr>
      <w:rFonts w:ascii="Arial" w:eastAsia="Times New Roman" w:hAnsi="Arial" w:cs="Times New Roman"/>
      <w:b/>
      <w:i/>
      <w:sz w:val="44"/>
      <w:szCs w:val="20"/>
      <w:lang w:eastAsia="en-AU"/>
    </w:rPr>
  </w:style>
  <w:style w:type="paragraph" w:customStyle="1" w:styleId="Sub-title">
    <w:name w:val="Sub-title"/>
    <w:basedOn w:val="Normal"/>
    <w:rsid w:val="00B51828"/>
    <w:pPr>
      <w:ind w:right="113"/>
      <w:jc w:val="right"/>
    </w:pPr>
    <w:rPr>
      <w:rFonts w:ascii="Arial" w:eastAsia="Times New Roman" w:hAnsi="Arial" w:cs="Times New Roman"/>
      <w:b/>
      <w:sz w:val="32"/>
      <w:szCs w:val="20"/>
      <w:lang w:eastAsia="en-AU"/>
    </w:rPr>
  </w:style>
  <w:style w:type="paragraph" w:customStyle="1" w:styleId="Dash">
    <w:name w:val="Dash"/>
    <w:basedOn w:val="Normal"/>
    <w:rsid w:val="00B51828"/>
    <w:pPr>
      <w:numPr>
        <w:numId w:val="6"/>
      </w:numPr>
    </w:pPr>
    <w:rPr>
      <w:rFonts w:eastAsia="Times New Roman" w:cs="Times New Roman"/>
      <w:szCs w:val="20"/>
      <w:lang w:eastAsia="en-AU"/>
    </w:rPr>
  </w:style>
  <w:style w:type="paragraph" w:customStyle="1" w:styleId="Tabletextboldleft">
    <w:name w:val="Table text bold left"/>
    <w:basedOn w:val="Normal"/>
    <w:link w:val="TabletextboldleftChar"/>
    <w:qFormat/>
    <w:rsid w:val="00B51828"/>
    <w:pPr>
      <w:keepNext/>
      <w:spacing w:after="0"/>
      <w:ind w:left="0"/>
    </w:pPr>
    <w:rPr>
      <w:rFonts w:ascii="Arial Narrow" w:eastAsia="Times New Roman" w:hAnsi="Arial Narrow" w:cs="Arial"/>
      <w:b/>
      <w:sz w:val="20"/>
      <w:szCs w:val="20"/>
    </w:rPr>
  </w:style>
  <w:style w:type="paragraph" w:customStyle="1" w:styleId="Tabletextcentred">
    <w:name w:val="Table text centred"/>
    <w:basedOn w:val="Tabletext"/>
    <w:link w:val="TabletextcentredChar"/>
    <w:qFormat/>
    <w:rsid w:val="00B51828"/>
    <w:pPr>
      <w:spacing w:before="0" w:after="0"/>
      <w:ind w:left="0"/>
      <w:jc w:val="center"/>
    </w:pPr>
    <w:rPr>
      <w:rFonts w:ascii="Arial Narrow" w:eastAsia="Times New Roman" w:hAnsi="Arial Narrow"/>
      <w:sz w:val="20"/>
      <w:szCs w:val="24"/>
    </w:rPr>
  </w:style>
  <w:style w:type="character" w:customStyle="1" w:styleId="TabletextboldleftChar">
    <w:name w:val="Table text bold left Char"/>
    <w:basedOn w:val="DefaultParagraphFont"/>
    <w:link w:val="Tabletextboldleft"/>
    <w:rsid w:val="00B51828"/>
    <w:rPr>
      <w:rFonts w:ascii="Arial Narrow" w:eastAsia="Times New Roman" w:hAnsi="Arial Narrow" w:cs="Arial"/>
      <w:b/>
      <w:sz w:val="20"/>
      <w:szCs w:val="20"/>
    </w:rPr>
  </w:style>
  <w:style w:type="character" w:customStyle="1" w:styleId="TabletextcentredChar">
    <w:name w:val="Table text centred Char"/>
    <w:basedOn w:val="TabletextChar"/>
    <w:link w:val="Tabletextcentred"/>
    <w:rsid w:val="00B51828"/>
    <w:rPr>
      <w:rFonts w:ascii="Arial Narrow" w:eastAsia="Times New Roman" w:hAnsi="Arial Narrow" w:cs="Times New Roman"/>
      <w:sz w:val="20"/>
      <w:szCs w:val="24"/>
    </w:rPr>
  </w:style>
  <w:style w:type="paragraph" w:customStyle="1" w:styleId="Summaryboxheading">
    <w:name w:val="Summary box heading"/>
    <w:basedOn w:val="Normal"/>
    <w:rsid w:val="00B51828"/>
    <w:pPr>
      <w:spacing w:before="120" w:after="100" w:afterAutospacing="1"/>
      <w:ind w:left="0"/>
    </w:pPr>
    <w:rPr>
      <w:rFonts w:ascii="Arial Narrow" w:eastAsia="Times New Roman" w:hAnsi="Arial Narrow" w:cs="Times New Roman"/>
      <w:b/>
      <w:szCs w:val="20"/>
      <w:lang w:eastAsia="en-AU"/>
    </w:rPr>
  </w:style>
  <w:style w:type="paragraph" w:styleId="TableofFigures">
    <w:name w:val="table of figures"/>
    <w:basedOn w:val="Normal"/>
    <w:next w:val="Normal"/>
    <w:uiPriority w:val="99"/>
    <w:unhideWhenUsed/>
    <w:rsid w:val="00B51828"/>
    <w:pPr>
      <w:spacing w:after="60"/>
      <w:ind w:left="1967" w:right="720" w:hanging="1247"/>
    </w:pPr>
  </w:style>
  <w:style w:type="paragraph" w:styleId="BodyText">
    <w:name w:val="Body Text"/>
    <w:basedOn w:val="Normal"/>
    <w:link w:val="BodyTextChar"/>
    <w:uiPriority w:val="99"/>
    <w:semiHidden/>
    <w:unhideWhenUsed/>
    <w:rsid w:val="00B51828"/>
    <w:pPr>
      <w:spacing w:after="120"/>
    </w:pPr>
  </w:style>
  <w:style w:type="character" w:customStyle="1" w:styleId="BodyTextChar">
    <w:name w:val="Body Text Char"/>
    <w:basedOn w:val="DefaultParagraphFont"/>
    <w:link w:val="BodyText"/>
    <w:uiPriority w:val="99"/>
    <w:semiHidden/>
    <w:rsid w:val="00B51828"/>
    <w:rPr>
      <w:rFonts w:ascii="Garamond" w:hAnsi="Garamond"/>
      <w:sz w:val="24"/>
    </w:rPr>
  </w:style>
  <w:style w:type="paragraph" w:customStyle="1" w:styleId="TableText0">
    <w:name w:val="TableText"/>
    <w:basedOn w:val="Normal"/>
    <w:link w:val="TableTextChar0"/>
    <w:uiPriority w:val="99"/>
    <w:rsid w:val="00B51828"/>
    <w:pPr>
      <w:keepNext/>
      <w:spacing w:before="40" w:after="40"/>
      <w:ind w:left="0"/>
    </w:pPr>
    <w:rPr>
      <w:rFonts w:ascii="Arial Narrow" w:eastAsia="Times New Roman" w:hAnsi="Arial Narrow" w:cs="Times New Roman"/>
      <w:sz w:val="18"/>
      <w:szCs w:val="20"/>
      <w:lang w:eastAsia="en-AU"/>
    </w:rPr>
  </w:style>
  <w:style w:type="character" w:customStyle="1" w:styleId="TableTextChar0">
    <w:name w:val="TableText Char"/>
    <w:link w:val="TableText0"/>
    <w:uiPriority w:val="99"/>
    <w:rsid w:val="00B51828"/>
    <w:rPr>
      <w:rFonts w:ascii="Arial Narrow" w:eastAsia="Times New Roman" w:hAnsi="Arial Narrow" w:cs="Times New Roman"/>
      <w:sz w:val="18"/>
      <w:szCs w:val="20"/>
      <w:lang w:eastAsia="en-AU"/>
    </w:rPr>
  </w:style>
  <w:style w:type="paragraph" w:customStyle="1" w:styleId="TableHeading">
    <w:name w:val="TableHeading"/>
    <w:basedOn w:val="TableText0"/>
    <w:link w:val="TableHeadingChar"/>
    <w:rsid w:val="00B51828"/>
    <w:rPr>
      <w:b/>
    </w:rPr>
  </w:style>
  <w:style w:type="character" w:customStyle="1" w:styleId="TableHeadingChar">
    <w:name w:val="TableHeading Char"/>
    <w:link w:val="TableHeading"/>
    <w:rsid w:val="00B51828"/>
    <w:rPr>
      <w:rFonts w:ascii="Arial Narrow" w:eastAsia="Times New Roman" w:hAnsi="Arial Narrow" w:cs="Times New Roman"/>
      <w:b/>
      <w:sz w:val="18"/>
      <w:szCs w:val="20"/>
      <w:lang w:eastAsia="en-AU"/>
    </w:rPr>
  </w:style>
  <w:style w:type="paragraph" w:customStyle="1" w:styleId="TableHeading0">
    <w:name w:val="Table Heading"/>
    <w:basedOn w:val="Normal"/>
    <w:next w:val="Normal"/>
    <w:rsid w:val="00B51828"/>
    <w:pPr>
      <w:keepNext/>
      <w:spacing w:before="40" w:after="40"/>
      <w:ind w:left="0"/>
    </w:pPr>
    <w:rPr>
      <w:rFonts w:ascii="Arial" w:eastAsia="Times New Roman" w:hAnsi="Arial" w:cs="Times New Roman"/>
      <w:b/>
      <w:sz w:val="18"/>
      <w:szCs w:val="20"/>
      <w:lang w:val="en-GB"/>
    </w:rPr>
  </w:style>
  <w:style w:type="paragraph" w:customStyle="1" w:styleId="TableName">
    <w:name w:val="TableName"/>
    <w:basedOn w:val="Normal"/>
    <w:link w:val="TableNameChar"/>
    <w:rsid w:val="00B51828"/>
    <w:pPr>
      <w:keepNext/>
      <w:spacing w:before="40" w:after="40"/>
      <w:ind w:left="1440" w:hanging="720"/>
    </w:pPr>
    <w:rPr>
      <w:rFonts w:ascii="Arial Narrow" w:eastAsia="Times New Roman" w:hAnsi="Arial Narrow" w:cs="Times New Roman"/>
      <w:b/>
      <w:sz w:val="20"/>
      <w:szCs w:val="20"/>
      <w:lang w:eastAsia="en-AU"/>
    </w:rPr>
  </w:style>
  <w:style w:type="character" w:customStyle="1" w:styleId="TableNameChar">
    <w:name w:val="TableName Char"/>
    <w:link w:val="TableName"/>
    <w:rsid w:val="00B51828"/>
    <w:rPr>
      <w:rFonts w:ascii="Arial Narrow" w:eastAsia="Times New Roman" w:hAnsi="Arial Narrow" w:cs="Times New Roman"/>
      <w:b/>
      <w:sz w:val="20"/>
      <w:szCs w:val="20"/>
      <w:lang w:eastAsia="en-AU"/>
    </w:rPr>
  </w:style>
  <w:style w:type="paragraph" w:customStyle="1" w:styleId="CharChar1CharCharCharChar">
    <w:name w:val="Char Char1 Char Char Char Char"/>
    <w:basedOn w:val="Normal"/>
    <w:uiPriority w:val="99"/>
    <w:rsid w:val="00B51828"/>
    <w:pPr>
      <w:spacing w:after="0"/>
      <w:ind w:left="0"/>
    </w:pPr>
    <w:rPr>
      <w:rFonts w:ascii="Arial" w:eastAsia="Times New Roman" w:hAnsi="Arial" w:cs="Arial"/>
      <w:sz w:val="22"/>
    </w:rPr>
  </w:style>
  <w:style w:type="paragraph" w:customStyle="1" w:styleId="References">
    <w:name w:val="References"/>
    <w:basedOn w:val="Normal"/>
    <w:rsid w:val="00B51828"/>
    <w:pPr>
      <w:keepLines/>
      <w:ind w:left="1440" w:hanging="720"/>
    </w:pPr>
    <w:rPr>
      <w:rFonts w:eastAsia="Times New Roman" w:cs="Times New Roman"/>
      <w:szCs w:val="20"/>
      <w:lang w:eastAsia="en-AU"/>
    </w:rPr>
  </w:style>
  <w:style w:type="paragraph" w:customStyle="1" w:styleId="TableText1">
    <w:name w:val="Table Text"/>
    <w:basedOn w:val="Normal"/>
    <w:link w:val="TableTextChar1"/>
    <w:qFormat/>
    <w:rsid w:val="00B51828"/>
    <w:pPr>
      <w:keepNext/>
      <w:spacing w:before="40" w:after="40" w:line="312" w:lineRule="auto"/>
      <w:ind w:left="0"/>
    </w:pPr>
    <w:rPr>
      <w:rFonts w:ascii="Arial Narrow" w:eastAsia="SimSun" w:hAnsi="Arial Narrow" w:cs="Times New Roman"/>
      <w:sz w:val="18"/>
      <w:szCs w:val="20"/>
      <w:lang w:val="en-GB"/>
    </w:rPr>
  </w:style>
  <w:style w:type="character" w:customStyle="1" w:styleId="TableTextChar1">
    <w:name w:val="Table Text Char"/>
    <w:link w:val="TableText1"/>
    <w:rsid w:val="00B51828"/>
    <w:rPr>
      <w:rFonts w:ascii="Arial Narrow" w:eastAsia="SimSun" w:hAnsi="Arial Narrow" w:cs="Times New Roman"/>
      <w:sz w:val="18"/>
      <w:szCs w:val="20"/>
      <w:lang w:val="en-GB"/>
    </w:rPr>
  </w:style>
  <w:style w:type="table" w:customStyle="1" w:styleId="TableGrid1">
    <w:name w:val="Table Grid1"/>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1828"/>
    <w:pPr>
      <w:spacing w:after="0" w:line="240" w:lineRule="auto"/>
    </w:pPr>
    <w:rPr>
      <w:rFonts w:ascii="Garamond" w:hAnsi="Garamond"/>
      <w:sz w:val="24"/>
    </w:rPr>
  </w:style>
  <w:style w:type="table" w:customStyle="1" w:styleId="TableGrid4">
    <w:name w:val="Table Grid4"/>
    <w:basedOn w:val="TableNormal"/>
    <w:next w:val="TableGrid"/>
    <w:uiPriority w:val="3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5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6.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2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7.xml"/><Relationship Id="rId41"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image" Target="media/image4.tif"/><Relationship Id="rId37" Type="http://schemas.openxmlformats.org/officeDocument/2006/relationships/footer" Target="footer24.xml"/><Relationship Id="rId40" Type="http://schemas.openxmlformats.org/officeDocument/2006/relationships/footer" Target="footer27.xml"/><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3.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tif"/><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C8993-7654-4929-A2DB-35FA80180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65806</Words>
  <Characters>375099</Characters>
  <Application>Microsoft Office Word</Application>
  <DocSecurity>0</DocSecurity>
  <Lines>3125</Lines>
  <Paragraphs>880</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440025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Applegarth</dc:creator>
  <cp:lastModifiedBy>McCandless Sean</cp:lastModifiedBy>
  <cp:revision>2</cp:revision>
  <cp:lastPrinted>2015-03-19T20:43:00Z</cp:lastPrinted>
  <dcterms:created xsi:type="dcterms:W3CDTF">2015-03-19T20:46:00Z</dcterms:created>
  <dcterms:modified xsi:type="dcterms:W3CDTF">2015-03-19T20:46:00Z</dcterms:modified>
</cp:coreProperties>
</file>