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15CDA"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0E562D6" wp14:editId="3B0D710D">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74A4033D"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531D3884" w14:textId="77777777" w:rsidR="00BC1364" w:rsidRPr="006E340A" w:rsidRDefault="00BC1364" w:rsidP="006E340A">
      <w:pPr>
        <w:pStyle w:val="Subtitle"/>
        <w:rPr>
          <w:iCs/>
        </w:rPr>
      </w:pPr>
      <w:r w:rsidRPr="00F715D1">
        <w:t xml:space="preserve">Application No. </w:t>
      </w:r>
      <w:r w:rsidR="008B100F" w:rsidRPr="008B100F">
        <w:t>1</w:t>
      </w:r>
      <w:r w:rsidR="00626F41">
        <w:t>4</w:t>
      </w:r>
      <w:r w:rsidR="00CD3A78">
        <w:t>96</w:t>
      </w:r>
      <w:r w:rsidR="008B100F" w:rsidRPr="008B100F">
        <w:t xml:space="preserve"> - </w:t>
      </w:r>
      <w:r w:rsidR="00CD3A78" w:rsidRPr="00CD3A78">
        <w:rPr>
          <w:iCs/>
        </w:rPr>
        <w:t xml:space="preserve">Micro-bypass stenting for open-angle glaucoma (external to </w:t>
      </w:r>
      <w:proofErr w:type="spellStart"/>
      <w:r w:rsidR="00CD3A78" w:rsidRPr="00CD3A78">
        <w:rPr>
          <w:iCs/>
        </w:rPr>
        <w:t>Schlemm's</w:t>
      </w:r>
      <w:proofErr w:type="spellEnd"/>
      <w:r w:rsidR="00CD3A78" w:rsidRPr="00CD3A78">
        <w:rPr>
          <w:iCs/>
        </w:rPr>
        <w:t xml:space="preserve"> canal)</w:t>
      </w:r>
    </w:p>
    <w:p w14:paraId="230DF573" w14:textId="3325DF69" w:rsidR="00BC1364" w:rsidRPr="00CD0E39" w:rsidRDefault="00B35595" w:rsidP="006E340A">
      <w:pPr>
        <w:tabs>
          <w:tab w:val="left" w:pos="3686"/>
        </w:tabs>
        <w:spacing w:before="360" w:after="240"/>
        <w:ind w:left="3686" w:hanging="3686"/>
        <w:rPr>
          <w:rFonts w:ascii="Arial" w:hAnsi="Arial" w:cs="Arial"/>
          <w:b/>
          <w:szCs w:val="24"/>
          <w:lang w:val="it-IT"/>
        </w:rPr>
      </w:pPr>
      <w:r w:rsidRPr="00CD0E39">
        <w:rPr>
          <w:rFonts w:ascii="Arial" w:hAnsi="Arial" w:cs="Arial"/>
          <w:b/>
          <w:szCs w:val="24"/>
          <w:lang w:val="it-IT"/>
        </w:rPr>
        <w:t>Applicant</w:t>
      </w:r>
      <w:r w:rsidR="00D64355" w:rsidRPr="00CD0E39">
        <w:rPr>
          <w:rFonts w:ascii="Arial" w:hAnsi="Arial" w:cs="Arial"/>
          <w:b/>
          <w:szCs w:val="24"/>
          <w:lang w:val="it-IT"/>
        </w:rPr>
        <w:t>:</w:t>
      </w:r>
      <w:r w:rsidR="00D64355" w:rsidRPr="00CD0E39">
        <w:rPr>
          <w:rFonts w:ascii="Arial" w:hAnsi="Arial" w:cs="Arial"/>
          <w:b/>
          <w:szCs w:val="24"/>
          <w:lang w:val="it-IT"/>
        </w:rPr>
        <w:tab/>
      </w:r>
      <w:r w:rsidR="00CD3A78" w:rsidRPr="00CD0E39">
        <w:rPr>
          <w:rFonts w:ascii="Arial" w:hAnsi="Arial" w:cs="Arial"/>
          <w:b/>
          <w:szCs w:val="24"/>
          <w:lang w:val="it-IT"/>
        </w:rPr>
        <w:t>Alcon</w:t>
      </w:r>
      <w:r w:rsidR="0002048B" w:rsidRPr="00CD0E39">
        <w:rPr>
          <w:rFonts w:ascii="Arial" w:hAnsi="Arial" w:cs="Arial"/>
          <w:b/>
          <w:szCs w:val="24"/>
          <w:lang w:val="it-IT"/>
        </w:rPr>
        <w:t xml:space="preserve"> Laboratories (Australia) Pty Ltd</w:t>
      </w:r>
    </w:p>
    <w:p w14:paraId="698DF9EB"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8B100F">
        <w:rPr>
          <w:rFonts w:ascii="Arial" w:hAnsi="Arial" w:cs="Arial"/>
          <w:b/>
          <w:szCs w:val="24"/>
        </w:rPr>
        <w:t>71</w:t>
      </w:r>
      <w:r w:rsidR="008B100F" w:rsidRPr="008B100F">
        <w:rPr>
          <w:rFonts w:ascii="Arial" w:hAnsi="Arial" w:cs="Arial"/>
          <w:b/>
          <w:szCs w:val="24"/>
          <w:vertAlign w:val="superscript"/>
        </w:rPr>
        <w:t>st</w:t>
      </w:r>
      <w:r w:rsidR="008B100F">
        <w:rPr>
          <w:rFonts w:ascii="Arial" w:hAnsi="Arial" w:cs="Arial"/>
          <w:b/>
          <w:szCs w:val="24"/>
        </w:rPr>
        <w:t xml:space="preserve"> </w:t>
      </w:r>
      <w:r w:rsidRPr="00F715D1">
        <w:rPr>
          <w:rFonts w:ascii="Arial" w:hAnsi="Arial" w:cs="Arial"/>
          <w:b/>
          <w:szCs w:val="24"/>
        </w:rPr>
        <w:t xml:space="preserve">Meeting, </w:t>
      </w:r>
      <w:r w:rsidR="008B100F">
        <w:rPr>
          <w:rFonts w:ascii="Arial" w:hAnsi="Arial" w:cs="Arial"/>
          <w:b/>
          <w:szCs w:val="24"/>
        </w:rPr>
        <w:t>23 November</w:t>
      </w:r>
      <w:r w:rsidR="001023DC">
        <w:rPr>
          <w:rFonts w:ascii="Arial" w:hAnsi="Arial" w:cs="Arial"/>
          <w:b/>
          <w:szCs w:val="24"/>
        </w:rPr>
        <w:t xml:space="preserve"> 2017</w:t>
      </w:r>
    </w:p>
    <w:p w14:paraId="06B98E9B"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10" w:tooltip="Link to Medical Services Advisory Committee website" w:history="1">
        <w:r w:rsidR="00F715D1" w:rsidRPr="00F715D1">
          <w:rPr>
            <w:rStyle w:val="Hyperlink"/>
            <w:szCs w:val="24"/>
          </w:rPr>
          <w:t>visit the MSAC website</w:t>
        </w:r>
      </w:hyperlink>
    </w:p>
    <w:p w14:paraId="17A088CF" w14:textId="77777777" w:rsidR="003D7F29" w:rsidRPr="00F715D1" w:rsidRDefault="003D7F29" w:rsidP="00F715D1">
      <w:pPr>
        <w:pStyle w:val="Heading1"/>
      </w:pPr>
      <w:r w:rsidRPr="00F715D1">
        <w:t>Purpose of application</w:t>
      </w:r>
      <w:r w:rsidR="00822C7E" w:rsidRPr="00F715D1">
        <w:t xml:space="preserve"> </w:t>
      </w:r>
    </w:p>
    <w:p w14:paraId="04AD1F08" w14:textId="4EF89563" w:rsidR="001122EA" w:rsidRPr="00A03A08" w:rsidRDefault="001122EA" w:rsidP="001122EA">
      <w:pPr>
        <w:pStyle w:val="BodyText"/>
        <w:spacing w:line="240" w:lineRule="auto"/>
        <w:rPr>
          <w:iCs/>
        </w:rPr>
      </w:pPr>
      <w:r w:rsidRPr="00A03A08">
        <w:rPr>
          <w:iCs/>
        </w:rPr>
        <w:t>An application</w:t>
      </w:r>
      <w:r w:rsidR="00504665">
        <w:rPr>
          <w:iCs/>
        </w:rPr>
        <w:t xml:space="preserve"> requesting a new </w:t>
      </w:r>
      <w:r w:rsidR="00504665" w:rsidRPr="00A03A08">
        <w:rPr>
          <w:iCs/>
        </w:rPr>
        <w:t xml:space="preserve">Medical Benefits Schedule </w:t>
      </w:r>
      <w:r w:rsidR="00504665">
        <w:rPr>
          <w:iCs/>
        </w:rPr>
        <w:t>(MBS) item for</w:t>
      </w:r>
      <w:r w:rsidRPr="00A03A08">
        <w:rPr>
          <w:iCs/>
        </w:rPr>
        <w:t xml:space="preserve"> expanded access by o</w:t>
      </w:r>
      <w:r w:rsidR="00504665">
        <w:rPr>
          <w:iCs/>
        </w:rPr>
        <w:t xml:space="preserve">phthalmologists to </w:t>
      </w:r>
      <w:r w:rsidRPr="00A03A08">
        <w:rPr>
          <w:iCs/>
        </w:rPr>
        <w:t xml:space="preserve">MBS listings of suprachoroidal micro-invasive glaucoma surgery (SC-MIGS) stent implantation for open-angle glaucoma </w:t>
      </w:r>
      <w:r w:rsidR="00504665">
        <w:rPr>
          <w:iCs/>
        </w:rPr>
        <w:t xml:space="preserve">(external to </w:t>
      </w:r>
      <w:proofErr w:type="spellStart"/>
      <w:r w:rsidR="00504665">
        <w:rPr>
          <w:iCs/>
        </w:rPr>
        <w:t>Schlemm’s</w:t>
      </w:r>
      <w:proofErr w:type="spellEnd"/>
      <w:r w:rsidR="00504665">
        <w:rPr>
          <w:iCs/>
        </w:rPr>
        <w:t xml:space="preserve"> canal) </w:t>
      </w:r>
      <w:r w:rsidR="00504665" w:rsidRPr="00A03A08">
        <w:rPr>
          <w:iCs/>
        </w:rPr>
        <w:t>was received from Alcon</w:t>
      </w:r>
      <w:r w:rsidR="00504665">
        <w:rPr>
          <w:iCs/>
        </w:rPr>
        <w:t xml:space="preserve"> Laboratories (Australia).</w:t>
      </w:r>
    </w:p>
    <w:p w14:paraId="008C215E" w14:textId="77777777" w:rsidR="00E977EE" w:rsidRPr="00F715D1" w:rsidRDefault="00E977EE" w:rsidP="00F715D1">
      <w:pPr>
        <w:pStyle w:val="Heading1"/>
      </w:pPr>
      <w:r w:rsidRPr="00F715D1">
        <w:t>MSAC’s advice to the Minister</w:t>
      </w:r>
    </w:p>
    <w:p w14:paraId="711E2284" w14:textId="5939DF78" w:rsidR="00961E8D" w:rsidRPr="00F26A77" w:rsidRDefault="00F26A77" w:rsidP="00CC2A4E">
      <w:pPr>
        <w:spacing w:after="240"/>
        <w:rPr>
          <w:szCs w:val="24"/>
        </w:rPr>
      </w:pPr>
      <w:r w:rsidRPr="00F26A77">
        <w:rPr>
          <w:szCs w:val="24"/>
        </w:rPr>
        <w:t>After considering the strength of the available evidence in relation to comparative safety, clinical effectiveness and cost effectiveness, MSAC supported the inclusion in the MBS of SC-MIGS stent implantation for patients with open-angle glaucoma (OAG) who are also undergoing cataract surgery. MSAC accepted that SC-MIGS stent implantation was similar to trabecular bypass micro-invasive glaucoma surgery (TB-MIGS) stent implantation in this population and suggested both services be covered by a single generic MBS item</w:t>
      </w:r>
      <w:r w:rsidR="00961E8D">
        <w:rPr>
          <w:szCs w:val="24"/>
        </w:rPr>
        <w:t xml:space="preserve"> at a fee of $911.10</w:t>
      </w:r>
      <w:r w:rsidRPr="00F26A77">
        <w:rPr>
          <w:szCs w:val="24"/>
        </w:rPr>
        <w:t>.</w:t>
      </w:r>
    </w:p>
    <w:p w14:paraId="4127BD7C" w14:textId="452BDB2D" w:rsidR="00F26A77" w:rsidRPr="00F26A77" w:rsidRDefault="00F26A77" w:rsidP="00CC2A4E">
      <w:pPr>
        <w:spacing w:after="240"/>
        <w:rPr>
          <w:szCs w:val="24"/>
        </w:rPr>
      </w:pPr>
      <w:r w:rsidRPr="00F26A77">
        <w:rPr>
          <w:szCs w:val="24"/>
        </w:rPr>
        <w:t xml:space="preserve">MSAC did not support listing of SC-MIGS as a standalone procedure </w:t>
      </w:r>
      <w:r w:rsidR="00C70619" w:rsidRPr="002427DE">
        <w:rPr>
          <w:szCs w:val="24"/>
        </w:rPr>
        <w:t>due to insufficient evidence of effectiveness and because the population who would be eligible for the service could not be adequately defined.</w:t>
      </w:r>
    </w:p>
    <w:p w14:paraId="210C1840" w14:textId="3E841D85" w:rsidR="00F26A77" w:rsidRPr="00F26A77" w:rsidRDefault="00890FBD" w:rsidP="00CC2A4E">
      <w:pPr>
        <w:spacing w:after="240"/>
        <w:rPr>
          <w:szCs w:val="24"/>
        </w:rPr>
      </w:pPr>
      <w:r>
        <w:rPr>
          <w:bCs/>
          <w:szCs w:val="24"/>
        </w:rPr>
        <w:t xml:space="preserve">For cases where there is failure of the original stent placement, </w:t>
      </w:r>
      <w:r w:rsidR="00F26A77" w:rsidRPr="00F26A77">
        <w:rPr>
          <w:szCs w:val="24"/>
        </w:rPr>
        <w:t xml:space="preserve">MSAC suggested a single MBS item </w:t>
      </w:r>
      <w:r w:rsidR="0033627E">
        <w:rPr>
          <w:szCs w:val="24"/>
        </w:rPr>
        <w:t xml:space="preserve">at a fee of $300.75 </w:t>
      </w:r>
      <w:r w:rsidR="00F26A77" w:rsidRPr="00F26A77">
        <w:rPr>
          <w:szCs w:val="24"/>
        </w:rPr>
        <w:t>for stent removal regardless of whether it is undertaken with or without stent replacement.</w:t>
      </w:r>
    </w:p>
    <w:p w14:paraId="680B251E" w14:textId="77777777" w:rsidR="00F26A77" w:rsidRPr="00F26A77" w:rsidRDefault="00F26A77" w:rsidP="00F26A77">
      <w:pPr>
        <w:rPr>
          <w:szCs w:val="24"/>
        </w:rPr>
      </w:pPr>
      <w:r w:rsidRPr="00F26A77">
        <w:rPr>
          <w:szCs w:val="24"/>
        </w:rPr>
        <w:t>MSAC recommended that usage of MIGS be revisited in 12 months to assess whether it is being used as intended.</w:t>
      </w:r>
    </w:p>
    <w:p w14:paraId="0E9BCFE3" w14:textId="77777777" w:rsidR="00550354" w:rsidRPr="00F715D1" w:rsidRDefault="00550354" w:rsidP="00F715D1">
      <w:pPr>
        <w:pStyle w:val="Heading1"/>
      </w:pPr>
      <w:r w:rsidRPr="00F715D1">
        <w:lastRenderedPageBreak/>
        <w:t xml:space="preserve">Summary of consideration and rationale for MSAC’s advice </w:t>
      </w:r>
    </w:p>
    <w:p w14:paraId="0A82DEBB" w14:textId="77777777" w:rsidR="003E53B4" w:rsidRPr="003E53B4" w:rsidRDefault="003E53B4" w:rsidP="00890FBD">
      <w:pPr>
        <w:spacing w:after="160"/>
        <w:rPr>
          <w:szCs w:val="24"/>
        </w:rPr>
      </w:pPr>
      <w:r w:rsidRPr="003E53B4">
        <w:rPr>
          <w:szCs w:val="24"/>
        </w:rPr>
        <w:t>MSAC noted that a similar application using stents implanted in the</w:t>
      </w:r>
      <w:r w:rsidR="00C70619">
        <w:rPr>
          <w:szCs w:val="24"/>
        </w:rPr>
        <w:t xml:space="preserve"> trabecular meshwork (TB-MIGS) -</w:t>
      </w:r>
      <w:r w:rsidRPr="003E53B4">
        <w:rPr>
          <w:szCs w:val="24"/>
        </w:rPr>
        <w:t xml:space="preserve"> </w:t>
      </w:r>
      <w:hyperlink r:id="rId11" w:history="1">
        <w:r w:rsidRPr="003E53B4">
          <w:rPr>
            <w:rStyle w:val="Hyperlink"/>
            <w:szCs w:val="24"/>
          </w:rPr>
          <w:t>Application 1483: Micro-bypass stenting for open angle glaucoma (in the trabecular meshwork)</w:t>
        </w:r>
      </w:hyperlink>
      <w:r w:rsidR="00C70619">
        <w:rPr>
          <w:szCs w:val="24"/>
        </w:rPr>
        <w:t xml:space="preserve"> -</w:t>
      </w:r>
      <w:r w:rsidRPr="003E53B4">
        <w:rPr>
          <w:szCs w:val="24"/>
        </w:rPr>
        <w:t xml:space="preserve"> is also under consideration</w:t>
      </w:r>
      <w:r w:rsidR="005A4A09">
        <w:rPr>
          <w:szCs w:val="24"/>
        </w:rPr>
        <w:t xml:space="preserve"> at the November 2017 MSAC meeting</w:t>
      </w:r>
      <w:r w:rsidRPr="003E53B4">
        <w:rPr>
          <w:szCs w:val="24"/>
        </w:rPr>
        <w:t>.</w:t>
      </w:r>
    </w:p>
    <w:p w14:paraId="59A7664D" w14:textId="3187D36D" w:rsidR="003E53B4" w:rsidRPr="003E53B4" w:rsidRDefault="003E53B4" w:rsidP="00890FBD">
      <w:pPr>
        <w:spacing w:after="160"/>
        <w:rPr>
          <w:szCs w:val="24"/>
        </w:rPr>
      </w:pPr>
      <w:r w:rsidRPr="003E53B4">
        <w:rPr>
          <w:szCs w:val="24"/>
        </w:rPr>
        <w:t xml:space="preserve">MSAC noted that despite never having been assessed for safety, clinical effectiveness and cost effectiveness, </w:t>
      </w:r>
      <w:r w:rsidR="008325E8">
        <w:rPr>
          <w:szCs w:val="24"/>
        </w:rPr>
        <w:t xml:space="preserve">implantation of </w:t>
      </w:r>
      <w:r w:rsidRPr="003E53B4">
        <w:rPr>
          <w:szCs w:val="24"/>
        </w:rPr>
        <w:t xml:space="preserve">MIGS </w:t>
      </w:r>
      <w:r w:rsidR="008325E8">
        <w:rPr>
          <w:szCs w:val="24"/>
        </w:rPr>
        <w:t xml:space="preserve">stents </w:t>
      </w:r>
      <w:r w:rsidRPr="003E53B4">
        <w:rPr>
          <w:szCs w:val="24"/>
        </w:rPr>
        <w:t>was performed under MBS item 42758 (goniotomy) until this use was explicitly prohibited in May 2017. MSAC noted that since then, implantation of MIGS stents has been allowed to continue under an interim MBS item (42705).</w:t>
      </w:r>
    </w:p>
    <w:p w14:paraId="060C84EC" w14:textId="77777777" w:rsidR="003E53B4" w:rsidRPr="003E53B4" w:rsidRDefault="003E53B4" w:rsidP="00890FBD">
      <w:pPr>
        <w:spacing w:after="160"/>
        <w:rPr>
          <w:szCs w:val="24"/>
        </w:rPr>
      </w:pPr>
      <w:r w:rsidRPr="003E53B4">
        <w:rPr>
          <w:szCs w:val="24"/>
        </w:rPr>
        <w:t>MSAC noted that there were two patient populations being considered — patients with diagnosed OAG undergoing SC-MIGS stent implantation in conjunction with cataract surgery (population 1) and patients with diagnosed OAG undergoing SC-MIGS stent implantation as a standalone procedure (population 2).</w:t>
      </w:r>
    </w:p>
    <w:p w14:paraId="29540942" w14:textId="77777777" w:rsidR="003E53B4" w:rsidRPr="003E53B4" w:rsidRDefault="003E53B4" w:rsidP="00890FBD">
      <w:pPr>
        <w:spacing w:after="160"/>
        <w:rPr>
          <w:szCs w:val="24"/>
        </w:rPr>
      </w:pPr>
      <w:r w:rsidRPr="003E53B4">
        <w:rPr>
          <w:szCs w:val="24"/>
        </w:rPr>
        <w:t>MSAC did not support the use of SC-MIGS in population 2 due to a lack of evidence on comparative safety, effectiveness and cost effectiveness. MSAC noted that while information from the DUETTE study and the CYCLE study had been provided to support listing in the standalone population, both were single-armed observational studies classified as being at high risk of bias.</w:t>
      </w:r>
    </w:p>
    <w:p w14:paraId="17F3F34F" w14:textId="77777777" w:rsidR="003E53B4" w:rsidRPr="003E53B4" w:rsidRDefault="003E53B4" w:rsidP="00890FBD">
      <w:pPr>
        <w:spacing w:after="160"/>
        <w:rPr>
          <w:szCs w:val="24"/>
        </w:rPr>
      </w:pPr>
      <w:r w:rsidRPr="003E53B4">
        <w:rPr>
          <w:szCs w:val="24"/>
        </w:rPr>
        <w:t>MSAC noted that the evidence to support the listing of SC-MIGS stents in population 1 was restricted to a single randomised trial, the COMPASS study (n = 505), in which patients undergoing cataract surgery were randomised to SC-MIGS stent implantation or usual care (</w:t>
      </w:r>
      <w:proofErr w:type="spellStart"/>
      <w:r w:rsidRPr="003E53B4">
        <w:rPr>
          <w:szCs w:val="24"/>
        </w:rPr>
        <w:t>Vold</w:t>
      </w:r>
      <w:proofErr w:type="spellEnd"/>
      <w:r w:rsidRPr="003E53B4">
        <w:rPr>
          <w:szCs w:val="24"/>
        </w:rPr>
        <w:t xml:space="preserve"> S et al 2016).</w:t>
      </w:r>
    </w:p>
    <w:p w14:paraId="04C9D85F" w14:textId="77777777" w:rsidR="003E53B4" w:rsidRPr="003E53B4" w:rsidRDefault="003E53B4" w:rsidP="00890FBD">
      <w:pPr>
        <w:spacing w:after="160"/>
        <w:rPr>
          <w:szCs w:val="24"/>
        </w:rPr>
      </w:pPr>
      <w:r w:rsidRPr="003E53B4">
        <w:rPr>
          <w:szCs w:val="24"/>
        </w:rPr>
        <w:t xml:space="preserve">MSAC noted that SC-MIGS stent implantation in population 1 had a similar safety </w:t>
      </w:r>
      <w:r w:rsidR="00076FB3">
        <w:rPr>
          <w:szCs w:val="24"/>
        </w:rPr>
        <w:t xml:space="preserve">profile </w:t>
      </w:r>
      <w:r w:rsidRPr="003E53B4">
        <w:rPr>
          <w:szCs w:val="24"/>
        </w:rPr>
        <w:t xml:space="preserve">to cataract surgery alone. </w:t>
      </w:r>
      <w:r w:rsidR="005A4A09">
        <w:rPr>
          <w:szCs w:val="24"/>
        </w:rPr>
        <w:t>T</w:t>
      </w:r>
      <w:r w:rsidRPr="003E53B4">
        <w:rPr>
          <w:szCs w:val="24"/>
        </w:rPr>
        <w:t>he COMPASS study reported similar rates of any post-operative adverse events (36.9% for SC-MIGS and cataract surgery vs 35.9% for cataract surgery alone) and secondary surgical interventions (5.1% vs 5.3%, respectively).</w:t>
      </w:r>
    </w:p>
    <w:p w14:paraId="4E7E709B" w14:textId="77777777" w:rsidR="003E53B4" w:rsidRPr="003E53B4" w:rsidRDefault="003E53B4" w:rsidP="00890FBD">
      <w:pPr>
        <w:spacing w:after="160"/>
        <w:rPr>
          <w:szCs w:val="24"/>
          <w:highlight w:val="yellow"/>
        </w:rPr>
      </w:pPr>
      <w:r w:rsidRPr="003E53B4">
        <w:rPr>
          <w:szCs w:val="24"/>
        </w:rPr>
        <w:t>MSAC noted that the COMPASS study indicated that patients undergoing SC-MIGS implantation had a greater reduction in mean IOP compared with cataract surgery alone at 12</w:t>
      </w:r>
      <w:r w:rsidR="00C42CB5">
        <w:rPr>
          <w:szCs w:val="24"/>
        </w:rPr>
        <w:t> </w:t>
      </w:r>
      <w:r w:rsidRPr="003E53B4">
        <w:rPr>
          <w:szCs w:val="24"/>
        </w:rPr>
        <w:t>months (7.6 mmHg vs 6.2 mmHg, respectively) and at 24 months (7.0 mmHg vs 5.3 mmHg, respectively). The patients who underwent SC-MIGS were also using an average of 0.4 fewer medicines to reduce IOP at 24 months.</w:t>
      </w:r>
    </w:p>
    <w:p w14:paraId="63B2B7B5" w14:textId="77777777" w:rsidR="003E53B4" w:rsidRPr="003E53B4" w:rsidRDefault="003E53B4" w:rsidP="00890FBD">
      <w:pPr>
        <w:spacing w:after="160"/>
        <w:rPr>
          <w:szCs w:val="24"/>
        </w:rPr>
      </w:pPr>
      <w:r w:rsidRPr="003E53B4">
        <w:rPr>
          <w:szCs w:val="24"/>
        </w:rPr>
        <w:t xml:space="preserve">MSAC noted that because the COMPASS study only had 24 months follow-up, the long-term effectiveness of the procedure, including its impact upon disease progression and avoidance of laser </w:t>
      </w:r>
      <w:proofErr w:type="spellStart"/>
      <w:r w:rsidRPr="003E53B4">
        <w:rPr>
          <w:szCs w:val="24"/>
        </w:rPr>
        <w:t>trabeculoplasty</w:t>
      </w:r>
      <w:proofErr w:type="spellEnd"/>
      <w:r w:rsidRPr="003E53B4">
        <w:rPr>
          <w:szCs w:val="24"/>
        </w:rPr>
        <w:t xml:space="preserve"> or trabeculectomy, remained uncertain.</w:t>
      </w:r>
    </w:p>
    <w:p w14:paraId="5A3E8CF1" w14:textId="77777777" w:rsidR="003E53B4" w:rsidRPr="003E53B4" w:rsidRDefault="003E53B4" w:rsidP="00890FBD">
      <w:pPr>
        <w:spacing w:after="160"/>
        <w:rPr>
          <w:szCs w:val="24"/>
        </w:rPr>
      </w:pPr>
      <w:r w:rsidRPr="003E53B4">
        <w:rPr>
          <w:szCs w:val="24"/>
        </w:rPr>
        <w:t>MSAC accepted that outcomes using SC-MIGS or TB-MIGS in population 1 were likely to be similar. MSAC noted that when SC-MIGS was indirectly compared with TB-MIGS using cataract surgery alone as the common comparator, there were no significant differences in adverse events, mean change in IOP, reduction in medicine use from baseline and proportion of patients no longer requiring medicines.</w:t>
      </w:r>
    </w:p>
    <w:p w14:paraId="2CB1F2DC" w14:textId="77777777" w:rsidR="00CF2D3E" w:rsidRDefault="003E53B4" w:rsidP="00890FBD">
      <w:pPr>
        <w:spacing w:after="160"/>
        <w:rPr>
          <w:szCs w:val="24"/>
        </w:rPr>
      </w:pPr>
      <w:r w:rsidRPr="003E53B4">
        <w:rPr>
          <w:szCs w:val="24"/>
        </w:rPr>
        <w:t xml:space="preserve">MSAC noted that the economic model comparing SC-MIGS stent implantation plus cataract surgery with cataract surgery alone suggested that SC-MIGS stent implantation was dominant in the base case. However, MSAC queried the robustness of this finding given that reducing the time horizon from 15 years in the base case to 5 years increased the ICER to more than $12,000. </w:t>
      </w:r>
    </w:p>
    <w:p w14:paraId="41BEBEAF" w14:textId="42C6DBFB" w:rsidR="003E53B4" w:rsidRPr="003E53B4" w:rsidRDefault="003E53B4" w:rsidP="00890FBD">
      <w:pPr>
        <w:spacing w:after="160"/>
        <w:rPr>
          <w:szCs w:val="24"/>
        </w:rPr>
      </w:pPr>
      <w:r w:rsidRPr="003E53B4">
        <w:rPr>
          <w:szCs w:val="24"/>
        </w:rPr>
        <w:lastRenderedPageBreak/>
        <w:t xml:space="preserve">MSAC </w:t>
      </w:r>
      <w:r w:rsidR="00CF2D3E">
        <w:rPr>
          <w:szCs w:val="24"/>
        </w:rPr>
        <w:t>conceded</w:t>
      </w:r>
      <w:r w:rsidR="00CF2D3E" w:rsidRPr="003E53B4">
        <w:rPr>
          <w:szCs w:val="24"/>
        </w:rPr>
        <w:t xml:space="preserve"> </w:t>
      </w:r>
      <w:r w:rsidRPr="003E53B4">
        <w:rPr>
          <w:szCs w:val="24"/>
        </w:rPr>
        <w:t>that some increase in the ICER would be expected with a reduced time horizon given the costs of the surgery are all up front</w:t>
      </w:r>
      <w:r w:rsidR="00CF2D3E">
        <w:rPr>
          <w:szCs w:val="24"/>
        </w:rPr>
        <w:t>, but the magnitude of the increase raised doubts regarding the strength of the model assumptions</w:t>
      </w:r>
      <w:r w:rsidR="00CF2D3E" w:rsidRPr="002329B3">
        <w:rPr>
          <w:szCs w:val="24"/>
        </w:rPr>
        <w:t>.</w:t>
      </w:r>
    </w:p>
    <w:p w14:paraId="4DA61478" w14:textId="77777777" w:rsidR="003E53B4" w:rsidRPr="003E53B4" w:rsidRDefault="003E53B4" w:rsidP="00890FBD">
      <w:pPr>
        <w:spacing w:after="160"/>
        <w:rPr>
          <w:szCs w:val="24"/>
        </w:rPr>
      </w:pPr>
      <w:r w:rsidRPr="003E53B4">
        <w:rPr>
          <w:szCs w:val="24"/>
        </w:rPr>
        <w:t xml:space="preserve">MSAC noted that there was considerable uncertainty with regards to the financial estimates of the introduction of SC-MIGS. MSAC noted the use of SC-MIGS had the potential to be cost saving to the MBS if it reduces or delays surgery (laser </w:t>
      </w:r>
      <w:proofErr w:type="spellStart"/>
      <w:r w:rsidRPr="003E53B4">
        <w:rPr>
          <w:szCs w:val="24"/>
        </w:rPr>
        <w:t>trabeculoplasty</w:t>
      </w:r>
      <w:proofErr w:type="spellEnd"/>
      <w:r w:rsidRPr="003E53B4">
        <w:rPr>
          <w:szCs w:val="24"/>
        </w:rPr>
        <w:t xml:space="preserve"> or trabeculectomy). MSAC noted that it may also reduce PBS expenditure on medicines to treat </w:t>
      </w:r>
      <w:r w:rsidR="00076FB3">
        <w:rPr>
          <w:szCs w:val="24"/>
        </w:rPr>
        <w:t xml:space="preserve">raised </w:t>
      </w:r>
      <w:r w:rsidRPr="003E53B4">
        <w:rPr>
          <w:szCs w:val="24"/>
        </w:rPr>
        <w:t xml:space="preserve">IOP. MSAC noted that the </w:t>
      </w:r>
      <w:proofErr w:type="spellStart"/>
      <w:r w:rsidRPr="003E53B4">
        <w:rPr>
          <w:szCs w:val="24"/>
        </w:rPr>
        <w:t>CyPass</w:t>
      </w:r>
      <w:proofErr w:type="spellEnd"/>
      <w:r w:rsidRPr="003E53B4">
        <w:rPr>
          <w:szCs w:val="24"/>
        </w:rPr>
        <w:t xml:space="preserve"> </w:t>
      </w:r>
      <w:proofErr w:type="spellStart"/>
      <w:r w:rsidRPr="003E53B4">
        <w:rPr>
          <w:szCs w:val="24"/>
        </w:rPr>
        <w:t>Microstent</w:t>
      </w:r>
      <w:proofErr w:type="spellEnd"/>
      <w:r w:rsidRPr="003E53B4">
        <w:rPr>
          <w:szCs w:val="24"/>
        </w:rPr>
        <w:t xml:space="preserve"> is already listed on the Prostheses List.</w:t>
      </w:r>
    </w:p>
    <w:p w14:paraId="776C11B6" w14:textId="77777777" w:rsidR="003E53B4" w:rsidRPr="003E53B4" w:rsidRDefault="003E53B4" w:rsidP="00890FBD">
      <w:pPr>
        <w:spacing w:after="160"/>
        <w:rPr>
          <w:szCs w:val="24"/>
        </w:rPr>
      </w:pPr>
      <w:r w:rsidRPr="003E53B4">
        <w:rPr>
          <w:szCs w:val="24"/>
        </w:rPr>
        <w:t>MSAC recommended that insertion of a SC-MIGS stent or TB-MIGS stent in conjunction with cataract surgery be covered by a single generic MBS item. MSAC agreed that a fee of $911.10 was reasonable — this was arrived at by bundling the fee for the interim MBS item 42705 ($760.65) with 50% of the fee for in-hospital MBS eye injections (to account for the multiple services rule; MBS items 42738–40 $300.75). MSAC noted a single MBS item for MIGS implantation and cataract surgery would prevent the use of the item for standalone MIGS implantation and limit MBS reimbursement of the procedure to once per eye per lifetime.</w:t>
      </w:r>
    </w:p>
    <w:p w14:paraId="07F07652" w14:textId="77777777" w:rsidR="003E53B4" w:rsidRPr="003E53B4" w:rsidRDefault="003E53B4" w:rsidP="00890FBD">
      <w:pPr>
        <w:spacing w:after="160"/>
        <w:rPr>
          <w:szCs w:val="24"/>
        </w:rPr>
      </w:pPr>
      <w:r w:rsidRPr="003E53B4">
        <w:rPr>
          <w:szCs w:val="24"/>
        </w:rPr>
        <w:t xml:space="preserve">MSAC noted MIGS stents were not expected to be used as first-line treatment of glaucoma but that it would be difficult to tighten the wording of the item descriptor to preclude this use. MSAC noted that there is no agreed </w:t>
      </w:r>
      <w:r w:rsidR="00076FB3">
        <w:rPr>
          <w:szCs w:val="24"/>
        </w:rPr>
        <w:t>IOP</w:t>
      </w:r>
      <w:r w:rsidR="00076FB3" w:rsidRPr="003E53B4">
        <w:rPr>
          <w:szCs w:val="24"/>
        </w:rPr>
        <w:t xml:space="preserve"> </w:t>
      </w:r>
      <w:r w:rsidRPr="003E53B4">
        <w:rPr>
          <w:szCs w:val="24"/>
        </w:rPr>
        <w:t xml:space="preserve">threshold for </w:t>
      </w:r>
      <w:r w:rsidR="00076FB3">
        <w:rPr>
          <w:szCs w:val="24"/>
        </w:rPr>
        <w:t xml:space="preserve">undertaking treatment </w:t>
      </w:r>
      <w:r w:rsidRPr="003E53B4">
        <w:rPr>
          <w:szCs w:val="24"/>
        </w:rPr>
        <w:t>and many patients fail to fully adhere to topical anti-glaucoma medicines making it difficult to define what constitutes non-response to, or intolerance of, these medicines. MSAC noted that clinicians are likely to make treatment decisions based upon individual patient characteristics and the presence or absence of visual deterioration. MSAC noted that restricting use of MIGS to people undergoing cataract surgery would limit first-line use to some extent.</w:t>
      </w:r>
    </w:p>
    <w:p w14:paraId="2EF7DD5D" w14:textId="77777777" w:rsidR="003E53B4" w:rsidRPr="003E53B4" w:rsidRDefault="003E53B4" w:rsidP="00890FBD">
      <w:pPr>
        <w:spacing w:after="160"/>
        <w:rPr>
          <w:szCs w:val="24"/>
        </w:rPr>
      </w:pPr>
      <w:r w:rsidRPr="003E53B4">
        <w:rPr>
          <w:szCs w:val="24"/>
        </w:rPr>
        <w:t>MSAC suggested a single MBS item for stent removal with an associated fee of $300.75 regardless of whether it is undertaken with or without stent replacement. MSAC noted that this fee is equivalent to the fee for in-hospital MBS eye injections (MBS items 42738–40).</w:t>
      </w:r>
    </w:p>
    <w:p w14:paraId="75F40DC0" w14:textId="77777777" w:rsidR="003E53B4" w:rsidRPr="003E53B4" w:rsidRDefault="003E53B4" w:rsidP="00890FBD">
      <w:pPr>
        <w:spacing w:after="160"/>
        <w:rPr>
          <w:szCs w:val="24"/>
        </w:rPr>
      </w:pPr>
      <w:r w:rsidRPr="003E53B4">
        <w:rPr>
          <w:szCs w:val="24"/>
        </w:rPr>
        <w:t>MSAC acknowledged that while there may still be out-of-pocket costs for consumers using the service, this was largely outside the Committee’s control.</w:t>
      </w:r>
    </w:p>
    <w:p w14:paraId="2EC07E34" w14:textId="77777777" w:rsidR="003E53B4" w:rsidRPr="003E53B4" w:rsidRDefault="003E53B4" w:rsidP="00890FBD">
      <w:pPr>
        <w:spacing w:after="160"/>
        <w:rPr>
          <w:szCs w:val="24"/>
        </w:rPr>
      </w:pPr>
      <w:r w:rsidRPr="003E53B4">
        <w:rPr>
          <w:szCs w:val="24"/>
        </w:rPr>
        <w:t>MSAC recommended that usage of MIGS be revisited in 12 months</w:t>
      </w:r>
      <w:r w:rsidR="00572086">
        <w:rPr>
          <w:szCs w:val="24"/>
        </w:rPr>
        <w:t>, under the Predicted vs Actual monitoring process,</w:t>
      </w:r>
      <w:r w:rsidRPr="003E53B4">
        <w:rPr>
          <w:szCs w:val="24"/>
        </w:rPr>
        <w:t xml:space="preserve"> to assess whether it is being used as intended.</w:t>
      </w:r>
    </w:p>
    <w:p w14:paraId="29B669AF" w14:textId="77777777" w:rsidR="00BC1364" w:rsidRPr="00F715D1" w:rsidRDefault="00BC1364" w:rsidP="00F715D1">
      <w:pPr>
        <w:pStyle w:val="Heading1"/>
      </w:pPr>
      <w:r w:rsidRPr="00F715D1">
        <w:t>Background</w:t>
      </w:r>
    </w:p>
    <w:p w14:paraId="03859E3C" w14:textId="37FBF122" w:rsidR="007C2418" w:rsidRDefault="00C33B3D" w:rsidP="00CC2A4E">
      <w:pPr>
        <w:pStyle w:val="BodyText"/>
        <w:spacing w:after="240" w:line="240" w:lineRule="auto"/>
        <w:rPr>
          <w:iCs/>
        </w:rPr>
      </w:pPr>
      <w:r>
        <w:rPr>
          <w:iCs/>
        </w:rPr>
        <w:t>MSAC has not</w:t>
      </w:r>
      <w:r w:rsidR="003F7D25">
        <w:rPr>
          <w:iCs/>
        </w:rPr>
        <w:t xml:space="preserve"> previously</w:t>
      </w:r>
      <w:r>
        <w:rPr>
          <w:iCs/>
        </w:rPr>
        <w:t xml:space="preserve"> </w:t>
      </w:r>
      <w:r w:rsidR="00504665">
        <w:rPr>
          <w:iCs/>
        </w:rPr>
        <w:t>considered</w:t>
      </w:r>
      <w:r w:rsidR="003F7D25">
        <w:rPr>
          <w:iCs/>
        </w:rPr>
        <w:t xml:space="preserve"> this application</w:t>
      </w:r>
      <w:r w:rsidR="00504665">
        <w:rPr>
          <w:iCs/>
        </w:rPr>
        <w:t>.</w:t>
      </w:r>
    </w:p>
    <w:p w14:paraId="7346E732" w14:textId="529A11D8" w:rsidR="001122EA" w:rsidRDefault="00504665" w:rsidP="00C42CB5">
      <w:pPr>
        <w:pStyle w:val="BodyText"/>
        <w:spacing w:before="0" w:line="240" w:lineRule="auto"/>
        <w:rPr>
          <w:iCs/>
        </w:rPr>
      </w:pPr>
      <w:r>
        <w:rPr>
          <w:iCs/>
        </w:rPr>
        <w:t>MBS i</w:t>
      </w:r>
      <w:r w:rsidRPr="00A03A08">
        <w:rPr>
          <w:iCs/>
        </w:rPr>
        <w:t>tem 42758 was not intended to cover implantation of MIGS stents, and the procedure had not been assessed for safety, clinical effectiveness and cost effectiveness. An amendment explicitly excluding implantation of MIGS drainage devices under MBS item 42758 (goniotomy) took</w:t>
      </w:r>
      <w:r w:rsidR="003617B7">
        <w:rPr>
          <w:iCs/>
        </w:rPr>
        <w:t xml:space="preserve"> effect on 1</w:t>
      </w:r>
      <w:r w:rsidR="00C42CB5">
        <w:rPr>
          <w:iCs/>
        </w:rPr>
        <w:t> </w:t>
      </w:r>
      <w:r w:rsidR="003617B7">
        <w:rPr>
          <w:iCs/>
        </w:rPr>
        <w:t xml:space="preserve">May 2017. </w:t>
      </w:r>
    </w:p>
    <w:p w14:paraId="02206F71" w14:textId="77777777" w:rsidR="003617B7" w:rsidRPr="003617B7" w:rsidRDefault="003617B7" w:rsidP="003617B7">
      <w:pPr>
        <w:pStyle w:val="BodyText"/>
        <w:spacing w:before="240" w:line="240" w:lineRule="auto"/>
        <w:rPr>
          <w:iCs/>
        </w:rPr>
      </w:pPr>
      <w:r w:rsidRPr="003617B7">
        <w:rPr>
          <w:iCs/>
        </w:rPr>
        <w:t xml:space="preserve">A new interim </w:t>
      </w:r>
      <w:r>
        <w:rPr>
          <w:iCs/>
        </w:rPr>
        <w:t xml:space="preserve">MBS </w:t>
      </w:r>
      <w:r w:rsidRPr="003617B7">
        <w:rPr>
          <w:iCs/>
        </w:rPr>
        <w:t xml:space="preserve">item </w:t>
      </w:r>
      <w:r>
        <w:rPr>
          <w:iCs/>
        </w:rPr>
        <w:t>42705 was</w:t>
      </w:r>
      <w:r w:rsidRPr="003617B7">
        <w:rPr>
          <w:iCs/>
        </w:rPr>
        <w:t xml:space="preserve"> listed for the insertion of MIGS devices when performed in conjunction with cataract surgery, </w:t>
      </w:r>
      <w:proofErr w:type="spellStart"/>
      <w:r w:rsidRPr="003617B7">
        <w:rPr>
          <w:iCs/>
        </w:rPr>
        <w:t>sunsetting</w:t>
      </w:r>
      <w:proofErr w:type="spellEnd"/>
      <w:r w:rsidRPr="003617B7">
        <w:rPr>
          <w:iCs/>
        </w:rPr>
        <w:t xml:space="preserve"> on 31 December 201</w:t>
      </w:r>
      <w:r w:rsidR="00572086">
        <w:rPr>
          <w:iCs/>
        </w:rPr>
        <w:t>8</w:t>
      </w:r>
      <w:r w:rsidRPr="003617B7">
        <w:rPr>
          <w:iCs/>
        </w:rPr>
        <w:t xml:space="preserve">. </w:t>
      </w:r>
    </w:p>
    <w:p w14:paraId="315FE259" w14:textId="77777777" w:rsidR="00BC1364" w:rsidRPr="00F715D1" w:rsidRDefault="00BC1364" w:rsidP="00F715D1">
      <w:pPr>
        <w:pStyle w:val="Heading1"/>
      </w:pPr>
      <w:r w:rsidRPr="00F715D1">
        <w:t>Prerequisites to implementation of any funding advice</w:t>
      </w:r>
    </w:p>
    <w:p w14:paraId="467B2ED3" w14:textId="77777777" w:rsidR="00C902E8" w:rsidRPr="006B340B" w:rsidRDefault="00C902E8" w:rsidP="00C902E8">
      <w:pPr>
        <w:rPr>
          <w:szCs w:val="24"/>
        </w:rPr>
      </w:pPr>
      <w:r>
        <w:t>The device is ARTG listed and on the Prostheses List for the proposed purpose.</w:t>
      </w:r>
    </w:p>
    <w:p w14:paraId="7EC031DC" w14:textId="77777777" w:rsidR="00BC1364" w:rsidRPr="00F715D1" w:rsidRDefault="00BC1364" w:rsidP="00F715D1">
      <w:pPr>
        <w:pStyle w:val="Heading1"/>
      </w:pPr>
      <w:r w:rsidRPr="00F715D1">
        <w:lastRenderedPageBreak/>
        <w:t>Proposal for public funding</w:t>
      </w:r>
    </w:p>
    <w:p w14:paraId="2E45C3A1" w14:textId="77777777" w:rsidR="000D5F5D" w:rsidRPr="00B71DD9" w:rsidRDefault="000D5F5D" w:rsidP="00B71DD9">
      <w:pPr>
        <w:spacing w:after="240"/>
      </w:pPr>
      <w:bookmarkStart w:id="1" w:name="_Ref493670912"/>
      <w:r>
        <w:rPr>
          <w:szCs w:val="24"/>
        </w:rPr>
        <w:t>In t</w:t>
      </w:r>
      <w:r w:rsidRPr="000D5F5D">
        <w:rPr>
          <w:szCs w:val="24"/>
        </w:rPr>
        <w:t xml:space="preserve">he </w:t>
      </w:r>
      <w:r>
        <w:rPr>
          <w:szCs w:val="24"/>
        </w:rPr>
        <w:t xml:space="preserve">pre-ESC response, the applicant proposed an updated </w:t>
      </w:r>
      <w:r w:rsidRPr="000D5F5D">
        <w:rPr>
          <w:szCs w:val="24"/>
        </w:rPr>
        <w:t xml:space="preserve">MBS item descriptor which </w:t>
      </w:r>
      <w:r>
        <w:rPr>
          <w:szCs w:val="24"/>
        </w:rPr>
        <w:t>removes the distinction</w:t>
      </w:r>
      <w:r w:rsidRPr="000D5F5D">
        <w:rPr>
          <w:szCs w:val="24"/>
        </w:rPr>
        <w:t xml:space="preserve"> between the cataract and stand-</w:t>
      </w:r>
      <w:r>
        <w:rPr>
          <w:szCs w:val="24"/>
        </w:rPr>
        <w:t xml:space="preserve">alone procedures </w:t>
      </w:r>
      <w:r w:rsidR="00B71DD9">
        <w:rPr>
          <w:szCs w:val="24"/>
        </w:rPr>
        <w:t xml:space="preserve">and </w:t>
      </w:r>
      <w:r w:rsidR="00B71DD9">
        <w:t xml:space="preserve">positions any SC MIGS procedure as second-line to topical anti-hypotensive treatment </w:t>
      </w:r>
      <w:r>
        <w:rPr>
          <w:szCs w:val="24"/>
        </w:rPr>
        <w:t>(changes are marked in Table 1).</w:t>
      </w:r>
    </w:p>
    <w:p w14:paraId="456EB0F5" w14:textId="77777777" w:rsidR="001122EA" w:rsidRPr="003429B4" w:rsidRDefault="001122EA" w:rsidP="003429B4">
      <w:pPr>
        <w:pStyle w:val="Caption1"/>
        <w:jc w:val="left"/>
        <w:rPr>
          <w:rFonts w:cs="Arial"/>
          <w:szCs w:val="20"/>
        </w:rPr>
      </w:pPr>
      <w:r w:rsidRPr="003429B4">
        <w:rPr>
          <w:rFonts w:cs="Arial"/>
          <w:szCs w:val="20"/>
        </w:rPr>
        <w:t xml:space="preserve">Table </w:t>
      </w:r>
      <w:r w:rsidRPr="003429B4">
        <w:rPr>
          <w:rFonts w:cs="Arial"/>
          <w:szCs w:val="20"/>
        </w:rPr>
        <w:fldChar w:fldCharType="begin"/>
      </w:r>
      <w:r w:rsidRPr="003429B4">
        <w:rPr>
          <w:rFonts w:cs="Arial"/>
          <w:szCs w:val="20"/>
        </w:rPr>
        <w:instrText xml:space="preserve"> SEQ Table \* ARABIC </w:instrText>
      </w:r>
      <w:r w:rsidRPr="003429B4">
        <w:rPr>
          <w:rFonts w:cs="Arial"/>
          <w:szCs w:val="20"/>
        </w:rPr>
        <w:fldChar w:fldCharType="separate"/>
      </w:r>
      <w:r w:rsidR="004C5C6D">
        <w:rPr>
          <w:rFonts w:cs="Arial"/>
          <w:noProof/>
          <w:szCs w:val="20"/>
        </w:rPr>
        <w:t>1</w:t>
      </w:r>
      <w:r w:rsidRPr="003429B4">
        <w:rPr>
          <w:rFonts w:cs="Arial"/>
          <w:noProof/>
          <w:szCs w:val="20"/>
        </w:rPr>
        <w:fldChar w:fldCharType="end"/>
      </w:r>
      <w:bookmarkEnd w:id="1"/>
      <w:r w:rsidRPr="003429B4">
        <w:rPr>
          <w:rFonts w:cs="Arial"/>
          <w:szCs w:val="20"/>
        </w:rPr>
        <w:tab/>
      </w:r>
      <w:r w:rsidR="0039017F">
        <w:rPr>
          <w:rFonts w:cs="Arial"/>
          <w:szCs w:val="20"/>
        </w:rPr>
        <w:t xml:space="preserve">Applicant proposed </w:t>
      </w:r>
      <w:r w:rsidRPr="003429B4">
        <w:rPr>
          <w:rFonts w:cs="Arial"/>
          <w:szCs w:val="20"/>
        </w:rPr>
        <w:t xml:space="preserve">changes to the </w:t>
      </w:r>
      <w:r w:rsidR="009C1A93">
        <w:rPr>
          <w:rFonts w:cs="Arial"/>
          <w:szCs w:val="20"/>
        </w:rPr>
        <w:t xml:space="preserve">MBS </w:t>
      </w:r>
      <w:r w:rsidRPr="003429B4">
        <w:rPr>
          <w:rFonts w:cs="Arial"/>
          <w:szCs w:val="20"/>
        </w:rPr>
        <w:t>item descriptor to remove the distinction between the cataract and standalone settings</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Description w:val="Proposed MBS item for removal or replacement"/>
      </w:tblPr>
      <w:tblGrid>
        <w:gridCol w:w="9242"/>
      </w:tblGrid>
      <w:tr w:rsidR="001122EA" w14:paraId="653B3B0F" w14:textId="77777777" w:rsidTr="00307E42">
        <w:trPr>
          <w:cantSplit/>
          <w:tblHeader/>
        </w:trPr>
        <w:tc>
          <w:tcPr>
            <w:tcW w:w="5000" w:type="pct"/>
            <w:tcMar>
              <w:top w:w="0" w:type="dxa"/>
              <w:left w:w="108" w:type="dxa"/>
              <w:bottom w:w="0" w:type="dxa"/>
              <w:right w:w="108" w:type="dxa"/>
            </w:tcMar>
            <w:hideMark/>
          </w:tcPr>
          <w:p w14:paraId="42878D0E" w14:textId="77777777" w:rsidR="001122EA" w:rsidRDefault="001122EA" w:rsidP="00307E42">
            <w:pPr>
              <w:pStyle w:val="TableText0"/>
              <w:keepNext w:val="0"/>
              <w:spacing w:before="0" w:after="0"/>
            </w:pPr>
            <w:r>
              <w:t>Category 3 – THERAPEUTIC PROCEDURES</w:t>
            </w:r>
          </w:p>
        </w:tc>
      </w:tr>
      <w:tr w:rsidR="001122EA" w14:paraId="7ECEAF72" w14:textId="77777777" w:rsidTr="00307E42">
        <w:trPr>
          <w:cantSplit/>
        </w:trPr>
        <w:tc>
          <w:tcPr>
            <w:tcW w:w="5000" w:type="pct"/>
            <w:tcMar>
              <w:top w:w="0" w:type="dxa"/>
              <w:left w:w="108" w:type="dxa"/>
              <w:bottom w:w="0" w:type="dxa"/>
              <w:right w:w="108" w:type="dxa"/>
            </w:tcMar>
          </w:tcPr>
          <w:p w14:paraId="6B1A90DE" w14:textId="74F13546" w:rsidR="001122EA" w:rsidRDefault="001122EA" w:rsidP="00CC2A4E">
            <w:pPr>
              <w:pStyle w:val="TableText0"/>
              <w:keepNext w:val="0"/>
              <w:spacing w:before="0" w:after="240"/>
            </w:pPr>
            <w:r>
              <w:t>MBS item number XXXXX</w:t>
            </w:r>
          </w:p>
          <w:p w14:paraId="7B5976DF" w14:textId="45AEB135" w:rsidR="001122EA" w:rsidRDefault="001122EA" w:rsidP="00CC2A4E">
            <w:pPr>
              <w:pStyle w:val="Tabletext"/>
              <w:spacing w:after="240"/>
            </w:pPr>
            <w:r>
              <w:t xml:space="preserve">GLAUCOMA, implantation of, a micro-invasive glaucoma surgery stent system into the suprachoroidal space, in patients diagnosed with open-angle glaucoma. </w:t>
            </w:r>
            <w:r>
              <w:rPr>
                <w:strike/>
              </w:rPr>
              <w:t>Can be delivered as a stand-alone procedure or in combination with cataract surgery</w:t>
            </w:r>
          </w:p>
          <w:p w14:paraId="4B5B3551" w14:textId="7204D736" w:rsidR="001122EA" w:rsidRDefault="001122EA" w:rsidP="00CC2A4E">
            <w:pPr>
              <w:pStyle w:val="Tabletext"/>
              <w:spacing w:after="240"/>
            </w:pPr>
            <w:r>
              <w:rPr>
                <w:strike/>
              </w:rPr>
              <w:t xml:space="preserve">When delivered in conjunction with cataract surgery or other intraocular surgery, </w:t>
            </w:r>
            <w:r>
              <w:t>The patient must be currently treated with ocular hypotensive medication, have previously been treated with ocular hypotensive medication, or be contraindicated to ocular hypotensive medication</w:t>
            </w:r>
          </w:p>
          <w:p w14:paraId="35D81878" w14:textId="0354C0B8" w:rsidR="001122EA" w:rsidRPr="00CC2A4E" w:rsidRDefault="001122EA" w:rsidP="00CC2A4E">
            <w:pPr>
              <w:pStyle w:val="Tabletext"/>
              <w:spacing w:after="240"/>
              <w:rPr>
                <w:strike/>
              </w:rPr>
            </w:pPr>
            <w:r>
              <w:rPr>
                <w:strike/>
              </w:rPr>
              <w:t>When delivered as a stand-alone procedure, other therapies must have failed, be likely to fail, or be contraindicated.</w:t>
            </w:r>
          </w:p>
          <w:p w14:paraId="40071BDE" w14:textId="65ED67DF" w:rsidR="001122EA" w:rsidRDefault="001122EA" w:rsidP="00CC2A4E">
            <w:pPr>
              <w:pStyle w:val="TableText0"/>
              <w:keepNext w:val="0"/>
              <w:spacing w:before="0" w:after="240"/>
            </w:pPr>
            <w:r>
              <w:t>Multiple Services Rule</w:t>
            </w:r>
          </w:p>
          <w:p w14:paraId="6BC4FA99" w14:textId="39834B5D" w:rsidR="001122EA" w:rsidRDefault="001122EA" w:rsidP="00307E42">
            <w:pPr>
              <w:pStyle w:val="TableText0"/>
              <w:keepNext w:val="0"/>
              <w:spacing w:before="0" w:after="0"/>
            </w:pPr>
            <w:r>
              <w:rPr>
                <w:b/>
                <w:bCs/>
              </w:rPr>
              <w:t>Fee:</w:t>
            </w:r>
            <w:r w:rsidR="00CC2A4E">
              <w:t xml:space="preserve"> $699.45  </w:t>
            </w:r>
            <w:r>
              <w:rPr>
                <w:b/>
                <w:bCs/>
              </w:rPr>
              <w:t>Benefit</w:t>
            </w:r>
            <w:r>
              <w:t>: 75% = 524.60</w:t>
            </w:r>
          </w:p>
        </w:tc>
      </w:tr>
    </w:tbl>
    <w:tbl>
      <w:tblPr>
        <w:tblStyle w:val="TableGrid"/>
        <w:tblW w:w="5000" w:type="pct"/>
        <w:tblLook w:val="04A0" w:firstRow="1" w:lastRow="0" w:firstColumn="1" w:lastColumn="0" w:noHBand="0" w:noVBand="1"/>
        <w:tblDescription w:val="Proposed MBS item for removal or replacement"/>
      </w:tblPr>
      <w:tblGrid>
        <w:gridCol w:w="9242"/>
      </w:tblGrid>
      <w:tr w:rsidR="00643EC8" w:rsidRPr="002A7B27" w14:paraId="2E190731" w14:textId="77777777" w:rsidTr="00303DFB">
        <w:trPr>
          <w:cantSplit/>
          <w:tblHeader/>
        </w:trPr>
        <w:tc>
          <w:tcPr>
            <w:tcW w:w="5000" w:type="pct"/>
          </w:tcPr>
          <w:p w14:paraId="25C43A79" w14:textId="7CEF06F9" w:rsidR="00643EC8" w:rsidRPr="002A7B27" w:rsidRDefault="00643EC8" w:rsidP="00CC2A4E">
            <w:pPr>
              <w:pStyle w:val="TableText0"/>
              <w:keepNext w:val="0"/>
              <w:widowControl w:val="0"/>
              <w:spacing w:before="0" w:after="240"/>
            </w:pPr>
            <w:r w:rsidRPr="002A7B27">
              <w:t>MBS item number XXXXX</w:t>
            </w:r>
          </w:p>
          <w:p w14:paraId="58841472" w14:textId="433BFAF3" w:rsidR="00643EC8" w:rsidRPr="002A7B27" w:rsidRDefault="00643EC8" w:rsidP="00CC2A4E">
            <w:pPr>
              <w:pStyle w:val="Tabletext"/>
              <w:spacing w:after="240"/>
            </w:pPr>
            <w:r w:rsidRPr="002A7B27">
              <w:t>GLAUCOMA, removal or replacement of, a micro-invasive glaucoma surgery stent system from the supraciliary space.</w:t>
            </w:r>
          </w:p>
          <w:p w14:paraId="58A26B59" w14:textId="0F1F121B" w:rsidR="00643EC8" w:rsidRPr="002A7B27" w:rsidRDefault="00643EC8" w:rsidP="00CC2A4E">
            <w:pPr>
              <w:pStyle w:val="TableText0"/>
              <w:keepNext w:val="0"/>
              <w:widowControl w:val="0"/>
              <w:spacing w:before="0" w:after="240"/>
            </w:pPr>
            <w:r w:rsidRPr="002A7B27">
              <w:t>Multiple Services Rule</w:t>
            </w:r>
          </w:p>
          <w:p w14:paraId="69FD1B9B" w14:textId="77777777" w:rsidR="00643EC8" w:rsidRPr="002A7B27" w:rsidRDefault="00643EC8" w:rsidP="00307E42">
            <w:pPr>
              <w:pStyle w:val="TableText0"/>
              <w:keepNext w:val="0"/>
              <w:widowControl w:val="0"/>
              <w:spacing w:before="0" w:after="0"/>
            </w:pPr>
            <w:r w:rsidRPr="002A7B27">
              <w:rPr>
                <w:b/>
              </w:rPr>
              <w:t>Fee:</w:t>
            </w:r>
            <w:r w:rsidRPr="002A7B27">
              <w:t xml:space="preserve"> $699.45</w:t>
            </w:r>
            <w:r w:rsidRPr="002A7B27">
              <w:tab/>
            </w:r>
            <w:r w:rsidRPr="002A7B27">
              <w:rPr>
                <w:b/>
              </w:rPr>
              <w:t>Benefit</w:t>
            </w:r>
            <w:r w:rsidRPr="002A7B27">
              <w:t>: 75% = 524.60</w:t>
            </w:r>
          </w:p>
        </w:tc>
      </w:tr>
    </w:tbl>
    <w:p w14:paraId="11359C46" w14:textId="77777777" w:rsidR="001122EA" w:rsidRPr="008D752A" w:rsidRDefault="001122EA" w:rsidP="005C3CEE">
      <w:pPr>
        <w:pStyle w:val="Heading2"/>
        <w:rPr>
          <w:sz w:val="22"/>
        </w:rPr>
      </w:pPr>
      <w:bookmarkStart w:id="2" w:name="_Toc484603853"/>
      <w:bookmarkStart w:id="3" w:name="_Toc484089607"/>
      <w:bookmarkStart w:id="4" w:name="_Toc484089254"/>
      <w:bookmarkStart w:id="5" w:name="_Toc482948249"/>
      <w:bookmarkStart w:id="6" w:name="_Toc482866374"/>
      <w:r w:rsidRPr="008D752A">
        <w:t>Population</w:t>
      </w:r>
      <w:bookmarkEnd w:id="2"/>
      <w:bookmarkEnd w:id="3"/>
      <w:bookmarkEnd w:id="4"/>
      <w:bookmarkEnd w:id="5"/>
      <w:bookmarkEnd w:id="6"/>
    </w:p>
    <w:p w14:paraId="50B8E91E" w14:textId="77777777" w:rsidR="001122EA" w:rsidRPr="00D3216E" w:rsidRDefault="001122EA" w:rsidP="0039017F">
      <w:pPr>
        <w:pStyle w:val="Executivesummary"/>
        <w:spacing w:after="240"/>
        <w:jc w:val="left"/>
        <w:rPr>
          <w:rFonts w:ascii="Times New Roman" w:hAnsi="Times New Roman" w:cs="Times New Roman"/>
          <w:sz w:val="24"/>
          <w:szCs w:val="24"/>
        </w:rPr>
      </w:pPr>
      <w:r w:rsidRPr="00D3216E">
        <w:rPr>
          <w:rFonts w:ascii="Times New Roman" w:hAnsi="Times New Roman" w:cs="Times New Roman"/>
          <w:sz w:val="24"/>
          <w:szCs w:val="24"/>
        </w:rPr>
        <w:t>Patients with confirmed POAG expected to access suprachoroidal MIGS stent implantation through the MBS can be broadly divided into two groups:</w:t>
      </w:r>
    </w:p>
    <w:p w14:paraId="60D40CDF" w14:textId="77777777" w:rsidR="001122EA" w:rsidRPr="00D3216E" w:rsidRDefault="001122EA" w:rsidP="0039017F">
      <w:pPr>
        <w:pStyle w:val="Executivesummary"/>
        <w:spacing w:before="240" w:after="240"/>
        <w:jc w:val="left"/>
        <w:rPr>
          <w:rFonts w:ascii="Times New Roman" w:hAnsi="Times New Roman" w:cs="Times New Roman"/>
          <w:sz w:val="24"/>
          <w:szCs w:val="24"/>
        </w:rPr>
      </w:pPr>
      <w:r w:rsidRPr="00D3216E">
        <w:rPr>
          <w:rFonts w:ascii="Times New Roman" w:hAnsi="Times New Roman" w:cs="Times New Roman"/>
          <w:b/>
          <w:sz w:val="24"/>
          <w:szCs w:val="24"/>
        </w:rPr>
        <w:t>Population 1</w:t>
      </w:r>
      <w:r w:rsidRPr="00D3216E">
        <w:rPr>
          <w:rFonts w:ascii="Times New Roman" w:hAnsi="Times New Roman" w:cs="Times New Roman"/>
          <w:sz w:val="24"/>
          <w:szCs w:val="24"/>
        </w:rPr>
        <w:t>: Patients who will undergo MIGS stent implantation in conjunction with cataract surgery. MIGS stent implantation would be considered earlier in the management pathway for these patients (depending on the need for cataract surgery) and would be an adjunct to topical hypotensive medication where still needed by the patient.</w:t>
      </w:r>
    </w:p>
    <w:p w14:paraId="41FEB335" w14:textId="77777777" w:rsidR="001122EA" w:rsidRPr="00D3216E" w:rsidRDefault="001122EA" w:rsidP="0039017F">
      <w:pPr>
        <w:pStyle w:val="Executivesummary"/>
        <w:spacing w:before="240" w:after="240"/>
        <w:jc w:val="left"/>
        <w:rPr>
          <w:rFonts w:ascii="Times New Roman" w:hAnsi="Times New Roman" w:cs="Times New Roman"/>
          <w:sz w:val="24"/>
          <w:szCs w:val="24"/>
        </w:rPr>
      </w:pPr>
      <w:r w:rsidRPr="00D3216E">
        <w:rPr>
          <w:rFonts w:ascii="Times New Roman" w:hAnsi="Times New Roman" w:cs="Times New Roman"/>
          <w:b/>
          <w:sz w:val="24"/>
          <w:szCs w:val="24"/>
        </w:rPr>
        <w:t>Population 2</w:t>
      </w:r>
      <w:r w:rsidRPr="00D3216E">
        <w:rPr>
          <w:rFonts w:ascii="Times New Roman" w:hAnsi="Times New Roman" w:cs="Times New Roman"/>
          <w:sz w:val="24"/>
          <w:szCs w:val="24"/>
        </w:rPr>
        <w:t>: Patients who will undergo MIGS stent implantation as a stand-alone procedure. In clinical practice, MIGS will be positioned where conservative therapies have failed, are likely to have failed, or are contraindicated. In this population MIGS stent implantation would supplant or delay other incisional surgeries, such as trabeculectomy.</w:t>
      </w:r>
    </w:p>
    <w:p w14:paraId="632DDD2E"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718B213F" w14:textId="77777777" w:rsidR="001122EA" w:rsidRPr="008D752A" w:rsidRDefault="001122EA" w:rsidP="001122EA">
      <w:r w:rsidRPr="008D752A">
        <w:t xml:space="preserve">The department received no responses from public consultation. </w:t>
      </w:r>
    </w:p>
    <w:p w14:paraId="0187718A" w14:textId="77777777" w:rsidR="00BC1364" w:rsidRPr="00F715D1" w:rsidRDefault="00BC1364" w:rsidP="00F715D1">
      <w:pPr>
        <w:pStyle w:val="Heading1"/>
      </w:pPr>
      <w:r w:rsidRPr="00F715D1">
        <w:t>Proposed intervention’s place in clinical management</w:t>
      </w:r>
    </w:p>
    <w:p w14:paraId="441B7427" w14:textId="77777777" w:rsidR="000570BD" w:rsidRDefault="000570BD" w:rsidP="001122EA">
      <w:pPr>
        <w:rPr>
          <w:b/>
          <w:szCs w:val="24"/>
        </w:rPr>
      </w:pPr>
      <w:r w:rsidRPr="00A03A08">
        <w:rPr>
          <w:iCs/>
        </w:rPr>
        <w:t>Glaucoma is a chronic degenerative optic neuropathy in which the neuro-retinal rim of the optic nerve becomes progressively thinner, caused by an acquired loss of retinal ganglion cell axons and atrophy of the optic nerve.</w:t>
      </w:r>
      <w:r>
        <w:rPr>
          <w:iCs/>
        </w:rPr>
        <w:t xml:space="preserve"> </w:t>
      </w:r>
      <w:r w:rsidRPr="00A03A08">
        <w:rPr>
          <w:iCs/>
        </w:rPr>
        <w:t xml:space="preserve">In open-angle glaucoma aqueous outflow is diminished, </w:t>
      </w:r>
      <w:r w:rsidRPr="00A03A08">
        <w:rPr>
          <w:iCs/>
        </w:rPr>
        <w:lastRenderedPageBreak/>
        <w:t>leading to an elevation of IOP. Patients with glaucoma typically lose peripheral vision, and may suffer complete vision loss if not treated.</w:t>
      </w:r>
    </w:p>
    <w:p w14:paraId="6C43DEC6" w14:textId="77777777" w:rsidR="000570BD" w:rsidRPr="00A03A08" w:rsidRDefault="000570BD" w:rsidP="000570BD">
      <w:pPr>
        <w:pStyle w:val="BodyText"/>
        <w:spacing w:before="240" w:line="240" w:lineRule="auto"/>
        <w:rPr>
          <w:iCs/>
        </w:rPr>
      </w:pPr>
      <w:r w:rsidRPr="00A03A08">
        <w:rPr>
          <w:iCs/>
        </w:rPr>
        <w:t xml:space="preserve">Micro-stent implantation involves </w:t>
      </w:r>
      <w:r>
        <w:rPr>
          <w:iCs/>
        </w:rPr>
        <w:t xml:space="preserve">placement of a </w:t>
      </w:r>
      <w:r w:rsidRPr="00A03A08">
        <w:rPr>
          <w:iCs/>
        </w:rPr>
        <w:t xml:space="preserve">minimally invasive glaucoma surgery (MIGS) device. The device improves aqueous outflow through the </w:t>
      </w:r>
      <w:proofErr w:type="spellStart"/>
      <w:r w:rsidRPr="00A03A08">
        <w:rPr>
          <w:iCs/>
        </w:rPr>
        <w:t>uveoscleral</w:t>
      </w:r>
      <w:proofErr w:type="spellEnd"/>
      <w:r w:rsidRPr="00A03A08">
        <w:rPr>
          <w:iCs/>
        </w:rPr>
        <w:t xml:space="preserve"> outflow pathway, thereby lowering IOP and dependence on pressure-lowering topical medication. The procedure is generally performed as a day surgery procedure in an ophthalmology surgical setting, in conjunction with cataract surgery or as a stand-alone treatment.</w:t>
      </w:r>
    </w:p>
    <w:p w14:paraId="02C638BC" w14:textId="77777777" w:rsidR="001122EA" w:rsidRPr="000570BD" w:rsidRDefault="001122EA" w:rsidP="005C3CEE">
      <w:pPr>
        <w:pStyle w:val="Heading2"/>
      </w:pPr>
      <w:r w:rsidRPr="000570BD">
        <w:t>MIGS stent implantation in combination with cataract surgery</w:t>
      </w:r>
    </w:p>
    <w:p w14:paraId="097B3FDE" w14:textId="77777777" w:rsidR="001122EA" w:rsidRPr="000570BD" w:rsidRDefault="001122EA" w:rsidP="001122EA">
      <w:pPr>
        <w:pStyle w:val="Executivesummary"/>
        <w:jc w:val="left"/>
        <w:rPr>
          <w:rFonts w:ascii="Times New Roman" w:hAnsi="Times New Roman" w:cs="Times New Roman"/>
          <w:sz w:val="24"/>
          <w:szCs w:val="24"/>
        </w:rPr>
      </w:pPr>
      <w:r w:rsidRPr="000570BD">
        <w:rPr>
          <w:rFonts w:ascii="Times New Roman" w:hAnsi="Times New Roman" w:cs="Times New Roman"/>
          <w:sz w:val="24"/>
          <w:szCs w:val="24"/>
        </w:rPr>
        <w:t xml:space="preserve">For patients with current cataract co-morbidity, suprachoroidal MIGS stent implantation would be performed in conjunction with cataract surgery early in the treatment algorithm. Patients will be required to be treated with at least one topical hypotensive medication. Following suprachoroidal MIGS stent implantation, patients will move through the treatment algorithm as usual, with downstream treatment options including laser </w:t>
      </w:r>
      <w:proofErr w:type="spellStart"/>
      <w:r w:rsidRPr="000570BD">
        <w:rPr>
          <w:rFonts w:ascii="Times New Roman" w:hAnsi="Times New Roman" w:cs="Times New Roman"/>
          <w:sz w:val="24"/>
          <w:szCs w:val="24"/>
        </w:rPr>
        <w:t>trabeculoplasty</w:t>
      </w:r>
      <w:proofErr w:type="spellEnd"/>
      <w:r w:rsidRPr="000570BD">
        <w:rPr>
          <w:rFonts w:ascii="Times New Roman" w:hAnsi="Times New Roman" w:cs="Times New Roman"/>
          <w:sz w:val="24"/>
          <w:szCs w:val="24"/>
        </w:rPr>
        <w:t xml:space="preserve"> and filtering surgery (i.e. trabeculectomy).</w:t>
      </w:r>
    </w:p>
    <w:p w14:paraId="584DEAA3" w14:textId="77777777" w:rsidR="001122EA" w:rsidRPr="000570BD" w:rsidRDefault="001122EA" w:rsidP="005C3CEE">
      <w:pPr>
        <w:pStyle w:val="Heading2"/>
      </w:pPr>
      <w:r w:rsidRPr="000570BD">
        <w:t>MIGS stent implantation as a stand-alone procedure</w:t>
      </w:r>
    </w:p>
    <w:p w14:paraId="402F4885" w14:textId="77777777" w:rsidR="0001378E" w:rsidRDefault="001122EA" w:rsidP="001122EA">
      <w:pPr>
        <w:pStyle w:val="Executivesummary"/>
        <w:jc w:val="left"/>
        <w:rPr>
          <w:rFonts w:ascii="Times New Roman" w:hAnsi="Times New Roman" w:cs="Times New Roman"/>
          <w:sz w:val="24"/>
          <w:szCs w:val="24"/>
        </w:rPr>
      </w:pPr>
      <w:r w:rsidRPr="000570BD">
        <w:rPr>
          <w:rFonts w:ascii="Times New Roman" w:hAnsi="Times New Roman" w:cs="Times New Roman"/>
          <w:sz w:val="24"/>
          <w:szCs w:val="24"/>
        </w:rPr>
        <w:t xml:space="preserve">For patients undergoing suprachoroidal MIGS stent implantation as a stand-alone procedure, the intervention will likely supplant or delay other incisional surgeries, such as trabeculectomy. In a small proportion of patients who would be considered poor candidates for incisional surgery, suprachoroidal MIGS stent implantation may be an alternative to laser </w:t>
      </w:r>
      <w:proofErr w:type="spellStart"/>
      <w:r w:rsidRPr="000570BD">
        <w:rPr>
          <w:rFonts w:ascii="Times New Roman" w:hAnsi="Times New Roman" w:cs="Times New Roman"/>
          <w:sz w:val="24"/>
          <w:szCs w:val="24"/>
        </w:rPr>
        <w:t>trabeculoplasty</w:t>
      </w:r>
      <w:proofErr w:type="spellEnd"/>
      <w:r w:rsidRPr="000570BD">
        <w:rPr>
          <w:rFonts w:ascii="Times New Roman" w:hAnsi="Times New Roman" w:cs="Times New Roman"/>
          <w:sz w:val="24"/>
          <w:szCs w:val="24"/>
        </w:rPr>
        <w:t>.</w:t>
      </w:r>
    </w:p>
    <w:p w14:paraId="70FDF4A6" w14:textId="77777777" w:rsidR="00BB1019" w:rsidRPr="00BB1019" w:rsidRDefault="00BB1019" w:rsidP="00BB1019">
      <w:pPr>
        <w:pStyle w:val="Caption"/>
        <w:keepNext/>
        <w:keepLines/>
        <w:widowControl w:val="0"/>
        <w:rPr>
          <w:rFonts w:ascii="Arial Narrow" w:hAnsi="Arial Narrow"/>
          <w:color w:val="auto"/>
          <w:sz w:val="20"/>
          <w:szCs w:val="20"/>
        </w:rPr>
      </w:pPr>
      <w:bookmarkStart w:id="7" w:name="_Toc484604080"/>
      <w:r w:rsidRPr="00BB1019">
        <w:rPr>
          <w:rFonts w:ascii="Arial Narrow" w:hAnsi="Arial Narrow"/>
          <w:color w:val="auto"/>
          <w:sz w:val="20"/>
          <w:szCs w:val="20"/>
        </w:rPr>
        <w:lastRenderedPageBreak/>
        <w:t xml:space="preserve">Figure </w:t>
      </w:r>
      <w:r w:rsidRPr="00BB1019">
        <w:rPr>
          <w:rFonts w:ascii="Arial Narrow" w:hAnsi="Arial Narrow"/>
          <w:color w:val="auto"/>
          <w:sz w:val="20"/>
          <w:szCs w:val="20"/>
        </w:rPr>
        <w:fldChar w:fldCharType="begin"/>
      </w:r>
      <w:r w:rsidRPr="00BB1019">
        <w:rPr>
          <w:rFonts w:ascii="Arial Narrow" w:hAnsi="Arial Narrow"/>
          <w:color w:val="auto"/>
          <w:sz w:val="20"/>
          <w:szCs w:val="20"/>
        </w:rPr>
        <w:instrText xml:space="preserve"> SEQ Figure \* ARABIC </w:instrText>
      </w:r>
      <w:r w:rsidRPr="00BB1019">
        <w:rPr>
          <w:rFonts w:ascii="Arial Narrow" w:hAnsi="Arial Narrow"/>
          <w:color w:val="auto"/>
          <w:sz w:val="20"/>
          <w:szCs w:val="20"/>
        </w:rPr>
        <w:fldChar w:fldCharType="separate"/>
      </w:r>
      <w:r w:rsidR="004C5C6D">
        <w:rPr>
          <w:rFonts w:ascii="Arial Narrow" w:hAnsi="Arial Narrow"/>
          <w:noProof/>
          <w:color w:val="auto"/>
          <w:sz w:val="20"/>
          <w:szCs w:val="20"/>
        </w:rPr>
        <w:t>1</w:t>
      </w:r>
      <w:r w:rsidRPr="00BB1019">
        <w:rPr>
          <w:rFonts w:ascii="Arial Narrow" w:hAnsi="Arial Narrow"/>
          <w:noProof/>
          <w:color w:val="auto"/>
          <w:sz w:val="20"/>
          <w:szCs w:val="20"/>
        </w:rPr>
        <w:fldChar w:fldCharType="end"/>
      </w:r>
      <w:r w:rsidRPr="00BB1019">
        <w:rPr>
          <w:rFonts w:ascii="Arial Narrow" w:hAnsi="Arial Narrow"/>
          <w:color w:val="auto"/>
          <w:sz w:val="20"/>
          <w:szCs w:val="20"/>
        </w:rPr>
        <w:t xml:space="preserve"> </w:t>
      </w:r>
      <w:r w:rsidRPr="00BB1019">
        <w:rPr>
          <w:rFonts w:ascii="Arial Narrow" w:hAnsi="Arial Narrow"/>
          <w:color w:val="auto"/>
          <w:sz w:val="20"/>
          <w:szCs w:val="20"/>
        </w:rPr>
        <w:tab/>
        <w:t>Clinical management algorithm for suprachoroidal MIGS stent implantation in each requested patient population, as it fits into the current treatment algorithm</w:t>
      </w:r>
      <w:bookmarkEnd w:id="7"/>
    </w:p>
    <w:p w14:paraId="599F7871" w14:textId="77777777" w:rsidR="001122EA" w:rsidRPr="008D752A" w:rsidRDefault="001122EA" w:rsidP="00BB1019">
      <w:pPr>
        <w:pStyle w:val="Executivesummary"/>
        <w:keepNext/>
        <w:keepLines/>
        <w:jc w:val="left"/>
        <w:rPr>
          <w:rFonts w:ascii="Times New Roman" w:hAnsi="Times New Roman" w:cs="Times New Roman"/>
        </w:rPr>
      </w:pPr>
      <w:r w:rsidRPr="008D752A">
        <w:rPr>
          <w:rFonts w:ascii="Times New Roman" w:hAnsi="Times New Roman" w:cs="Times New Roman"/>
          <w:noProof/>
        </w:rPr>
        <w:drawing>
          <wp:inline distT="0" distB="0" distL="0" distR="0" wp14:anchorId="0DB6DA3D" wp14:editId="3E9DFEB9">
            <wp:extent cx="5332775" cy="5478162"/>
            <wp:effectExtent l="0" t="0" r="1270" b="8255"/>
            <wp:docPr id="1" name="Picture 1" descr="Clinical management algorithm in both patient populations if SC MIGS are used as 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9715" cy="5485291"/>
                    </a:xfrm>
                    <a:prstGeom prst="rect">
                      <a:avLst/>
                    </a:prstGeom>
                    <a:noFill/>
                    <a:ln>
                      <a:noFill/>
                    </a:ln>
                  </pic:spPr>
                </pic:pic>
              </a:graphicData>
            </a:graphic>
          </wp:inline>
        </w:drawing>
      </w:r>
    </w:p>
    <w:p w14:paraId="55DC75DE" w14:textId="77777777" w:rsidR="00BC1364" w:rsidRPr="00F715D1" w:rsidRDefault="00BC1364" w:rsidP="00F715D1">
      <w:pPr>
        <w:pStyle w:val="Heading1"/>
      </w:pPr>
      <w:r w:rsidRPr="00F715D1">
        <w:t xml:space="preserve">Comparator </w:t>
      </w:r>
    </w:p>
    <w:p w14:paraId="05A2B84B" w14:textId="77777777" w:rsidR="007764B4" w:rsidRPr="008D752A" w:rsidRDefault="007764B4" w:rsidP="005C3CEE">
      <w:pPr>
        <w:pStyle w:val="Heading2"/>
      </w:pPr>
      <w:r w:rsidRPr="008D752A">
        <w:t>MIGS stent implantation in combination with cataract surgery</w:t>
      </w:r>
    </w:p>
    <w:p w14:paraId="4E84C546" w14:textId="77777777" w:rsidR="007764B4" w:rsidRPr="00716B28" w:rsidRDefault="00B04523" w:rsidP="007764B4">
      <w:pPr>
        <w:pStyle w:val="Executivesummary"/>
        <w:jc w:val="left"/>
        <w:rPr>
          <w:rFonts w:ascii="Times New Roman" w:hAnsi="Times New Roman" w:cs="Times New Roman"/>
          <w:sz w:val="24"/>
          <w:szCs w:val="24"/>
        </w:rPr>
      </w:pPr>
      <w:r>
        <w:rPr>
          <w:rFonts w:ascii="Times New Roman" w:hAnsi="Times New Roman" w:cs="Times New Roman"/>
          <w:sz w:val="24"/>
          <w:szCs w:val="24"/>
        </w:rPr>
        <w:t>T</w:t>
      </w:r>
      <w:r w:rsidR="007764B4" w:rsidRPr="00716B28">
        <w:rPr>
          <w:rFonts w:ascii="Times New Roman" w:hAnsi="Times New Roman" w:cs="Times New Roman"/>
          <w:sz w:val="24"/>
          <w:szCs w:val="24"/>
        </w:rPr>
        <w:t xml:space="preserve">he primary comparator to MIGS stent implantation for patients with </w:t>
      </w:r>
      <w:r w:rsidR="009B4DC9">
        <w:rPr>
          <w:rFonts w:ascii="Times New Roman" w:hAnsi="Times New Roman" w:cs="Times New Roman"/>
          <w:sz w:val="24"/>
          <w:szCs w:val="24"/>
        </w:rPr>
        <w:t>OAG with cataract co-morbidity wa</w:t>
      </w:r>
      <w:r w:rsidR="007764B4" w:rsidRPr="00716B28">
        <w:rPr>
          <w:rFonts w:ascii="Times New Roman" w:hAnsi="Times New Roman" w:cs="Times New Roman"/>
          <w:sz w:val="24"/>
          <w:szCs w:val="24"/>
        </w:rPr>
        <w:t>s cataract surgery with continued medical management of IOP with ocular hypotensive medication.</w:t>
      </w:r>
    </w:p>
    <w:p w14:paraId="5690F8D4" w14:textId="77777777" w:rsidR="007764B4" w:rsidRPr="00E56ED6" w:rsidRDefault="007764B4" w:rsidP="00E56ED6">
      <w:pPr>
        <w:pStyle w:val="Executivesummary"/>
        <w:jc w:val="left"/>
        <w:rPr>
          <w:rFonts w:ascii="Times New Roman" w:hAnsi="Times New Roman" w:cs="Times New Roman"/>
          <w:sz w:val="24"/>
          <w:szCs w:val="24"/>
        </w:rPr>
      </w:pPr>
      <w:r w:rsidRPr="00716B28">
        <w:rPr>
          <w:rFonts w:ascii="Times New Roman" w:hAnsi="Times New Roman" w:cs="Times New Roman"/>
          <w:sz w:val="24"/>
          <w:szCs w:val="24"/>
        </w:rPr>
        <w:t>A secondary comparator for this patient population</w:t>
      </w:r>
      <w:r w:rsidR="00716B28">
        <w:rPr>
          <w:rFonts w:ascii="Times New Roman" w:hAnsi="Times New Roman" w:cs="Times New Roman"/>
          <w:sz w:val="24"/>
          <w:szCs w:val="24"/>
        </w:rPr>
        <w:t xml:space="preserve"> is</w:t>
      </w:r>
      <w:r w:rsidRPr="00716B28">
        <w:rPr>
          <w:rFonts w:ascii="Times New Roman" w:hAnsi="Times New Roman" w:cs="Times New Roman"/>
          <w:sz w:val="24"/>
          <w:szCs w:val="24"/>
        </w:rPr>
        <w:t xml:space="preserve"> an alternative form of MIGS using trabecular bypass MIGS implantation stents. Trabecular bypass MIGS implantation stenting is being considered by MSAC at the same meeting as the current application for suprachoroidal MIGS stent impl</w:t>
      </w:r>
      <w:r w:rsidR="009B4DC9">
        <w:rPr>
          <w:rFonts w:ascii="Times New Roman" w:hAnsi="Times New Roman" w:cs="Times New Roman"/>
          <w:sz w:val="24"/>
          <w:szCs w:val="24"/>
        </w:rPr>
        <w:t xml:space="preserve">antation (MSAC </w:t>
      </w:r>
      <w:r w:rsidR="00E56ED6">
        <w:rPr>
          <w:rFonts w:ascii="Times New Roman" w:hAnsi="Times New Roman" w:cs="Times New Roman"/>
          <w:sz w:val="24"/>
          <w:szCs w:val="24"/>
        </w:rPr>
        <w:t>Application 1483).</w:t>
      </w:r>
    </w:p>
    <w:p w14:paraId="12A6B429" w14:textId="77777777" w:rsidR="007764B4" w:rsidRPr="007B149A" w:rsidRDefault="007764B4" w:rsidP="005C3CEE">
      <w:pPr>
        <w:pStyle w:val="Heading2"/>
      </w:pPr>
      <w:r w:rsidRPr="007B149A">
        <w:t>MIGS stent implantation as a stand-alone procedure</w:t>
      </w:r>
    </w:p>
    <w:p w14:paraId="205A45E3" w14:textId="77777777" w:rsidR="007764B4" w:rsidRPr="00716B28" w:rsidRDefault="007764B4" w:rsidP="007764B4">
      <w:pPr>
        <w:pStyle w:val="Executivesummary"/>
        <w:jc w:val="left"/>
        <w:rPr>
          <w:rFonts w:ascii="Times New Roman" w:hAnsi="Times New Roman" w:cs="Times New Roman"/>
          <w:sz w:val="24"/>
          <w:szCs w:val="24"/>
        </w:rPr>
      </w:pPr>
      <w:r w:rsidRPr="00716B28">
        <w:rPr>
          <w:rFonts w:ascii="Times New Roman" w:hAnsi="Times New Roman" w:cs="Times New Roman"/>
          <w:sz w:val="24"/>
          <w:szCs w:val="24"/>
        </w:rPr>
        <w:t xml:space="preserve">Patients experiencing inadequate IOP control with maximal-tolerated hypotensive medication or due to poor compliance, or other treatment-related adverse effects would be considered for MIGS stent implantation as a standalone procedure. </w:t>
      </w:r>
    </w:p>
    <w:p w14:paraId="4237E9C2" w14:textId="2E41E40C" w:rsidR="00B04523" w:rsidRDefault="00B04523" w:rsidP="007764B4">
      <w:pPr>
        <w:tabs>
          <w:tab w:val="num" w:pos="426"/>
        </w:tabs>
        <w:spacing w:after="240"/>
        <w:rPr>
          <w:szCs w:val="24"/>
        </w:rPr>
      </w:pPr>
      <w:r>
        <w:rPr>
          <w:szCs w:val="24"/>
        </w:rPr>
        <w:lastRenderedPageBreak/>
        <w:t>The comparator for p</w:t>
      </w:r>
      <w:r w:rsidRPr="00716B28">
        <w:rPr>
          <w:szCs w:val="24"/>
        </w:rPr>
        <w:t>atients experiencing inadequate IOP control with maximal-tolerated hypotensive medication or due to poor compliance, or other treatment-related adverse effects</w:t>
      </w:r>
      <w:r>
        <w:rPr>
          <w:szCs w:val="24"/>
        </w:rPr>
        <w:t>,</w:t>
      </w:r>
      <w:r w:rsidR="00CC2A4E">
        <w:rPr>
          <w:szCs w:val="24"/>
        </w:rPr>
        <w:t xml:space="preserve"> would be trabeculectomy.</w:t>
      </w:r>
    </w:p>
    <w:p w14:paraId="760F9E93" w14:textId="77777777" w:rsidR="007764B4" w:rsidRPr="00716B28" w:rsidRDefault="007764B4" w:rsidP="007764B4">
      <w:pPr>
        <w:tabs>
          <w:tab w:val="num" w:pos="426"/>
        </w:tabs>
        <w:spacing w:after="240"/>
        <w:rPr>
          <w:i/>
          <w:szCs w:val="24"/>
        </w:rPr>
      </w:pPr>
      <w:r w:rsidRPr="00716B28">
        <w:rPr>
          <w:szCs w:val="24"/>
        </w:rPr>
        <w:t>As with Population 1, trabecular bypass MIGS implantation stents as a standalone procedure is a secondary comparator relevant for this patient population.</w:t>
      </w:r>
    </w:p>
    <w:p w14:paraId="50436B35" w14:textId="77777777" w:rsidR="00BC1364" w:rsidRPr="00F715D1" w:rsidRDefault="00BC1364" w:rsidP="00F715D1">
      <w:pPr>
        <w:pStyle w:val="Heading1"/>
      </w:pPr>
      <w:r w:rsidRPr="00F715D1">
        <w:t>Comparative safety</w:t>
      </w:r>
    </w:p>
    <w:p w14:paraId="4574A932" w14:textId="77777777" w:rsidR="007764B4" w:rsidRPr="007764B4" w:rsidRDefault="007764B4" w:rsidP="005C3CEE">
      <w:pPr>
        <w:pStyle w:val="Heading2"/>
      </w:pPr>
      <w:r w:rsidRPr="007764B4">
        <w:t>MIGS stent implantation in combination with cataract surgery</w:t>
      </w:r>
    </w:p>
    <w:p w14:paraId="278BADF2" w14:textId="77777777" w:rsidR="007153A0" w:rsidRPr="00303DFB" w:rsidRDefault="007153A0" w:rsidP="00303DFB">
      <w:pPr>
        <w:spacing w:before="240"/>
      </w:pPr>
      <w:r w:rsidRPr="00303DFB">
        <w:t xml:space="preserve">The risks of intra- and post-operative adverse events when using the device, either delivered alone or in conjunction with cataract </w:t>
      </w:r>
      <w:proofErr w:type="gramStart"/>
      <w:r w:rsidRPr="00303DFB">
        <w:t>surgery,</w:t>
      </w:r>
      <w:proofErr w:type="gramEnd"/>
      <w:r w:rsidRPr="00303DFB">
        <w:t xml:space="preserve"> are low. Adverse events are infrequent and rarely serious.</w:t>
      </w:r>
    </w:p>
    <w:p w14:paraId="349CDB08" w14:textId="77777777" w:rsidR="00B264D4" w:rsidRDefault="007153A0" w:rsidP="00303DFB">
      <w:pPr>
        <w:spacing w:before="240"/>
      </w:pPr>
      <w:r w:rsidRPr="007153A0">
        <w:t>Consequences of stent implantation that may result in under-performance of the SC MIGS device(s) or need for a corrective surgical procedure (such as laser photocoagulation or stent repositioning), include stent malposition, migration or obstruction. Four studies (all populations) reported stent malposition in four of 848 patients (&lt;1%) and obstruction in 43 of 848 patients (5%). Stent migration was reported in one RCT and occurred in two of 374 patients (0.5%). Post-marketing surveillance data on the SC stent was not available.</w:t>
      </w:r>
    </w:p>
    <w:p w14:paraId="008B8BA4" w14:textId="77777777" w:rsidR="00B264D4" w:rsidRPr="007153A0" w:rsidRDefault="00B264D4" w:rsidP="007153A0">
      <w:pPr>
        <w:spacing w:before="240"/>
      </w:pPr>
      <w:r w:rsidRPr="002A7B27">
        <w:t xml:space="preserve">A summary of the direct comparison of </w:t>
      </w:r>
      <w:proofErr w:type="spellStart"/>
      <w:r w:rsidRPr="002A7B27">
        <w:t>CyPass</w:t>
      </w:r>
      <w:proofErr w:type="spellEnd"/>
      <w:r w:rsidRPr="002A7B27">
        <w:t xml:space="preserve"> with cataract surgery vs. cataract surgery only is presented in </w:t>
      </w:r>
      <w:r>
        <w:t>Table 3</w:t>
      </w:r>
      <w:r w:rsidRPr="002A7B27">
        <w:t xml:space="preserve">. Overall, patients who underwent </w:t>
      </w:r>
      <w:proofErr w:type="spellStart"/>
      <w:r w:rsidRPr="002A7B27">
        <w:t>CyPass</w:t>
      </w:r>
      <w:proofErr w:type="spellEnd"/>
      <w:r w:rsidRPr="002A7B27">
        <w:t xml:space="preserve"> in combination with cataract surgery had significantly more postoperative ocular adverse events of interest compared to patients who had cataract surgery only (OR=2.59, 95% CI: 1.20, 5.61], p=0.0154). </w:t>
      </w:r>
      <w:r>
        <w:t>T</w:t>
      </w:r>
      <w:r w:rsidRPr="002A7B27">
        <w:t>he results suggest that cataract surgery in combination with suprachoroidal MIGS stent implantation is inferior to cataract surgery only in terms of comparative safety.</w:t>
      </w:r>
    </w:p>
    <w:p w14:paraId="0478BBDE" w14:textId="77777777" w:rsidR="007764B4" w:rsidRPr="007764B4" w:rsidRDefault="007764B4" w:rsidP="005C3CEE">
      <w:pPr>
        <w:pStyle w:val="Heading2"/>
      </w:pPr>
      <w:r w:rsidRPr="007764B4">
        <w:t>MIGS stent implantation as a stand-alone procedure</w:t>
      </w:r>
    </w:p>
    <w:p w14:paraId="26CBEA59" w14:textId="77777777" w:rsidR="00307E42" w:rsidRDefault="00307E42" w:rsidP="007764B4">
      <w:pPr>
        <w:pStyle w:val="Executivesummary"/>
        <w:jc w:val="left"/>
        <w:rPr>
          <w:rFonts w:ascii="Times New Roman" w:hAnsi="Times New Roman" w:cs="Times New Roman"/>
          <w:sz w:val="24"/>
          <w:szCs w:val="24"/>
        </w:rPr>
      </w:pPr>
      <w:r>
        <w:rPr>
          <w:rFonts w:ascii="Times New Roman" w:hAnsi="Times New Roman" w:cs="Times New Roman"/>
          <w:sz w:val="24"/>
          <w:szCs w:val="24"/>
        </w:rPr>
        <w:t>Based on the t</w:t>
      </w:r>
      <w:r w:rsidRPr="00307E42">
        <w:rPr>
          <w:rFonts w:ascii="Times New Roman" w:hAnsi="Times New Roman" w:cs="Times New Roman"/>
          <w:sz w:val="24"/>
          <w:szCs w:val="24"/>
        </w:rPr>
        <w:t>wo single arm studies (CYCLE and DUETTE)</w:t>
      </w:r>
      <w:r>
        <w:rPr>
          <w:rFonts w:ascii="Times New Roman" w:hAnsi="Times New Roman" w:cs="Times New Roman"/>
          <w:sz w:val="24"/>
          <w:szCs w:val="24"/>
        </w:rPr>
        <w:t xml:space="preserve">, </w:t>
      </w:r>
      <w:r w:rsidRPr="00307E42">
        <w:rPr>
          <w:rFonts w:ascii="Times New Roman" w:hAnsi="Times New Roman" w:cs="Times New Roman"/>
          <w:sz w:val="24"/>
          <w:szCs w:val="24"/>
        </w:rPr>
        <w:t xml:space="preserve">there were no serious or unanticipated ocular AEs considered related to the </w:t>
      </w:r>
      <w:proofErr w:type="spellStart"/>
      <w:r w:rsidRPr="00307E42">
        <w:rPr>
          <w:rFonts w:ascii="Times New Roman" w:hAnsi="Times New Roman" w:cs="Times New Roman"/>
          <w:sz w:val="24"/>
          <w:szCs w:val="24"/>
        </w:rPr>
        <w:t>CyPass</w:t>
      </w:r>
      <w:proofErr w:type="spellEnd"/>
      <w:r w:rsidRPr="00307E42">
        <w:rPr>
          <w:rFonts w:ascii="Times New Roman" w:hAnsi="Times New Roman" w:cs="Times New Roman"/>
          <w:sz w:val="24"/>
          <w:szCs w:val="24"/>
        </w:rPr>
        <w:t xml:space="preserve"> Micro-Stent. </w:t>
      </w:r>
    </w:p>
    <w:p w14:paraId="77EA2E3B" w14:textId="77777777" w:rsidR="00BC1364" w:rsidRPr="00F715D1" w:rsidRDefault="00BC1364" w:rsidP="00F715D1">
      <w:pPr>
        <w:pStyle w:val="Heading1"/>
      </w:pPr>
      <w:r w:rsidRPr="00F715D1">
        <w:t>Comparative effectiveness</w:t>
      </w:r>
    </w:p>
    <w:p w14:paraId="6DFC7C70" w14:textId="77777777" w:rsidR="007153A0" w:rsidRPr="007153A0" w:rsidRDefault="007153A0" w:rsidP="005C3CEE">
      <w:pPr>
        <w:pStyle w:val="Heading2"/>
      </w:pPr>
      <w:r w:rsidRPr="007153A0">
        <w:t>MIGS stent implantation in combination with cataract surgery</w:t>
      </w:r>
    </w:p>
    <w:p w14:paraId="252F9AF6" w14:textId="2E124550" w:rsidR="007C2418" w:rsidRDefault="00851562" w:rsidP="00CC2A4E">
      <w:pPr>
        <w:tabs>
          <w:tab w:val="left" w:pos="720"/>
          <w:tab w:val="left" w:pos="1140"/>
        </w:tabs>
        <w:spacing w:before="240" w:after="120"/>
        <w:rPr>
          <w:rFonts w:ascii="Arial Narrow" w:hAnsi="Arial Narrow"/>
          <w:b/>
          <w:bCs/>
          <w:sz w:val="20"/>
        </w:rPr>
      </w:pPr>
      <w:r w:rsidRPr="002A7B27">
        <w:t xml:space="preserve">The key </w:t>
      </w:r>
      <w:proofErr w:type="gramStart"/>
      <w:r w:rsidRPr="002A7B27">
        <w:t>features of the evidence base for suprachoroidal stent implantation in combination with cataract surgery is</w:t>
      </w:r>
      <w:proofErr w:type="gramEnd"/>
      <w:r w:rsidRPr="002A7B27">
        <w:t xml:space="preserve"> presented in </w:t>
      </w:r>
      <w:r w:rsidR="007153A0">
        <w:t>Table 2</w:t>
      </w:r>
      <w:r>
        <w:t>.</w:t>
      </w:r>
      <w:bookmarkStart w:id="8" w:name="_Toc484089469"/>
      <w:bookmarkStart w:id="9" w:name="_Toc484607926"/>
      <w:r w:rsidR="007C2418">
        <w:rPr>
          <w:rFonts w:ascii="Arial Narrow" w:hAnsi="Arial Narrow"/>
          <w:sz w:val="20"/>
        </w:rPr>
        <w:br w:type="page"/>
      </w:r>
    </w:p>
    <w:p w14:paraId="2E588611" w14:textId="77777777" w:rsidR="00851562" w:rsidRPr="00534AE3" w:rsidRDefault="00851562" w:rsidP="00534AE3">
      <w:pPr>
        <w:pStyle w:val="Caption"/>
        <w:widowControl w:val="0"/>
        <w:spacing w:before="240" w:after="0"/>
        <w:rPr>
          <w:rFonts w:ascii="Arial Narrow" w:hAnsi="Arial Narrow"/>
          <w:snapToGrid w:val="0"/>
          <w:color w:val="auto"/>
          <w:sz w:val="20"/>
          <w:szCs w:val="20"/>
          <w:lang w:eastAsia="en-US"/>
        </w:rPr>
      </w:pPr>
      <w:r w:rsidRPr="00534AE3">
        <w:rPr>
          <w:rFonts w:ascii="Arial Narrow" w:hAnsi="Arial Narrow"/>
          <w:color w:val="auto"/>
          <w:sz w:val="20"/>
          <w:szCs w:val="20"/>
        </w:rPr>
        <w:lastRenderedPageBreak/>
        <w:t xml:space="preserve">Table </w:t>
      </w:r>
      <w:r w:rsidR="00534AE3">
        <w:rPr>
          <w:rFonts w:ascii="Arial Narrow" w:hAnsi="Arial Narrow"/>
          <w:color w:val="auto"/>
          <w:sz w:val="20"/>
          <w:szCs w:val="20"/>
        </w:rPr>
        <w:t>2</w:t>
      </w:r>
      <w:r w:rsidRPr="00534AE3">
        <w:rPr>
          <w:rFonts w:ascii="Arial Narrow" w:hAnsi="Arial Narrow"/>
          <w:color w:val="auto"/>
          <w:sz w:val="20"/>
          <w:szCs w:val="20"/>
        </w:rPr>
        <w:tab/>
      </w:r>
      <w:r w:rsidR="00534AE3">
        <w:rPr>
          <w:rFonts w:ascii="Arial Narrow" w:hAnsi="Arial Narrow"/>
          <w:color w:val="auto"/>
          <w:sz w:val="20"/>
          <w:szCs w:val="20"/>
        </w:rPr>
        <w:tab/>
      </w:r>
      <w:r w:rsidRPr="00534AE3">
        <w:rPr>
          <w:rFonts w:ascii="Arial Narrow" w:hAnsi="Arial Narrow"/>
          <w:snapToGrid w:val="0"/>
          <w:color w:val="auto"/>
          <w:sz w:val="20"/>
          <w:szCs w:val="20"/>
          <w:lang w:eastAsia="en-US"/>
        </w:rPr>
        <w:t xml:space="preserve">Key features of the included trials for </w:t>
      </w:r>
      <w:proofErr w:type="spellStart"/>
      <w:r w:rsidRPr="00534AE3">
        <w:rPr>
          <w:rFonts w:ascii="Arial Narrow" w:hAnsi="Arial Narrow"/>
          <w:snapToGrid w:val="0"/>
          <w:color w:val="auto"/>
          <w:sz w:val="20"/>
          <w:szCs w:val="20"/>
          <w:lang w:eastAsia="en-US"/>
        </w:rPr>
        <w:t>CyPass</w:t>
      </w:r>
      <w:proofErr w:type="spellEnd"/>
      <w:r w:rsidRPr="00534AE3">
        <w:rPr>
          <w:rFonts w:ascii="Arial Narrow" w:hAnsi="Arial Narrow"/>
          <w:snapToGrid w:val="0"/>
          <w:color w:val="auto"/>
          <w:sz w:val="20"/>
          <w:szCs w:val="20"/>
          <w:lang w:eastAsia="en-US"/>
        </w:rPr>
        <w:t xml:space="preserve"> in combination with cataract surgery</w:t>
      </w:r>
      <w:bookmarkEnd w:id="8"/>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22"/>
        <w:gridCol w:w="1230"/>
        <w:gridCol w:w="1168"/>
        <w:gridCol w:w="1351"/>
        <w:gridCol w:w="4011"/>
      </w:tblGrid>
      <w:tr w:rsidR="00851562" w:rsidRPr="002A7B27" w14:paraId="51C1FFDF" w14:textId="77777777" w:rsidTr="00307E42">
        <w:tc>
          <w:tcPr>
            <w:tcW w:w="728" w:type="pct"/>
            <w:shd w:val="clear" w:color="auto" w:fill="auto"/>
          </w:tcPr>
          <w:p w14:paraId="151C0495" w14:textId="77777777" w:rsidR="00851562" w:rsidRPr="002A7B27" w:rsidRDefault="00851562" w:rsidP="00307E42">
            <w:pPr>
              <w:pStyle w:val="TableHeading"/>
              <w:keepNext w:val="0"/>
              <w:widowControl w:val="0"/>
              <w:ind w:left="57"/>
              <w:rPr>
                <w:snapToGrid w:val="0"/>
                <w:lang w:eastAsia="en-US"/>
              </w:rPr>
            </w:pPr>
            <w:r w:rsidRPr="002A7B27">
              <w:rPr>
                <w:snapToGrid w:val="0"/>
                <w:lang w:eastAsia="en-US"/>
              </w:rPr>
              <w:t>Trial/Study</w:t>
            </w:r>
          </w:p>
        </w:tc>
        <w:tc>
          <w:tcPr>
            <w:tcW w:w="677" w:type="pct"/>
            <w:shd w:val="clear" w:color="auto" w:fill="auto"/>
          </w:tcPr>
          <w:p w14:paraId="6EE889C3" w14:textId="77777777" w:rsidR="00851562" w:rsidRPr="002A7B27" w:rsidRDefault="00851562" w:rsidP="00307E42">
            <w:pPr>
              <w:pStyle w:val="TableHeading"/>
              <w:keepNext w:val="0"/>
              <w:widowControl w:val="0"/>
              <w:ind w:left="57"/>
              <w:rPr>
                <w:snapToGrid w:val="0"/>
                <w:lang w:eastAsia="en-US"/>
              </w:rPr>
            </w:pPr>
            <w:r w:rsidRPr="002A7B27">
              <w:rPr>
                <w:snapToGrid w:val="0"/>
                <w:lang w:eastAsia="en-US"/>
              </w:rPr>
              <w:t>Design/ duration</w:t>
            </w:r>
          </w:p>
        </w:tc>
        <w:tc>
          <w:tcPr>
            <w:tcW w:w="643" w:type="pct"/>
            <w:shd w:val="clear" w:color="auto" w:fill="auto"/>
          </w:tcPr>
          <w:p w14:paraId="69FA0289" w14:textId="77777777" w:rsidR="00851562" w:rsidRPr="002A7B27" w:rsidRDefault="00851562" w:rsidP="00307E42">
            <w:pPr>
              <w:pStyle w:val="TableHeading"/>
              <w:keepNext w:val="0"/>
              <w:widowControl w:val="0"/>
              <w:ind w:left="57"/>
              <w:rPr>
                <w:snapToGrid w:val="0"/>
                <w:lang w:eastAsia="en-US"/>
              </w:rPr>
            </w:pPr>
            <w:r w:rsidRPr="002A7B27">
              <w:rPr>
                <w:snapToGrid w:val="0"/>
                <w:lang w:eastAsia="en-US"/>
              </w:rPr>
              <w:t>Quality of evidence (GRADE)</w:t>
            </w:r>
          </w:p>
        </w:tc>
        <w:tc>
          <w:tcPr>
            <w:tcW w:w="744" w:type="pct"/>
            <w:shd w:val="clear" w:color="auto" w:fill="auto"/>
          </w:tcPr>
          <w:p w14:paraId="374035FC" w14:textId="77777777" w:rsidR="00851562" w:rsidRPr="002A7B27" w:rsidRDefault="00851562" w:rsidP="00307E42">
            <w:pPr>
              <w:pStyle w:val="TableHeading"/>
              <w:keepNext w:val="0"/>
              <w:widowControl w:val="0"/>
              <w:ind w:left="57"/>
              <w:rPr>
                <w:snapToGrid w:val="0"/>
                <w:lang w:eastAsia="en-US"/>
              </w:rPr>
            </w:pPr>
            <w:r w:rsidRPr="002A7B27">
              <w:rPr>
                <w:snapToGrid w:val="0"/>
                <w:lang w:eastAsia="en-US"/>
              </w:rPr>
              <w:t>Patient population</w:t>
            </w:r>
          </w:p>
        </w:tc>
        <w:tc>
          <w:tcPr>
            <w:tcW w:w="2208" w:type="pct"/>
            <w:shd w:val="clear" w:color="auto" w:fill="auto"/>
          </w:tcPr>
          <w:p w14:paraId="3563D3D2" w14:textId="77777777" w:rsidR="00851562" w:rsidRPr="002A7B27" w:rsidRDefault="00851562" w:rsidP="00307E42">
            <w:pPr>
              <w:pStyle w:val="TableHeading"/>
              <w:keepNext w:val="0"/>
              <w:widowControl w:val="0"/>
              <w:ind w:left="57"/>
              <w:rPr>
                <w:snapToGrid w:val="0"/>
                <w:lang w:eastAsia="en-US"/>
              </w:rPr>
            </w:pPr>
            <w:r w:rsidRPr="002A7B27">
              <w:rPr>
                <w:snapToGrid w:val="0"/>
                <w:lang w:eastAsia="en-US"/>
              </w:rPr>
              <w:t>Key outcome(s)</w:t>
            </w:r>
          </w:p>
        </w:tc>
      </w:tr>
      <w:tr w:rsidR="00851562" w:rsidRPr="002A7B27" w14:paraId="156D1367" w14:textId="77777777" w:rsidTr="00307E42">
        <w:tc>
          <w:tcPr>
            <w:tcW w:w="728" w:type="pct"/>
            <w:shd w:val="clear" w:color="auto" w:fill="auto"/>
          </w:tcPr>
          <w:p w14:paraId="1A81ED06" w14:textId="77777777" w:rsidR="00851562" w:rsidRPr="002A7B27" w:rsidRDefault="00851562" w:rsidP="00307E42">
            <w:pPr>
              <w:pStyle w:val="TableText0"/>
              <w:keepNext w:val="0"/>
              <w:widowControl w:val="0"/>
              <w:ind w:left="57"/>
              <w:rPr>
                <w:snapToGrid w:val="0"/>
              </w:rPr>
            </w:pPr>
            <w:r w:rsidRPr="002A7B27">
              <w:rPr>
                <w:snapToGrid w:val="0"/>
              </w:rPr>
              <w:t>COMPASS</w:t>
            </w:r>
          </w:p>
          <w:p w14:paraId="056EBEF3" w14:textId="77777777" w:rsidR="00851562" w:rsidRPr="002A7B27" w:rsidRDefault="00851562" w:rsidP="00307E42">
            <w:pPr>
              <w:pStyle w:val="TableText0"/>
              <w:keepNext w:val="0"/>
              <w:widowControl w:val="0"/>
              <w:ind w:left="57"/>
              <w:rPr>
                <w:snapToGrid w:val="0"/>
              </w:rPr>
            </w:pPr>
            <w:r w:rsidRPr="002A7B27">
              <w:t>NCT01085357</w:t>
            </w:r>
          </w:p>
        </w:tc>
        <w:tc>
          <w:tcPr>
            <w:tcW w:w="677" w:type="pct"/>
            <w:shd w:val="clear" w:color="auto" w:fill="auto"/>
          </w:tcPr>
          <w:p w14:paraId="04A0137F" w14:textId="77777777" w:rsidR="00851562" w:rsidRPr="002A7B27" w:rsidRDefault="00851562" w:rsidP="00307E42">
            <w:pPr>
              <w:pStyle w:val="Tabletext"/>
              <w:widowControl w:val="0"/>
              <w:ind w:left="57"/>
            </w:pPr>
            <w:r w:rsidRPr="002A7B27">
              <w:t>Prospective, randomised comparative, interventional multicentre, clinical study</w:t>
            </w:r>
          </w:p>
          <w:p w14:paraId="0C18B0DA" w14:textId="77777777" w:rsidR="00851562" w:rsidRPr="002A7B27" w:rsidRDefault="00851562" w:rsidP="00307E42">
            <w:pPr>
              <w:pStyle w:val="TableText0"/>
              <w:keepNext w:val="0"/>
              <w:widowControl w:val="0"/>
              <w:ind w:left="57"/>
              <w:rPr>
                <w:snapToGrid w:val="0"/>
              </w:rPr>
            </w:pPr>
            <w:r w:rsidRPr="002A7B27">
              <w:t>24 months</w:t>
            </w:r>
          </w:p>
        </w:tc>
        <w:tc>
          <w:tcPr>
            <w:tcW w:w="643" w:type="pct"/>
            <w:shd w:val="clear" w:color="auto" w:fill="auto"/>
          </w:tcPr>
          <w:p w14:paraId="2A455A23" w14:textId="77777777" w:rsidR="00851562" w:rsidRPr="002A7B27" w:rsidRDefault="00851562" w:rsidP="00307E42">
            <w:pPr>
              <w:pStyle w:val="TableText0"/>
              <w:keepNext w:val="0"/>
              <w:widowControl w:val="0"/>
              <w:ind w:left="57"/>
              <w:rPr>
                <w:rFonts w:cs="Cambria Math"/>
              </w:rPr>
            </w:pPr>
            <w:r w:rsidRPr="002A7B27">
              <w:rPr>
                <w:rFonts w:ascii="Cambria Math" w:hAnsi="Cambria Math" w:cs="Cambria Math"/>
                <w:color w:val="00B050"/>
              </w:rPr>
              <w:t>⨁⨁⨁</w:t>
            </w:r>
            <w:r w:rsidRPr="002A7B27">
              <w:rPr>
                <w:rFonts w:ascii="Cambria Math" w:hAnsi="Cambria Math" w:cs="Cambria Math"/>
                <w:color w:val="FF0000"/>
              </w:rPr>
              <w:t>⨀</w:t>
            </w:r>
          </w:p>
          <w:p w14:paraId="419FBA5F" w14:textId="77777777" w:rsidR="00851562" w:rsidRPr="002A7B27" w:rsidRDefault="00851562" w:rsidP="00307E42">
            <w:pPr>
              <w:pStyle w:val="TableText0"/>
              <w:keepNext w:val="0"/>
              <w:widowControl w:val="0"/>
              <w:ind w:left="57"/>
              <w:rPr>
                <w:snapToGrid w:val="0"/>
              </w:rPr>
            </w:pPr>
            <w:r w:rsidRPr="002A7B27">
              <w:rPr>
                <w:rFonts w:cs="Cambria Math"/>
              </w:rPr>
              <w:t>MODERATE</w:t>
            </w:r>
          </w:p>
        </w:tc>
        <w:tc>
          <w:tcPr>
            <w:tcW w:w="744" w:type="pct"/>
            <w:shd w:val="clear" w:color="auto" w:fill="auto"/>
          </w:tcPr>
          <w:p w14:paraId="27BD9732" w14:textId="77777777" w:rsidR="00851562" w:rsidRPr="002A7B27" w:rsidRDefault="00851562" w:rsidP="00307E42">
            <w:pPr>
              <w:pStyle w:val="Tabletext"/>
              <w:widowControl w:val="0"/>
              <w:ind w:left="57"/>
            </w:pPr>
            <w:r w:rsidRPr="002A7B27">
              <w:t xml:space="preserve">Subjects aged ≥45 years with diagnosed or confirmed POAG within 90 days of screening, with a screening medicated IOP 25 mmHg or </w:t>
            </w:r>
            <w:proofErr w:type="spellStart"/>
            <w:r w:rsidRPr="002A7B27">
              <w:t>unmedicated</w:t>
            </w:r>
            <w:proofErr w:type="spellEnd"/>
            <w:r w:rsidRPr="002A7B27">
              <w:t xml:space="preserve"> IOP between 21 and 33 mmHg</w:t>
            </w:r>
          </w:p>
        </w:tc>
        <w:tc>
          <w:tcPr>
            <w:tcW w:w="2208" w:type="pct"/>
            <w:shd w:val="clear" w:color="auto" w:fill="auto"/>
          </w:tcPr>
          <w:p w14:paraId="2F5E13FC" w14:textId="77777777" w:rsidR="00851562" w:rsidRPr="002A7B27" w:rsidRDefault="00851562" w:rsidP="00307E42">
            <w:pPr>
              <w:pStyle w:val="Tabletext"/>
              <w:widowControl w:val="0"/>
              <w:ind w:left="400" w:hanging="283"/>
              <w:rPr>
                <w:u w:val="single"/>
              </w:rPr>
            </w:pPr>
            <w:r w:rsidRPr="002A7B27">
              <w:rPr>
                <w:u w:val="single"/>
              </w:rPr>
              <w:t>Primary</w:t>
            </w:r>
          </w:p>
          <w:p w14:paraId="47317493" w14:textId="77777777" w:rsidR="00851562" w:rsidRPr="002A7B27" w:rsidRDefault="00851562" w:rsidP="00851562">
            <w:pPr>
              <w:pStyle w:val="Tabletext"/>
              <w:widowControl w:val="0"/>
              <w:numPr>
                <w:ilvl w:val="0"/>
                <w:numId w:val="31"/>
              </w:numPr>
              <w:spacing w:before="40" w:after="40"/>
              <w:ind w:left="400" w:hanging="283"/>
            </w:pPr>
            <w:r w:rsidRPr="002A7B27">
              <w:t xml:space="preserve">Proportion of eyes with </w:t>
            </w:r>
            <w:proofErr w:type="spellStart"/>
            <w:r w:rsidRPr="002A7B27">
              <w:t>unmedicated</w:t>
            </w:r>
            <w:proofErr w:type="spellEnd"/>
            <w:r w:rsidRPr="002A7B27">
              <w:t xml:space="preserve"> diurnal IOP reduction ≥20% at 24 months versus </w:t>
            </w:r>
            <w:proofErr w:type="spellStart"/>
            <w:r w:rsidRPr="002A7B27">
              <w:t>unmedicated</w:t>
            </w:r>
            <w:proofErr w:type="spellEnd"/>
            <w:r w:rsidRPr="002A7B27">
              <w:t xml:space="preserve"> baseline IOP.</w:t>
            </w:r>
          </w:p>
          <w:p w14:paraId="4F5216ED" w14:textId="77777777" w:rsidR="00851562" w:rsidRPr="002A7B27" w:rsidRDefault="00851562" w:rsidP="00307E42">
            <w:pPr>
              <w:pStyle w:val="Tabletext"/>
              <w:widowControl w:val="0"/>
              <w:ind w:left="400" w:hanging="283"/>
              <w:rPr>
                <w:u w:val="single"/>
              </w:rPr>
            </w:pPr>
            <w:r w:rsidRPr="002A7B27">
              <w:rPr>
                <w:u w:val="single"/>
              </w:rPr>
              <w:t>Secondary</w:t>
            </w:r>
          </w:p>
          <w:p w14:paraId="1B464EAD" w14:textId="77777777" w:rsidR="00851562" w:rsidRPr="002A7B27" w:rsidRDefault="00851562" w:rsidP="00851562">
            <w:pPr>
              <w:pStyle w:val="Tabletext"/>
              <w:widowControl w:val="0"/>
              <w:numPr>
                <w:ilvl w:val="0"/>
                <w:numId w:val="31"/>
              </w:numPr>
              <w:spacing w:before="40" w:after="40"/>
              <w:ind w:left="400" w:hanging="283"/>
            </w:pPr>
            <w:r w:rsidRPr="002A7B27">
              <w:t xml:space="preserve">Mean </w:t>
            </w:r>
            <w:proofErr w:type="spellStart"/>
            <w:r w:rsidRPr="002A7B27">
              <w:t>unmedicated</w:t>
            </w:r>
            <w:proofErr w:type="spellEnd"/>
            <w:r w:rsidRPr="002A7B27">
              <w:t xml:space="preserve"> IOP reduction at 24 months</w:t>
            </w:r>
          </w:p>
          <w:p w14:paraId="73450EBF" w14:textId="77777777" w:rsidR="00851562" w:rsidRPr="002A7B27" w:rsidRDefault="00851562" w:rsidP="00851562">
            <w:pPr>
              <w:pStyle w:val="Tabletext"/>
              <w:widowControl w:val="0"/>
              <w:numPr>
                <w:ilvl w:val="0"/>
                <w:numId w:val="31"/>
              </w:numPr>
              <w:spacing w:before="40" w:after="40"/>
              <w:ind w:left="400" w:hanging="283"/>
            </w:pPr>
            <w:r w:rsidRPr="002A7B27">
              <w:t xml:space="preserve">Proportion of eyes with </w:t>
            </w:r>
            <w:proofErr w:type="spellStart"/>
            <w:r w:rsidRPr="002A7B27">
              <w:t>unmedicated</w:t>
            </w:r>
            <w:proofErr w:type="spellEnd"/>
            <w:r w:rsidRPr="002A7B27">
              <w:t xml:space="preserve"> IOP between 6 and 18 mmHg inclusive at 24 months</w:t>
            </w:r>
          </w:p>
          <w:p w14:paraId="3B53B5AA" w14:textId="77777777" w:rsidR="00851562" w:rsidRPr="002A7B27" w:rsidRDefault="00851562" w:rsidP="00851562">
            <w:pPr>
              <w:pStyle w:val="Tabletext"/>
              <w:widowControl w:val="0"/>
              <w:numPr>
                <w:ilvl w:val="0"/>
                <w:numId w:val="31"/>
              </w:numPr>
              <w:spacing w:before="40" w:after="40"/>
              <w:ind w:left="400" w:hanging="283"/>
            </w:pPr>
            <w:r w:rsidRPr="002A7B27">
              <w:t xml:space="preserve">Number of ocular hypotensive medications required to maintain target IOP at 24 months versus baseline </w:t>
            </w:r>
          </w:p>
        </w:tc>
      </w:tr>
      <w:tr w:rsidR="00851562" w:rsidRPr="002A7B27" w14:paraId="208E5019" w14:textId="77777777" w:rsidTr="00307E42">
        <w:tc>
          <w:tcPr>
            <w:tcW w:w="728" w:type="pct"/>
            <w:tcBorders>
              <w:top w:val="single" w:sz="4" w:space="0" w:color="auto"/>
              <w:left w:val="single" w:sz="4" w:space="0" w:color="auto"/>
              <w:bottom w:val="single" w:sz="4" w:space="0" w:color="auto"/>
              <w:right w:val="single" w:sz="4" w:space="0" w:color="auto"/>
            </w:tcBorders>
            <w:shd w:val="clear" w:color="auto" w:fill="auto"/>
          </w:tcPr>
          <w:p w14:paraId="148E0553" w14:textId="77777777" w:rsidR="00851562" w:rsidRPr="002A7B27" w:rsidRDefault="00851562" w:rsidP="00307E42">
            <w:pPr>
              <w:pStyle w:val="TableText0"/>
              <w:keepNext w:val="0"/>
              <w:widowControl w:val="0"/>
              <w:ind w:left="57"/>
              <w:rPr>
                <w:snapToGrid w:val="0"/>
              </w:rPr>
            </w:pPr>
            <w:r w:rsidRPr="002A7B27">
              <w:rPr>
                <w:snapToGrid w:val="0"/>
              </w:rPr>
              <w:t>CYCLE</w:t>
            </w:r>
          </w:p>
          <w:p w14:paraId="276F0FC1" w14:textId="77777777" w:rsidR="00851562" w:rsidRPr="002A7B27" w:rsidRDefault="00851562" w:rsidP="00307E42">
            <w:pPr>
              <w:pStyle w:val="TableText0"/>
              <w:keepNext w:val="0"/>
              <w:widowControl w:val="0"/>
              <w:ind w:left="57"/>
              <w:rPr>
                <w:snapToGrid w:val="0"/>
              </w:rPr>
            </w:pPr>
            <w:r w:rsidRPr="002A7B27">
              <w:t>NCT01097174</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6ABC2758" w14:textId="77777777" w:rsidR="00851562" w:rsidRPr="002A7B27" w:rsidRDefault="00851562" w:rsidP="00307E42">
            <w:pPr>
              <w:pStyle w:val="Tabletext"/>
              <w:widowControl w:val="0"/>
              <w:ind w:left="57"/>
            </w:pPr>
            <w:r w:rsidRPr="002A7B27">
              <w:t>Interventional case series; open label registry</w:t>
            </w:r>
          </w:p>
          <w:p w14:paraId="4F3E38B4" w14:textId="77777777" w:rsidR="00851562" w:rsidRPr="002A7B27" w:rsidRDefault="00851562" w:rsidP="00307E42">
            <w:pPr>
              <w:pStyle w:val="Tabletext"/>
              <w:widowControl w:val="0"/>
              <w:ind w:left="57"/>
            </w:pPr>
            <w:r w:rsidRPr="002A7B27">
              <w:t>(cataract surgery cohort)</w:t>
            </w:r>
          </w:p>
          <w:p w14:paraId="21123426" w14:textId="77777777" w:rsidR="00851562" w:rsidRPr="002A7B27" w:rsidRDefault="00851562" w:rsidP="00307E42">
            <w:pPr>
              <w:pStyle w:val="Tabletext"/>
              <w:widowControl w:val="0"/>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526758B7" w14:textId="77777777" w:rsidR="00851562" w:rsidRPr="002A7B27" w:rsidRDefault="00851562" w:rsidP="00307E42">
            <w:pPr>
              <w:pStyle w:val="Tabletext"/>
              <w:widowControl w:val="0"/>
              <w:ind w:left="57"/>
            </w:pPr>
            <w:r w:rsidRPr="002A7B27">
              <w:rPr>
                <w:rFonts w:ascii="Cambria Math" w:hAnsi="Cambria Math" w:cs="Cambria Math"/>
                <w:color w:val="00B050"/>
              </w:rPr>
              <w:t>⨁⨁</w:t>
            </w:r>
            <w:r w:rsidRPr="002A7B27">
              <w:rPr>
                <w:rFonts w:ascii="Cambria Math" w:hAnsi="Cambria Math" w:cs="Cambria Math"/>
                <w:color w:val="FF0000"/>
              </w:rPr>
              <w:t>⨀⨀</w:t>
            </w:r>
          </w:p>
          <w:p w14:paraId="61C3462F" w14:textId="77777777" w:rsidR="00851562" w:rsidRPr="002A7B27" w:rsidRDefault="00851562" w:rsidP="00307E42">
            <w:pPr>
              <w:pStyle w:val="TableText0"/>
              <w:keepNext w:val="0"/>
              <w:widowControl w:val="0"/>
              <w:ind w:left="57"/>
              <w:rPr>
                <w:rFonts w:ascii="Cambria Math" w:hAnsi="Cambria Math" w:cs="Cambria Math"/>
                <w:color w:val="00B050"/>
              </w:rPr>
            </w:pPr>
            <w:r w:rsidRPr="002A7B27">
              <w:t>LOW QUALITY</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1B6873E2" w14:textId="77777777" w:rsidR="00851562" w:rsidRPr="002A7B27" w:rsidRDefault="00851562" w:rsidP="00307E42">
            <w:pPr>
              <w:pStyle w:val="Tabletext"/>
              <w:widowControl w:val="0"/>
              <w:ind w:left="57"/>
            </w:pPr>
            <w:r w:rsidRPr="002A7B27">
              <w:t xml:space="preserve">Subjects with glaucoma who underwent implantation with the </w:t>
            </w:r>
            <w:proofErr w:type="spellStart"/>
            <w:r w:rsidRPr="002A7B27">
              <w:t>CyPass</w:t>
            </w:r>
            <w:proofErr w:type="spellEnd"/>
            <w:r w:rsidRPr="002A7B27">
              <w:t xml:space="preserve"> Micro-Stent in combination with cataract surgery</w:t>
            </w:r>
          </w:p>
        </w:tc>
        <w:tc>
          <w:tcPr>
            <w:tcW w:w="2208" w:type="pct"/>
            <w:tcBorders>
              <w:top w:val="single" w:sz="4" w:space="0" w:color="auto"/>
              <w:left w:val="single" w:sz="4" w:space="0" w:color="auto"/>
              <w:bottom w:val="single" w:sz="4" w:space="0" w:color="auto"/>
              <w:right w:val="single" w:sz="4" w:space="0" w:color="auto"/>
            </w:tcBorders>
            <w:shd w:val="clear" w:color="auto" w:fill="auto"/>
          </w:tcPr>
          <w:p w14:paraId="113273C8" w14:textId="77777777" w:rsidR="00851562" w:rsidRPr="002A7B27" w:rsidRDefault="00851562" w:rsidP="00851562">
            <w:pPr>
              <w:pStyle w:val="Tabletext"/>
              <w:widowControl w:val="0"/>
              <w:numPr>
                <w:ilvl w:val="0"/>
                <w:numId w:val="32"/>
              </w:numPr>
              <w:spacing w:before="40" w:after="40"/>
              <w:ind w:left="400" w:hanging="283"/>
            </w:pPr>
            <w:r w:rsidRPr="002A7B27">
              <w:t>Mean change in IOP from baseline to 1 month postoperatively and beyond</w:t>
            </w:r>
          </w:p>
          <w:p w14:paraId="5790687E" w14:textId="77777777" w:rsidR="00851562" w:rsidRPr="002A7B27" w:rsidRDefault="00851562" w:rsidP="00851562">
            <w:pPr>
              <w:pStyle w:val="Tabletext"/>
              <w:widowControl w:val="0"/>
              <w:numPr>
                <w:ilvl w:val="0"/>
                <w:numId w:val="32"/>
              </w:numPr>
              <w:spacing w:before="40" w:after="40"/>
              <w:ind w:left="400" w:hanging="283"/>
            </w:pPr>
            <w:r w:rsidRPr="002A7B27">
              <w:t>Mean change in required glaucoma medications used from baseline to 1 month postoperatively and beyond</w:t>
            </w:r>
          </w:p>
          <w:p w14:paraId="5A058363" w14:textId="77777777" w:rsidR="00851562" w:rsidRPr="002A7B27" w:rsidRDefault="00851562" w:rsidP="00851562">
            <w:pPr>
              <w:pStyle w:val="Tabletext"/>
              <w:widowControl w:val="0"/>
              <w:numPr>
                <w:ilvl w:val="0"/>
                <w:numId w:val="32"/>
              </w:numPr>
              <w:spacing w:before="40" w:after="40"/>
              <w:ind w:left="400" w:hanging="283"/>
              <w:rPr>
                <w:u w:val="single"/>
              </w:rPr>
            </w:pPr>
            <w:r w:rsidRPr="002A7B27">
              <w:t>Incidence of intraoperative and postoperative safety events</w:t>
            </w:r>
          </w:p>
        </w:tc>
      </w:tr>
    </w:tbl>
    <w:p w14:paraId="0EA38E7A" w14:textId="77777777" w:rsidR="00851562" w:rsidRPr="002A7B27" w:rsidRDefault="00851562" w:rsidP="00851562">
      <w:pPr>
        <w:pStyle w:val="Tabletext"/>
        <w:widowControl w:val="0"/>
      </w:pPr>
      <w:r w:rsidRPr="002A7B27">
        <w:t>Abbreviations: IOP, intraocular pressure; POAG, primary open-angle glaucoma</w:t>
      </w:r>
    </w:p>
    <w:p w14:paraId="3D0666C4" w14:textId="46F7319C" w:rsidR="007C2418" w:rsidRDefault="007153A0" w:rsidP="00CC2A4E">
      <w:pPr>
        <w:pStyle w:val="Executivesummary"/>
        <w:spacing w:before="240" w:after="240"/>
        <w:jc w:val="left"/>
        <w:rPr>
          <w:rFonts w:ascii="Arial Narrow" w:hAnsi="Arial Narrow"/>
          <w:b/>
          <w:bCs/>
          <w:sz w:val="20"/>
        </w:rPr>
      </w:pPr>
      <w:r w:rsidRPr="00B264D4">
        <w:rPr>
          <w:rFonts w:ascii="Times New Roman" w:hAnsi="Times New Roman" w:cs="Times New Roman"/>
          <w:sz w:val="24"/>
          <w:szCs w:val="24"/>
        </w:rPr>
        <w:t xml:space="preserve">Patients in the </w:t>
      </w:r>
      <w:proofErr w:type="spellStart"/>
      <w:r w:rsidRPr="00B264D4">
        <w:rPr>
          <w:rFonts w:ascii="Times New Roman" w:hAnsi="Times New Roman" w:cs="Times New Roman"/>
          <w:sz w:val="24"/>
          <w:szCs w:val="24"/>
        </w:rPr>
        <w:t>CyPass</w:t>
      </w:r>
      <w:proofErr w:type="spellEnd"/>
      <w:r w:rsidRPr="00B264D4">
        <w:rPr>
          <w:rFonts w:ascii="Times New Roman" w:hAnsi="Times New Roman" w:cs="Times New Roman"/>
          <w:sz w:val="24"/>
          <w:szCs w:val="24"/>
        </w:rPr>
        <w:t xml:space="preserve"> in combination with cataract surgery treatment group performed significantly better than patients in the cataract surgery only treatment group with respect to mean reduction in IOP from baseline, mean reduction in ocular medication use from baseline and in the proportion of patients achieving ≥20% reduction in IOP</w:t>
      </w:r>
      <w:r w:rsidR="00B264D4" w:rsidRPr="00B264D4">
        <w:rPr>
          <w:rFonts w:ascii="Times New Roman" w:hAnsi="Times New Roman" w:cs="Times New Roman"/>
          <w:sz w:val="24"/>
          <w:szCs w:val="24"/>
        </w:rPr>
        <w:t xml:space="preserve"> (see Table 3)</w:t>
      </w:r>
      <w:r w:rsidRPr="00B264D4">
        <w:rPr>
          <w:rFonts w:ascii="Times New Roman" w:hAnsi="Times New Roman" w:cs="Times New Roman"/>
          <w:sz w:val="24"/>
          <w:szCs w:val="24"/>
        </w:rPr>
        <w:t>. Therefore, the results suggest that cataract surgery in combination with suprachoroidal MIGS stent implantation is superior to cataract surgery only in terms of comparative effectiveness.</w:t>
      </w:r>
      <w:bookmarkStart w:id="10" w:name="_Ref484184485"/>
      <w:bookmarkStart w:id="11" w:name="_Toc484607928"/>
      <w:r w:rsidR="007C2418">
        <w:rPr>
          <w:rFonts w:ascii="Arial Narrow" w:hAnsi="Arial Narrow"/>
          <w:sz w:val="20"/>
        </w:rPr>
        <w:br w:type="page"/>
      </w:r>
    </w:p>
    <w:p w14:paraId="39A150A2" w14:textId="77777777" w:rsidR="007153A0" w:rsidRPr="00B264D4" w:rsidRDefault="007153A0" w:rsidP="00B264D4">
      <w:pPr>
        <w:pStyle w:val="Caption"/>
        <w:spacing w:after="0"/>
        <w:rPr>
          <w:rFonts w:ascii="Arial Narrow" w:hAnsi="Arial Narrow"/>
          <w:color w:val="auto"/>
          <w:sz w:val="20"/>
          <w:szCs w:val="20"/>
        </w:rPr>
      </w:pPr>
      <w:r w:rsidRPr="00B264D4">
        <w:rPr>
          <w:rFonts w:ascii="Arial Narrow" w:hAnsi="Arial Narrow"/>
          <w:color w:val="auto"/>
          <w:sz w:val="20"/>
          <w:szCs w:val="20"/>
        </w:rPr>
        <w:lastRenderedPageBreak/>
        <w:t xml:space="preserve">Table </w:t>
      </w:r>
      <w:bookmarkEnd w:id="10"/>
      <w:r w:rsidR="00B264D4" w:rsidRPr="00B264D4">
        <w:rPr>
          <w:rFonts w:ascii="Arial Narrow" w:hAnsi="Arial Narrow"/>
          <w:color w:val="auto"/>
          <w:sz w:val="20"/>
          <w:szCs w:val="20"/>
        </w:rPr>
        <w:t>3</w:t>
      </w:r>
      <w:r w:rsidRPr="00B264D4">
        <w:rPr>
          <w:rFonts w:ascii="Arial Narrow" w:hAnsi="Arial Narrow"/>
          <w:color w:val="auto"/>
          <w:sz w:val="20"/>
          <w:szCs w:val="20"/>
        </w:rPr>
        <w:tab/>
        <w:t xml:space="preserve">Summary of results: direct comparison of </w:t>
      </w:r>
      <w:proofErr w:type="spellStart"/>
      <w:r w:rsidRPr="00B264D4">
        <w:rPr>
          <w:rFonts w:ascii="Arial Narrow" w:hAnsi="Arial Narrow"/>
          <w:color w:val="auto"/>
          <w:sz w:val="20"/>
          <w:szCs w:val="20"/>
        </w:rPr>
        <w:t>CyPass</w:t>
      </w:r>
      <w:proofErr w:type="spellEnd"/>
      <w:r w:rsidRPr="00B264D4">
        <w:rPr>
          <w:rFonts w:ascii="Arial Narrow" w:hAnsi="Arial Narrow"/>
          <w:color w:val="auto"/>
          <w:sz w:val="20"/>
          <w:szCs w:val="20"/>
        </w:rPr>
        <w:t xml:space="preserve"> with cataract surgery vs. cataract surgery only</w:t>
      </w:r>
      <w:bookmarkEnd w:id="11"/>
    </w:p>
    <w:tbl>
      <w:tblPr>
        <w:tblStyle w:val="TableGrid2"/>
        <w:tblW w:w="5000" w:type="pct"/>
        <w:tblLook w:val="04A0" w:firstRow="1" w:lastRow="0" w:firstColumn="1" w:lastColumn="0" w:noHBand="0" w:noVBand="1"/>
        <w:tblDescription w:val="Result summary for the direct comparison of the CyPass MIGS device with cataract surgery vs cataract surgery only"/>
      </w:tblPr>
      <w:tblGrid>
        <w:gridCol w:w="2655"/>
        <w:gridCol w:w="1263"/>
        <w:gridCol w:w="2662"/>
        <w:gridCol w:w="2662"/>
      </w:tblGrid>
      <w:tr w:rsidR="007153A0" w:rsidRPr="002A7B27" w14:paraId="339A119F" w14:textId="77777777" w:rsidTr="00303DFB">
        <w:trPr>
          <w:cnfStyle w:val="100000000000" w:firstRow="1" w:lastRow="0" w:firstColumn="0" w:lastColumn="0" w:oddVBand="0" w:evenVBand="0" w:oddHBand="0" w:evenHBand="0" w:firstRowFirstColumn="0" w:firstRowLastColumn="0" w:lastRowFirstColumn="0" w:lastRowLastColumn="0"/>
          <w:tblHeader/>
        </w:trPr>
        <w:tc>
          <w:tcPr>
            <w:tcW w:w="1436" w:type="pct"/>
            <w:tcBorders>
              <w:bottom w:val="single" w:sz="4" w:space="0" w:color="auto"/>
            </w:tcBorders>
          </w:tcPr>
          <w:p w14:paraId="7C9F321C" w14:textId="77777777" w:rsidR="007153A0" w:rsidRPr="002A7B27" w:rsidRDefault="007153A0" w:rsidP="00307E42">
            <w:pPr>
              <w:pStyle w:val="TableText0"/>
              <w:keepNext w:val="0"/>
              <w:widowControl w:val="0"/>
              <w:rPr>
                <w:b/>
              </w:rPr>
            </w:pPr>
            <w:r w:rsidRPr="002A7B27">
              <w:rPr>
                <w:b/>
              </w:rPr>
              <w:t>Outcome</w:t>
            </w:r>
          </w:p>
        </w:tc>
        <w:tc>
          <w:tcPr>
            <w:tcW w:w="683" w:type="pct"/>
            <w:tcBorders>
              <w:bottom w:val="single" w:sz="4" w:space="0" w:color="auto"/>
            </w:tcBorders>
          </w:tcPr>
          <w:p w14:paraId="02526585" w14:textId="77777777" w:rsidR="007153A0" w:rsidRPr="002A7B27" w:rsidRDefault="007153A0" w:rsidP="00307E42">
            <w:pPr>
              <w:pStyle w:val="TableText0"/>
              <w:keepNext w:val="0"/>
              <w:widowControl w:val="0"/>
              <w:rPr>
                <w:b/>
                <w:snapToGrid w:val="0"/>
              </w:rPr>
            </w:pPr>
            <w:proofErr w:type="spellStart"/>
            <w:r w:rsidRPr="002A7B27">
              <w:rPr>
                <w:b/>
                <w:snapToGrid w:val="0"/>
              </w:rPr>
              <w:t>Timepoint</w:t>
            </w:r>
            <w:proofErr w:type="spellEnd"/>
          </w:p>
        </w:tc>
        <w:tc>
          <w:tcPr>
            <w:tcW w:w="1440" w:type="pct"/>
            <w:tcBorders>
              <w:bottom w:val="single" w:sz="4" w:space="0" w:color="auto"/>
            </w:tcBorders>
          </w:tcPr>
          <w:p w14:paraId="2E0D50D8" w14:textId="77777777" w:rsidR="007153A0" w:rsidRPr="002A7B27" w:rsidRDefault="007153A0" w:rsidP="00307E42">
            <w:pPr>
              <w:pStyle w:val="Tabletext"/>
              <w:widowControl w:val="0"/>
              <w:jc w:val="center"/>
              <w:rPr>
                <w:b/>
              </w:rPr>
            </w:pPr>
            <w:r w:rsidRPr="002A7B27">
              <w:rPr>
                <w:b/>
              </w:rPr>
              <w:t>Direct treatment effect</w:t>
            </w:r>
          </w:p>
          <w:p w14:paraId="4FE34AC8" w14:textId="77777777" w:rsidR="007153A0" w:rsidRPr="002A7B27" w:rsidRDefault="007153A0" w:rsidP="00307E42">
            <w:pPr>
              <w:pStyle w:val="Tabletext"/>
              <w:widowControl w:val="0"/>
              <w:jc w:val="center"/>
              <w:rPr>
                <w:b/>
              </w:rPr>
            </w:pPr>
            <w:r w:rsidRPr="002A7B27">
              <w:rPr>
                <w:b/>
              </w:rPr>
              <w:t>OR (95% CI); p value</w:t>
            </w:r>
          </w:p>
          <w:p w14:paraId="5DB8C31B" w14:textId="77777777" w:rsidR="007153A0" w:rsidRPr="002A7B27" w:rsidRDefault="007153A0" w:rsidP="00307E42">
            <w:pPr>
              <w:pStyle w:val="TableText0"/>
              <w:keepNext w:val="0"/>
              <w:widowControl w:val="0"/>
              <w:rPr>
                <w:b/>
                <w:snapToGrid w:val="0"/>
              </w:rPr>
            </w:pPr>
          </w:p>
        </w:tc>
        <w:tc>
          <w:tcPr>
            <w:tcW w:w="1440" w:type="pct"/>
            <w:tcBorders>
              <w:bottom w:val="single" w:sz="4" w:space="0" w:color="auto"/>
            </w:tcBorders>
            <w:vAlign w:val="center"/>
          </w:tcPr>
          <w:p w14:paraId="1421C498" w14:textId="77777777" w:rsidR="007153A0" w:rsidRPr="002A7B27" w:rsidRDefault="007153A0" w:rsidP="00307E42">
            <w:pPr>
              <w:pStyle w:val="TableText0"/>
              <w:keepNext w:val="0"/>
              <w:widowControl w:val="0"/>
              <w:rPr>
                <w:b/>
                <w:snapToGrid w:val="0"/>
              </w:rPr>
            </w:pPr>
            <w:r w:rsidRPr="002A7B27">
              <w:rPr>
                <w:b/>
                <w:snapToGrid w:val="0"/>
              </w:rPr>
              <w:t>MD [95% CI]; p-value</w:t>
            </w:r>
          </w:p>
          <w:p w14:paraId="6E7FB044" w14:textId="77777777" w:rsidR="007153A0" w:rsidRPr="002A7B27" w:rsidRDefault="007153A0" w:rsidP="00307E42">
            <w:pPr>
              <w:pStyle w:val="TableText0"/>
              <w:keepNext w:val="0"/>
              <w:widowControl w:val="0"/>
            </w:pPr>
          </w:p>
        </w:tc>
      </w:tr>
      <w:tr w:rsidR="007153A0" w:rsidRPr="002A7B27" w14:paraId="6E0A523D" w14:textId="77777777" w:rsidTr="00307E42">
        <w:tc>
          <w:tcPr>
            <w:tcW w:w="1436" w:type="pct"/>
            <w:tcBorders>
              <w:top w:val="single" w:sz="4" w:space="0" w:color="auto"/>
              <w:left w:val="single" w:sz="4" w:space="0" w:color="auto"/>
              <w:bottom w:val="nil"/>
              <w:right w:val="single" w:sz="4" w:space="0" w:color="auto"/>
            </w:tcBorders>
            <w:shd w:val="clear" w:color="auto" w:fill="D9D9D9" w:themeFill="background1" w:themeFillShade="D9"/>
          </w:tcPr>
          <w:p w14:paraId="38A2D069" w14:textId="77777777" w:rsidR="007153A0" w:rsidRPr="002A7B27" w:rsidRDefault="007153A0" w:rsidP="00307E42">
            <w:pPr>
              <w:pStyle w:val="TableText0"/>
              <w:keepNext w:val="0"/>
              <w:widowControl w:val="0"/>
              <w:rPr>
                <w:b/>
              </w:rPr>
            </w:pPr>
            <w:r w:rsidRPr="002A7B27">
              <w:rPr>
                <w:b/>
              </w:rPr>
              <w:t>Safety outcomes</w:t>
            </w:r>
          </w:p>
        </w:tc>
        <w:tc>
          <w:tcPr>
            <w:tcW w:w="683" w:type="pct"/>
            <w:tcBorders>
              <w:top w:val="single" w:sz="4" w:space="0" w:color="auto"/>
              <w:left w:val="single" w:sz="4" w:space="0" w:color="auto"/>
              <w:bottom w:val="nil"/>
              <w:right w:val="single" w:sz="4" w:space="0" w:color="auto"/>
            </w:tcBorders>
            <w:shd w:val="clear" w:color="auto" w:fill="D9D9D9" w:themeFill="background1" w:themeFillShade="D9"/>
          </w:tcPr>
          <w:p w14:paraId="59222934" w14:textId="77777777" w:rsidR="007153A0" w:rsidRPr="002A7B27" w:rsidRDefault="007153A0" w:rsidP="00307E42">
            <w:pPr>
              <w:pStyle w:val="TableText0"/>
              <w:keepNext w:val="0"/>
              <w:widowControl w:val="0"/>
              <w:rPr>
                <w:b/>
              </w:rPr>
            </w:pPr>
          </w:p>
        </w:tc>
        <w:tc>
          <w:tcPr>
            <w:tcW w:w="1440"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0E93A0A9" w14:textId="77777777" w:rsidR="007153A0" w:rsidRPr="002A7B27" w:rsidRDefault="007153A0" w:rsidP="00307E42">
            <w:pPr>
              <w:pStyle w:val="TableText0"/>
              <w:keepNext w:val="0"/>
              <w:widowControl w:val="0"/>
              <w:rPr>
                <w:b/>
              </w:rPr>
            </w:pPr>
          </w:p>
        </w:tc>
        <w:tc>
          <w:tcPr>
            <w:tcW w:w="1440"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50873508" w14:textId="77777777" w:rsidR="007153A0" w:rsidRPr="002A7B27" w:rsidRDefault="007153A0" w:rsidP="00307E42">
            <w:pPr>
              <w:pStyle w:val="TableText0"/>
              <w:keepNext w:val="0"/>
              <w:widowControl w:val="0"/>
              <w:rPr>
                <w:snapToGrid w:val="0"/>
              </w:rPr>
            </w:pPr>
          </w:p>
        </w:tc>
      </w:tr>
      <w:tr w:rsidR="007153A0" w:rsidRPr="002A7B27" w14:paraId="2366415D" w14:textId="77777777" w:rsidTr="00307E42">
        <w:tc>
          <w:tcPr>
            <w:tcW w:w="1436" w:type="pct"/>
            <w:tcBorders>
              <w:top w:val="nil"/>
              <w:left w:val="single" w:sz="4" w:space="0" w:color="auto"/>
              <w:bottom w:val="nil"/>
              <w:right w:val="single" w:sz="4" w:space="0" w:color="auto"/>
            </w:tcBorders>
            <w:shd w:val="clear" w:color="auto" w:fill="auto"/>
          </w:tcPr>
          <w:p w14:paraId="1D01E24D" w14:textId="77777777" w:rsidR="007153A0" w:rsidRPr="002A7B27" w:rsidRDefault="007153A0" w:rsidP="00307E42">
            <w:pPr>
              <w:pStyle w:val="TableText0"/>
              <w:keepNext w:val="0"/>
              <w:widowControl w:val="0"/>
              <w:rPr>
                <w:b/>
              </w:rPr>
            </w:pPr>
          </w:p>
        </w:tc>
        <w:tc>
          <w:tcPr>
            <w:tcW w:w="683" w:type="pct"/>
            <w:tcBorders>
              <w:top w:val="nil"/>
              <w:left w:val="single" w:sz="4" w:space="0" w:color="auto"/>
              <w:bottom w:val="nil"/>
              <w:right w:val="single" w:sz="4" w:space="0" w:color="auto"/>
            </w:tcBorders>
            <w:shd w:val="clear" w:color="auto" w:fill="auto"/>
          </w:tcPr>
          <w:p w14:paraId="6C536C6D" w14:textId="77777777" w:rsidR="007153A0" w:rsidRPr="002A7B27" w:rsidRDefault="007153A0" w:rsidP="00307E42">
            <w:pPr>
              <w:pStyle w:val="TableText0"/>
              <w:keepNext w:val="0"/>
              <w:widowControl w:val="0"/>
              <w:rPr>
                <w:b/>
              </w:rPr>
            </w:pPr>
          </w:p>
        </w:tc>
        <w:tc>
          <w:tcPr>
            <w:tcW w:w="1440" w:type="pct"/>
            <w:tcBorders>
              <w:top w:val="nil"/>
              <w:left w:val="single" w:sz="4" w:space="0" w:color="auto"/>
              <w:bottom w:val="nil"/>
              <w:right w:val="single" w:sz="4" w:space="0" w:color="auto"/>
            </w:tcBorders>
            <w:shd w:val="clear" w:color="auto" w:fill="auto"/>
            <w:vAlign w:val="center"/>
          </w:tcPr>
          <w:p w14:paraId="5773843D" w14:textId="77777777" w:rsidR="007153A0" w:rsidRPr="002A7B27" w:rsidRDefault="007153A0" w:rsidP="00307E42">
            <w:pPr>
              <w:pStyle w:val="TableText0"/>
              <w:keepNext w:val="0"/>
              <w:widowControl w:val="0"/>
              <w:rPr>
                <w:b/>
              </w:rPr>
            </w:pPr>
            <w:r w:rsidRPr="002A7B27">
              <w:rPr>
                <w:b/>
              </w:rPr>
              <w:t>OR &gt; 1 favours intervention</w:t>
            </w:r>
          </w:p>
        </w:tc>
        <w:tc>
          <w:tcPr>
            <w:tcW w:w="1440" w:type="pct"/>
            <w:tcBorders>
              <w:top w:val="nil"/>
              <w:left w:val="single" w:sz="4" w:space="0" w:color="auto"/>
              <w:bottom w:val="nil"/>
              <w:right w:val="single" w:sz="4" w:space="0" w:color="auto"/>
            </w:tcBorders>
            <w:shd w:val="clear" w:color="auto" w:fill="auto"/>
            <w:vAlign w:val="bottom"/>
          </w:tcPr>
          <w:p w14:paraId="05A4EEB5" w14:textId="77777777" w:rsidR="007153A0" w:rsidRPr="002A7B27" w:rsidRDefault="007153A0" w:rsidP="00307E42">
            <w:pPr>
              <w:pStyle w:val="TableText0"/>
              <w:keepNext w:val="0"/>
              <w:widowControl w:val="0"/>
              <w:rPr>
                <w:b/>
              </w:rPr>
            </w:pPr>
            <w:r w:rsidRPr="002A7B27">
              <w:rPr>
                <w:b/>
                <w:snapToGrid w:val="0"/>
              </w:rPr>
              <w:t>MD&gt; 1 favours intervention</w:t>
            </w:r>
          </w:p>
        </w:tc>
      </w:tr>
      <w:tr w:rsidR="007153A0" w:rsidRPr="002A7B27" w14:paraId="4FFDA373" w14:textId="77777777" w:rsidTr="00307E42">
        <w:tc>
          <w:tcPr>
            <w:tcW w:w="1436" w:type="pct"/>
            <w:vMerge w:val="restart"/>
            <w:tcBorders>
              <w:top w:val="nil"/>
              <w:left w:val="single" w:sz="4" w:space="0" w:color="auto"/>
              <w:bottom w:val="nil"/>
              <w:right w:val="single" w:sz="4" w:space="0" w:color="auto"/>
            </w:tcBorders>
          </w:tcPr>
          <w:p w14:paraId="24E65BB0" w14:textId="77777777" w:rsidR="007153A0" w:rsidRPr="002A7B27" w:rsidRDefault="007153A0" w:rsidP="00307E42">
            <w:pPr>
              <w:pStyle w:val="TableText0"/>
              <w:keepNext w:val="0"/>
              <w:widowControl w:val="0"/>
            </w:pPr>
            <w:r w:rsidRPr="002A7B27">
              <w:t>Best corrected visual acuity</w:t>
            </w:r>
          </w:p>
        </w:tc>
        <w:tc>
          <w:tcPr>
            <w:tcW w:w="683" w:type="pct"/>
            <w:tcBorders>
              <w:top w:val="nil"/>
              <w:left w:val="single" w:sz="4" w:space="0" w:color="auto"/>
              <w:bottom w:val="nil"/>
              <w:right w:val="single" w:sz="4" w:space="0" w:color="auto"/>
            </w:tcBorders>
          </w:tcPr>
          <w:p w14:paraId="34582CAE" w14:textId="77777777" w:rsidR="007153A0" w:rsidRPr="002A7B27" w:rsidRDefault="007153A0" w:rsidP="00307E42">
            <w:pPr>
              <w:pStyle w:val="TableText0"/>
              <w:keepNext w:val="0"/>
              <w:widowControl w:val="0"/>
            </w:pPr>
            <w:r w:rsidRPr="002A7B27">
              <w:t>Baseline</w:t>
            </w:r>
          </w:p>
        </w:tc>
        <w:tc>
          <w:tcPr>
            <w:tcW w:w="1440" w:type="pct"/>
            <w:tcBorders>
              <w:top w:val="nil"/>
              <w:left w:val="single" w:sz="4" w:space="0" w:color="auto"/>
              <w:bottom w:val="nil"/>
              <w:right w:val="single" w:sz="4" w:space="0" w:color="auto"/>
            </w:tcBorders>
            <w:vAlign w:val="center"/>
          </w:tcPr>
          <w:p w14:paraId="35B6DC77" w14:textId="77777777" w:rsidR="007153A0" w:rsidRPr="002A7B27" w:rsidRDefault="007153A0" w:rsidP="00307E42">
            <w:pPr>
              <w:pStyle w:val="TableText0"/>
              <w:keepNext w:val="0"/>
              <w:widowControl w:val="0"/>
            </w:pPr>
            <w:r w:rsidRPr="002A7B27">
              <w:t>1.04 [0.66, 1.63]; 0.8609</w:t>
            </w:r>
          </w:p>
        </w:tc>
        <w:tc>
          <w:tcPr>
            <w:tcW w:w="1440" w:type="pct"/>
            <w:vMerge w:val="restart"/>
            <w:tcBorders>
              <w:top w:val="nil"/>
              <w:left w:val="single" w:sz="4" w:space="0" w:color="auto"/>
              <w:right w:val="single" w:sz="4" w:space="0" w:color="auto"/>
            </w:tcBorders>
            <w:shd w:val="clear" w:color="auto" w:fill="D9D9D9" w:themeFill="background1" w:themeFillShade="D9"/>
            <w:vAlign w:val="bottom"/>
          </w:tcPr>
          <w:p w14:paraId="43347F1F" w14:textId="77777777" w:rsidR="007153A0" w:rsidRPr="002A7B27" w:rsidRDefault="007153A0" w:rsidP="00307E42">
            <w:pPr>
              <w:pStyle w:val="TableText0"/>
              <w:keepNext w:val="0"/>
              <w:widowControl w:val="0"/>
            </w:pPr>
          </w:p>
        </w:tc>
      </w:tr>
      <w:tr w:rsidR="007153A0" w:rsidRPr="002A7B27" w14:paraId="0D12D365" w14:textId="77777777" w:rsidTr="00307E42">
        <w:tc>
          <w:tcPr>
            <w:tcW w:w="1436" w:type="pct"/>
            <w:vMerge/>
            <w:tcBorders>
              <w:top w:val="nil"/>
              <w:left w:val="single" w:sz="4" w:space="0" w:color="auto"/>
              <w:bottom w:val="nil"/>
              <w:right w:val="single" w:sz="4" w:space="0" w:color="auto"/>
            </w:tcBorders>
          </w:tcPr>
          <w:p w14:paraId="50744ECA"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18FF7753" w14:textId="77777777" w:rsidR="007153A0" w:rsidRPr="002A7B27" w:rsidRDefault="007153A0" w:rsidP="00307E42">
            <w:pPr>
              <w:pStyle w:val="TableText0"/>
              <w:keepNext w:val="0"/>
              <w:widowControl w:val="0"/>
            </w:pPr>
            <w:r w:rsidRPr="002A7B27">
              <w:t>12 months</w:t>
            </w:r>
          </w:p>
        </w:tc>
        <w:tc>
          <w:tcPr>
            <w:tcW w:w="1440" w:type="pct"/>
            <w:tcBorders>
              <w:top w:val="nil"/>
              <w:left w:val="single" w:sz="4" w:space="0" w:color="auto"/>
              <w:bottom w:val="nil"/>
              <w:right w:val="single" w:sz="4" w:space="0" w:color="auto"/>
            </w:tcBorders>
            <w:vAlign w:val="center"/>
          </w:tcPr>
          <w:p w14:paraId="1B9159C3" w14:textId="77777777" w:rsidR="007153A0" w:rsidRPr="002A7B27" w:rsidRDefault="007153A0" w:rsidP="00307E42">
            <w:pPr>
              <w:pStyle w:val="TableText0"/>
              <w:keepNext w:val="0"/>
              <w:widowControl w:val="0"/>
            </w:pPr>
            <w:r w:rsidRPr="002A7B27">
              <w:t>1.44 [0.36, 5.86]; 0.6072</w:t>
            </w:r>
          </w:p>
        </w:tc>
        <w:tc>
          <w:tcPr>
            <w:tcW w:w="1440" w:type="pct"/>
            <w:vMerge/>
            <w:tcBorders>
              <w:left w:val="single" w:sz="4" w:space="0" w:color="auto"/>
              <w:right w:val="single" w:sz="4" w:space="0" w:color="auto"/>
            </w:tcBorders>
            <w:shd w:val="clear" w:color="auto" w:fill="D9D9D9" w:themeFill="background1" w:themeFillShade="D9"/>
            <w:vAlign w:val="bottom"/>
          </w:tcPr>
          <w:p w14:paraId="322D4091" w14:textId="77777777" w:rsidR="007153A0" w:rsidRPr="002A7B27" w:rsidRDefault="007153A0" w:rsidP="00307E42">
            <w:pPr>
              <w:pStyle w:val="TableText0"/>
              <w:keepNext w:val="0"/>
              <w:widowControl w:val="0"/>
            </w:pPr>
          </w:p>
        </w:tc>
      </w:tr>
      <w:tr w:rsidR="007153A0" w:rsidRPr="002A7B27" w14:paraId="0395B79D" w14:textId="77777777" w:rsidTr="00307E42">
        <w:tc>
          <w:tcPr>
            <w:tcW w:w="1436" w:type="pct"/>
            <w:vMerge/>
            <w:tcBorders>
              <w:top w:val="nil"/>
              <w:left w:val="single" w:sz="4" w:space="0" w:color="auto"/>
              <w:bottom w:val="nil"/>
              <w:right w:val="single" w:sz="4" w:space="0" w:color="auto"/>
            </w:tcBorders>
          </w:tcPr>
          <w:p w14:paraId="26447F91"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2CDEA828"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nil"/>
              <w:right w:val="single" w:sz="4" w:space="0" w:color="auto"/>
            </w:tcBorders>
            <w:vAlign w:val="center"/>
          </w:tcPr>
          <w:p w14:paraId="74E5CF22" w14:textId="77777777" w:rsidR="007153A0" w:rsidRPr="002A7B27" w:rsidRDefault="007153A0" w:rsidP="00307E42">
            <w:pPr>
              <w:pStyle w:val="TableText0"/>
              <w:keepNext w:val="0"/>
              <w:widowControl w:val="0"/>
            </w:pPr>
            <w:r w:rsidRPr="002A7B27">
              <w:t xml:space="preserve">1.11 [0.21, 5.80]; 0.9005 </w:t>
            </w:r>
          </w:p>
        </w:tc>
        <w:tc>
          <w:tcPr>
            <w:tcW w:w="1440" w:type="pct"/>
            <w:vMerge/>
            <w:tcBorders>
              <w:left w:val="single" w:sz="4" w:space="0" w:color="auto"/>
              <w:bottom w:val="nil"/>
              <w:right w:val="single" w:sz="4" w:space="0" w:color="auto"/>
            </w:tcBorders>
            <w:shd w:val="clear" w:color="auto" w:fill="D9D9D9" w:themeFill="background1" w:themeFillShade="D9"/>
            <w:vAlign w:val="bottom"/>
          </w:tcPr>
          <w:p w14:paraId="2F484BEE" w14:textId="77777777" w:rsidR="007153A0" w:rsidRPr="002A7B27" w:rsidRDefault="007153A0" w:rsidP="00307E42">
            <w:pPr>
              <w:pStyle w:val="TableText0"/>
              <w:keepNext w:val="0"/>
              <w:widowControl w:val="0"/>
            </w:pPr>
          </w:p>
        </w:tc>
      </w:tr>
      <w:tr w:rsidR="007153A0" w:rsidRPr="002A7B27" w14:paraId="577389F5" w14:textId="77777777" w:rsidTr="00307E42">
        <w:tc>
          <w:tcPr>
            <w:tcW w:w="1436" w:type="pct"/>
            <w:vMerge w:val="restart"/>
            <w:tcBorders>
              <w:top w:val="nil"/>
              <w:left w:val="single" w:sz="4" w:space="0" w:color="auto"/>
              <w:bottom w:val="nil"/>
              <w:right w:val="single" w:sz="4" w:space="0" w:color="auto"/>
            </w:tcBorders>
          </w:tcPr>
          <w:p w14:paraId="21B1C6D2" w14:textId="77777777" w:rsidR="007153A0" w:rsidRPr="002A7B27" w:rsidRDefault="007153A0" w:rsidP="00307E42">
            <w:pPr>
              <w:pStyle w:val="TableText0"/>
              <w:keepNext w:val="0"/>
              <w:widowControl w:val="0"/>
            </w:pPr>
            <w:r w:rsidRPr="002A7B27">
              <w:t>Visual field mean deviation</w:t>
            </w:r>
          </w:p>
        </w:tc>
        <w:tc>
          <w:tcPr>
            <w:tcW w:w="683" w:type="pct"/>
            <w:tcBorders>
              <w:top w:val="nil"/>
              <w:left w:val="single" w:sz="4" w:space="0" w:color="auto"/>
              <w:bottom w:val="nil"/>
              <w:right w:val="single" w:sz="4" w:space="0" w:color="auto"/>
            </w:tcBorders>
          </w:tcPr>
          <w:p w14:paraId="3C253663" w14:textId="77777777" w:rsidR="007153A0" w:rsidRPr="002A7B27" w:rsidRDefault="007153A0" w:rsidP="00307E42">
            <w:pPr>
              <w:pStyle w:val="TableText0"/>
              <w:keepNext w:val="0"/>
              <w:widowControl w:val="0"/>
            </w:pPr>
            <w:r w:rsidRPr="002A7B27">
              <w:t>3 months</w:t>
            </w:r>
          </w:p>
        </w:tc>
        <w:tc>
          <w:tcPr>
            <w:tcW w:w="1440" w:type="pct"/>
            <w:vMerge w:val="restart"/>
            <w:tcBorders>
              <w:top w:val="nil"/>
              <w:left w:val="single" w:sz="4" w:space="0" w:color="auto"/>
              <w:right w:val="single" w:sz="4" w:space="0" w:color="auto"/>
            </w:tcBorders>
            <w:shd w:val="clear" w:color="auto" w:fill="D9D9D9" w:themeFill="background1" w:themeFillShade="D9"/>
          </w:tcPr>
          <w:p w14:paraId="7AA45478"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0D497E00" w14:textId="77777777" w:rsidR="007153A0" w:rsidRPr="002A7B27" w:rsidRDefault="007153A0" w:rsidP="00307E42">
            <w:pPr>
              <w:pStyle w:val="TableText0"/>
              <w:keepNext w:val="0"/>
              <w:widowControl w:val="0"/>
            </w:pPr>
            <w:r w:rsidRPr="002A7B27">
              <w:t>-0.30 [-0.76, 0.16]; 0.2004</w:t>
            </w:r>
          </w:p>
        </w:tc>
      </w:tr>
      <w:tr w:rsidR="007153A0" w:rsidRPr="002A7B27" w14:paraId="63468271" w14:textId="77777777" w:rsidTr="00307E42">
        <w:tc>
          <w:tcPr>
            <w:tcW w:w="1436" w:type="pct"/>
            <w:vMerge/>
            <w:tcBorders>
              <w:top w:val="nil"/>
              <w:left w:val="single" w:sz="4" w:space="0" w:color="auto"/>
              <w:bottom w:val="nil"/>
              <w:right w:val="single" w:sz="4" w:space="0" w:color="auto"/>
            </w:tcBorders>
          </w:tcPr>
          <w:p w14:paraId="0680728B"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08B6FF9D" w14:textId="77777777" w:rsidR="007153A0" w:rsidRPr="002A7B27" w:rsidRDefault="007153A0" w:rsidP="00307E42">
            <w:pPr>
              <w:pStyle w:val="TableText0"/>
              <w:keepNext w:val="0"/>
              <w:widowControl w:val="0"/>
            </w:pPr>
            <w:r w:rsidRPr="002A7B27">
              <w:t>6 months</w:t>
            </w:r>
          </w:p>
        </w:tc>
        <w:tc>
          <w:tcPr>
            <w:tcW w:w="1440" w:type="pct"/>
            <w:vMerge/>
            <w:tcBorders>
              <w:left w:val="single" w:sz="4" w:space="0" w:color="auto"/>
              <w:right w:val="single" w:sz="4" w:space="0" w:color="auto"/>
            </w:tcBorders>
            <w:shd w:val="clear" w:color="auto" w:fill="D9D9D9" w:themeFill="background1" w:themeFillShade="D9"/>
          </w:tcPr>
          <w:p w14:paraId="6F78D797"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09F3A67B" w14:textId="77777777" w:rsidR="007153A0" w:rsidRPr="002A7B27" w:rsidRDefault="007153A0" w:rsidP="00307E42">
            <w:pPr>
              <w:pStyle w:val="TableText0"/>
              <w:keepNext w:val="0"/>
              <w:widowControl w:val="0"/>
            </w:pPr>
            <w:r w:rsidRPr="002A7B27">
              <w:t>-0.40 [-0.87, 0.07]; 0.1228</w:t>
            </w:r>
          </w:p>
        </w:tc>
      </w:tr>
      <w:tr w:rsidR="007153A0" w:rsidRPr="002A7B27" w14:paraId="2645AC23" w14:textId="77777777" w:rsidTr="00307E42">
        <w:tc>
          <w:tcPr>
            <w:tcW w:w="1436" w:type="pct"/>
            <w:vMerge/>
            <w:tcBorders>
              <w:top w:val="nil"/>
              <w:left w:val="single" w:sz="4" w:space="0" w:color="auto"/>
              <w:bottom w:val="nil"/>
              <w:right w:val="single" w:sz="4" w:space="0" w:color="auto"/>
            </w:tcBorders>
          </w:tcPr>
          <w:p w14:paraId="23070703"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5FA4CF63" w14:textId="77777777" w:rsidR="007153A0" w:rsidRPr="002A7B27" w:rsidRDefault="007153A0" w:rsidP="00307E42">
            <w:pPr>
              <w:pStyle w:val="TableText0"/>
              <w:keepNext w:val="0"/>
              <w:widowControl w:val="0"/>
            </w:pPr>
            <w:r w:rsidRPr="002A7B27">
              <w:t>12 months</w:t>
            </w:r>
          </w:p>
        </w:tc>
        <w:tc>
          <w:tcPr>
            <w:tcW w:w="1440" w:type="pct"/>
            <w:vMerge/>
            <w:tcBorders>
              <w:left w:val="single" w:sz="4" w:space="0" w:color="auto"/>
              <w:right w:val="single" w:sz="4" w:space="0" w:color="auto"/>
            </w:tcBorders>
            <w:shd w:val="clear" w:color="auto" w:fill="D9D9D9" w:themeFill="background1" w:themeFillShade="D9"/>
          </w:tcPr>
          <w:p w14:paraId="50B4E5E0"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46E3A535" w14:textId="77777777" w:rsidR="007153A0" w:rsidRPr="002A7B27" w:rsidRDefault="007153A0" w:rsidP="00307E42">
            <w:pPr>
              <w:pStyle w:val="TableText0"/>
              <w:keepNext w:val="0"/>
              <w:widowControl w:val="0"/>
            </w:pPr>
            <w:r w:rsidRPr="002A7B27">
              <w:t>0.00 [-0.52, 0.52]; 1.0000</w:t>
            </w:r>
          </w:p>
        </w:tc>
      </w:tr>
      <w:tr w:rsidR="007153A0" w:rsidRPr="002A7B27" w14:paraId="3549EC19" w14:textId="77777777" w:rsidTr="00307E42">
        <w:tc>
          <w:tcPr>
            <w:tcW w:w="1436" w:type="pct"/>
            <w:vMerge/>
            <w:tcBorders>
              <w:top w:val="nil"/>
              <w:left w:val="single" w:sz="4" w:space="0" w:color="auto"/>
              <w:bottom w:val="nil"/>
              <w:right w:val="single" w:sz="4" w:space="0" w:color="auto"/>
            </w:tcBorders>
          </w:tcPr>
          <w:p w14:paraId="59E971F0"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6BC4D901" w14:textId="77777777" w:rsidR="007153A0" w:rsidRPr="002A7B27" w:rsidRDefault="007153A0" w:rsidP="00307E42">
            <w:pPr>
              <w:pStyle w:val="TableText0"/>
              <w:keepNext w:val="0"/>
              <w:widowControl w:val="0"/>
            </w:pPr>
            <w:r w:rsidRPr="002A7B27">
              <w:t>24 months</w:t>
            </w:r>
          </w:p>
        </w:tc>
        <w:tc>
          <w:tcPr>
            <w:tcW w:w="1440" w:type="pct"/>
            <w:vMerge/>
            <w:tcBorders>
              <w:left w:val="single" w:sz="4" w:space="0" w:color="auto"/>
              <w:bottom w:val="nil"/>
              <w:right w:val="single" w:sz="4" w:space="0" w:color="auto"/>
            </w:tcBorders>
            <w:shd w:val="clear" w:color="auto" w:fill="D9D9D9" w:themeFill="background1" w:themeFillShade="D9"/>
          </w:tcPr>
          <w:p w14:paraId="79C5ECE0"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391D54C5" w14:textId="77777777" w:rsidR="007153A0" w:rsidRPr="002A7B27" w:rsidRDefault="007153A0" w:rsidP="00307E42">
            <w:pPr>
              <w:pStyle w:val="TableText0"/>
              <w:keepNext w:val="0"/>
              <w:widowControl w:val="0"/>
            </w:pPr>
            <w:r w:rsidRPr="002A7B27">
              <w:t>-0.20 [-0.87, 0.47]; 0.5077</w:t>
            </w:r>
          </w:p>
        </w:tc>
      </w:tr>
      <w:tr w:rsidR="007153A0" w:rsidRPr="002A7B27" w14:paraId="2B109753" w14:textId="77777777" w:rsidTr="00307E42">
        <w:tc>
          <w:tcPr>
            <w:tcW w:w="1436" w:type="pct"/>
            <w:tcBorders>
              <w:top w:val="nil"/>
              <w:left w:val="single" w:sz="4" w:space="0" w:color="auto"/>
              <w:bottom w:val="nil"/>
              <w:right w:val="single" w:sz="4" w:space="0" w:color="auto"/>
            </w:tcBorders>
            <w:shd w:val="clear" w:color="auto" w:fill="D9D9D9" w:themeFill="background1" w:themeFillShade="D9"/>
          </w:tcPr>
          <w:p w14:paraId="6FF34F73" w14:textId="77777777" w:rsidR="007153A0" w:rsidRPr="002A7B27" w:rsidRDefault="007153A0" w:rsidP="00307E42">
            <w:pPr>
              <w:pStyle w:val="TableText0"/>
              <w:keepNext w:val="0"/>
              <w:widowControl w:val="0"/>
              <w:rPr>
                <w:b/>
              </w:rPr>
            </w:pPr>
          </w:p>
        </w:tc>
        <w:tc>
          <w:tcPr>
            <w:tcW w:w="683" w:type="pct"/>
            <w:tcBorders>
              <w:top w:val="nil"/>
              <w:left w:val="single" w:sz="4" w:space="0" w:color="auto"/>
              <w:bottom w:val="nil"/>
              <w:right w:val="single" w:sz="4" w:space="0" w:color="auto"/>
            </w:tcBorders>
            <w:shd w:val="clear" w:color="auto" w:fill="D9D9D9" w:themeFill="background1" w:themeFillShade="D9"/>
          </w:tcPr>
          <w:p w14:paraId="643BDCD8" w14:textId="77777777" w:rsidR="007153A0" w:rsidRPr="002A7B27" w:rsidRDefault="007153A0" w:rsidP="00307E42">
            <w:pPr>
              <w:pStyle w:val="TableText0"/>
              <w:keepNext w:val="0"/>
              <w:widowControl w:val="0"/>
              <w:rPr>
                <w:b/>
              </w:rPr>
            </w:pPr>
          </w:p>
        </w:tc>
        <w:tc>
          <w:tcPr>
            <w:tcW w:w="1440" w:type="pct"/>
            <w:tcBorders>
              <w:top w:val="nil"/>
              <w:left w:val="single" w:sz="4" w:space="0" w:color="auto"/>
              <w:bottom w:val="nil"/>
              <w:right w:val="single" w:sz="4" w:space="0" w:color="auto"/>
            </w:tcBorders>
            <w:shd w:val="clear" w:color="auto" w:fill="D9D9D9" w:themeFill="background1" w:themeFillShade="D9"/>
          </w:tcPr>
          <w:p w14:paraId="6794443A" w14:textId="77777777" w:rsidR="007153A0" w:rsidRPr="002A7B27" w:rsidRDefault="007153A0" w:rsidP="00307E42">
            <w:pPr>
              <w:pStyle w:val="TableText0"/>
              <w:keepNext w:val="0"/>
              <w:widowControl w:val="0"/>
              <w:rPr>
                <w:b/>
              </w:rPr>
            </w:pPr>
            <w:r w:rsidRPr="002A7B27">
              <w:rPr>
                <w:b/>
              </w:rPr>
              <w:t>OR &lt; 1 favours intervention</w:t>
            </w:r>
          </w:p>
        </w:tc>
        <w:tc>
          <w:tcPr>
            <w:tcW w:w="1440" w:type="pct"/>
            <w:vMerge w:val="restart"/>
            <w:tcBorders>
              <w:top w:val="nil"/>
              <w:left w:val="single" w:sz="4" w:space="0" w:color="auto"/>
              <w:right w:val="single" w:sz="4" w:space="0" w:color="auto"/>
            </w:tcBorders>
            <w:shd w:val="clear" w:color="auto" w:fill="D9D9D9" w:themeFill="background1" w:themeFillShade="D9"/>
            <w:vAlign w:val="bottom"/>
          </w:tcPr>
          <w:p w14:paraId="3E0A4547" w14:textId="77777777" w:rsidR="007153A0" w:rsidRPr="002A7B27" w:rsidRDefault="007153A0" w:rsidP="00307E42">
            <w:pPr>
              <w:pStyle w:val="TableText0"/>
              <w:keepNext w:val="0"/>
              <w:widowControl w:val="0"/>
              <w:rPr>
                <w:b/>
              </w:rPr>
            </w:pPr>
          </w:p>
        </w:tc>
      </w:tr>
      <w:tr w:rsidR="007153A0" w:rsidRPr="002A7B27" w14:paraId="46E14A21" w14:textId="77777777" w:rsidTr="00307E42">
        <w:tc>
          <w:tcPr>
            <w:tcW w:w="1436" w:type="pct"/>
            <w:tcBorders>
              <w:top w:val="nil"/>
              <w:left w:val="single" w:sz="4" w:space="0" w:color="auto"/>
              <w:bottom w:val="nil"/>
              <w:right w:val="single" w:sz="4" w:space="0" w:color="auto"/>
            </w:tcBorders>
          </w:tcPr>
          <w:p w14:paraId="368A1F86" w14:textId="77777777" w:rsidR="007153A0" w:rsidRPr="002A7B27" w:rsidRDefault="007153A0" w:rsidP="00307E42">
            <w:pPr>
              <w:pStyle w:val="TableText0"/>
              <w:keepNext w:val="0"/>
              <w:widowControl w:val="0"/>
            </w:pPr>
            <w:bookmarkStart w:id="12" w:name="_Hlk484184536"/>
            <w:r w:rsidRPr="002A7B27">
              <w:t>Postoperative ocular adverse events of interest</w:t>
            </w:r>
            <w:bookmarkEnd w:id="12"/>
          </w:p>
        </w:tc>
        <w:tc>
          <w:tcPr>
            <w:tcW w:w="683" w:type="pct"/>
            <w:tcBorders>
              <w:top w:val="nil"/>
              <w:left w:val="single" w:sz="4" w:space="0" w:color="auto"/>
              <w:bottom w:val="nil"/>
              <w:right w:val="single" w:sz="4" w:space="0" w:color="auto"/>
            </w:tcBorders>
          </w:tcPr>
          <w:p w14:paraId="6BE81F62"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tcPr>
          <w:p w14:paraId="4308EC49" w14:textId="77777777" w:rsidR="007153A0" w:rsidRPr="002A7B27" w:rsidRDefault="007153A0" w:rsidP="00307E42">
            <w:pPr>
              <w:pStyle w:val="TableText0"/>
              <w:keepNext w:val="0"/>
              <w:widowControl w:val="0"/>
            </w:pPr>
            <w:r w:rsidRPr="002A7B27">
              <w:t>2.59 [1.20, 5.61]; 0.0154</w:t>
            </w:r>
          </w:p>
        </w:tc>
        <w:tc>
          <w:tcPr>
            <w:tcW w:w="1440" w:type="pct"/>
            <w:vMerge/>
            <w:tcBorders>
              <w:left w:val="single" w:sz="4" w:space="0" w:color="auto"/>
              <w:right w:val="single" w:sz="4" w:space="0" w:color="auto"/>
            </w:tcBorders>
            <w:shd w:val="clear" w:color="auto" w:fill="D9D9D9" w:themeFill="background1" w:themeFillShade="D9"/>
            <w:vAlign w:val="bottom"/>
          </w:tcPr>
          <w:p w14:paraId="485D85C2" w14:textId="77777777" w:rsidR="007153A0" w:rsidRPr="002A7B27" w:rsidRDefault="007153A0" w:rsidP="00307E42">
            <w:pPr>
              <w:pStyle w:val="TableText0"/>
              <w:keepNext w:val="0"/>
              <w:widowControl w:val="0"/>
            </w:pPr>
          </w:p>
        </w:tc>
      </w:tr>
      <w:tr w:rsidR="007153A0" w:rsidRPr="002A7B27" w14:paraId="7F45E5FE" w14:textId="77777777" w:rsidTr="00307E42">
        <w:tc>
          <w:tcPr>
            <w:tcW w:w="1436" w:type="pct"/>
            <w:tcBorders>
              <w:top w:val="nil"/>
              <w:left w:val="single" w:sz="4" w:space="0" w:color="auto"/>
              <w:bottom w:val="single" w:sz="4" w:space="0" w:color="auto"/>
              <w:right w:val="single" w:sz="4" w:space="0" w:color="auto"/>
            </w:tcBorders>
          </w:tcPr>
          <w:p w14:paraId="4BE5A7FC" w14:textId="77777777" w:rsidR="007153A0" w:rsidRPr="002A7B27" w:rsidRDefault="007153A0" w:rsidP="00307E42">
            <w:pPr>
              <w:pStyle w:val="TableText0"/>
              <w:keepNext w:val="0"/>
              <w:widowControl w:val="0"/>
            </w:pPr>
            <w:r w:rsidRPr="002A7B27">
              <w:t>Secondary surgical interventions</w:t>
            </w:r>
          </w:p>
        </w:tc>
        <w:tc>
          <w:tcPr>
            <w:tcW w:w="683" w:type="pct"/>
            <w:tcBorders>
              <w:top w:val="nil"/>
              <w:left w:val="single" w:sz="4" w:space="0" w:color="auto"/>
              <w:bottom w:val="single" w:sz="4" w:space="0" w:color="auto"/>
              <w:right w:val="single" w:sz="4" w:space="0" w:color="auto"/>
            </w:tcBorders>
          </w:tcPr>
          <w:p w14:paraId="446A39C6"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single" w:sz="4" w:space="0" w:color="auto"/>
              <w:right w:val="single" w:sz="4" w:space="0" w:color="auto"/>
            </w:tcBorders>
          </w:tcPr>
          <w:p w14:paraId="3A3748DB" w14:textId="77777777" w:rsidR="007153A0" w:rsidRPr="002A7B27" w:rsidRDefault="007153A0" w:rsidP="00307E42">
            <w:pPr>
              <w:pStyle w:val="TableText0"/>
              <w:keepNext w:val="0"/>
              <w:widowControl w:val="0"/>
            </w:pPr>
            <w:r w:rsidRPr="002A7B27">
              <w:t>0.9481 [0.3892, 2.3096]; 0.9066</w:t>
            </w:r>
          </w:p>
        </w:tc>
        <w:tc>
          <w:tcPr>
            <w:tcW w:w="1440" w:type="pct"/>
            <w:vMerge/>
            <w:tcBorders>
              <w:left w:val="single" w:sz="4" w:space="0" w:color="auto"/>
              <w:bottom w:val="single" w:sz="4" w:space="0" w:color="auto"/>
              <w:right w:val="single" w:sz="4" w:space="0" w:color="auto"/>
            </w:tcBorders>
            <w:shd w:val="clear" w:color="auto" w:fill="D9D9D9" w:themeFill="background1" w:themeFillShade="D9"/>
            <w:vAlign w:val="bottom"/>
          </w:tcPr>
          <w:p w14:paraId="75F2D0EC" w14:textId="77777777" w:rsidR="007153A0" w:rsidRPr="002A7B27" w:rsidRDefault="007153A0" w:rsidP="00307E42">
            <w:pPr>
              <w:pStyle w:val="TableText0"/>
              <w:keepNext w:val="0"/>
              <w:widowControl w:val="0"/>
            </w:pPr>
          </w:p>
        </w:tc>
      </w:tr>
      <w:tr w:rsidR="007153A0" w:rsidRPr="002A7B27" w14:paraId="448AEFAE" w14:textId="77777777" w:rsidTr="00307E42">
        <w:tc>
          <w:tcPr>
            <w:tcW w:w="1436" w:type="pct"/>
            <w:tcBorders>
              <w:top w:val="single" w:sz="4" w:space="0" w:color="auto"/>
              <w:left w:val="single" w:sz="4" w:space="0" w:color="auto"/>
              <w:bottom w:val="nil"/>
              <w:right w:val="single" w:sz="4" w:space="0" w:color="auto"/>
            </w:tcBorders>
            <w:shd w:val="clear" w:color="auto" w:fill="D9D9D9" w:themeFill="background1" w:themeFillShade="D9"/>
          </w:tcPr>
          <w:p w14:paraId="37952FA5" w14:textId="77777777" w:rsidR="007153A0" w:rsidRPr="002A7B27" w:rsidRDefault="007153A0" w:rsidP="00307E42">
            <w:pPr>
              <w:pStyle w:val="TableText0"/>
              <w:keepNext w:val="0"/>
              <w:widowControl w:val="0"/>
              <w:rPr>
                <w:b/>
              </w:rPr>
            </w:pPr>
            <w:r w:rsidRPr="002A7B27">
              <w:rPr>
                <w:b/>
              </w:rPr>
              <w:t>Efficacy outcomes</w:t>
            </w:r>
          </w:p>
        </w:tc>
        <w:tc>
          <w:tcPr>
            <w:tcW w:w="683" w:type="pct"/>
            <w:tcBorders>
              <w:top w:val="single" w:sz="4" w:space="0" w:color="auto"/>
              <w:left w:val="single" w:sz="4" w:space="0" w:color="auto"/>
              <w:bottom w:val="nil"/>
              <w:right w:val="single" w:sz="4" w:space="0" w:color="auto"/>
            </w:tcBorders>
            <w:shd w:val="clear" w:color="auto" w:fill="D9D9D9" w:themeFill="background1" w:themeFillShade="D9"/>
          </w:tcPr>
          <w:p w14:paraId="715195D8" w14:textId="77777777" w:rsidR="007153A0" w:rsidRPr="002A7B27" w:rsidRDefault="007153A0" w:rsidP="00307E42">
            <w:pPr>
              <w:pStyle w:val="TableText0"/>
              <w:keepNext w:val="0"/>
              <w:widowControl w:val="0"/>
              <w:rPr>
                <w:b/>
              </w:rPr>
            </w:pPr>
          </w:p>
        </w:tc>
        <w:tc>
          <w:tcPr>
            <w:tcW w:w="1440" w:type="pct"/>
            <w:tcBorders>
              <w:top w:val="single" w:sz="4" w:space="0" w:color="auto"/>
              <w:left w:val="single" w:sz="4" w:space="0" w:color="auto"/>
              <w:bottom w:val="nil"/>
              <w:right w:val="single" w:sz="4" w:space="0" w:color="auto"/>
            </w:tcBorders>
            <w:shd w:val="clear" w:color="auto" w:fill="D9D9D9" w:themeFill="background1" w:themeFillShade="D9"/>
          </w:tcPr>
          <w:p w14:paraId="61EE758E" w14:textId="77777777" w:rsidR="007153A0" w:rsidRPr="002A7B27" w:rsidRDefault="007153A0" w:rsidP="00307E42">
            <w:pPr>
              <w:pStyle w:val="TableText0"/>
              <w:keepNext w:val="0"/>
              <w:widowControl w:val="0"/>
              <w:rPr>
                <w:b/>
              </w:rPr>
            </w:pPr>
          </w:p>
        </w:tc>
        <w:tc>
          <w:tcPr>
            <w:tcW w:w="1440"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1420AC9E" w14:textId="77777777" w:rsidR="007153A0" w:rsidRPr="002A7B27" w:rsidRDefault="007153A0" w:rsidP="00307E42">
            <w:pPr>
              <w:pStyle w:val="TableText0"/>
              <w:keepNext w:val="0"/>
              <w:widowControl w:val="0"/>
              <w:rPr>
                <w:b/>
              </w:rPr>
            </w:pPr>
          </w:p>
        </w:tc>
      </w:tr>
      <w:tr w:rsidR="007153A0" w:rsidRPr="002A7B27" w14:paraId="48A569D7" w14:textId="77777777" w:rsidTr="00307E42">
        <w:tc>
          <w:tcPr>
            <w:tcW w:w="1436" w:type="pct"/>
            <w:tcBorders>
              <w:top w:val="nil"/>
              <w:left w:val="single" w:sz="4" w:space="0" w:color="auto"/>
              <w:bottom w:val="nil"/>
              <w:right w:val="single" w:sz="4" w:space="0" w:color="auto"/>
            </w:tcBorders>
            <w:shd w:val="clear" w:color="auto" w:fill="auto"/>
          </w:tcPr>
          <w:p w14:paraId="2119CE97" w14:textId="77777777" w:rsidR="007153A0" w:rsidRPr="002A7B27" w:rsidRDefault="007153A0" w:rsidP="00307E42">
            <w:pPr>
              <w:pStyle w:val="TableText0"/>
              <w:keepNext w:val="0"/>
              <w:widowControl w:val="0"/>
              <w:rPr>
                <w:b/>
              </w:rPr>
            </w:pPr>
          </w:p>
        </w:tc>
        <w:tc>
          <w:tcPr>
            <w:tcW w:w="683" w:type="pct"/>
            <w:tcBorders>
              <w:top w:val="nil"/>
              <w:left w:val="single" w:sz="4" w:space="0" w:color="auto"/>
              <w:bottom w:val="nil"/>
              <w:right w:val="single" w:sz="4" w:space="0" w:color="auto"/>
            </w:tcBorders>
            <w:shd w:val="clear" w:color="auto" w:fill="auto"/>
          </w:tcPr>
          <w:p w14:paraId="76172B4D" w14:textId="77777777" w:rsidR="007153A0" w:rsidRPr="002A7B27" w:rsidRDefault="007153A0" w:rsidP="00307E42">
            <w:pPr>
              <w:pStyle w:val="TableText0"/>
              <w:keepNext w:val="0"/>
              <w:widowControl w:val="0"/>
              <w:rPr>
                <w:b/>
              </w:rPr>
            </w:pPr>
          </w:p>
        </w:tc>
        <w:tc>
          <w:tcPr>
            <w:tcW w:w="1440" w:type="pct"/>
            <w:tcBorders>
              <w:top w:val="nil"/>
              <w:left w:val="single" w:sz="4" w:space="0" w:color="auto"/>
              <w:bottom w:val="nil"/>
              <w:right w:val="single" w:sz="4" w:space="0" w:color="auto"/>
            </w:tcBorders>
            <w:shd w:val="clear" w:color="auto" w:fill="auto"/>
          </w:tcPr>
          <w:p w14:paraId="71E52EDE" w14:textId="77777777" w:rsidR="007153A0" w:rsidRPr="002A7B27" w:rsidRDefault="007153A0" w:rsidP="00307E42">
            <w:pPr>
              <w:pStyle w:val="TableText0"/>
              <w:keepNext w:val="0"/>
              <w:widowControl w:val="0"/>
              <w:rPr>
                <w:b/>
              </w:rPr>
            </w:pPr>
            <w:r w:rsidRPr="002A7B27">
              <w:rPr>
                <w:b/>
              </w:rPr>
              <w:t>OR &gt; 1 favours intervention</w:t>
            </w:r>
          </w:p>
        </w:tc>
        <w:tc>
          <w:tcPr>
            <w:tcW w:w="1440" w:type="pct"/>
            <w:tcBorders>
              <w:top w:val="nil"/>
              <w:left w:val="single" w:sz="4" w:space="0" w:color="auto"/>
              <w:bottom w:val="nil"/>
              <w:right w:val="single" w:sz="4" w:space="0" w:color="auto"/>
            </w:tcBorders>
            <w:shd w:val="clear" w:color="auto" w:fill="auto"/>
            <w:vAlign w:val="bottom"/>
          </w:tcPr>
          <w:p w14:paraId="0043EB45" w14:textId="77777777" w:rsidR="007153A0" w:rsidRPr="002A7B27" w:rsidRDefault="007153A0" w:rsidP="00307E42">
            <w:pPr>
              <w:pStyle w:val="TableText0"/>
              <w:keepNext w:val="0"/>
              <w:widowControl w:val="0"/>
              <w:rPr>
                <w:b/>
              </w:rPr>
            </w:pPr>
            <w:r w:rsidRPr="002A7B27">
              <w:rPr>
                <w:b/>
                <w:snapToGrid w:val="0"/>
              </w:rPr>
              <w:t>MD&gt; 1 favours intervention</w:t>
            </w:r>
          </w:p>
        </w:tc>
      </w:tr>
      <w:tr w:rsidR="007153A0" w:rsidRPr="002A7B27" w14:paraId="3A4FF13F" w14:textId="77777777" w:rsidTr="00307E42">
        <w:tc>
          <w:tcPr>
            <w:tcW w:w="1436" w:type="pct"/>
            <w:vMerge w:val="restart"/>
            <w:tcBorders>
              <w:top w:val="nil"/>
              <w:left w:val="single" w:sz="4" w:space="0" w:color="auto"/>
              <w:bottom w:val="nil"/>
              <w:right w:val="single" w:sz="4" w:space="0" w:color="auto"/>
            </w:tcBorders>
          </w:tcPr>
          <w:p w14:paraId="0CDA4AA8" w14:textId="77777777" w:rsidR="007153A0" w:rsidRPr="002A7B27" w:rsidRDefault="007153A0" w:rsidP="00307E42">
            <w:pPr>
              <w:pStyle w:val="TableText0"/>
              <w:keepNext w:val="0"/>
              <w:widowControl w:val="0"/>
            </w:pPr>
            <w:r w:rsidRPr="002A7B27">
              <w:t xml:space="preserve">IOP reduction ≥ 20% from baseline </w:t>
            </w:r>
          </w:p>
        </w:tc>
        <w:tc>
          <w:tcPr>
            <w:tcW w:w="683" w:type="pct"/>
            <w:tcBorders>
              <w:top w:val="nil"/>
              <w:left w:val="single" w:sz="4" w:space="0" w:color="auto"/>
              <w:bottom w:val="nil"/>
              <w:right w:val="single" w:sz="4" w:space="0" w:color="auto"/>
            </w:tcBorders>
          </w:tcPr>
          <w:p w14:paraId="2D6EBFF6" w14:textId="77777777" w:rsidR="007153A0" w:rsidRPr="002A7B27" w:rsidRDefault="007153A0" w:rsidP="00307E42">
            <w:pPr>
              <w:pStyle w:val="TableText0"/>
              <w:keepNext w:val="0"/>
              <w:widowControl w:val="0"/>
            </w:pPr>
            <w:r w:rsidRPr="002A7B27">
              <w:t>12 months</w:t>
            </w:r>
          </w:p>
        </w:tc>
        <w:tc>
          <w:tcPr>
            <w:tcW w:w="1440" w:type="pct"/>
            <w:tcBorders>
              <w:top w:val="nil"/>
              <w:left w:val="single" w:sz="4" w:space="0" w:color="auto"/>
              <w:bottom w:val="nil"/>
              <w:right w:val="single" w:sz="4" w:space="0" w:color="auto"/>
            </w:tcBorders>
          </w:tcPr>
          <w:p w14:paraId="0CC70B4D" w14:textId="77777777" w:rsidR="007153A0" w:rsidRPr="002A7B27" w:rsidRDefault="007153A0" w:rsidP="00307E42">
            <w:pPr>
              <w:pStyle w:val="TableText0"/>
              <w:keepNext w:val="0"/>
              <w:widowControl w:val="0"/>
            </w:pPr>
            <w:r w:rsidRPr="002A7B27">
              <w:t xml:space="preserve">1.82 [1.17, 2.84]; 0.0075 </w:t>
            </w:r>
          </w:p>
        </w:tc>
        <w:tc>
          <w:tcPr>
            <w:tcW w:w="1440" w:type="pct"/>
            <w:vMerge w:val="restart"/>
            <w:tcBorders>
              <w:top w:val="nil"/>
              <w:left w:val="single" w:sz="4" w:space="0" w:color="auto"/>
              <w:right w:val="single" w:sz="4" w:space="0" w:color="auto"/>
            </w:tcBorders>
            <w:shd w:val="clear" w:color="auto" w:fill="D9D9D9" w:themeFill="background1" w:themeFillShade="D9"/>
            <w:vAlign w:val="bottom"/>
          </w:tcPr>
          <w:p w14:paraId="4B092EA9" w14:textId="77777777" w:rsidR="007153A0" w:rsidRPr="002A7B27" w:rsidRDefault="007153A0" w:rsidP="00307E42">
            <w:pPr>
              <w:pStyle w:val="TableText0"/>
              <w:keepNext w:val="0"/>
              <w:widowControl w:val="0"/>
            </w:pPr>
          </w:p>
        </w:tc>
      </w:tr>
      <w:tr w:rsidR="007153A0" w:rsidRPr="002A7B27" w14:paraId="15AC430F" w14:textId="77777777" w:rsidTr="00307E42">
        <w:tc>
          <w:tcPr>
            <w:tcW w:w="1436" w:type="pct"/>
            <w:vMerge/>
            <w:tcBorders>
              <w:top w:val="nil"/>
              <w:left w:val="single" w:sz="4" w:space="0" w:color="auto"/>
              <w:bottom w:val="nil"/>
              <w:right w:val="single" w:sz="4" w:space="0" w:color="auto"/>
            </w:tcBorders>
          </w:tcPr>
          <w:p w14:paraId="27E6CE49"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5C849C89"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nil"/>
              <w:right w:val="single" w:sz="4" w:space="0" w:color="auto"/>
            </w:tcBorders>
          </w:tcPr>
          <w:p w14:paraId="667621B0" w14:textId="77777777" w:rsidR="007153A0" w:rsidRPr="002A7B27" w:rsidRDefault="007153A0" w:rsidP="00307E42">
            <w:pPr>
              <w:pStyle w:val="TableText0"/>
              <w:keepNext w:val="0"/>
              <w:widowControl w:val="0"/>
            </w:pPr>
            <w:r w:rsidRPr="002A7B27">
              <w:t>1.90 [1.26, 2.88]; 0.0023</w:t>
            </w:r>
          </w:p>
        </w:tc>
        <w:tc>
          <w:tcPr>
            <w:tcW w:w="1440" w:type="pct"/>
            <w:vMerge/>
            <w:tcBorders>
              <w:left w:val="single" w:sz="4" w:space="0" w:color="auto"/>
              <w:bottom w:val="nil"/>
              <w:right w:val="single" w:sz="4" w:space="0" w:color="auto"/>
            </w:tcBorders>
            <w:shd w:val="clear" w:color="auto" w:fill="D9D9D9" w:themeFill="background1" w:themeFillShade="D9"/>
            <w:vAlign w:val="bottom"/>
          </w:tcPr>
          <w:p w14:paraId="5CF748AF" w14:textId="77777777" w:rsidR="007153A0" w:rsidRPr="002A7B27" w:rsidRDefault="007153A0" w:rsidP="00307E42">
            <w:pPr>
              <w:pStyle w:val="TableText0"/>
              <w:keepNext w:val="0"/>
              <w:widowControl w:val="0"/>
            </w:pPr>
          </w:p>
        </w:tc>
      </w:tr>
      <w:tr w:rsidR="007153A0" w:rsidRPr="002A7B27" w14:paraId="0E3B7699" w14:textId="77777777" w:rsidTr="00307E42">
        <w:tc>
          <w:tcPr>
            <w:tcW w:w="1436" w:type="pct"/>
            <w:vMerge w:val="restart"/>
            <w:tcBorders>
              <w:top w:val="nil"/>
              <w:left w:val="single" w:sz="4" w:space="0" w:color="auto"/>
              <w:bottom w:val="nil"/>
              <w:right w:val="single" w:sz="4" w:space="0" w:color="auto"/>
            </w:tcBorders>
          </w:tcPr>
          <w:p w14:paraId="0C9555FE" w14:textId="77777777" w:rsidR="007153A0" w:rsidRPr="002A7B27" w:rsidRDefault="007153A0" w:rsidP="00307E42">
            <w:pPr>
              <w:pStyle w:val="TableText0"/>
              <w:keepNext w:val="0"/>
              <w:widowControl w:val="0"/>
            </w:pPr>
            <w:r w:rsidRPr="002A7B27">
              <w:t xml:space="preserve">IOP≥ 6 mmHg and ≤ 18 mmHg </w:t>
            </w:r>
          </w:p>
        </w:tc>
        <w:tc>
          <w:tcPr>
            <w:tcW w:w="683" w:type="pct"/>
            <w:tcBorders>
              <w:top w:val="nil"/>
              <w:left w:val="single" w:sz="4" w:space="0" w:color="auto"/>
              <w:bottom w:val="nil"/>
              <w:right w:val="single" w:sz="4" w:space="0" w:color="auto"/>
            </w:tcBorders>
          </w:tcPr>
          <w:p w14:paraId="5810A5F2" w14:textId="77777777" w:rsidR="007153A0" w:rsidRPr="002A7B27" w:rsidRDefault="007153A0" w:rsidP="00307E42">
            <w:pPr>
              <w:pStyle w:val="TableText0"/>
              <w:keepNext w:val="0"/>
              <w:widowControl w:val="0"/>
            </w:pPr>
            <w:r w:rsidRPr="002A7B27">
              <w:t>12 months</w:t>
            </w:r>
          </w:p>
        </w:tc>
        <w:tc>
          <w:tcPr>
            <w:tcW w:w="1440" w:type="pct"/>
            <w:tcBorders>
              <w:top w:val="nil"/>
              <w:left w:val="single" w:sz="4" w:space="0" w:color="auto"/>
              <w:bottom w:val="nil"/>
              <w:right w:val="single" w:sz="4" w:space="0" w:color="auto"/>
            </w:tcBorders>
            <w:vAlign w:val="center"/>
          </w:tcPr>
          <w:p w14:paraId="11BB295B" w14:textId="77777777" w:rsidR="007153A0" w:rsidRPr="002A7B27" w:rsidRDefault="007153A0" w:rsidP="00307E42">
            <w:pPr>
              <w:pStyle w:val="TableText0"/>
              <w:keepNext w:val="0"/>
              <w:widowControl w:val="0"/>
            </w:pPr>
            <w:r w:rsidRPr="002A7B27">
              <w:t>1.82 [1.21, 2.73]; 0.0038</w:t>
            </w:r>
          </w:p>
        </w:tc>
        <w:tc>
          <w:tcPr>
            <w:tcW w:w="1440" w:type="pct"/>
            <w:vMerge w:val="restart"/>
            <w:tcBorders>
              <w:top w:val="nil"/>
              <w:left w:val="single" w:sz="4" w:space="0" w:color="auto"/>
              <w:right w:val="single" w:sz="4" w:space="0" w:color="auto"/>
            </w:tcBorders>
            <w:shd w:val="clear" w:color="auto" w:fill="D9D9D9" w:themeFill="background1" w:themeFillShade="D9"/>
            <w:vAlign w:val="bottom"/>
          </w:tcPr>
          <w:p w14:paraId="542E45E0" w14:textId="77777777" w:rsidR="007153A0" w:rsidRPr="002A7B27" w:rsidRDefault="007153A0" w:rsidP="00307E42">
            <w:pPr>
              <w:pStyle w:val="TableText0"/>
              <w:keepNext w:val="0"/>
              <w:widowControl w:val="0"/>
            </w:pPr>
          </w:p>
        </w:tc>
      </w:tr>
      <w:tr w:rsidR="007153A0" w:rsidRPr="002A7B27" w14:paraId="6812BDF0" w14:textId="77777777" w:rsidTr="00307E42">
        <w:tc>
          <w:tcPr>
            <w:tcW w:w="1436" w:type="pct"/>
            <w:vMerge/>
            <w:tcBorders>
              <w:top w:val="nil"/>
              <w:left w:val="single" w:sz="4" w:space="0" w:color="auto"/>
              <w:bottom w:val="nil"/>
              <w:right w:val="single" w:sz="4" w:space="0" w:color="auto"/>
            </w:tcBorders>
          </w:tcPr>
          <w:p w14:paraId="1A41855B"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5EA5A942"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nil"/>
              <w:right w:val="single" w:sz="4" w:space="0" w:color="auto"/>
            </w:tcBorders>
            <w:vAlign w:val="center"/>
          </w:tcPr>
          <w:p w14:paraId="145B2178" w14:textId="77777777" w:rsidR="007153A0" w:rsidRPr="002A7B27" w:rsidRDefault="007153A0" w:rsidP="00307E42">
            <w:pPr>
              <w:pStyle w:val="TableText0"/>
              <w:keepNext w:val="0"/>
              <w:widowControl w:val="0"/>
            </w:pPr>
            <w:r w:rsidRPr="002A7B27">
              <w:t>2.05 [1.37, 3.07]; 0.0005</w:t>
            </w:r>
          </w:p>
        </w:tc>
        <w:tc>
          <w:tcPr>
            <w:tcW w:w="1440" w:type="pct"/>
            <w:vMerge/>
            <w:tcBorders>
              <w:left w:val="single" w:sz="4" w:space="0" w:color="auto"/>
              <w:bottom w:val="nil"/>
              <w:right w:val="single" w:sz="4" w:space="0" w:color="auto"/>
            </w:tcBorders>
            <w:shd w:val="clear" w:color="auto" w:fill="D9D9D9" w:themeFill="background1" w:themeFillShade="D9"/>
            <w:vAlign w:val="bottom"/>
          </w:tcPr>
          <w:p w14:paraId="071FBFEE" w14:textId="77777777" w:rsidR="007153A0" w:rsidRPr="002A7B27" w:rsidRDefault="007153A0" w:rsidP="00307E42">
            <w:pPr>
              <w:pStyle w:val="TableText0"/>
              <w:keepNext w:val="0"/>
              <w:widowControl w:val="0"/>
            </w:pPr>
          </w:p>
        </w:tc>
      </w:tr>
      <w:tr w:rsidR="007153A0" w:rsidRPr="002A7B27" w14:paraId="3F8E5EEF" w14:textId="77777777" w:rsidTr="00307E42">
        <w:tc>
          <w:tcPr>
            <w:tcW w:w="1436" w:type="pct"/>
            <w:vMerge w:val="restart"/>
            <w:tcBorders>
              <w:top w:val="nil"/>
              <w:left w:val="single" w:sz="4" w:space="0" w:color="auto"/>
              <w:bottom w:val="nil"/>
              <w:right w:val="single" w:sz="4" w:space="0" w:color="auto"/>
            </w:tcBorders>
          </w:tcPr>
          <w:p w14:paraId="320D8E09" w14:textId="77777777" w:rsidR="007153A0" w:rsidRPr="002A7B27" w:rsidRDefault="007153A0" w:rsidP="00307E42">
            <w:pPr>
              <w:pStyle w:val="TableText0"/>
              <w:keepNext w:val="0"/>
              <w:widowControl w:val="0"/>
            </w:pPr>
            <w:r w:rsidRPr="002A7B27">
              <w:t xml:space="preserve">Mean reduction in IOP from baseline </w:t>
            </w:r>
          </w:p>
        </w:tc>
        <w:tc>
          <w:tcPr>
            <w:tcW w:w="683" w:type="pct"/>
            <w:tcBorders>
              <w:top w:val="nil"/>
              <w:left w:val="single" w:sz="4" w:space="0" w:color="auto"/>
              <w:bottom w:val="nil"/>
              <w:right w:val="single" w:sz="4" w:space="0" w:color="auto"/>
            </w:tcBorders>
          </w:tcPr>
          <w:p w14:paraId="4D0EADAF" w14:textId="77777777" w:rsidR="007153A0" w:rsidRPr="002A7B27" w:rsidRDefault="007153A0" w:rsidP="00307E42">
            <w:pPr>
              <w:pStyle w:val="TableText0"/>
              <w:keepNext w:val="0"/>
              <w:widowControl w:val="0"/>
            </w:pPr>
            <w:r w:rsidRPr="002A7B27">
              <w:t>12 months</w:t>
            </w:r>
          </w:p>
        </w:tc>
        <w:tc>
          <w:tcPr>
            <w:tcW w:w="1440" w:type="pct"/>
            <w:vMerge w:val="restart"/>
            <w:tcBorders>
              <w:top w:val="nil"/>
              <w:left w:val="single" w:sz="4" w:space="0" w:color="auto"/>
              <w:right w:val="single" w:sz="4" w:space="0" w:color="auto"/>
            </w:tcBorders>
            <w:shd w:val="clear" w:color="auto" w:fill="D9D9D9" w:themeFill="background1" w:themeFillShade="D9"/>
          </w:tcPr>
          <w:p w14:paraId="4729F82D"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3022BBE0" w14:textId="77777777" w:rsidR="007153A0" w:rsidRPr="002A7B27" w:rsidRDefault="007153A0" w:rsidP="00307E42">
            <w:pPr>
              <w:pStyle w:val="TableText0"/>
              <w:keepNext w:val="0"/>
              <w:widowControl w:val="0"/>
            </w:pPr>
            <w:r w:rsidRPr="002A7B27">
              <w:t>1.40 [0.59, 2.21];0.0012</w:t>
            </w:r>
          </w:p>
        </w:tc>
      </w:tr>
      <w:tr w:rsidR="007153A0" w:rsidRPr="002A7B27" w14:paraId="57F25507" w14:textId="77777777" w:rsidTr="00307E42">
        <w:tc>
          <w:tcPr>
            <w:tcW w:w="1436" w:type="pct"/>
            <w:vMerge/>
            <w:tcBorders>
              <w:top w:val="nil"/>
              <w:left w:val="single" w:sz="4" w:space="0" w:color="auto"/>
              <w:bottom w:val="nil"/>
              <w:right w:val="single" w:sz="4" w:space="0" w:color="auto"/>
            </w:tcBorders>
          </w:tcPr>
          <w:p w14:paraId="53DCD981"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5A910C2B" w14:textId="77777777" w:rsidR="007153A0" w:rsidRPr="002A7B27" w:rsidRDefault="007153A0" w:rsidP="00307E42">
            <w:pPr>
              <w:pStyle w:val="TableText0"/>
              <w:keepNext w:val="0"/>
              <w:widowControl w:val="0"/>
            </w:pPr>
            <w:r w:rsidRPr="002A7B27">
              <w:t>24 months</w:t>
            </w:r>
          </w:p>
        </w:tc>
        <w:tc>
          <w:tcPr>
            <w:tcW w:w="1440" w:type="pct"/>
            <w:vMerge/>
            <w:tcBorders>
              <w:left w:val="single" w:sz="4" w:space="0" w:color="auto"/>
              <w:bottom w:val="nil"/>
              <w:right w:val="single" w:sz="4" w:space="0" w:color="auto"/>
            </w:tcBorders>
            <w:shd w:val="clear" w:color="auto" w:fill="D9D9D9" w:themeFill="background1" w:themeFillShade="D9"/>
          </w:tcPr>
          <w:p w14:paraId="098CB374"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75CD16D8" w14:textId="77777777" w:rsidR="007153A0" w:rsidRPr="002A7B27" w:rsidRDefault="007153A0" w:rsidP="00307E42">
            <w:pPr>
              <w:pStyle w:val="TableText0"/>
              <w:keepNext w:val="0"/>
              <w:widowControl w:val="0"/>
            </w:pPr>
            <w:r w:rsidRPr="002A7B27">
              <w:t>1.70 [0.88, 2.52]; 0.0002</w:t>
            </w:r>
          </w:p>
        </w:tc>
      </w:tr>
      <w:tr w:rsidR="007153A0" w:rsidRPr="002A7B27" w14:paraId="1B943F4E" w14:textId="77777777" w:rsidTr="00307E42">
        <w:tc>
          <w:tcPr>
            <w:tcW w:w="1436" w:type="pct"/>
            <w:vMerge w:val="restart"/>
            <w:tcBorders>
              <w:top w:val="nil"/>
              <w:left w:val="single" w:sz="4" w:space="0" w:color="auto"/>
              <w:bottom w:val="nil"/>
              <w:right w:val="single" w:sz="4" w:space="0" w:color="auto"/>
            </w:tcBorders>
          </w:tcPr>
          <w:p w14:paraId="06B4D16D" w14:textId="77777777" w:rsidR="007153A0" w:rsidRPr="002A7B27" w:rsidRDefault="007153A0" w:rsidP="00307E42">
            <w:pPr>
              <w:pStyle w:val="TableText0"/>
              <w:keepNext w:val="0"/>
              <w:widowControl w:val="0"/>
            </w:pPr>
            <w:r w:rsidRPr="002A7B27">
              <w:t xml:space="preserve">Mean reduction in the number of ocular hypotensive medications </w:t>
            </w:r>
          </w:p>
        </w:tc>
        <w:tc>
          <w:tcPr>
            <w:tcW w:w="683" w:type="pct"/>
            <w:tcBorders>
              <w:top w:val="nil"/>
              <w:left w:val="single" w:sz="4" w:space="0" w:color="auto"/>
              <w:bottom w:val="nil"/>
              <w:right w:val="single" w:sz="4" w:space="0" w:color="auto"/>
            </w:tcBorders>
            <w:vAlign w:val="center"/>
          </w:tcPr>
          <w:p w14:paraId="61D2FAF1" w14:textId="77777777" w:rsidR="007153A0" w:rsidRPr="002A7B27" w:rsidRDefault="007153A0" w:rsidP="00307E42">
            <w:pPr>
              <w:pStyle w:val="TableText0"/>
              <w:keepNext w:val="0"/>
              <w:widowControl w:val="0"/>
            </w:pPr>
            <w:r w:rsidRPr="002A7B27">
              <w:t>12 months</w:t>
            </w:r>
          </w:p>
        </w:tc>
        <w:tc>
          <w:tcPr>
            <w:tcW w:w="1440" w:type="pct"/>
            <w:vMerge/>
            <w:tcBorders>
              <w:left w:val="single" w:sz="4" w:space="0" w:color="auto"/>
              <w:right w:val="single" w:sz="4" w:space="0" w:color="auto"/>
            </w:tcBorders>
            <w:shd w:val="clear" w:color="auto" w:fill="D9D9D9" w:themeFill="background1" w:themeFillShade="D9"/>
          </w:tcPr>
          <w:p w14:paraId="75F1E02A" w14:textId="77777777" w:rsidR="007153A0" w:rsidRPr="002A7B27" w:rsidRDefault="007153A0" w:rsidP="00307E42">
            <w:pPr>
              <w:pStyle w:val="TableText0"/>
              <w:keepNext w:val="0"/>
              <w:widowControl w:val="0"/>
            </w:pPr>
          </w:p>
        </w:tc>
        <w:tc>
          <w:tcPr>
            <w:tcW w:w="1440" w:type="pct"/>
            <w:tcBorders>
              <w:top w:val="nil"/>
              <w:left w:val="single" w:sz="4" w:space="0" w:color="auto"/>
              <w:bottom w:val="nil"/>
              <w:right w:val="single" w:sz="4" w:space="0" w:color="auto"/>
            </w:tcBorders>
            <w:vAlign w:val="center"/>
          </w:tcPr>
          <w:p w14:paraId="5B31ABAF" w14:textId="77777777" w:rsidR="007153A0" w:rsidRPr="002A7B27" w:rsidRDefault="007153A0" w:rsidP="00307E42">
            <w:pPr>
              <w:pStyle w:val="TableText0"/>
              <w:keepNext w:val="0"/>
              <w:widowControl w:val="0"/>
            </w:pPr>
            <w:r w:rsidRPr="002A7B27">
              <w:t>0.60 [0.40, 0.80]; 0.0000</w:t>
            </w:r>
          </w:p>
        </w:tc>
      </w:tr>
      <w:tr w:rsidR="007153A0" w:rsidRPr="002A7B27" w14:paraId="0D556D0C" w14:textId="77777777" w:rsidTr="00307E42">
        <w:tc>
          <w:tcPr>
            <w:tcW w:w="1436" w:type="pct"/>
            <w:vMerge/>
            <w:tcBorders>
              <w:top w:val="nil"/>
              <w:left w:val="single" w:sz="4" w:space="0" w:color="auto"/>
              <w:bottom w:val="single" w:sz="4" w:space="0" w:color="auto"/>
              <w:right w:val="single" w:sz="4" w:space="0" w:color="auto"/>
            </w:tcBorders>
          </w:tcPr>
          <w:p w14:paraId="214D47F0" w14:textId="77777777" w:rsidR="007153A0" w:rsidRPr="002A7B27" w:rsidRDefault="007153A0" w:rsidP="00307E42">
            <w:pPr>
              <w:pStyle w:val="TableText0"/>
              <w:keepNext w:val="0"/>
              <w:widowControl w:val="0"/>
            </w:pPr>
          </w:p>
        </w:tc>
        <w:tc>
          <w:tcPr>
            <w:tcW w:w="683" w:type="pct"/>
            <w:tcBorders>
              <w:top w:val="nil"/>
              <w:left w:val="single" w:sz="4" w:space="0" w:color="auto"/>
              <w:bottom w:val="single" w:sz="4" w:space="0" w:color="auto"/>
              <w:right w:val="single" w:sz="4" w:space="0" w:color="auto"/>
            </w:tcBorders>
            <w:vAlign w:val="center"/>
          </w:tcPr>
          <w:p w14:paraId="2CCD894C" w14:textId="77777777" w:rsidR="007153A0" w:rsidRPr="002A7B27" w:rsidRDefault="007153A0" w:rsidP="00307E42">
            <w:pPr>
              <w:pStyle w:val="TableText0"/>
              <w:keepNext w:val="0"/>
              <w:widowControl w:val="0"/>
            </w:pPr>
            <w:r w:rsidRPr="002A7B27">
              <w:t>24 months</w:t>
            </w:r>
          </w:p>
        </w:tc>
        <w:tc>
          <w:tcPr>
            <w:tcW w:w="1440" w:type="pct"/>
            <w:vMerge/>
            <w:tcBorders>
              <w:left w:val="single" w:sz="4" w:space="0" w:color="auto"/>
              <w:bottom w:val="single" w:sz="4" w:space="0" w:color="auto"/>
              <w:right w:val="single" w:sz="4" w:space="0" w:color="auto"/>
            </w:tcBorders>
            <w:shd w:val="clear" w:color="auto" w:fill="D9D9D9" w:themeFill="background1" w:themeFillShade="D9"/>
          </w:tcPr>
          <w:p w14:paraId="6418EA8B" w14:textId="77777777" w:rsidR="007153A0" w:rsidRPr="002A7B27" w:rsidRDefault="007153A0" w:rsidP="00307E42">
            <w:pPr>
              <w:pStyle w:val="TableText0"/>
              <w:keepNext w:val="0"/>
              <w:widowControl w:val="0"/>
            </w:pPr>
          </w:p>
        </w:tc>
        <w:tc>
          <w:tcPr>
            <w:tcW w:w="1440" w:type="pct"/>
            <w:tcBorders>
              <w:top w:val="nil"/>
              <w:left w:val="single" w:sz="4" w:space="0" w:color="auto"/>
              <w:bottom w:val="single" w:sz="4" w:space="0" w:color="auto"/>
              <w:right w:val="single" w:sz="4" w:space="0" w:color="auto"/>
            </w:tcBorders>
            <w:vAlign w:val="center"/>
          </w:tcPr>
          <w:p w14:paraId="2AEAD0B5" w14:textId="77777777" w:rsidR="007153A0" w:rsidRPr="002A7B27" w:rsidRDefault="007153A0" w:rsidP="00307E42">
            <w:pPr>
              <w:pStyle w:val="TableText0"/>
              <w:widowControl w:val="0"/>
            </w:pPr>
            <w:r w:rsidRPr="002A7B27">
              <w:t>0.40 [0.20, 0.60]; 0.0001</w:t>
            </w:r>
          </w:p>
        </w:tc>
      </w:tr>
    </w:tbl>
    <w:p w14:paraId="762F34DF" w14:textId="49A4F5D7" w:rsidR="007C2418" w:rsidRDefault="00307E42" w:rsidP="00CC2A4E">
      <w:pPr>
        <w:pStyle w:val="Executivesummary"/>
        <w:spacing w:before="240" w:after="240"/>
        <w:jc w:val="left"/>
        <w:rPr>
          <w:rFonts w:ascii="Arial Narrow" w:hAnsi="Arial Narrow"/>
          <w:b/>
          <w:bCs/>
          <w:sz w:val="20"/>
        </w:rPr>
      </w:pPr>
      <w:bookmarkStart w:id="13" w:name="_Ref484184880"/>
      <w:bookmarkStart w:id="14" w:name="_Toc484607929"/>
      <w:r w:rsidRPr="00B264D4">
        <w:rPr>
          <w:rFonts w:ascii="Times New Roman" w:hAnsi="Times New Roman" w:cs="Times New Roman"/>
          <w:sz w:val="24"/>
          <w:szCs w:val="24"/>
        </w:rPr>
        <w:t xml:space="preserve">A summary of the indirect comparison of suprachoroidal vs. trabecular MIGS stent implantation (both used in combination with cataract surgery) is presented in </w:t>
      </w:r>
      <w:r>
        <w:rPr>
          <w:rFonts w:ascii="Times New Roman" w:hAnsi="Times New Roman" w:cs="Times New Roman"/>
          <w:sz w:val="24"/>
          <w:szCs w:val="24"/>
        </w:rPr>
        <w:t>Table 4</w:t>
      </w:r>
      <w:r w:rsidRPr="00B264D4">
        <w:rPr>
          <w:rFonts w:ascii="Times New Roman" w:hAnsi="Times New Roman" w:cs="Times New Roman"/>
          <w:sz w:val="24"/>
          <w:szCs w:val="24"/>
        </w:rPr>
        <w:t xml:space="preserve">. None of the safety or efficacy outcomes assessed produced significantly different results between the two different stent types. </w:t>
      </w:r>
      <w:r>
        <w:rPr>
          <w:rFonts w:ascii="Times New Roman" w:hAnsi="Times New Roman" w:cs="Times New Roman"/>
          <w:sz w:val="24"/>
          <w:szCs w:val="24"/>
        </w:rPr>
        <w:t>T</w:t>
      </w:r>
      <w:r w:rsidRPr="00B264D4">
        <w:rPr>
          <w:rFonts w:ascii="Times New Roman" w:hAnsi="Times New Roman" w:cs="Times New Roman"/>
          <w:sz w:val="24"/>
          <w:szCs w:val="24"/>
        </w:rPr>
        <w:t>he results suggest that suprachoroidal MIGS stent implantation is non-inferior to trabecular MIGS stent implantation in terms of comparative safety and effectiveness.</w:t>
      </w:r>
      <w:r w:rsidR="007C2418">
        <w:rPr>
          <w:rFonts w:ascii="Arial Narrow" w:hAnsi="Arial Narrow"/>
          <w:sz w:val="20"/>
        </w:rPr>
        <w:br w:type="page"/>
      </w:r>
    </w:p>
    <w:p w14:paraId="0C0C4E52" w14:textId="77777777" w:rsidR="007153A0" w:rsidRPr="00F4372F" w:rsidRDefault="007153A0" w:rsidP="00F4372F">
      <w:pPr>
        <w:pStyle w:val="Caption"/>
        <w:spacing w:before="240" w:after="0"/>
        <w:rPr>
          <w:rFonts w:ascii="Arial Narrow" w:hAnsi="Arial Narrow"/>
          <w:color w:val="auto"/>
          <w:sz w:val="20"/>
          <w:szCs w:val="20"/>
        </w:rPr>
      </w:pPr>
      <w:r w:rsidRPr="00F4372F">
        <w:rPr>
          <w:rFonts w:ascii="Arial Narrow" w:hAnsi="Arial Narrow"/>
          <w:color w:val="auto"/>
          <w:sz w:val="20"/>
          <w:szCs w:val="20"/>
        </w:rPr>
        <w:lastRenderedPageBreak/>
        <w:t xml:space="preserve">Table </w:t>
      </w:r>
      <w:bookmarkEnd w:id="13"/>
      <w:r w:rsidR="00F4372F">
        <w:rPr>
          <w:rFonts w:ascii="Arial Narrow" w:hAnsi="Arial Narrow"/>
          <w:color w:val="auto"/>
          <w:sz w:val="20"/>
          <w:szCs w:val="20"/>
        </w:rPr>
        <w:t>4</w:t>
      </w:r>
      <w:r w:rsidRPr="00F4372F">
        <w:rPr>
          <w:rFonts w:ascii="Arial Narrow" w:hAnsi="Arial Narrow"/>
          <w:color w:val="auto"/>
          <w:sz w:val="20"/>
          <w:szCs w:val="20"/>
        </w:rPr>
        <w:tab/>
        <w:t xml:space="preserve">Summary of results: indirect comparison of </w:t>
      </w:r>
      <w:proofErr w:type="spellStart"/>
      <w:r w:rsidRPr="00F4372F">
        <w:rPr>
          <w:rFonts w:ascii="Arial Narrow" w:hAnsi="Arial Narrow"/>
          <w:color w:val="auto"/>
          <w:sz w:val="20"/>
          <w:szCs w:val="20"/>
        </w:rPr>
        <w:t>CyPass</w:t>
      </w:r>
      <w:proofErr w:type="spellEnd"/>
      <w:r w:rsidRPr="00F4372F">
        <w:rPr>
          <w:rFonts w:ascii="Arial Narrow" w:hAnsi="Arial Narrow"/>
          <w:color w:val="auto"/>
          <w:sz w:val="20"/>
          <w:szCs w:val="20"/>
        </w:rPr>
        <w:t xml:space="preserve"> with cataract surgery vs. TB MIG stent implantation with cataract surgery via cataract surgery only common comparator</w:t>
      </w:r>
      <w:bookmarkEnd w:id="14"/>
    </w:p>
    <w:tbl>
      <w:tblPr>
        <w:tblStyle w:val="TableGrid2"/>
        <w:tblW w:w="5000" w:type="pct"/>
        <w:tblLook w:val="04A0" w:firstRow="1" w:lastRow="0" w:firstColumn="1" w:lastColumn="0" w:noHBand="0" w:noVBand="1"/>
        <w:tblDescription w:val="Result summary of the indirect comparison of the MIGS device CyPass with cataract surgery vs TB MIG stent implantation using the comparator of cataract surgery via cataract surgery only"/>
      </w:tblPr>
      <w:tblGrid>
        <w:gridCol w:w="2654"/>
        <w:gridCol w:w="1262"/>
        <w:gridCol w:w="2662"/>
        <w:gridCol w:w="2664"/>
      </w:tblGrid>
      <w:tr w:rsidR="007153A0" w:rsidRPr="002A7B27" w14:paraId="043D4B26" w14:textId="77777777" w:rsidTr="00303DFB">
        <w:trPr>
          <w:cnfStyle w:val="100000000000" w:firstRow="1" w:lastRow="0" w:firstColumn="0" w:lastColumn="0" w:oddVBand="0" w:evenVBand="0" w:oddHBand="0" w:evenHBand="0" w:firstRowFirstColumn="0" w:firstRowLastColumn="0" w:lastRowFirstColumn="0" w:lastRowLastColumn="0"/>
          <w:tblHeader/>
        </w:trPr>
        <w:tc>
          <w:tcPr>
            <w:tcW w:w="1436" w:type="pct"/>
            <w:tcBorders>
              <w:bottom w:val="single" w:sz="4" w:space="0" w:color="auto"/>
            </w:tcBorders>
          </w:tcPr>
          <w:p w14:paraId="4F254447" w14:textId="77777777" w:rsidR="007153A0" w:rsidRPr="002A7B27" w:rsidRDefault="007153A0" w:rsidP="00307E42">
            <w:pPr>
              <w:pStyle w:val="TableText0"/>
              <w:keepNext w:val="0"/>
              <w:widowControl w:val="0"/>
              <w:rPr>
                <w:b/>
              </w:rPr>
            </w:pPr>
            <w:r w:rsidRPr="002A7B27">
              <w:rPr>
                <w:b/>
              </w:rPr>
              <w:t>Outcome</w:t>
            </w:r>
          </w:p>
        </w:tc>
        <w:tc>
          <w:tcPr>
            <w:tcW w:w="683" w:type="pct"/>
            <w:tcBorders>
              <w:bottom w:val="single" w:sz="4" w:space="0" w:color="auto"/>
            </w:tcBorders>
          </w:tcPr>
          <w:p w14:paraId="63B9433D" w14:textId="77777777" w:rsidR="007153A0" w:rsidRPr="002A7B27" w:rsidRDefault="007153A0" w:rsidP="00307E42">
            <w:pPr>
              <w:pStyle w:val="TableText0"/>
              <w:keepNext w:val="0"/>
              <w:widowControl w:val="0"/>
              <w:rPr>
                <w:b/>
                <w:snapToGrid w:val="0"/>
              </w:rPr>
            </w:pPr>
            <w:proofErr w:type="spellStart"/>
            <w:r w:rsidRPr="002A7B27">
              <w:rPr>
                <w:b/>
                <w:snapToGrid w:val="0"/>
              </w:rPr>
              <w:t>Timepoint</w:t>
            </w:r>
            <w:proofErr w:type="spellEnd"/>
          </w:p>
        </w:tc>
        <w:tc>
          <w:tcPr>
            <w:tcW w:w="1440" w:type="pct"/>
            <w:tcBorders>
              <w:bottom w:val="single" w:sz="4" w:space="0" w:color="auto"/>
            </w:tcBorders>
          </w:tcPr>
          <w:p w14:paraId="55556721" w14:textId="77777777" w:rsidR="007153A0" w:rsidRPr="002A7B27" w:rsidRDefault="007153A0" w:rsidP="00307E42">
            <w:pPr>
              <w:pStyle w:val="Tabletext"/>
              <w:widowControl w:val="0"/>
              <w:jc w:val="center"/>
              <w:rPr>
                <w:b/>
              </w:rPr>
            </w:pPr>
            <w:r w:rsidRPr="002A7B27">
              <w:rPr>
                <w:b/>
              </w:rPr>
              <w:t xml:space="preserve">Indirect treatment effect </w:t>
            </w:r>
            <w:r w:rsidRPr="002A7B27">
              <w:rPr>
                <w:b/>
              </w:rPr>
              <w:br/>
              <w:t>(SC MIGS vs. TB MIGS)</w:t>
            </w:r>
          </w:p>
          <w:p w14:paraId="48625360" w14:textId="77777777" w:rsidR="007153A0" w:rsidRPr="002A7B27" w:rsidRDefault="007153A0" w:rsidP="00307E42">
            <w:pPr>
              <w:pStyle w:val="Tabletext"/>
              <w:widowControl w:val="0"/>
              <w:jc w:val="center"/>
              <w:rPr>
                <w:b/>
              </w:rPr>
            </w:pPr>
            <w:r w:rsidRPr="002A7B27">
              <w:rPr>
                <w:b/>
              </w:rPr>
              <w:t>OR (95% CI); p value</w:t>
            </w:r>
          </w:p>
        </w:tc>
        <w:tc>
          <w:tcPr>
            <w:tcW w:w="1441" w:type="pct"/>
            <w:tcBorders>
              <w:bottom w:val="single" w:sz="4" w:space="0" w:color="auto"/>
            </w:tcBorders>
            <w:vAlign w:val="center"/>
          </w:tcPr>
          <w:p w14:paraId="7F256369" w14:textId="77777777" w:rsidR="007153A0" w:rsidRPr="002A7B27" w:rsidRDefault="007153A0" w:rsidP="00307E42">
            <w:pPr>
              <w:pStyle w:val="Tabletext"/>
              <w:widowControl w:val="0"/>
              <w:jc w:val="center"/>
              <w:rPr>
                <w:b/>
              </w:rPr>
            </w:pPr>
            <w:r w:rsidRPr="002A7B27">
              <w:rPr>
                <w:b/>
              </w:rPr>
              <w:t xml:space="preserve">Indirect treatment effect </w:t>
            </w:r>
            <w:r w:rsidRPr="002A7B27">
              <w:rPr>
                <w:b/>
              </w:rPr>
              <w:br/>
              <w:t>(SC MIGS vs. TB MIGS)</w:t>
            </w:r>
          </w:p>
          <w:p w14:paraId="5863B5AB" w14:textId="77777777" w:rsidR="007153A0" w:rsidRPr="002A7B27" w:rsidRDefault="007153A0" w:rsidP="00307E42">
            <w:pPr>
              <w:pStyle w:val="TableText0"/>
              <w:keepNext w:val="0"/>
              <w:widowControl w:val="0"/>
              <w:jc w:val="center"/>
              <w:rPr>
                <w:b/>
              </w:rPr>
            </w:pPr>
            <w:r w:rsidRPr="002A7B27">
              <w:rPr>
                <w:b/>
              </w:rPr>
              <w:t>WMD (95% CI); p value</w:t>
            </w:r>
          </w:p>
        </w:tc>
      </w:tr>
      <w:tr w:rsidR="007153A0" w:rsidRPr="002A7B27" w14:paraId="60D4A689" w14:textId="77777777" w:rsidTr="00307E42">
        <w:tc>
          <w:tcPr>
            <w:tcW w:w="1436" w:type="pct"/>
            <w:tcBorders>
              <w:top w:val="single" w:sz="4" w:space="0" w:color="auto"/>
              <w:left w:val="single" w:sz="4" w:space="0" w:color="auto"/>
              <w:bottom w:val="nil"/>
              <w:right w:val="single" w:sz="4" w:space="0" w:color="auto"/>
            </w:tcBorders>
            <w:shd w:val="clear" w:color="auto" w:fill="D9D9D9" w:themeFill="background1" w:themeFillShade="D9"/>
          </w:tcPr>
          <w:p w14:paraId="3E78A51B" w14:textId="77777777" w:rsidR="007153A0" w:rsidRPr="002A7B27" w:rsidRDefault="007153A0" w:rsidP="00307E42">
            <w:pPr>
              <w:pStyle w:val="TableText0"/>
              <w:keepNext w:val="0"/>
              <w:widowControl w:val="0"/>
              <w:rPr>
                <w:b/>
              </w:rPr>
            </w:pPr>
            <w:r w:rsidRPr="002A7B27">
              <w:rPr>
                <w:b/>
              </w:rPr>
              <w:t>Safety outcomes</w:t>
            </w:r>
          </w:p>
        </w:tc>
        <w:tc>
          <w:tcPr>
            <w:tcW w:w="683" w:type="pct"/>
            <w:tcBorders>
              <w:top w:val="single" w:sz="4" w:space="0" w:color="auto"/>
              <w:left w:val="single" w:sz="4" w:space="0" w:color="auto"/>
              <w:bottom w:val="nil"/>
              <w:right w:val="single" w:sz="4" w:space="0" w:color="auto"/>
            </w:tcBorders>
            <w:shd w:val="clear" w:color="auto" w:fill="D9D9D9" w:themeFill="background1" w:themeFillShade="D9"/>
          </w:tcPr>
          <w:p w14:paraId="3562CE68" w14:textId="77777777" w:rsidR="007153A0" w:rsidRPr="002A7B27" w:rsidRDefault="007153A0" w:rsidP="00307E42">
            <w:pPr>
              <w:pStyle w:val="TableText0"/>
              <w:keepNext w:val="0"/>
              <w:widowControl w:val="0"/>
              <w:rPr>
                <w:b/>
              </w:rPr>
            </w:pPr>
          </w:p>
        </w:tc>
        <w:tc>
          <w:tcPr>
            <w:tcW w:w="1440" w:type="pct"/>
            <w:tcBorders>
              <w:top w:val="single" w:sz="4" w:space="0" w:color="auto"/>
              <w:left w:val="single" w:sz="4" w:space="0" w:color="auto"/>
              <w:bottom w:val="nil"/>
              <w:right w:val="single" w:sz="4" w:space="0" w:color="auto"/>
            </w:tcBorders>
            <w:shd w:val="clear" w:color="auto" w:fill="D9D9D9" w:themeFill="background1" w:themeFillShade="D9"/>
            <w:vAlign w:val="center"/>
          </w:tcPr>
          <w:p w14:paraId="2A953E34" w14:textId="77777777" w:rsidR="007153A0" w:rsidRPr="002A7B27" w:rsidRDefault="007153A0" w:rsidP="00307E42">
            <w:pPr>
              <w:pStyle w:val="TableText0"/>
              <w:keepNext w:val="0"/>
              <w:widowControl w:val="0"/>
              <w:rPr>
                <w:b/>
              </w:rPr>
            </w:pPr>
          </w:p>
        </w:tc>
        <w:tc>
          <w:tcPr>
            <w:tcW w:w="1441"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3A80233D" w14:textId="77777777" w:rsidR="007153A0" w:rsidRPr="002A7B27" w:rsidRDefault="007153A0" w:rsidP="00307E42">
            <w:pPr>
              <w:pStyle w:val="TableText0"/>
              <w:keepNext w:val="0"/>
              <w:widowControl w:val="0"/>
              <w:rPr>
                <w:b/>
              </w:rPr>
            </w:pPr>
          </w:p>
        </w:tc>
      </w:tr>
      <w:tr w:rsidR="007153A0" w:rsidRPr="002A7B27" w14:paraId="281B1510" w14:textId="77777777" w:rsidTr="00307E42">
        <w:tc>
          <w:tcPr>
            <w:tcW w:w="1436" w:type="pct"/>
            <w:tcBorders>
              <w:top w:val="nil"/>
              <w:left w:val="single" w:sz="4" w:space="0" w:color="auto"/>
              <w:bottom w:val="nil"/>
              <w:right w:val="single" w:sz="4" w:space="0" w:color="auto"/>
            </w:tcBorders>
            <w:shd w:val="clear" w:color="auto" w:fill="auto"/>
          </w:tcPr>
          <w:p w14:paraId="5905CBA1" w14:textId="77777777" w:rsidR="007153A0" w:rsidRPr="002A7B27" w:rsidRDefault="007153A0" w:rsidP="00307E42">
            <w:pPr>
              <w:pStyle w:val="TableText0"/>
              <w:keepNext w:val="0"/>
              <w:widowControl w:val="0"/>
              <w:rPr>
                <w:b/>
              </w:rPr>
            </w:pPr>
          </w:p>
        </w:tc>
        <w:tc>
          <w:tcPr>
            <w:tcW w:w="683" w:type="pct"/>
            <w:tcBorders>
              <w:top w:val="nil"/>
              <w:left w:val="single" w:sz="4" w:space="0" w:color="auto"/>
              <w:bottom w:val="nil"/>
              <w:right w:val="single" w:sz="4" w:space="0" w:color="auto"/>
            </w:tcBorders>
            <w:shd w:val="clear" w:color="auto" w:fill="auto"/>
          </w:tcPr>
          <w:p w14:paraId="4E61D4FA" w14:textId="77777777" w:rsidR="007153A0" w:rsidRPr="002A7B27" w:rsidRDefault="007153A0" w:rsidP="00307E42">
            <w:pPr>
              <w:pStyle w:val="TableText0"/>
              <w:keepNext w:val="0"/>
              <w:widowControl w:val="0"/>
              <w:rPr>
                <w:b/>
              </w:rPr>
            </w:pPr>
          </w:p>
        </w:tc>
        <w:tc>
          <w:tcPr>
            <w:tcW w:w="1440" w:type="pct"/>
            <w:tcBorders>
              <w:top w:val="nil"/>
              <w:left w:val="single" w:sz="4" w:space="0" w:color="auto"/>
              <w:bottom w:val="nil"/>
              <w:right w:val="single" w:sz="4" w:space="0" w:color="auto"/>
            </w:tcBorders>
            <w:shd w:val="clear" w:color="auto" w:fill="auto"/>
            <w:vAlign w:val="center"/>
          </w:tcPr>
          <w:p w14:paraId="1A344D78" w14:textId="77777777" w:rsidR="007153A0" w:rsidRPr="002A7B27" w:rsidRDefault="007153A0" w:rsidP="00307E42">
            <w:pPr>
              <w:pStyle w:val="TableText0"/>
              <w:keepNext w:val="0"/>
              <w:widowControl w:val="0"/>
              <w:rPr>
                <w:b/>
              </w:rPr>
            </w:pPr>
            <w:r w:rsidRPr="002A7B27">
              <w:rPr>
                <w:b/>
              </w:rPr>
              <w:t>OR &lt; 1 favours SC MIGS</w:t>
            </w:r>
          </w:p>
        </w:tc>
        <w:tc>
          <w:tcPr>
            <w:tcW w:w="1441" w:type="pct"/>
            <w:vMerge w:val="restart"/>
            <w:tcBorders>
              <w:top w:val="nil"/>
              <w:left w:val="single" w:sz="4" w:space="0" w:color="auto"/>
              <w:right w:val="single" w:sz="4" w:space="0" w:color="auto"/>
            </w:tcBorders>
            <w:shd w:val="clear" w:color="auto" w:fill="D9D9D9" w:themeFill="background1" w:themeFillShade="D9"/>
            <w:vAlign w:val="bottom"/>
          </w:tcPr>
          <w:p w14:paraId="638CB57B" w14:textId="77777777" w:rsidR="007153A0" w:rsidRPr="002A7B27" w:rsidRDefault="007153A0" w:rsidP="00307E42">
            <w:pPr>
              <w:pStyle w:val="TableText0"/>
              <w:keepNext w:val="0"/>
              <w:widowControl w:val="0"/>
              <w:rPr>
                <w:b/>
              </w:rPr>
            </w:pPr>
          </w:p>
        </w:tc>
      </w:tr>
      <w:tr w:rsidR="007153A0" w:rsidRPr="002A7B27" w14:paraId="65FA6DA6" w14:textId="77777777" w:rsidTr="00307E42">
        <w:tc>
          <w:tcPr>
            <w:tcW w:w="1436" w:type="pct"/>
            <w:tcBorders>
              <w:top w:val="nil"/>
              <w:left w:val="single" w:sz="4" w:space="0" w:color="auto"/>
              <w:bottom w:val="nil"/>
              <w:right w:val="single" w:sz="4" w:space="0" w:color="auto"/>
            </w:tcBorders>
          </w:tcPr>
          <w:p w14:paraId="3203D770" w14:textId="77777777" w:rsidR="007153A0" w:rsidRPr="002A7B27" w:rsidRDefault="007153A0" w:rsidP="00307E42">
            <w:pPr>
              <w:pStyle w:val="TableText0"/>
              <w:keepNext w:val="0"/>
              <w:widowControl w:val="0"/>
            </w:pPr>
            <w:r w:rsidRPr="002A7B27">
              <w:t>Adverse events</w:t>
            </w:r>
          </w:p>
        </w:tc>
        <w:tc>
          <w:tcPr>
            <w:tcW w:w="683" w:type="pct"/>
            <w:tcBorders>
              <w:top w:val="nil"/>
              <w:left w:val="single" w:sz="4" w:space="0" w:color="auto"/>
              <w:bottom w:val="nil"/>
              <w:right w:val="single" w:sz="4" w:space="0" w:color="auto"/>
            </w:tcBorders>
          </w:tcPr>
          <w:p w14:paraId="586CA83F"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nil"/>
              <w:right w:val="single" w:sz="4" w:space="0" w:color="auto"/>
            </w:tcBorders>
          </w:tcPr>
          <w:p w14:paraId="5B7F5A71" w14:textId="77777777" w:rsidR="007153A0" w:rsidRPr="002A7B27" w:rsidRDefault="007153A0" w:rsidP="00307E42">
            <w:pPr>
              <w:pStyle w:val="TableText0"/>
              <w:keepNext w:val="0"/>
              <w:widowControl w:val="0"/>
            </w:pPr>
            <w:r w:rsidRPr="002A7B27">
              <w:t>1.591 (0.861, 2.94); 0.1384</w:t>
            </w:r>
          </w:p>
        </w:tc>
        <w:tc>
          <w:tcPr>
            <w:tcW w:w="1441" w:type="pct"/>
            <w:vMerge/>
            <w:tcBorders>
              <w:left w:val="single" w:sz="4" w:space="0" w:color="auto"/>
              <w:right w:val="single" w:sz="4" w:space="0" w:color="auto"/>
            </w:tcBorders>
            <w:shd w:val="clear" w:color="auto" w:fill="D9D9D9" w:themeFill="background1" w:themeFillShade="D9"/>
            <w:vAlign w:val="bottom"/>
          </w:tcPr>
          <w:p w14:paraId="3FBD8DEC" w14:textId="77777777" w:rsidR="007153A0" w:rsidRPr="002A7B27" w:rsidRDefault="007153A0" w:rsidP="00307E42">
            <w:pPr>
              <w:pStyle w:val="TableText0"/>
              <w:keepNext w:val="0"/>
              <w:widowControl w:val="0"/>
            </w:pPr>
          </w:p>
        </w:tc>
      </w:tr>
      <w:tr w:rsidR="007153A0" w:rsidRPr="002A7B27" w14:paraId="0037EFBF" w14:textId="77777777" w:rsidTr="00307E42">
        <w:tc>
          <w:tcPr>
            <w:tcW w:w="1436" w:type="pct"/>
            <w:tcBorders>
              <w:top w:val="nil"/>
              <w:left w:val="single" w:sz="4" w:space="0" w:color="auto"/>
              <w:bottom w:val="single" w:sz="4" w:space="0" w:color="auto"/>
              <w:right w:val="single" w:sz="4" w:space="0" w:color="auto"/>
            </w:tcBorders>
          </w:tcPr>
          <w:p w14:paraId="534D6E1E" w14:textId="77777777" w:rsidR="007153A0" w:rsidRPr="002A7B27" w:rsidRDefault="007153A0" w:rsidP="00307E42">
            <w:pPr>
              <w:pStyle w:val="TableText0"/>
              <w:keepNext w:val="0"/>
              <w:widowControl w:val="0"/>
            </w:pPr>
            <w:r w:rsidRPr="002A7B27">
              <w:t>Secondary surgical interventions</w:t>
            </w:r>
          </w:p>
        </w:tc>
        <w:tc>
          <w:tcPr>
            <w:tcW w:w="683" w:type="pct"/>
            <w:tcBorders>
              <w:top w:val="nil"/>
              <w:left w:val="single" w:sz="4" w:space="0" w:color="auto"/>
              <w:bottom w:val="single" w:sz="4" w:space="0" w:color="auto"/>
              <w:right w:val="single" w:sz="4" w:space="0" w:color="auto"/>
            </w:tcBorders>
          </w:tcPr>
          <w:p w14:paraId="5C86558E"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single" w:sz="4" w:space="0" w:color="auto"/>
              <w:right w:val="single" w:sz="4" w:space="0" w:color="auto"/>
            </w:tcBorders>
          </w:tcPr>
          <w:p w14:paraId="288D0E91" w14:textId="77777777" w:rsidR="007153A0" w:rsidRPr="002A7B27" w:rsidRDefault="007153A0" w:rsidP="00307E42">
            <w:pPr>
              <w:pStyle w:val="TableText0"/>
              <w:keepNext w:val="0"/>
              <w:widowControl w:val="0"/>
            </w:pPr>
            <w:r w:rsidRPr="002A7B27">
              <w:t>1.234 (0.441, 3.449); 0.6888</w:t>
            </w:r>
          </w:p>
        </w:tc>
        <w:tc>
          <w:tcPr>
            <w:tcW w:w="1441" w:type="pct"/>
            <w:vMerge/>
            <w:tcBorders>
              <w:left w:val="single" w:sz="4" w:space="0" w:color="auto"/>
              <w:bottom w:val="single" w:sz="4" w:space="0" w:color="auto"/>
              <w:right w:val="single" w:sz="4" w:space="0" w:color="auto"/>
            </w:tcBorders>
            <w:shd w:val="clear" w:color="auto" w:fill="D9D9D9" w:themeFill="background1" w:themeFillShade="D9"/>
            <w:vAlign w:val="bottom"/>
          </w:tcPr>
          <w:p w14:paraId="46748C52" w14:textId="77777777" w:rsidR="007153A0" w:rsidRPr="002A7B27" w:rsidRDefault="007153A0" w:rsidP="00307E42">
            <w:pPr>
              <w:pStyle w:val="TableText0"/>
              <w:keepNext w:val="0"/>
              <w:widowControl w:val="0"/>
            </w:pPr>
          </w:p>
        </w:tc>
      </w:tr>
      <w:tr w:rsidR="007153A0" w:rsidRPr="002A7B27" w14:paraId="7FC245C9" w14:textId="77777777" w:rsidTr="00307E42">
        <w:tc>
          <w:tcPr>
            <w:tcW w:w="1436" w:type="pct"/>
            <w:tcBorders>
              <w:top w:val="single" w:sz="4" w:space="0" w:color="auto"/>
              <w:left w:val="single" w:sz="4" w:space="0" w:color="auto"/>
              <w:bottom w:val="nil"/>
              <w:right w:val="single" w:sz="4" w:space="0" w:color="auto"/>
            </w:tcBorders>
            <w:shd w:val="clear" w:color="auto" w:fill="D9D9D9" w:themeFill="background1" w:themeFillShade="D9"/>
          </w:tcPr>
          <w:p w14:paraId="7CF53093" w14:textId="77777777" w:rsidR="007153A0" w:rsidRPr="002A7B27" w:rsidRDefault="007153A0" w:rsidP="00307E42">
            <w:pPr>
              <w:pStyle w:val="TableText0"/>
              <w:keepNext w:val="0"/>
              <w:widowControl w:val="0"/>
              <w:rPr>
                <w:b/>
              </w:rPr>
            </w:pPr>
            <w:r w:rsidRPr="002A7B27">
              <w:rPr>
                <w:b/>
              </w:rPr>
              <w:t>Efficacy outcomes</w:t>
            </w:r>
          </w:p>
        </w:tc>
        <w:tc>
          <w:tcPr>
            <w:tcW w:w="683" w:type="pct"/>
            <w:tcBorders>
              <w:top w:val="single" w:sz="4" w:space="0" w:color="auto"/>
              <w:left w:val="single" w:sz="4" w:space="0" w:color="auto"/>
              <w:bottom w:val="nil"/>
              <w:right w:val="single" w:sz="4" w:space="0" w:color="auto"/>
            </w:tcBorders>
            <w:shd w:val="clear" w:color="auto" w:fill="D9D9D9" w:themeFill="background1" w:themeFillShade="D9"/>
          </w:tcPr>
          <w:p w14:paraId="65556E77" w14:textId="77777777" w:rsidR="007153A0" w:rsidRPr="002A7B27" w:rsidRDefault="007153A0" w:rsidP="00307E42">
            <w:pPr>
              <w:pStyle w:val="TableText0"/>
              <w:keepNext w:val="0"/>
              <w:widowControl w:val="0"/>
              <w:rPr>
                <w:b/>
              </w:rPr>
            </w:pPr>
          </w:p>
        </w:tc>
        <w:tc>
          <w:tcPr>
            <w:tcW w:w="1440" w:type="pct"/>
            <w:tcBorders>
              <w:top w:val="single" w:sz="4" w:space="0" w:color="auto"/>
              <w:left w:val="single" w:sz="4" w:space="0" w:color="auto"/>
              <w:bottom w:val="nil"/>
              <w:right w:val="single" w:sz="4" w:space="0" w:color="auto"/>
            </w:tcBorders>
            <w:shd w:val="clear" w:color="auto" w:fill="D9D9D9" w:themeFill="background1" w:themeFillShade="D9"/>
          </w:tcPr>
          <w:p w14:paraId="197BA539" w14:textId="77777777" w:rsidR="007153A0" w:rsidRPr="002A7B27" w:rsidRDefault="007153A0" w:rsidP="00307E42">
            <w:pPr>
              <w:pStyle w:val="TableText0"/>
              <w:keepNext w:val="0"/>
              <w:widowControl w:val="0"/>
              <w:rPr>
                <w:b/>
              </w:rPr>
            </w:pPr>
          </w:p>
        </w:tc>
        <w:tc>
          <w:tcPr>
            <w:tcW w:w="1441" w:type="pct"/>
            <w:tcBorders>
              <w:top w:val="single" w:sz="4" w:space="0" w:color="auto"/>
              <w:left w:val="single" w:sz="4" w:space="0" w:color="auto"/>
              <w:bottom w:val="nil"/>
              <w:right w:val="single" w:sz="4" w:space="0" w:color="auto"/>
            </w:tcBorders>
            <w:shd w:val="clear" w:color="auto" w:fill="D9D9D9" w:themeFill="background1" w:themeFillShade="D9"/>
            <w:vAlign w:val="bottom"/>
          </w:tcPr>
          <w:p w14:paraId="377E34F4" w14:textId="77777777" w:rsidR="007153A0" w:rsidRPr="002A7B27" w:rsidRDefault="007153A0" w:rsidP="00307E42">
            <w:pPr>
              <w:pStyle w:val="TableText0"/>
              <w:keepNext w:val="0"/>
              <w:widowControl w:val="0"/>
              <w:rPr>
                <w:b/>
              </w:rPr>
            </w:pPr>
          </w:p>
        </w:tc>
      </w:tr>
      <w:tr w:rsidR="007153A0" w:rsidRPr="002A7B27" w14:paraId="20BD4023" w14:textId="77777777" w:rsidTr="00307E42">
        <w:tc>
          <w:tcPr>
            <w:tcW w:w="1436" w:type="pct"/>
            <w:tcBorders>
              <w:top w:val="nil"/>
              <w:left w:val="single" w:sz="4" w:space="0" w:color="auto"/>
              <w:bottom w:val="nil"/>
              <w:right w:val="single" w:sz="4" w:space="0" w:color="auto"/>
            </w:tcBorders>
            <w:shd w:val="clear" w:color="auto" w:fill="auto"/>
          </w:tcPr>
          <w:p w14:paraId="5AFC255B" w14:textId="77777777" w:rsidR="007153A0" w:rsidRPr="002A7B27" w:rsidRDefault="007153A0" w:rsidP="00307E42">
            <w:pPr>
              <w:pStyle w:val="TableText0"/>
              <w:keepNext w:val="0"/>
              <w:widowControl w:val="0"/>
              <w:rPr>
                <w:b/>
              </w:rPr>
            </w:pPr>
          </w:p>
        </w:tc>
        <w:tc>
          <w:tcPr>
            <w:tcW w:w="683" w:type="pct"/>
            <w:tcBorders>
              <w:top w:val="nil"/>
              <w:left w:val="single" w:sz="4" w:space="0" w:color="auto"/>
              <w:bottom w:val="nil"/>
              <w:right w:val="single" w:sz="4" w:space="0" w:color="auto"/>
            </w:tcBorders>
            <w:shd w:val="clear" w:color="auto" w:fill="auto"/>
          </w:tcPr>
          <w:p w14:paraId="1631FF49" w14:textId="77777777" w:rsidR="007153A0" w:rsidRPr="002A7B27" w:rsidRDefault="007153A0" w:rsidP="00307E42">
            <w:pPr>
              <w:pStyle w:val="TableText0"/>
              <w:keepNext w:val="0"/>
              <w:widowControl w:val="0"/>
              <w:rPr>
                <w:b/>
              </w:rPr>
            </w:pPr>
          </w:p>
        </w:tc>
        <w:tc>
          <w:tcPr>
            <w:tcW w:w="1440" w:type="pct"/>
            <w:tcBorders>
              <w:top w:val="nil"/>
              <w:left w:val="single" w:sz="4" w:space="0" w:color="auto"/>
              <w:bottom w:val="nil"/>
              <w:right w:val="single" w:sz="4" w:space="0" w:color="auto"/>
            </w:tcBorders>
            <w:shd w:val="clear" w:color="auto" w:fill="auto"/>
          </w:tcPr>
          <w:p w14:paraId="171B443A" w14:textId="77777777" w:rsidR="007153A0" w:rsidRPr="002A7B27" w:rsidRDefault="007153A0" w:rsidP="00307E42">
            <w:pPr>
              <w:pStyle w:val="TableText0"/>
              <w:keepNext w:val="0"/>
              <w:widowControl w:val="0"/>
              <w:rPr>
                <w:b/>
              </w:rPr>
            </w:pPr>
            <w:r w:rsidRPr="002A7B27">
              <w:rPr>
                <w:b/>
              </w:rPr>
              <w:t>OR &gt; 1 favours SC MIGS</w:t>
            </w:r>
          </w:p>
        </w:tc>
        <w:tc>
          <w:tcPr>
            <w:tcW w:w="1441" w:type="pct"/>
            <w:tcBorders>
              <w:top w:val="nil"/>
              <w:left w:val="single" w:sz="4" w:space="0" w:color="auto"/>
              <w:bottom w:val="nil"/>
              <w:right w:val="single" w:sz="4" w:space="0" w:color="auto"/>
            </w:tcBorders>
            <w:shd w:val="clear" w:color="auto" w:fill="auto"/>
            <w:vAlign w:val="bottom"/>
          </w:tcPr>
          <w:p w14:paraId="0C151B19" w14:textId="77777777" w:rsidR="007153A0" w:rsidRPr="002A7B27" w:rsidRDefault="007153A0" w:rsidP="00307E42">
            <w:pPr>
              <w:pStyle w:val="TableText0"/>
              <w:keepNext w:val="0"/>
              <w:widowControl w:val="0"/>
              <w:rPr>
                <w:b/>
              </w:rPr>
            </w:pPr>
            <w:r w:rsidRPr="002A7B27">
              <w:rPr>
                <w:b/>
              </w:rPr>
              <w:t>WMD &lt; 0 favours SC MIGS</w:t>
            </w:r>
          </w:p>
        </w:tc>
      </w:tr>
      <w:tr w:rsidR="007153A0" w:rsidRPr="002A7B27" w14:paraId="2751B32C" w14:textId="77777777" w:rsidTr="00307E42">
        <w:tc>
          <w:tcPr>
            <w:tcW w:w="1436" w:type="pct"/>
            <w:vMerge w:val="restart"/>
            <w:tcBorders>
              <w:top w:val="nil"/>
              <w:left w:val="single" w:sz="4" w:space="0" w:color="auto"/>
              <w:bottom w:val="nil"/>
              <w:right w:val="single" w:sz="4" w:space="0" w:color="auto"/>
            </w:tcBorders>
          </w:tcPr>
          <w:p w14:paraId="17523F15" w14:textId="77777777" w:rsidR="007153A0" w:rsidRPr="002A7B27" w:rsidRDefault="007153A0" w:rsidP="00307E42">
            <w:pPr>
              <w:pStyle w:val="TableText0"/>
              <w:keepNext w:val="0"/>
              <w:widowControl w:val="0"/>
            </w:pPr>
            <w:r w:rsidRPr="002A7B27">
              <w:t xml:space="preserve">IOP reduction ≥ 20% from baseline </w:t>
            </w:r>
          </w:p>
        </w:tc>
        <w:tc>
          <w:tcPr>
            <w:tcW w:w="683" w:type="pct"/>
            <w:tcBorders>
              <w:top w:val="nil"/>
              <w:left w:val="single" w:sz="4" w:space="0" w:color="auto"/>
              <w:bottom w:val="nil"/>
              <w:right w:val="single" w:sz="4" w:space="0" w:color="auto"/>
            </w:tcBorders>
          </w:tcPr>
          <w:p w14:paraId="494ABD3A" w14:textId="77777777" w:rsidR="007153A0" w:rsidRPr="002A7B27" w:rsidRDefault="007153A0" w:rsidP="00307E42">
            <w:pPr>
              <w:pStyle w:val="TableText0"/>
              <w:keepNext w:val="0"/>
              <w:widowControl w:val="0"/>
            </w:pPr>
            <w:r w:rsidRPr="002A7B27">
              <w:t>12 months</w:t>
            </w:r>
          </w:p>
        </w:tc>
        <w:tc>
          <w:tcPr>
            <w:tcW w:w="1440" w:type="pct"/>
            <w:tcBorders>
              <w:top w:val="nil"/>
              <w:left w:val="single" w:sz="4" w:space="0" w:color="auto"/>
              <w:bottom w:val="nil"/>
              <w:right w:val="single" w:sz="4" w:space="0" w:color="auto"/>
            </w:tcBorders>
          </w:tcPr>
          <w:p w14:paraId="534A478A" w14:textId="77777777" w:rsidR="007153A0" w:rsidRPr="002A7B27" w:rsidRDefault="007153A0" w:rsidP="00307E42">
            <w:pPr>
              <w:pStyle w:val="TableText0"/>
              <w:keepNext w:val="0"/>
              <w:widowControl w:val="0"/>
            </w:pPr>
            <w:r w:rsidRPr="002A7B27">
              <w:t>0.892 [0.467, 1.704]; 0.7296</w:t>
            </w:r>
          </w:p>
        </w:tc>
        <w:tc>
          <w:tcPr>
            <w:tcW w:w="1441" w:type="pct"/>
            <w:vMerge w:val="restart"/>
            <w:tcBorders>
              <w:top w:val="nil"/>
              <w:left w:val="single" w:sz="4" w:space="0" w:color="auto"/>
              <w:right w:val="single" w:sz="4" w:space="0" w:color="auto"/>
            </w:tcBorders>
            <w:shd w:val="clear" w:color="auto" w:fill="D9D9D9" w:themeFill="background1" w:themeFillShade="D9"/>
            <w:vAlign w:val="bottom"/>
          </w:tcPr>
          <w:p w14:paraId="63A7616E" w14:textId="77777777" w:rsidR="007153A0" w:rsidRPr="002A7B27" w:rsidRDefault="007153A0" w:rsidP="00307E42">
            <w:pPr>
              <w:pStyle w:val="TableText0"/>
              <w:keepNext w:val="0"/>
              <w:widowControl w:val="0"/>
            </w:pPr>
          </w:p>
        </w:tc>
      </w:tr>
      <w:tr w:rsidR="007153A0" w:rsidRPr="002A7B27" w14:paraId="2C965060" w14:textId="77777777" w:rsidTr="00307E42">
        <w:tc>
          <w:tcPr>
            <w:tcW w:w="1436" w:type="pct"/>
            <w:vMerge/>
            <w:tcBorders>
              <w:top w:val="nil"/>
              <w:left w:val="single" w:sz="4" w:space="0" w:color="auto"/>
              <w:bottom w:val="nil"/>
              <w:right w:val="single" w:sz="4" w:space="0" w:color="auto"/>
            </w:tcBorders>
          </w:tcPr>
          <w:p w14:paraId="04535C48"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0D07D99A" w14:textId="77777777" w:rsidR="007153A0" w:rsidRPr="002A7B27" w:rsidRDefault="007153A0" w:rsidP="00307E42">
            <w:pPr>
              <w:pStyle w:val="TableText0"/>
              <w:keepNext w:val="0"/>
              <w:widowControl w:val="0"/>
            </w:pPr>
            <w:r w:rsidRPr="002A7B27">
              <w:t>24 months</w:t>
            </w:r>
          </w:p>
        </w:tc>
        <w:tc>
          <w:tcPr>
            <w:tcW w:w="1440" w:type="pct"/>
            <w:tcBorders>
              <w:top w:val="nil"/>
              <w:left w:val="single" w:sz="4" w:space="0" w:color="auto"/>
              <w:bottom w:val="nil"/>
              <w:right w:val="single" w:sz="4" w:space="0" w:color="auto"/>
            </w:tcBorders>
          </w:tcPr>
          <w:p w14:paraId="01339934" w14:textId="77777777" w:rsidR="007153A0" w:rsidRPr="002A7B27" w:rsidRDefault="007153A0" w:rsidP="00307E42">
            <w:pPr>
              <w:pStyle w:val="TableText0"/>
              <w:keepNext w:val="0"/>
              <w:widowControl w:val="0"/>
            </w:pPr>
            <w:r w:rsidRPr="002A7B27">
              <w:t>0.936 [0.371, 2.2361]; 0.8885</w:t>
            </w:r>
          </w:p>
        </w:tc>
        <w:tc>
          <w:tcPr>
            <w:tcW w:w="1441" w:type="pct"/>
            <w:vMerge/>
            <w:tcBorders>
              <w:left w:val="single" w:sz="4" w:space="0" w:color="auto"/>
              <w:bottom w:val="nil"/>
              <w:right w:val="single" w:sz="4" w:space="0" w:color="auto"/>
            </w:tcBorders>
            <w:shd w:val="clear" w:color="auto" w:fill="D9D9D9" w:themeFill="background1" w:themeFillShade="D9"/>
            <w:vAlign w:val="bottom"/>
          </w:tcPr>
          <w:p w14:paraId="33891278" w14:textId="77777777" w:rsidR="007153A0" w:rsidRPr="002A7B27" w:rsidRDefault="007153A0" w:rsidP="00307E42">
            <w:pPr>
              <w:pStyle w:val="TableText0"/>
              <w:keepNext w:val="0"/>
              <w:widowControl w:val="0"/>
            </w:pPr>
          </w:p>
        </w:tc>
      </w:tr>
      <w:tr w:rsidR="007153A0" w:rsidRPr="002A7B27" w14:paraId="40406DB7" w14:textId="77777777" w:rsidTr="00307E42">
        <w:tc>
          <w:tcPr>
            <w:tcW w:w="1436" w:type="pct"/>
            <w:vMerge w:val="restart"/>
            <w:tcBorders>
              <w:top w:val="nil"/>
              <w:left w:val="single" w:sz="4" w:space="0" w:color="auto"/>
              <w:bottom w:val="nil"/>
              <w:right w:val="single" w:sz="4" w:space="0" w:color="auto"/>
            </w:tcBorders>
          </w:tcPr>
          <w:p w14:paraId="1D963C7F" w14:textId="77777777" w:rsidR="007153A0" w:rsidRPr="002A7B27" w:rsidRDefault="007153A0" w:rsidP="00307E42">
            <w:pPr>
              <w:pStyle w:val="TableText0"/>
              <w:keepNext w:val="0"/>
              <w:widowControl w:val="0"/>
            </w:pPr>
            <w:r w:rsidRPr="002A7B27">
              <w:t xml:space="preserve">Mean reduction in IOP from baseline </w:t>
            </w:r>
          </w:p>
        </w:tc>
        <w:tc>
          <w:tcPr>
            <w:tcW w:w="683" w:type="pct"/>
            <w:tcBorders>
              <w:top w:val="nil"/>
              <w:left w:val="single" w:sz="4" w:space="0" w:color="auto"/>
              <w:bottom w:val="nil"/>
              <w:right w:val="single" w:sz="4" w:space="0" w:color="auto"/>
            </w:tcBorders>
          </w:tcPr>
          <w:p w14:paraId="279B8627" w14:textId="77777777" w:rsidR="007153A0" w:rsidRPr="002A7B27" w:rsidRDefault="007153A0" w:rsidP="00307E42">
            <w:pPr>
              <w:pStyle w:val="TableText0"/>
              <w:keepNext w:val="0"/>
              <w:widowControl w:val="0"/>
            </w:pPr>
            <w:r w:rsidRPr="002A7B27">
              <w:t>12 months</w:t>
            </w:r>
          </w:p>
        </w:tc>
        <w:tc>
          <w:tcPr>
            <w:tcW w:w="1440" w:type="pct"/>
            <w:vMerge w:val="restart"/>
            <w:tcBorders>
              <w:top w:val="nil"/>
              <w:left w:val="single" w:sz="4" w:space="0" w:color="auto"/>
              <w:right w:val="single" w:sz="4" w:space="0" w:color="auto"/>
            </w:tcBorders>
            <w:shd w:val="clear" w:color="auto" w:fill="D9D9D9" w:themeFill="background1" w:themeFillShade="D9"/>
          </w:tcPr>
          <w:p w14:paraId="1476563B" w14:textId="77777777" w:rsidR="007153A0" w:rsidRPr="002A7B27" w:rsidRDefault="007153A0" w:rsidP="00307E42">
            <w:pPr>
              <w:pStyle w:val="TableText0"/>
              <w:keepNext w:val="0"/>
              <w:widowControl w:val="0"/>
            </w:pPr>
          </w:p>
        </w:tc>
        <w:tc>
          <w:tcPr>
            <w:tcW w:w="1441" w:type="pct"/>
            <w:tcBorders>
              <w:top w:val="nil"/>
              <w:left w:val="single" w:sz="4" w:space="0" w:color="auto"/>
              <w:bottom w:val="nil"/>
              <w:right w:val="single" w:sz="4" w:space="0" w:color="auto"/>
            </w:tcBorders>
            <w:vAlign w:val="center"/>
          </w:tcPr>
          <w:p w14:paraId="1AD6DF47" w14:textId="77777777" w:rsidR="007153A0" w:rsidRPr="002A7B27" w:rsidRDefault="007153A0" w:rsidP="00307E42">
            <w:pPr>
              <w:pStyle w:val="TableText0"/>
              <w:keepNext w:val="0"/>
              <w:widowControl w:val="0"/>
            </w:pPr>
            <w:r w:rsidRPr="002A7B27">
              <w:t>-0.5 (-2.329, 1.329); 0.5921</w:t>
            </w:r>
          </w:p>
        </w:tc>
      </w:tr>
      <w:tr w:rsidR="007153A0" w:rsidRPr="002A7B27" w14:paraId="2095554D" w14:textId="77777777" w:rsidTr="00307E42">
        <w:tc>
          <w:tcPr>
            <w:tcW w:w="1436" w:type="pct"/>
            <w:vMerge/>
            <w:tcBorders>
              <w:top w:val="nil"/>
              <w:left w:val="single" w:sz="4" w:space="0" w:color="auto"/>
              <w:bottom w:val="nil"/>
              <w:right w:val="single" w:sz="4" w:space="0" w:color="auto"/>
            </w:tcBorders>
          </w:tcPr>
          <w:p w14:paraId="02BDC92F" w14:textId="77777777" w:rsidR="007153A0" w:rsidRPr="002A7B27" w:rsidRDefault="007153A0" w:rsidP="00307E42">
            <w:pPr>
              <w:pStyle w:val="TableText0"/>
              <w:keepNext w:val="0"/>
              <w:widowControl w:val="0"/>
            </w:pPr>
          </w:p>
        </w:tc>
        <w:tc>
          <w:tcPr>
            <w:tcW w:w="683" w:type="pct"/>
            <w:tcBorders>
              <w:top w:val="nil"/>
              <w:left w:val="single" w:sz="4" w:space="0" w:color="auto"/>
              <w:bottom w:val="nil"/>
              <w:right w:val="single" w:sz="4" w:space="0" w:color="auto"/>
            </w:tcBorders>
          </w:tcPr>
          <w:p w14:paraId="45DBB4A4" w14:textId="77777777" w:rsidR="007153A0" w:rsidRPr="002A7B27" w:rsidRDefault="007153A0" w:rsidP="00307E42">
            <w:pPr>
              <w:pStyle w:val="TableText0"/>
              <w:keepNext w:val="0"/>
              <w:widowControl w:val="0"/>
            </w:pPr>
            <w:r w:rsidRPr="002A7B27">
              <w:t>24 months</w:t>
            </w:r>
          </w:p>
        </w:tc>
        <w:tc>
          <w:tcPr>
            <w:tcW w:w="1440" w:type="pct"/>
            <w:vMerge/>
            <w:tcBorders>
              <w:left w:val="single" w:sz="4" w:space="0" w:color="auto"/>
              <w:right w:val="single" w:sz="4" w:space="0" w:color="auto"/>
            </w:tcBorders>
            <w:shd w:val="clear" w:color="auto" w:fill="D9D9D9" w:themeFill="background1" w:themeFillShade="D9"/>
          </w:tcPr>
          <w:p w14:paraId="18ADC3A3" w14:textId="77777777" w:rsidR="007153A0" w:rsidRPr="002A7B27" w:rsidRDefault="007153A0" w:rsidP="00307E42">
            <w:pPr>
              <w:pStyle w:val="TableText0"/>
              <w:keepNext w:val="0"/>
              <w:widowControl w:val="0"/>
            </w:pPr>
          </w:p>
        </w:tc>
        <w:tc>
          <w:tcPr>
            <w:tcW w:w="1441" w:type="pct"/>
            <w:tcBorders>
              <w:top w:val="nil"/>
              <w:left w:val="single" w:sz="4" w:space="0" w:color="auto"/>
              <w:bottom w:val="nil"/>
              <w:right w:val="single" w:sz="4" w:space="0" w:color="auto"/>
            </w:tcBorders>
            <w:vAlign w:val="center"/>
          </w:tcPr>
          <w:p w14:paraId="5D36F657" w14:textId="77777777" w:rsidR="007153A0" w:rsidRPr="002A7B27" w:rsidRDefault="007153A0" w:rsidP="00307E42">
            <w:pPr>
              <w:pStyle w:val="TableText0"/>
              <w:keepNext w:val="0"/>
              <w:widowControl w:val="0"/>
            </w:pPr>
            <w:r w:rsidRPr="002A7B27">
              <w:t>-0.55 (-1.839, 0.739); 0.4031</w:t>
            </w:r>
          </w:p>
        </w:tc>
      </w:tr>
      <w:tr w:rsidR="007153A0" w:rsidRPr="002A7B27" w14:paraId="02F085C1" w14:textId="77777777" w:rsidTr="00307E42">
        <w:tc>
          <w:tcPr>
            <w:tcW w:w="1436" w:type="pct"/>
            <w:vMerge w:val="restart"/>
            <w:tcBorders>
              <w:top w:val="nil"/>
              <w:left w:val="single" w:sz="4" w:space="0" w:color="auto"/>
              <w:bottom w:val="single" w:sz="4" w:space="0" w:color="auto"/>
              <w:right w:val="single" w:sz="4" w:space="0" w:color="auto"/>
            </w:tcBorders>
          </w:tcPr>
          <w:p w14:paraId="1BF641D1" w14:textId="77777777" w:rsidR="007153A0" w:rsidRPr="002A7B27" w:rsidRDefault="007153A0" w:rsidP="00307E42">
            <w:pPr>
              <w:pStyle w:val="TableText0"/>
              <w:keepNext w:val="0"/>
              <w:widowControl w:val="0"/>
            </w:pPr>
            <w:r w:rsidRPr="002A7B27">
              <w:t xml:space="preserve">Mean reduction in the number of ocular hypotensive medications </w:t>
            </w:r>
          </w:p>
        </w:tc>
        <w:tc>
          <w:tcPr>
            <w:tcW w:w="683" w:type="pct"/>
            <w:tcBorders>
              <w:top w:val="nil"/>
              <w:left w:val="single" w:sz="4" w:space="0" w:color="auto"/>
              <w:bottom w:val="nil"/>
              <w:right w:val="single" w:sz="4" w:space="0" w:color="auto"/>
            </w:tcBorders>
            <w:vAlign w:val="center"/>
          </w:tcPr>
          <w:p w14:paraId="5147B668" w14:textId="77777777" w:rsidR="007153A0" w:rsidRPr="002A7B27" w:rsidRDefault="007153A0" w:rsidP="00307E42">
            <w:pPr>
              <w:pStyle w:val="TableText0"/>
              <w:keepNext w:val="0"/>
              <w:widowControl w:val="0"/>
            </w:pPr>
            <w:r w:rsidRPr="002A7B27">
              <w:t>12 months</w:t>
            </w:r>
          </w:p>
        </w:tc>
        <w:tc>
          <w:tcPr>
            <w:tcW w:w="1440" w:type="pct"/>
            <w:vMerge/>
            <w:tcBorders>
              <w:left w:val="single" w:sz="4" w:space="0" w:color="auto"/>
              <w:right w:val="single" w:sz="4" w:space="0" w:color="auto"/>
            </w:tcBorders>
            <w:shd w:val="clear" w:color="auto" w:fill="D9D9D9" w:themeFill="background1" w:themeFillShade="D9"/>
          </w:tcPr>
          <w:p w14:paraId="472D988F" w14:textId="77777777" w:rsidR="007153A0" w:rsidRPr="002A7B27" w:rsidRDefault="007153A0" w:rsidP="00307E42">
            <w:pPr>
              <w:pStyle w:val="TableText0"/>
              <w:keepNext w:val="0"/>
              <w:widowControl w:val="0"/>
            </w:pPr>
          </w:p>
        </w:tc>
        <w:tc>
          <w:tcPr>
            <w:tcW w:w="1441" w:type="pct"/>
            <w:tcBorders>
              <w:top w:val="nil"/>
              <w:left w:val="single" w:sz="4" w:space="0" w:color="auto"/>
              <w:bottom w:val="nil"/>
              <w:right w:val="single" w:sz="4" w:space="0" w:color="auto"/>
            </w:tcBorders>
            <w:vAlign w:val="center"/>
          </w:tcPr>
          <w:p w14:paraId="3B428B8D" w14:textId="77777777" w:rsidR="007153A0" w:rsidRPr="002A7B27" w:rsidRDefault="007153A0" w:rsidP="00307E42">
            <w:pPr>
              <w:pStyle w:val="TableText0"/>
              <w:keepNext w:val="0"/>
              <w:widowControl w:val="0"/>
            </w:pPr>
            <w:r w:rsidRPr="002A7B27">
              <w:t>-0.16 (-0.429, 0.109); 0.2438</w:t>
            </w:r>
          </w:p>
        </w:tc>
      </w:tr>
      <w:tr w:rsidR="007153A0" w:rsidRPr="002A7B27" w14:paraId="134277A9" w14:textId="77777777" w:rsidTr="00307E42">
        <w:tc>
          <w:tcPr>
            <w:tcW w:w="1436" w:type="pct"/>
            <w:vMerge/>
            <w:tcBorders>
              <w:top w:val="single" w:sz="4" w:space="0" w:color="auto"/>
              <w:left w:val="single" w:sz="4" w:space="0" w:color="auto"/>
              <w:bottom w:val="single" w:sz="4" w:space="0" w:color="auto"/>
              <w:right w:val="single" w:sz="4" w:space="0" w:color="auto"/>
            </w:tcBorders>
          </w:tcPr>
          <w:p w14:paraId="6047F54F" w14:textId="77777777" w:rsidR="007153A0" w:rsidRPr="002A7B27" w:rsidRDefault="007153A0" w:rsidP="00307E42">
            <w:pPr>
              <w:pStyle w:val="TableText0"/>
              <w:keepNext w:val="0"/>
              <w:widowControl w:val="0"/>
            </w:pPr>
          </w:p>
        </w:tc>
        <w:tc>
          <w:tcPr>
            <w:tcW w:w="683" w:type="pct"/>
            <w:tcBorders>
              <w:top w:val="nil"/>
              <w:left w:val="single" w:sz="4" w:space="0" w:color="auto"/>
              <w:bottom w:val="single" w:sz="4" w:space="0" w:color="auto"/>
              <w:right w:val="single" w:sz="4" w:space="0" w:color="auto"/>
            </w:tcBorders>
            <w:vAlign w:val="center"/>
          </w:tcPr>
          <w:p w14:paraId="439ABA62" w14:textId="77777777" w:rsidR="007153A0" w:rsidRPr="002A7B27" w:rsidRDefault="007153A0" w:rsidP="00307E42">
            <w:pPr>
              <w:pStyle w:val="TableText0"/>
              <w:keepNext w:val="0"/>
              <w:widowControl w:val="0"/>
            </w:pPr>
            <w:r w:rsidRPr="002A7B27">
              <w:t>24 months</w:t>
            </w:r>
          </w:p>
        </w:tc>
        <w:tc>
          <w:tcPr>
            <w:tcW w:w="1440" w:type="pct"/>
            <w:vMerge/>
            <w:tcBorders>
              <w:left w:val="single" w:sz="4" w:space="0" w:color="auto"/>
              <w:bottom w:val="single" w:sz="4" w:space="0" w:color="auto"/>
              <w:right w:val="single" w:sz="4" w:space="0" w:color="auto"/>
            </w:tcBorders>
            <w:shd w:val="clear" w:color="auto" w:fill="D9D9D9" w:themeFill="background1" w:themeFillShade="D9"/>
          </w:tcPr>
          <w:p w14:paraId="21ED148D" w14:textId="77777777" w:rsidR="007153A0" w:rsidRPr="002A7B27" w:rsidRDefault="007153A0" w:rsidP="00307E42">
            <w:pPr>
              <w:pStyle w:val="TableText0"/>
              <w:keepNext w:val="0"/>
              <w:widowControl w:val="0"/>
            </w:pPr>
          </w:p>
        </w:tc>
        <w:tc>
          <w:tcPr>
            <w:tcW w:w="1441" w:type="pct"/>
            <w:tcBorders>
              <w:top w:val="nil"/>
              <w:left w:val="single" w:sz="4" w:space="0" w:color="auto"/>
              <w:bottom w:val="single" w:sz="4" w:space="0" w:color="auto"/>
              <w:right w:val="single" w:sz="4" w:space="0" w:color="auto"/>
            </w:tcBorders>
            <w:vAlign w:val="center"/>
          </w:tcPr>
          <w:p w14:paraId="1F3A1B9F" w14:textId="77777777" w:rsidR="007153A0" w:rsidRPr="002A7B27" w:rsidRDefault="007153A0" w:rsidP="00307E42">
            <w:pPr>
              <w:pStyle w:val="TableText0"/>
              <w:keepNext w:val="0"/>
              <w:widowControl w:val="0"/>
            </w:pPr>
            <w:r w:rsidRPr="002A7B27">
              <w:t>-0.14 (-0.445, 0.165); 0.3680</w:t>
            </w:r>
          </w:p>
        </w:tc>
      </w:tr>
    </w:tbl>
    <w:p w14:paraId="77F53A26" w14:textId="77777777" w:rsidR="007153A0" w:rsidRPr="007153A0" w:rsidRDefault="007153A0" w:rsidP="005C3CEE">
      <w:pPr>
        <w:pStyle w:val="Heading2"/>
      </w:pPr>
      <w:r w:rsidRPr="007153A0">
        <w:t>MIGS stent implantation as a stand-alone procedure</w:t>
      </w:r>
    </w:p>
    <w:p w14:paraId="15C4C702" w14:textId="77777777" w:rsidR="00534AE3" w:rsidRDefault="00534AE3" w:rsidP="00E56ED6">
      <w:pPr>
        <w:tabs>
          <w:tab w:val="left" w:pos="720"/>
          <w:tab w:val="left" w:pos="1140"/>
        </w:tabs>
        <w:spacing w:before="120" w:after="240"/>
      </w:pPr>
      <w:r w:rsidRPr="002A7B27">
        <w:t>The key features of the evidence base for suprachoroidal stent implantation as a standalone procedure is presented in</w:t>
      </w:r>
      <w:r w:rsidR="00E56ED6">
        <w:t xml:space="preserve"> Table 5</w:t>
      </w:r>
      <w:r>
        <w:t>.</w:t>
      </w:r>
    </w:p>
    <w:p w14:paraId="39134D4D" w14:textId="77777777" w:rsidR="00534AE3" w:rsidRPr="00534AE3" w:rsidRDefault="00534AE3" w:rsidP="00534AE3">
      <w:pPr>
        <w:pStyle w:val="Caption"/>
        <w:widowControl w:val="0"/>
        <w:spacing w:after="0"/>
        <w:rPr>
          <w:rFonts w:ascii="Arial Narrow" w:hAnsi="Arial Narrow"/>
          <w:snapToGrid w:val="0"/>
          <w:color w:val="auto"/>
          <w:sz w:val="20"/>
          <w:szCs w:val="20"/>
          <w:lang w:eastAsia="en-US"/>
        </w:rPr>
      </w:pPr>
      <w:bookmarkStart w:id="15" w:name="_Toc484089470"/>
      <w:bookmarkStart w:id="16" w:name="_Toc484607927"/>
      <w:r w:rsidRPr="00534AE3">
        <w:rPr>
          <w:rFonts w:ascii="Arial Narrow" w:hAnsi="Arial Narrow"/>
          <w:color w:val="auto"/>
          <w:sz w:val="20"/>
          <w:szCs w:val="20"/>
        </w:rPr>
        <w:t xml:space="preserve">Table </w:t>
      </w:r>
      <w:r w:rsidR="00E56ED6">
        <w:rPr>
          <w:rFonts w:ascii="Arial Narrow" w:hAnsi="Arial Narrow"/>
          <w:color w:val="auto"/>
          <w:sz w:val="20"/>
          <w:szCs w:val="20"/>
        </w:rPr>
        <w:t>5</w:t>
      </w:r>
      <w:r w:rsidRPr="00534AE3">
        <w:rPr>
          <w:rFonts w:ascii="Arial Narrow" w:hAnsi="Arial Narrow"/>
          <w:color w:val="auto"/>
          <w:sz w:val="20"/>
          <w:szCs w:val="20"/>
        </w:rPr>
        <w:tab/>
      </w:r>
      <w:r>
        <w:rPr>
          <w:rFonts w:ascii="Arial Narrow" w:hAnsi="Arial Narrow"/>
          <w:color w:val="auto"/>
          <w:sz w:val="20"/>
          <w:szCs w:val="20"/>
        </w:rPr>
        <w:tab/>
      </w:r>
      <w:r w:rsidRPr="00534AE3">
        <w:rPr>
          <w:rFonts w:ascii="Arial Narrow" w:hAnsi="Arial Narrow"/>
          <w:snapToGrid w:val="0"/>
          <w:color w:val="auto"/>
          <w:sz w:val="20"/>
          <w:szCs w:val="20"/>
          <w:lang w:eastAsia="en-US"/>
        </w:rPr>
        <w:t xml:space="preserve">Key features of the included trials for </w:t>
      </w:r>
      <w:proofErr w:type="spellStart"/>
      <w:r w:rsidRPr="00534AE3">
        <w:rPr>
          <w:rFonts w:ascii="Arial Narrow" w:hAnsi="Arial Narrow"/>
          <w:snapToGrid w:val="0"/>
          <w:color w:val="auto"/>
          <w:sz w:val="20"/>
          <w:szCs w:val="20"/>
          <w:lang w:eastAsia="en-US"/>
        </w:rPr>
        <w:t>CyPass</w:t>
      </w:r>
      <w:proofErr w:type="spellEnd"/>
      <w:r w:rsidRPr="00534AE3">
        <w:rPr>
          <w:rFonts w:ascii="Arial Narrow" w:hAnsi="Arial Narrow"/>
          <w:snapToGrid w:val="0"/>
          <w:color w:val="auto"/>
          <w:sz w:val="20"/>
          <w:szCs w:val="20"/>
          <w:lang w:eastAsia="en-US"/>
        </w:rPr>
        <w:t xml:space="preserve"> as a standalone procedure</w:t>
      </w:r>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17"/>
        <w:gridCol w:w="1226"/>
        <w:gridCol w:w="1079"/>
        <w:gridCol w:w="1406"/>
        <w:gridCol w:w="4054"/>
      </w:tblGrid>
      <w:tr w:rsidR="00534AE3" w:rsidRPr="002A7B27" w14:paraId="6418A4A6" w14:textId="77777777" w:rsidTr="00307E42">
        <w:tc>
          <w:tcPr>
            <w:tcW w:w="725" w:type="pct"/>
            <w:shd w:val="clear" w:color="auto" w:fill="auto"/>
          </w:tcPr>
          <w:p w14:paraId="348957F1" w14:textId="77777777" w:rsidR="00534AE3" w:rsidRPr="002A7B27" w:rsidRDefault="00534AE3" w:rsidP="00307E42">
            <w:pPr>
              <w:pStyle w:val="TableHeading"/>
              <w:keepNext w:val="0"/>
              <w:widowControl w:val="0"/>
              <w:ind w:left="57"/>
              <w:rPr>
                <w:snapToGrid w:val="0"/>
                <w:lang w:eastAsia="en-US"/>
              </w:rPr>
            </w:pPr>
            <w:r w:rsidRPr="002A7B27">
              <w:rPr>
                <w:snapToGrid w:val="0"/>
                <w:lang w:eastAsia="en-US"/>
              </w:rPr>
              <w:t>Trial/Study</w:t>
            </w:r>
          </w:p>
        </w:tc>
        <w:tc>
          <w:tcPr>
            <w:tcW w:w="675" w:type="pct"/>
            <w:shd w:val="clear" w:color="auto" w:fill="auto"/>
          </w:tcPr>
          <w:p w14:paraId="13FF91A5" w14:textId="77777777" w:rsidR="00534AE3" w:rsidRPr="002A7B27" w:rsidRDefault="00534AE3" w:rsidP="00307E42">
            <w:pPr>
              <w:pStyle w:val="TableHeading"/>
              <w:keepNext w:val="0"/>
              <w:widowControl w:val="0"/>
              <w:ind w:left="57"/>
              <w:rPr>
                <w:snapToGrid w:val="0"/>
                <w:lang w:eastAsia="en-US"/>
              </w:rPr>
            </w:pPr>
            <w:r w:rsidRPr="002A7B27">
              <w:rPr>
                <w:snapToGrid w:val="0"/>
                <w:lang w:eastAsia="en-US"/>
              </w:rPr>
              <w:t>Design/ duration</w:t>
            </w:r>
          </w:p>
        </w:tc>
        <w:tc>
          <w:tcPr>
            <w:tcW w:w="594" w:type="pct"/>
            <w:shd w:val="clear" w:color="auto" w:fill="auto"/>
          </w:tcPr>
          <w:p w14:paraId="4E83194B" w14:textId="77777777" w:rsidR="00534AE3" w:rsidRPr="002A7B27" w:rsidRDefault="00534AE3" w:rsidP="00307E42">
            <w:pPr>
              <w:pStyle w:val="TableHeading"/>
              <w:keepNext w:val="0"/>
              <w:widowControl w:val="0"/>
              <w:ind w:left="57"/>
              <w:rPr>
                <w:snapToGrid w:val="0"/>
                <w:lang w:eastAsia="en-US"/>
              </w:rPr>
            </w:pPr>
            <w:r w:rsidRPr="002A7B27">
              <w:rPr>
                <w:snapToGrid w:val="0"/>
                <w:lang w:eastAsia="en-US"/>
              </w:rPr>
              <w:t>Quality of evidence (GRADE)</w:t>
            </w:r>
          </w:p>
        </w:tc>
        <w:tc>
          <w:tcPr>
            <w:tcW w:w="774" w:type="pct"/>
            <w:shd w:val="clear" w:color="auto" w:fill="auto"/>
          </w:tcPr>
          <w:p w14:paraId="166E2E7C" w14:textId="77777777" w:rsidR="00534AE3" w:rsidRPr="002A7B27" w:rsidRDefault="00534AE3" w:rsidP="00307E42">
            <w:pPr>
              <w:pStyle w:val="TableHeading"/>
              <w:keepNext w:val="0"/>
              <w:widowControl w:val="0"/>
              <w:ind w:left="57"/>
              <w:rPr>
                <w:snapToGrid w:val="0"/>
                <w:lang w:eastAsia="en-US"/>
              </w:rPr>
            </w:pPr>
            <w:r w:rsidRPr="002A7B27">
              <w:rPr>
                <w:snapToGrid w:val="0"/>
                <w:lang w:eastAsia="en-US"/>
              </w:rPr>
              <w:t>Patient population</w:t>
            </w:r>
          </w:p>
        </w:tc>
        <w:tc>
          <w:tcPr>
            <w:tcW w:w="2232" w:type="pct"/>
            <w:shd w:val="clear" w:color="auto" w:fill="auto"/>
          </w:tcPr>
          <w:p w14:paraId="1BFA1587" w14:textId="77777777" w:rsidR="00534AE3" w:rsidRPr="002A7B27" w:rsidRDefault="00534AE3" w:rsidP="00307E42">
            <w:pPr>
              <w:pStyle w:val="TableHeading"/>
              <w:keepNext w:val="0"/>
              <w:widowControl w:val="0"/>
              <w:ind w:left="57"/>
              <w:rPr>
                <w:snapToGrid w:val="0"/>
                <w:lang w:eastAsia="en-US"/>
              </w:rPr>
            </w:pPr>
            <w:r w:rsidRPr="002A7B27">
              <w:rPr>
                <w:snapToGrid w:val="0"/>
                <w:lang w:eastAsia="en-US"/>
              </w:rPr>
              <w:t>Key outcome(s)</w:t>
            </w:r>
          </w:p>
        </w:tc>
      </w:tr>
      <w:tr w:rsidR="00534AE3" w:rsidRPr="002A7B27" w14:paraId="5542340B" w14:textId="77777777" w:rsidTr="00307E42">
        <w:tc>
          <w:tcPr>
            <w:tcW w:w="725" w:type="pct"/>
            <w:shd w:val="clear" w:color="auto" w:fill="auto"/>
          </w:tcPr>
          <w:p w14:paraId="20714E85" w14:textId="77777777" w:rsidR="00534AE3" w:rsidRPr="002A7B27" w:rsidRDefault="00534AE3" w:rsidP="00307E42">
            <w:pPr>
              <w:pStyle w:val="TableText0"/>
              <w:keepNext w:val="0"/>
              <w:widowControl w:val="0"/>
              <w:ind w:left="57"/>
              <w:rPr>
                <w:snapToGrid w:val="0"/>
              </w:rPr>
            </w:pPr>
            <w:r w:rsidRPr="002A7B27">
              <w:rPr>
                <w:snapToGrid w:val="0"/>
              </w:rPr>
              <w:t>CYCLE</w:t>
            </w:r>
          </w:p>
          <w:p w14:paraId="35DE1278" w14:textId="77777777" w:rsidR="00534AE3" w:rsidRPr="002A7B27" w:rsidRDefault="00534AE3" w:rsidP="00307E42">
            <w:pPr>
              <w:pStyle w:val="TableText0"/>
              <w:keepNext w:val="0"/>
              <w:widowControl w:val="0"/>
              <w:ind w:left="57"/>
              <w:rPr>
                <w:snapToGrid w:val="0"/>
              </w:rPr>
            </w:pPr>
            <w:r w:rsidRPr="002A7B27">
              <w:t>NCT01097174</w:t>
            </w:r>
          </w:p>
        </w:tc>
        <w:tc>
          <w:tcPr>
            <w:tcW w:w="675" w:type="pct"/>
            <w:shd w:val="clear" w:color="auto" w:fill="auto"/>
          </w:tcPr>
          <w:p w14:paraId="23774A61" w14:textId="77777777" w:rsidR="00534AE3" w:rsidRPr="002A7B27" w:rsidRDefault="00534AE3" w:rsidP="00307E42">
            <w:pPr>
              <w:pStyle w:val="Tabletext"/>
              <w:widowControl w:val="0"/>
              <w:ind w:left="57"/>
            </w:pPr>
            <w:r w:rsidRPr="002A7B27">
              <w:t>Interventional case series; open label registry (standalone cohort)</w:t>
            </w:r>
          </w:p>
          <w:p w14:paraId="326D3B56" w14:textId="77777777" w:rsidR="00534AE3" w:rsidRPr="002A7B27" w:rsidRDefault="00534AE3" w:rsidP="00307E42">
            <w:pPr>
              <w:pStyle w:val="TableText0"/>
              <w:keepNext w:val="0"/>
              <w:widowControl w:val="0"/>
              <w:ind w:left="57"/>
              <w:rPr>
                <w:snapToGrid w:val="0"/>
              </w:rPr>
            </w:pPr>
          </w:p>
        </w:tc>
        <w:tc>
          <w:tcPr>
            <w:tcW w:w="594" w:type="pct"/>
            <w:shd w:val="clear" w:color="auto" w:fill="auto"/>
          </w:tcPr>
          <w:p w14:paraId="238A32C0" w14:textId="77777777" w:rsidR="00534AE3" w:rsidRPr="002A7B27" w:rsidRDefault="00534AE3" w:rsidP="00307E42">
            <w:pPr>
              <w:pStyle w:val="Tabletext"/>
              <w:widowControl w:val="0"/>
              <w:ind w:left="57"/>
            </w:pPr>
            <w:r w:rsidRPr="002A7B27">
              <w:rPr>
                <w:rFonts w:ascii="Cambria Math" w:hAnsi="Cambria Math" w:cs="Cambria Math"/>
                <w:color w:val="00B050"/>
              </w:rPr>
              <w:t>⨁⨁</w:t>
            </w:r>
            <w:r w:rsidRPr="002A7B27">
              <w:rPr>
                <w:rFonts w:ascii="Cambria Math" w:hAnsi="Cambria Math" w:cs="Cambria Math"/>
                <w:color w:val="FF0000"/>
              </w:rPr>
              <w:t>⨀⨀</w:t>
            </w:r>
          </w:p>
          <w:p w14:paraId="07C9C7CB" w14:textId="77777777" w:rsidR="00534AE3" w:rsidRPr="002A7B27" w:rsidRDefault="00534AE3" w:rsidP="00307E42">
            <w:pPr>
              <w:pStyle w:val="TableText0"/>
              <w:keepNext w:val="0"/>
              <w:widowControl w:val="0"/>
              <w:ind w:left="57"/>
              <w:rPr>
                <w:snapToGrid w:val="0"/>
              </w:rPr>
            </w:pPr>
            <w:r w:rsidRPr="002A7B27">
              <w:t>LOW QUALITY</w:t>
            </w:r>
          </w:p>
        </w:tc>
        <w:tc>
          <w:tcPr>
            <w:tcW w:w="774" w:type="pct"/>
            <w:shd w:val="clear" w:color="auto" w:fill="auto"/>
          </w:tcPr>
          <w:p w14:paraId="63027AA1" w14:textId="77777777" w:rsidR="00534AE3" w:rsidRPr="002A7B27" w:rsidRDefault="00534AE3" w:rsidP="00307E42">
            <w:pPr>
              <w:pStyle w:val="Tabletext"/>
              <w:widowControl w:val="0"/>
              <w:ind w:left="57"/>
            </w:pPr>
            <w:r w:rsidRPr="002A7B27">
              <w:t xml:space="preserve">Subjects with glaucoma who underwent implantation with the </w:t>
            </w:r>
            <w:proofErr w:type="spellStart"/>
            <w:r w:rsidRPr="002A7B27">
              <w:t>CyPass</w:t>
            </w:r>
            <w:proofErr w:type="spellEnd"/>
            <w:r w:rsidRPr="002A7B27">
              <w:t xml:space="preserve"> Micro-Stent</w:t>
            </w:r>
          </w:p>
        </w:tc>
        <w:tc>
          <w:tcPr>
            <w:tcW w:w="2232" w:type="pct"/>
            <w:shd w:val="clear" w:color="auto" w:fill="auto"/>
          </w:tcPr>
          <w:p w14:paraId="7127620E" w14:textId="77777777" w:rsidR="00534AE3" w:rsidRPr="002A7B27" w:rsidRDefault="00534AE3" w:rsidP="00534AE3">
            <w:pPr>
              <w:pStyle w:val="Tabletext"/>
              <w:widowControl w:val="0"/>
              <w:numPr>
                <w:ilvl w:val="0"/>
                <w:numId w:val="32"/>
              </w:numPr>
              <w:spacing w:before="40" w:after="40"/>
              <w:ind w:left="400" w:hanging="283"/>
            </w:pPr>
            <w:r w:rsidRPr="002A7B27">
              <w:t>Mean change in IOP from baseline to 1 month postoperatively and beyond</w:t>
            </w:r>
          </w:p>
          <w:p w14:paraId="0EE99EB0" w14:textId="77777777" w:rsidR="00534AE3" w:rsidRPr="002A7B27" w:rsidRDefault="00534AE3" w:rsidP="00534AE3">
            <w:pPr>
              <w:pStyle w:val="Tabletext"/>
              <w:widowControl w:val="0"/>
              <w:numPr>
                <w:ilvl w:val="0"/>
                <w:numId w:val="32"/>
              </w:numPr>
              <w:spacing w:before="40" w:after="40"/>
              <w:ind w:left="400" w:hanging="283"/>
            </w:pPr>
            <w:r w:rsidRPr="002A7B27">
              <w:t>Mean change in required glaucoma medications used from baseline to 1 month postoperatively and beyond</w:t>
            </w:r>
          </w:p>
          <w:p w14:paraId="3379731F" w14:textId="77777777" w:rsidR="00534AE3" w:rsidRPr="002A7B27" w:rsidRDefault="00534AE3" w:rsidP="00534AE3">
            <w:pPr>
              <w:pStyle w:val="Tabletext"/>
              <w:widowControl w:val="0"/>
              <w:numPr>
                <w:ilvl w:val="0"/>
                <w:numId w:val="32"/>
              </w:numPr>
              <w:spacing w:before="40" w:after="40"/>
              <w:ind w:left="400" w:hanging="283"/>
            </w:pPr>
            <w:r w:rsidRPr="002A7B27">
              <w:t>Incidence of intraoperative and postoperative safety events</w:t>
            </w:r>
          </w:p>
        </w:tc>
      </w:tr>
      <w:tr w:rsidR="00534AE3" w:rsidRPr="002A7B27" w14:paraId="57312B2F" w14:textId="77777777" w:rsidTr="00307E42">
        <w:tc>
          <w:tcPr>
            <w:tcW w:w="725" w:type="pct"/>
            <w:shd w:val="clear" w:color="auto" w:fill="auto"/>
          </w:tcPr>
          <w:p w14:paraId="67D36448" w14:textId="77777777" w:rsidR="00534AE3" w:rsidRPr="002A7B27" w:rsidRDefault="00534AE3" w:rsidP="00307E42">
            <w:pPr>
              <w:pStyle w:val="TableText0"/>
              <w:keepNext w:val="0"/>
              <w:widowControl w:val="0"/>
              <w:ind w:left="57"/>
              <w:rPr>
                <w:snapToGrid w:val="0"/>
              </w:rPr>
            </w:pPr>
            <w:r w:rsidRPr="002A7B27">
              <w:rPr>
                <w:snapToGrid w:val="0"/>
              </w:rPr>
              <w:t>DUETTE</w:t>
            </w:r>
          </w:p>
          <w:p w14:paraId="33BB19A4" w14:textId="77777777" w:rsidR="00534AE3" w:rsidRPr="002A7B27" w:rsidRDefault="00534AE3" w:rsidP="00307E42">
            <w:pPr>
              <w:pStyle w:val="TableText0"/>
              <w:keepNext w:val="0"/>
              <w:widowControl w:val="0"/>
              <w:ind w:left="57"/>
              <w:rPr>
                <w:snapToGrid w:val="0"/>
              </w:rPr>
            </w:pPr>
            <w:r w:rsidRPr="002A7B27">
              <w:rPr>
                <w:snapToGrid w:val="0"/>
              </w:rPr>
              <w:t>NCT01166659</w:t>
            </w:r>
          </w:p>
        </w:tc>
        <w:tc>
          <w:tcPr>
            <w:tcW w:w="675" w:type="pct"/>
            <w:shd w:val="clear" w:color="auto" w:fill="auto"/>
          </w:tcPr>
          <w:p w14:paraId="2BD3693E" w14:textId="77777777" w:rsidR="00534AE3" w:rsidRPr="002A7B27" w:rsidRDefault="00534AE3" w:rsidP="00307E42">
            <w:pPr>
              <w:pStyle w:val="TableText0"/>
              <w:keepNext w:val="0"/>
              <w:widowControl w:val="0"/>
              <w:ind w:left="57"/>
              <w:rPr>
                <w:snapToGrid w:val="0"/>
              </w:rPr>
            </w:pPr>
            <w:r w:rsidRPr="002A7B27">
              <w:t xml:space="preserve">Multicentre, prospective, single-arm interventional clinical trial </w:t>
            </w:r>
          </w:p>
        </w:tc>
        <w:tc>
          <w:tcPr>
            <w:tcW w:w="594" w:type="pct"/>
            <w:shd w:val="clear" w:color="auto" w:fill="auto"/>
          </w:tcPr>
          <w:p w14:paraId="68793FFF" w14:textId="77777777" w:rsidR="00534AE3" w:rsidRPr="002A7B27" w:rsidRDefault="00534AE3" w:rsidP="00307E42">
            <w:pPr>
              <w:pStyle w:val="Tabletext"/>
              <w:widowControl w:val="0"/>
              <w:ind w:left="57"/>
            </w:pPr>
            <w:r w:rsidRPr="002A7B27">
              <w:rPr>
                <w:rFonts w:ascii="Cambria Math" w:hAnsi="Cambria Math" w:cs="Cambria Math"/>
                <w:color w:val="00B050"/>
              </w:rPr>
              <w:t>⨁⨁</w:t>
            </w:r>
            <w:r w:rsidRPr="002A7B27">
              <w:rPr>
                <w:rFonts w:ascii="Cambria Math" w:hAnsi="Cambria Math" w:cs="Cambria Math"/>
                <w:color w:val="FF0000"/>
              </w:rPr>
              <w:t>⨀⨀</w:t>
            </w:r>
          </w:p>
          <w:p w14:paraId="0E98F6A0" w14:textId="77777777" w:rsidR="00534AE3" w:rsidRPr="002A7B27" w:rsidRDefault="00534AE3" w:rsidP="00307E42">
            <w:pPr>
              <w:pStyle w:val="Tabletext"/>
              <w:widowControl w:val="0"/>
              <w:ind w:left="57"/>
              <w:rPr>
                <w:rFonts w:ascii="Cambria Math" w:hAnsi="Cambria Math" w:cs="Cambria Math"/>
                <w:color w:val="00B050"/>
              </w:rPr>
            </w:pPr>
            <w:r w:rsidRPr="002A7B27">
              <w:t>LOW QUALITY</w:t>
            </w:r>
          </w:p>
        </w:tc>
        <w:tc>
          <w:tcPr>
            <w:tcW w:w="774" w:type="pct"/>
            <w:shd w:val="clear" w:color="auto" w:fill="auto"/>
          </w:tcPr>
          <w:p w14:paraId="1D3A1B90" w14:textId="77777777" w:rsidR="00534AE3" w:rsidRPr="002A7B27" w:rsidRDefault="00534AE3" w:rsidP="00307E42">
            <w:pPr>
              <w:pStyle w:val="TableText0"/>
              <w:keepNext w:val="0"/>
              <w:widowControl w:val="0"/>
              <w:ind w:left="57"/>
              <w:rPr>
                <w:snapToGrid w:val="0"/>
              </w:rPr>
            </w:pPr>
            <w:r w:rsidRPr="002A7B27">
              <w:t xml:space="preserve">Patients with POAG refractory to medical therapy and under consideration for additional glaucoma intervention. </w:t>
            </w:r>
          </w:p>
        </w:tc>
        <w:tc>
          <w:tcPr>
            <w:tcW w:w="2232" w:type="pct"/>
            <w:shd w:val="clear" w:color="auto" w:fill="auto"/>
          </w:tcPr>
          <w:p w14:paraId="59402912" w14:textId="77777777" w:rsidR="00534AE3" w:rsidRPr="002A7B27" w:rsidRDefault="00534AE3" w:rsidP="00534AE3">
            <w:pPr>
              <w:pStyle w:val="Tabletext"/>
              <w:widowControl w:val="0"/>
              <w:numPr>
                <w:ilvl w:val="0"/>
                <w:numId w:val="33"/>
              </w:numPr>
              <w:spacing w:before="40" w:after="40"/>
              <w:ind w:left="400" w:hanging="283"/>
            </w:pPr>
            <w:r w:rsidRPr="002A7B27">
              <w:t>Proportion of eyes with IOP reduction of ≥ 20% at 12 months postoperatively who were on fewer or the same number of ocular hypotensive medications as compared with baseline.</w:t>
            </w:r>
          </w:p>
          <w:p w14:paraId="0D747581" w14:textId="77777777" w:rsidR="00534AE3" w:rsidRPr="002A7B27" w:rsidRDefault="00534AE3" w:rsidP="00534AE3">
            <w:pPr>
              <w:pStyle w:val="Tabletext"/>
              <w:widowControl w:val="0"/>
              <w:numPr>
                <w:ilvl w:val="0"/>
                <w:numId w:val="33"/>
              </w:numPr>
              <w:spacing w:before="40" w:after="40"/>
              <w:ind w:left="400" w:hanging="283"/>
            </w:pPr>
            <w:r w:rsidRPr="002A7B27">
              <w:t>Proportion of eyes with IOP ≥ 6 mmHg and ≤ 21 mmHg</w:t>
            </w:r>
          </w:p>
          <w:p w14:paraId="47CC80CC" w14:textId="77777777" w:rsidR="00534AE3" w:rsidRPr="002A7B27" w:rsidRDefault="00534AE3" w:rsidP="00534AE3">
            <w:pPr>
              <w:pStyle w:val="Tabletext"/>
              <w:widowControl w:val="0"/>
              <w:numPr>
                <w:ilvl w:val="0"/>
                <w:numId w:val="33"/>
              </w:numPr>
              <w:spacing w:before="40" w:after="40"/>
              <w:ind w:left="400" w:hanging="283"/>
            </w:pPr>
            <w:r w:rsidRPr="002A7B27">
              <w:t>IOP change from baseline</w:t>
            </w:r>
          </w:p>
          <w:p w14:paraId="0B75EF06" w14:textId="77777777" w:rsidR="00534AE3" w:rsidRPr="002A7B27" w:rsidRDefault="00534AE3" w:rsidP="00534AE3">
            <w:pPr>
              <w:pStyle w:val="Tabletext"/>
              <w:widowControl w:val="0"/>
              <w:numPr>
                <w:ilvl w:val="0"/>
                <w:numId w:val="33"/>
              </w:numPr>
              <w:spacing w:before="40" w:after="40"/>
              <w:ind w:left="400" w:hanging="283"/>
            </w:pPr>
            <w:r w:rsidRPr="002A7B27">
              <w:t>Mean number of IOP lowering medications</w:t>
            </w:r>
          </w:p>
          <w:p w14:paraId="465F75A6" w14:textId="77777777" w:rsidR="00534AE3" w:rsidRPr="002A7B27" w:rsidRDefault="00534AE3" w:rsidP="00534AE3">
            <w:pPr>
              <w:pStyle w:val="Tabletext"/>
              <w:widowControl w:val="0"/>
              <w:numPr>
                <w:ilvl w:val="0"/>
                <w:numId w:val="33"/>
              </w:numPr>
              <w:spacing w:before="40" w:after="40"/>
              <w:ind w:left="400" w:hanging="283"/>
            </w:pPr>
            <w:r w:rsidRPr="002A7B27">
              <w:t>Ocular adverse events</w:t>
            </w:r>
          </w:p>
        </w:tc>
      </w:tr>
    </w:tbl>
    <w:p w14:paraId="145287AA" w14:textId="77777777" w:rsidR="00534AE3" w:rsidRPr="002A7B27" w:rsidRDefault="00534AE3" w:rsidP="00534AE3">
      <w:pPr>
        <w:pStyle w:val="Tabletext"/>
        <w:widowControl w:val="0"/>
      </w:pPr>
      <w:r w:rsidRPr="002A7B27">
        <w:t>Abbreviations: IOP, intraocular pressure; POAG, primary open-angle glaucoma</w:t>
      </w:r>
    </w:p>
    <w:p w14:paraId="3D2B3337" w14:textId="77777777" w:rsidR="00307E42" w:rsidRDefault="00940C96" w:rsidP="00307E42">
      <w:pPr>
        <w:pStyle w:val="Executivesummary"/>
        <w:spacing w:before="240"/>
        <w:jc w:val="left"/>
        <w:rPr>
          <w:rFonts w:ascii="Times New Roman" w:hAnsi="Times New Roman" w:cs="Times New Roman"/>
          <w:sz w:val="24"/>
          <w:szCs w:val="24"/>
        </w:rPr>
      </w:pPr>
      <w:r w:rsidRPr="00307E42">
        <w:rPr>
          <w:rFonts w:ascii="Times New Roman" w:hAnsi="Times New Roman" w:cs="Times New Roman"/>
          <w:sz w:val="24"/>
          <w:szCs w:val="24"/>
        </w:rPr>
        <w:t xml:space="preserve">No direct RCTs of suprachoroidal MIGS stent implantation as a standalone procedure were identified. Two single arm studies (CYCLE and DUETTE) found that suprachoroidal MIGS stent implantation as a standalone procedure reduces mean reduction in IOP from baseline and mean reduction in ocular medication use from baseline. </w:t>
      </w:r>
    </w:p>
    <w:p w14:paraId="3D589022" w14:textId="77777777" w:rsidR="00307E42" w:rsidRDefault="00940C96" w:rsidP="00307E42">
      <w:pPr>
        <w:pStyle w:val="Executivesummary"/>
        <w:spacing w:before="240"/>
        <w:jc w:val="left"/>
        <w:rPr>
          <w:rFonts w:ascii="Times New Roman" w:hAnsi="Times New Roman" w:cs="Times New Roman"/>
          <w:sz w:val="24"/>
          <w:szCs w:val="24"/>
        </w:rPr>
      </w:pPr>
      <w:r w:rsidRPr="00307E42">
        <w:rPr>
          <w:rFonts w:ascii="Times New Roman" w:hAnsi="Times New Roman" w:cs="Times New Roman"/>
          <w:sz w:val="24"/>
          <w:szCs w:val="24"/>
        </w:rPr>
        <w:t xml:space="preserve">Non-inferiority between suprachoroidal and trabecular MIGS stents as standalone procedures may be inferred by the direct comparison of suprachoroidal and trabecular MIGS when used in combination with cataract surgery. </w:t>
      </w:r>
    </w:p>
    <w:p w14:paraId="099E4950" w14:textId="77777777" w:rsidR="00307E42" w:rsidRDefault="00940C96" w:rsidP="00307E42">
      <w:pPr>
        <w:pStyle w:val="Executivesummary"/>
        <w:spacing w:before="240"/>
        <w:jc w:val="left"/>
        <w:rPr>
          <w:rFonts w:ascii="Times New Roman" w:hAnsi="Times New Roman" w:cs="Times New Roman"/>
          <w:sz w:val="24"/>
          <w:szCs w:val="24"/>
        </w:rPr>
      </w:pPr>
      <w:r w:rsidRPr="00307E42">
        <w:rPr>
          <w:rFonts w:ascii="Times New Roman" w:hAnsi="Times New Roman" w:cs="Times New Roman"/>
          <w:sz w:val="24"/>
          <w:szCs w:val="24"/>
        </w:rPr>
        <w:lastRenderedPageBreak/>
        <w:t xml:space="preserve">Based on a naïve comparison, trabeculectomy is likely to be superior to both topical medication and suprachoroidal MIGS stent implantation in terms of comparative effectiveness. </w:t>
      </w:r>
    </w:p>
    <w:p w14:paraId="186F3730" w14:textId="77777777" w:rsidR="00940C96" w:rsidRPr="00307E42" w:rsidRDefault="00940C96" w:rsidP="00307E42">
      <w:pPr>
        <w:pStyle w:val="Executivesummary"/>
        <w:spacing w:before="240"/>
        <w:jc w:val="left"/>
        <w:rPr>
          <w:rFonts w:ascii="Times New Roman" w:hAnsi="Times New Roman" w:cs="Times New Roman"/>
          <w:sz w:val="24"/>
          <w:szCs w:val="24"/>
        </w:rPr>
      </w:pPr>
      <w:r w:rsidRPr="00307E42">
        <w:rPr>
          <w:rFonts w:ascii="Times New Roman" w:hAnsi="Times New Roman" w:cs="Times New Roman"/>
          <w:sz w:val="24"/>
          <w:szCs w:val="24"/>
        </w:rPr>
        <w:t>Given the evidence base for the use of suprachoroidal MIGS stent implantation, no formal conclusions regarding the comparative safety or effectiveness of these interventions can be drawn.</w:t>
      </w:r>
    </w:p>
    <w:p w14:paraId="7DA4FDF5" w14:textId="77777777" w:rsidR="001A5D5A" w:rsidRPr="00643EC8" w:rsidRDefault="00F37B9C" w:rsidP="005C3CEE">
      <w:pPr>
        <w:pStyle w:val="Heading2"/>
      </w:pPr>
      <w:r w:rsidRPr="00F37B9C">
        <w:t>Clinical Claim</w:t>
      </w:r>
    </w:p>
    <w:p w14:paraId="3DAF91D2" w14:textId="77777777" w:rsidR="001A5D5A" w:rsidRPr="001A5D5A" w:rsidRDefault="001A5D5A" w:rsidP="005C3CEE">
      <w:pPr>
        <w:pStyle w:val="Heading2"/>
      </w:pPr>
      <w:bookmarkStart w:id="17" w:name="_Toc484089284"/>
      <w:bookmarkStart w:id="18" w:name="_Toc484182697"/>
      <w:bookmarkStart w:id="19" w:name="_Toc484607834"/>
      <w:r w:rsidRPr="001A5D5A">
        <w:t>MIGS stent implantation in conjunction with cataract surgery</w:t>
      </w:r>
      <w:bookmarkEnd w:id="17"/>
      <w:bookmarkEnd w:id="18"/>
      <w:bookmarkEnd w:id="19"/>
    </w:p>
    <w:p w14:paraId="49BEEC5A" w14:textId="3BBB0D6E" w:rsidR="001A5D5A" w:rsidRPr="001A5D5A" w:rsidRDefault="001A5D5A" w:rsidP="00CC2A4E">
      <w:pPr>
        <w:pStyle w:val="BodyText0"/>
        <w:spacing w:before="0" w:line="240" w:lineRule="auto"/>
        <w:jc w:val="left"/>
        <w:rPr>
          <w:rFonts w:ascii="Times New Roman" w:hAnsi="Times New Roman" w:cs="Times New Roman"/>
          <w:sz w:val="24"/>
          <w:szCs w:val="24"/>
        </w:rPr>
      </w:pPr>
      <w:r w:rsidRPr="001A5D5A">
        <w:rPr>
          <w:rFonts w:ascii="Times New Roman" w:hAnsi="Times New Roman" w:cs="Times New Roman"/>
          <w:sz w:val="24"/>
          <w:szCs w:val="24"/>
        </w:rPr>
        <w:t xml:space="preserve">The </w:t>
      </w:r>
      <w:r w:rsidR="00EA6166">
        <w:rPr>
          <w:rFonts w:ascii="Times New Roman" w:hAnsi="Times New Roman" w:cs="Times New Roman"/>
          <w:sz w:val="24"/>
          <w:szCs w:val="24"/>
        </w:rPr>
        <w:t xml:space="preserve">application </w:t>
      </w:r>
      <w:r w:rsidRPr="001A5D5A">
        <w:rPr>
          <w:rFonts w:ascii="Times New Roman" w:hAnsi="Times New Roman" w:cs="Times New Roman"/>
          <w:sz w:val="24"/>
          <w:szCs w:val="24"/>
        </w:rPr>
        <w:t>clinical claim for suprachoroidal MIGS stent implantation in conjunction with cataract surgery</w:t>
      </w:r>
      <w:r w:rsidR="003D1659" w:rsidRPr="003D1659">
        <w:rPr>
          <w:rFonts w:ascii="Times New Roman" w:hAnsi="Times New Roman" w:cs="Times New Roman"/>
          <w:sz w:val="24"/>
          <w:szCs w:val="24"/>
        </w:rPr>
        <w:t xml:space="preserve"> </w:t>
      </w:r>
      <w:r w:rsidR="003D1659" w:rsidRPr="001A5D5A">
        <w:rPr>
          <w:rFonts w:ascii="Times New Roman" w:hAnsi="Times New Roman" w:cs="Times New Roman"/>
          <w:sz w:val="24"/>
          <w:szCs w:val="24"/>
        </w:rPr>
        <w:t>versus cataract surgery alone</w:t>
      </w:r>
      <w:r w:rsidRPr="001A5D5A">
        <w:rPr>
          <w:rFonts w:ascii="Times New Roman" w:hAnsi="Times New Roman" w:cs="Times New Roman"/>
          <w:sz w:val="24"/>
          <w:szCs w:val="24"/>
        </w:rPr>
        <w:t xml:space="preserve"> is superior comparative effectiveness and inferior comparative safety.</w:t>
      </w:r>
    </w:p>
    <w:p w14:paraId="3C7E0798" w14:textId="77777777" w:rsidR="001A5D5A" w:rsidRDefault="001A5D5A" w:rsidP="00643EC8">
      <w:pPr>
        <w:pStyle w:val="BodyText0"/>
        <w:spacing w:before="0" w:after="0" w:line="240" w:lineRule="auto"/>
        <w:jc w:val="left"/>
        <w:rPr>
          <w:rFonts w:ascii="Times New Roman" w:hAnsi="Times New Roman" w:cs="Times New Roman"/>
          <w:sz w:val="24"/>
          <w:szCs w:val="24"/>
        </w:rPr>
      </w:pPr>
      <w:r w:rsidRPr="001A5D5A">
        <w:rPr>
          <w:rFonts w:ascii="Times New Roman" w:hAnsi="Times New Roman" w:cs="Times New Roman"/>
          <w:sz w:val="24"/>
          <w:szCs w:val="24"/>
        </w:rPr>
        <w:t xml:space="preserve">The </w:t>
      </w:r>
      <w:r w:rsidR="00EA6166">
        <w:rPr>
          <w:rFonts w:ascii="Times New Roman" w:hAnsi="Times New Roman" w:cs="Times New Roman"/>
          <w:sz w:val="24"/>
          <w:szCs w:val="24"/>
        </w:rPr>
        <w:t xml:space="preserve">application </w:t>
      </w:r>
      <w:r w:rsidRPr="001A5D5A">
        <w:rPr>
          <w:rFonts w:ascii="Times New Roman" w:hAnsi="Times New Roman" w:cs="Times New Roman"/>
          <w:sz w:val="24"/>
          <w:szCs w:val="24"/>
        </w:rPr>
        <w:t xml:space="preserve">clinical claim for suprachoroidal MIGS stent implantation in conjunction with cataract surgery </w:t>
      </w:r>
      <w:r w:rsidR="003D1659" w:rsidRPr="001A5D5A">
        <w:rPr>
          <w:rFonts w:ascii="Times New Roman" w:hAnsi="Times New Roman" w:cs="Times New Roman"/>
          <w:sz w:val="24"/>
          <w:szCs w:val="24"/>
        </w:rPr>
        <w:t xml:space="preserve">versus trabecular bypass stent implantation in conjunction with cataract surgery alone </w:t>
      </w:r>
      <w:r w:rsidRPr="001A5D5A">
        <w:rPr>
          <w:rFonts w:ascii="Times New Roman" w:hAnsi="Times New Roman" w:cs="Times New Roman"/>
          <w:sz w:val="24"/>
          <w:szCs w:val="24"/>
        </w:rPr>
        <w:t>is non-inferior comparative effectiveness and non-inferior comparative safety.</w:t>
      </w:r>
    </w:p>
    <w:p w14:paraId="49F63653" w14:textId="77777777" w:rsidR="001A5D5A" w:rsidRPr="001A5D5A" w:rsidRDefault="001A5D5A" w:rsidP="005C3CEE">
      <w:pPr>
        <w:pStyle w:val="Heading2"/>
      </w:pPr>
      <w:bookmarkStart w:id="20" w:name="_Toc484089285"/>
      <w:bookmarkStart w:id="21" w:name="_Toc484182698"/>
      <w:bookmarkStart w:id="22" w:name="_Toc484607835"/>
      <w:r w:rsidRPr="001A5D5A">
        <w:t>MIGS stent implantation as a stand-alone procedure</w:t>
      </w:r>
      <w:bookmarkEnd w:id="20"/>
      <w:bookmarkEnd w:id="21"/>
      <w:bookmarkEnd w:id="22"/>
    </w:p>
    <w:p w14:paraId="058EDB68" w14:textId="77777777" w:rsidR="00672F3E" w:rsidRPr="00672F3E" w:rsidRDefault="00672F3E" w:rsidP="00672F3E">
      <w:pPr>
        <w:pStyle w:val="BodyText0"/>
        <w:spacing w:line="240" w:lineRule="auto"/>
        <w:jc w:val="left"/>
        <w:rPr>
          <w:rFonts w:ascii="Times New Roman" w:hAnsi="Times New Roman" w:cs="Times New Roman"/>
          <w:sz w:val="24"/>
          <w:szCs w:val="24"/>
        </w:rPr>
      </w:pPr>
      <w:r w:rsidRPr="00672F3E">
        <w:rPr>
          <w:rFonts w:ascii="Times New Roman" w:hAnsi="Times New Roman" w:cs="Times New Roman"/>
          <w:sz w:val="24"/>
          <w:szCs w:val="24"/>
        </w:rPr>
        <w:t xml:space="preserve">The </w:t>
      </w:r>
      <w:r>
        <w:rPr>
          <w:rFonts w:ascii="Times New Roman" w:hAnsi="Times New Roman" w:cs="Times New Roman"/>
          <w:sz w:val="24"/>
          <w:szCs w:val="24"/>
        </w:rPr>
        <w:t xml:space="preserve">application </w:t>
      </w:r>
      <w:r w:rsidRPr="00672F3E">
        <w:rPr>
          <w:rFonts w:ascii="Times New Roman" w:hAnsi="Times New Roman" w:cs="Times New Roman"/>
          <w:sz w:val="24"/>
          <w:szCs w:val="24"/>
        </w:rPr>
        <w:t>clinical claim for suprachoroidal MIGS stent implantation as a stand-alone procedure versus trabeculectomy is inferior comparative effectiveness and superior comparative safety.</w:t>
      </w:r>
    </w:p>
    <w:p w14:paraId="5483E2AC" w14:textId="77777777" w:rsidR="00EA6166" w:rsidRDefault="00672F3E" w:rsidP="00672F3E">
      <w:pPr>
        <w:pStyle w:val="BodyText0"/>
        <w:spacing w:before="0" w:after="0" w:line="240" w:lineRule="auto"/>
        <w:jc w:val="left"/>
        <w:rPr>
          <w:rFonts w:ascii="Times New Roman" w:hAnsi="Times New Roman" w:cs="Times New Roman"/>
          <w:sz w:val="24"/>
          <w:szCs w:val="24"/>
        </w:rPr>
      </w:pPr>
      <w:r w:rsidRPr="00672F3E">
        <w:rPr>
          <w:rFonts w:ascii="Times New Roman" w:hAnsi="Times New Roman" w:cs="Times New Roman"/>
          <w:sz w:val="24"/>
          <w:szCs w:val="24"/>
        </w:rPr>
        <w:t xml:space="preserve">The clinical claim for suprachoroidal MIGS stent implantation as a stand-alone procedure versus trabecular bypass stent implantation as a stand-alone procedure </w:t>
      </w:r>
      <w:r>
        <w:rPr>
          <w:rFonts w:ascii="Times New Roman" w:hAnsi="Times New Roman" w:cs="Times New Roman"/>
          <w:sz w:val="24"/>
          <w:szCs w:val="24"/>
        </w:rPr>
        <w:t xml:space="preserve">is </w:t>
      </w:r>
      <w:r w:rsidRPr="00672F3E">
        <w:rPr>
          <w:rFonts w:ascii="Times New Roman" w:hAnsi="Times New Roman" w:cs="Times New Roman"/>
          <w:sz w:val="24"/>
          <w:szCs w:val="24"/>
        </w:rPr>
        <w:t>non-inferior comparative effectiveness and non-inferior comparative safety.</w:t>
      </w:r>
    </w:p>
    <w:p w14:paraId="629BBBAC" w14:textId="77777777" w:rsidR="00BC1364" w:rsidRPr="00F715D1" w:rsidRDefault="00BC1364" w:rsidP="00F715D1">
      <w:pPr>
        <w:pStyle w:val="Heading1"/>
      </w:pPr>
      <w:r w:rsidRPr="00F715D1">
        <w:t>Economic evaluation</w:t>
      </w:r>
    </w:p>
    <w:p w14:paraId="0B7B9180" w14:textId="77777777" w:rsidR="007764B4" w:rsidRPr="00E56ED6" w:rsidRDefault="007764B4" w:rsidP="007D45B5">
      <w:pPr>
        <w:pStyle w:val="Executivesummary"/>
        <w:spacing w:before="0" w:after="0"/>
        <w:jc w:val="left"/>
        <w:rPr>
          <w:rFonts w:ascii="Times New Roman" w:hAnsi="Times New Roman" w:cs="Times New Roman"/>
          <w:sz w:val="24"/>
          <w:szCs w:val="24"/>
        </w:rPr>
      </w:pPr>
      <w:r w:rsidRPr="00E56ED6">
        <w:rPr>
          <w:rFonts w:ascii="Times New Roman" w:hAnsi="Times New Roman" w:cs="Times New Roman"/>
          <w:sz w:val="24"/>
          <w:szCs w:val="24"/>
        </w:rPr>
        <w:t xml:space="preserve">Based on the evidence presented in </w:t>
      </w:r>
      <w:r w:rsidR="00E56ED6">
        <w:rPr>
          <w:rFonts w:ascii="Times New Roman" w:hAnsi="Times New Roman" w:cs="Times New Roman"/>
          <w:sz w:val="24"/>
          <w:szCs w:val="24"/>
        </w:rPr>
        <w:t xml:space="preserve">the </w:t>
      </w:r>
      <w:r w:rsidR="00672F3E">
        <w:rPr>
          <w:rFonts w:ascii="Times New Roman" w:hAnsi="Times New Roman" w:cs="Times New Roman"/>
          <w:sz w:val="24"/>
          <w:szCs w:val="24"/>
        </w:rPr>
        <w:t>application</w:t>
      </w:r>
      <w:r w:rsidRPr="00E56ED6">
        <w:rPr>
          <w:rFonts w:ascii="Times New Roman" w:hAnsi="Times New Roman" w:cs="Times New Roman"/>
          <w:sz w:val="24"/>
          <w:szCs w:val="24"/>
        </w:rPr>
        <w:t xml:space="preserve">, a cost-utility analysis was conducted for MIGS versus standard of care (SOC) in conjunction with cataract surgery for the treatment of glaucoma. </w:t>
      </w:r>
    </w:p>
    <w:p w14:paraId="1E899113" w14:textId="77777777" w:rsidR="007764B4" w:rsidRPr="00E56ED6" w:rsidRDefault="007764B4" w:rsidP="00E56ED6">
      <w:pPr>
        <w:pStyle w:val="Executivesummary"/>
        <w:spacing w:before="240" w:after="240"/>
        <w:jc w:val="left"/>
        <w:rPr>
          <w:rFonts w:ascii="Times New Roman" w:hAnsi="Times New Roman" w:cs="Times New Roman"/>
          <w:sz w:val="24"/>
          <w:szCs w:val="24"/>
        </w:rPr>
      </w:pPr>
      <w:r w:rsidRPr="00E56ED6">
        <w:rPr>
          <w:rFonts w:ascii="Times New Roman" w:hAnsi="Times New Roman" w:cs="Times New Roman"/>
          <w:sz w:val="24"/>
          <w:szCs w:val="24"/>
        </w:rPr>
        <w:t xml:space="preserve">The economic model measures the incremental cost per quality-adjusted life years (QALY) gained of adding MIGS to the treatment algorithm. A summary of the economic evaluation is presented in </w:t>
      </w:r>
      <w:r w:rsidR="00E56ED6">
        <w:rPr>
          <w:rFonts w:ascii="Times New Roman" w:hAnsi="Times New Roman" w:cs="Times New Roman"/>
          <w:sz w:val="24"/>
          <w:szCs w:val="24"/>
        </w:rPr>
        <w:t>Table 6</w:t>
      </w:r>
      <w:r w:rsidRPr="00E56ED6">
        <w:rPr>
          <w:rFonts w:ascii="Times New Roman" w:hAnsi="Times New Roman" w:cs="Times New Roman"/>
          <w:sz w:val="24"/>
          <w:szCs w:val="24"/>
        </w:rPr>
        <w:t>.</w:t>
      </w:r>
    </w:p>
    <w:p w14:paraId="7C9DF619" w14:textId="77777777" w:rsidR="007764B4" w:rsidRPr="00E56ED6" w:rsidRDefault="007764B4" w:rsidP="007C2418">
      <w:pPr>
        <w:pStyle w:val="Caption"/>
        <w:widowControl w:val="0"/>
        <w:tabs>
          <w:tab w:val="left" w:pos="1134"/>
        </w:tabs>
        <w:spacing w:after="0"/>
        <w:ind w:left="1134" w:hanging="1134"/>
        <w:rPr>
          <w:rFonts w:ascii="Arial Narrow" w:hAnsi="Arial Narrow" w:cs="Arial"/>
          <w:color w:val="auto"/>
          <w:sz w:val="20"/>
          <w:szCs w:val="20"/>
        </w:rPr>
      </w:pPr>
      <w:bookmarkStart w:id="23" w:name="_Ref484168581"/>
      <w:bookmarkStart w:id="24" w:name="_Toc484603978"/>
      <w:r w:rsidRPr="00E56ED6">
        <w:rPr>
          <w:rFonts w:ascii="Arial Narrow" w:hAnsi="Arial Narrow" w:cs="Arial"/>
          <w:color w:val="auto"/>
          <w:sz w:val="20"/>
          <w:szCs w:val="20"/>
        </w:rPr>
        <w:t xml:space="preserve">Table </w:t>
      </w:r>
      <w:bookmarkEnd w:id="23"/>
      <w:r w:rsidR="00E56ED6" w:rsidRPr="00E56ED6">
        <w:rPr>
          <w:rFonts w:ascii="Arial Narrow" w:hAnsi="Arial Narrow" w:cs="Arial"/>
          <w:color w:val="auto"/>
          <w:sz w:val="20"/>
          <w:szCs w:val="20"/>
        </w:rPr>
        <w:t>6</w:t>
      </w:r>
      <w:r w:rsidRPr="00E56ED6">
        <w:rPr>
          <w:rFonts w:ascii="Arial Narrow" w:hAnsi="Arial Narrow" w:cs="Arial"/>
          <w:color w:val="auto"/>
          <w:sz w:val="20"/>
          <w:szCs w:val="20"/>
        </w:rPr>
        <w:tab/>
        <w:t>Summary of the economic evaluation</w:t>
      </w:r>
      <w:bookmarkEnd w:id="24"/>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6051"/>
      </w:tblGrid>
      <w:tr w:rsidR="007764B4" w:rsidRPr="00B73DE6" w14:paraId="3AD03BD5"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52F71C29" w14:textId="77777777" w:rsidR="007764B4" w:rsidRPr="00B73DE6" w:rsidRDefault="007764B4" w:rsidP="00E56ED6">
            <w:pPr>
              <w:pStyle w:val="Tabletext"/>
              <w:widowControl w:val="0"/>
              <w:rPr>
                <w:b/>
              </w:rPr>
            </w:pPr>
            <w:r w:rsidRPr="00B73DE6">
              <w:rPr>
                <w:b/>
              </w:rPr>
              <w:t>Perspective</w:t>
            </w:r>
          </w:p>
        </w:tc>
        <w:tc>
          <w:tcPr>
            <w:tcW w:w="3312" w:type="pct"/>
            <w:tcBorders>
              <w:top w:val="single" w:sz="4" w:space="0" w:color="auto"/>
              <w:left w:val="single" w:sz="4" w:space="0" w:color="auto"/>
              <w:bottom w:val="single" w:sz="4" w:space="0" w:color="auto"/>
              <w:right w:val="single" w:sz="4" w:space="0" w:color="auto"/>
            </w:tcBorders>
            <w:hideMark/>
          </w:tcPr>
          <w:p w14:paraId="6D002D21" w14:textId="77777777" w:rsidR="007764B4" w:rsidRPr="00E56ED6" w:rsidRDefault="007764B4" w:rsidP="00E56ED6">
            <w:pPr>
              <w:pStyle w:val="Tabletext"/>
              <w:widowControl w:val="0"/>
            </w:pPr>
            <w:r w:rsidRPr="00B73DE6">
              <w:t>Health care system</w:t>
            </w:r>
          </w:p>
        </w:tc>
      </w:tr>
      <w:tr w:rsidR="007764B4" w:rsidRPr="00B73DE6" w14:paraId="34D095C6"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61942322" w14:textId="77777777" w:rsidR="007764B4" w:rsidRPr="00B73DE6" w:rsidRDefault="007764B4" w:rsidP="00E56ED6">
            <w:pPr>
              <w:pStyle w:val="Tabletext"/>
              <w:widowControl w:val="0"/>
              <w:rPr>
                <w:b/>
              </w:rPr>
            </w:pPr>
            <w:r w:rsidRPr="00B73DE6">
              <w:rPr>
                <w:b/>
              </w:rPr>
              <w:t>Comparator</w:t>
            </w:r>
          </w:p>
        </w:tc>
        <w:tc>
          <w:tcPr>
            <w:tcW w:w="3312" w:type="pct"/>
            <w:tcBorders>
              <w:top w:val="single" w:sz="4" w:space="0" w:color="auto"/>
              <w:left w:val="single" w:sz="4" w:space="0" w:color="auto"/>
              <w:bottom w:val="single" w:sz="4" w:space="0" w:color="auto"/>
              <w:right w:val="single" w:sz="4" w:space="0" w:color="auto"/>
            </w:tcBorders>
            <w:hideMark/>
          </w:tcPr>
          <w:p w14:paraId="0B14B781" w14:textId="77777777" w:rsidR="007764B4" w:rsidRPr="00E56ED6" w:rsidRDefault="007764B4" w:rsidP="00E56ED6">
            <w:pPr>
              <w:pStyle w:val="Tabletext"/>
              <w:widowControl w:val="0"/>
            </w:pPr>
            <w:r w:rsidRPr="00B73DE6">
              <w:t>Standard of Care (i.e. treatment algorithm without MIGS)</w:t>
            </w:r>
          </w:p>
        </w:tc>
      </w:tr>
      <w:tr w:rsidR="007764B4" w:rsidRPr="00B73DE6" w14:paraId="44E5D62E"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410E9277" w14:textId="77777777" w:rsidR="007764B4" w:rsidRPr="00B73DE6" w:rsidRDefault="007764B4" w:rsidP="00E56ED6">
            <w:pPr>
              <w:pStyle w:val="Tabletext"/>
              <w:widowControl w:val="0"/>
              <w:rPr>
                <w:b/>
              </w:rPr>
            </w:pPr>
            <w:r w:rsidRPr="00B73DE6">
              <w:rPr>
                <w:b/>
              </w:rPr>
              <w:t>Type of economic evaluation</w:t>
            </w:r>
          </w:p>
        </w:tc>
        <w:tc>
          <w:tcPr>
            <w:tcW w:w="3312" w:type="pct"/>
            <w:tcBorders>
              <w:top w:val="single" w:sz="4" w:space="0" w:color="auto"/>
              <w:left w:val="single" w:sz="4" w:space="0" w:color="auto"/>
              <w:bottom w:val="single" w:sz="4" w:space="0" w:color="auto"/>
              <w:right w:val="single" w:sz="4" w:space="0" w:color="auto"/>
            </w:tcBorders>
            <w:hideMark/>
          </w:tcPr>
          <w:p w14:paraId="6715A849" w14:textId="77777777" w:rsidR="007764B4" w:rsidRPr="00E56ED6" w:rsidRDefault="007764B4" w:rsidP="00E56ED6">
            <w:pPr>
              <w:pStyle w:val="Tabletext"/>
              <w:widowControl w:val="0"/>
            </w:pPr>
            <w:r w:rsidRPr="00B73DE6">
              <w:t>Cost-utility analysis</w:t>
            </w:r>
          </w:p>
        </w:tc>
      </w:tr>
      <w:tr w:rsidR="007764B4" w:rsidRPr="00B73DE6" w14:paraId="150A31BE"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40567E80" w14:textId="77777777" w:rsidR="007764B4" w:rsidRPr="00B73DE6" w:rsidRDefault="007764B4" w:rsidP="00E56ED6">
            <w:pPr>
              <w:pStyle w:val="Tabletext"/>
              <w:widowControl w:val="0"/>
              <w:rPr>
                <w:b/>
              </w:rPr>
            </w:pPr>
            <w:r w:rsidRPr="00B73DE6">
              <w:rPr>
                <w:b/>
              </w:rPr>
              <w:t>Sources of evidence</w:t>
            </w:r>
          </w:p>
        </w:tc>
        <w:tc>
          <w:tcPr>
            <w:tcW w:w="3312" w:type="pct"/>
            <w:tcBorders>
              <w:top w:val="single" w:sz="4" w:space="0" w:color="auto"/>
              <w:left w:val="single" w:sz="4" w:space="0" w:color="auto"/>
              <w:bottom w:val="single" w:sz="4" w:space="0" w:color="auto"/>
              <w:right w:val="single" w:sz="4" w:space="0" w:color="auto"/>
            </w:tcBorders>
            <w:hideMark/>
          </w:tcPr>
          <w:p w14:paraId="513FBB88" w14:textId="77777777" w:rsidR="007764B4" w:rsidRPr="00B73DE6" w:rsidRDefault="007764B4" w:rsidP="00E56ED6">
            <w:pPr>
              <w:pStyle w:val="Tabletext"/>
              <w:widowControl w:val="0"/>
              <w:rPr>
                <w:vanish/>
                <w:color w:val="C00000"/>
              </w:rPr>
            </w:pPr>
            <w:r w:rsidRPr="00B73DE6">
              <w:t xml:space="preserve">The pivotal clinical trial evidence upon which the economic model is based is the COMPASS trial </w:t>
            </w:r>
          </w:p>
        </w:tc>
      </w:tr>
      <w:tr w:rsidR="007764B4" w:rsidRPr="00B73DE6" w14:paraId="401D9B1C"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4322F7A0" w14:textId="77777777" w:rsidR="007764B4" w:rsidRPr="00B73DE6" w:rsidRDefault="007764B4" w:rsidP="00E56ED6">
            <w:pPr>
              <w:pStyle w:val="Tabletext"/>
              <w:widowControl w:val="0"/>
              <w:rPr>
                <w:b/>
              </w:rPr>
            </w:pPr>
            <w:r w:rsidRPr="00B73DE6">
              <w:rPr>
                <w:b/>
              </w:rPr>
              <w:t>Time horizon</w:t>
            </w:r>
          </w:p>
        </w:tc>
        <w:tc>
          <w:tcPr>
            <w:tcW w:w="3312" w:type="pct"/>
            <w:tcBorders>
              <w:top w:val="single" w:sz="4" w:space="0" w:color="auto"/>
              <w:left w:val="single" w:sz="4" w:space="0" w:color="auto"/>
              <w:bottom w:val="single" w:sz="4" w:space="0" w:color="auto"/>
              <w:right w:val="single" w:sz="4" w:space="0" w:color="auto"/>
            </w:tcBorders>
            <w:hideMark/>
          </w:tcPr>
          <w:p w14:paraId="2F829868" w14:textId="77777777" w:rsidR="007764B4" w:rsidRPr="00E56ED6" w:rsidRDefault="007764B4" w:rsidP="00E56ED6">
            <w:pPr>
              <w:pStyle w:val="Tabletext"/>
              <w:widowControl w:val="0"/>
            </w:pPr>
            <w:r w:rsidRPr="00B73DE6">
              <w:t>15 years</w:t>
            </w:r>
          </w:p>
        </w:tc>
      </w:tr>
      <w:tr w:rsidR="007764B4" w:rsidRPr="00B73DE6" w14:paraId="36FA67D8"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4AD44608" w14:textId="77777777" w:rsidR="007764B4" w:rsidRPr="00B73DE6" w:rsidRDefault="007764B4" w:rsidP="00E56ED6">
            <w:pPr>
              <w:pStyle w:val="Tabletext"/>
              <w:widowControl w:val="0"/>
              <w:rPr>
                <w:b/>
              </w:rPr>
            </w:pPr>
            <w:r w:rsidRPr="00B73DE6">
              <w:rPr>
                <w:b/>
              </w:rPr>
              <w:t>Outcomes</w:t>
            </w:r>
          </w:p>
        </w:tc>
        <w:tc>
          <w:tcPr>
            <w:tcW w:w="3312" w:type="pct"/>
            <w:tcBorders>
              <w:top w:val="single" w:sz="4" w:space="0" w:color="auto"/>
              <w:left w:val="single" w:sz="4" w:space="0" w:color="auto"/>
              <w:bottom w:val="single" w:sz="4" w:space="0" w:color="auto"/>
              <w:right w:val="single" w:sz="4" w:space="0" w:color="auto"/>
            </w:tcBorders>
            <w:hideMark/>
          </w:tcPr>
          <w:p w14:paraId="4C8F77F9" w14:textId="77777777" w:rsidR="007764B4" w:rsidRPr="00B73DE6" w:rsidRDefault="007764B4" w:rsidP="00E56ED6">
            <w:pPr>
              <w:pStyle w:val="Tabletext"/>
              <w:widowControl w:val="0"/>
            </w:pPr>
            <w:r w:rsidRPr="00B73DE6">
              <w:t>QALYs</w:t>
            </w:r>
          </w:p>
        </w:tc>
      </w:tr>
      <w:tr w:rsidR="007764B4" w:rsidRPr="00B73DE6" w14:paraId="05FB3CFC"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3F6EA1E2" w14:textId="77777777" w:rsidR="007764B4" w:rsidRPr="00B73DE6" w:rsidRDefault="007764B4" w:rsidP="00E56ED6">
            <w:pPr>
              <w:pStyle w:val="Tabletext"/>
              <w:widowControl w:val="0"/>
              <w:rPr>
                <w:b/>
              </w:rPr>
            </w:pPr>
            <w:r w:rsidRPr="00B73DE6">
              <w:rPr>
                <w:b/>
              </w:rPr>
              <w:t>Methods used to generate results</w:t>
            </w:r>
          </w:p>
        </w:tc>
        <w:tc>
          <w:tcPr>
            <w:tcW w:w="3312" w:type="pct"/>
            <w:tcBorders>
              <w:top w:val="single" w:sz="4" w:space="0" w:color="auto"/>
              <w:left w:val="single" w:sz="4" w:space="0" w:color="auto"/>
              <w:bottom w:val="single" w:sz="4" w:space="0" w:color="auto"/>
              <w:right w:val="single" w:sz="4" w:space="0" w:color="auto"/>
            </w:tcBorders>
            <w:hideMark/>
          </w:tcPr>
          <w:p w14:paraId="124541D5" w14:textId="77777777" w:rsidR="007764B4" w:rsidRPr="00B73DE6" w:rsidRDefault="007764B4" w:rsidP="00E56ED6">
            <w:pPr>
              <w:pStyle w:val="Tabletext"/>
              <w:widowControl w:val="0"/>
            </w:pPr>
            <w:r w:rsidRPr="00B73DE6">
              <w:t>Individual patient microsimulation</w:t>
            </w:r>
          </w:p>
        </w:tc>
      </w:tr>
      <w:tr w:rsidR="007764B4" w:rsidRPr="00B73DE6" w14:paraId="05D231EC"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125F304B" w14:textId="77777777" w:rsidR="007764B4" w:rsidRPr="00B73DE6" w:rsidRDefault="007764B4" w:rsidP="00E56ED6">
            <w:pPr>
              <w:pStyle w:val="Tabletext"/>
              <w:widowControl w:val="0"/>
              <w:rPr>
                <w:b/>
              </w:rPr>
            </w:pPr>
            <w:r w:rsidRPr="00B73DE6">
              <w:rPr>
                <w:b/>
              </w:rPr>
              <w:t>Health states</w:t>
            </w:r>
          </w:p>
        </w:tc>
        <w:tc>
          <w:tcPr>
            <w:tcW w:w="3312" w:type="pct"/>
            <w:tcBorders>
              <w:top w:val="single" w:sz="4" w:space="0" w:color="auto"/>
              <w:left w:val="single" w:sz="4" w:space="0" w:color="auto"/>
              <w:bottom w:val="single" w:sz="4" w:space="0" w:color="auto"/>
              <w:right w:val="single" w:sz="4" w:space="0" w:color="auto"/>
            </w:tcBorders>
            <w:hideMark/>
          </w:tcPr>
          <w:p w14:paraId="68CC6F2E" w14:textId="77777777" w:rsidR="007764B4" w:rsidRPr="00B73DE6" w:rsidRDefault="007764B4" w:rsidP="00E56ED6">
            <w:pPr>
              <w:pStyle w:val="Tabletext"/>
              <w:widowControl w:val="0"/>
              <w:rPr>
                <w:vanish/>
                <w:color w:val="C00000"/>
              </w:rPr>
            </w:pPr>
            <w:r w:rsidRPr="00B73DE6">
              <w:t>Mild, Moderate, Advanced, Severe, End stage (defined by visual field Humphrey scores)</w:t>
            </w:r>
          </w:p>
        </w:tc>
      </w:tr>
      <w:tr w:rsidR="007764B4" w:rsidRPr="00B73DE6" w14:paraId="34FC1306"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6BD1E806" w14:textId="77777777" w:rsidR="007764B4" w:rsidRPr="00B73DE6" w:rsidRDefault="007764B4" w:rsidP="00E56ED6">
            <w:pPr>
              <w:pStyle w:val="Tabletext"/>
              <w:widowControl w:val="0"/>
              <w:rPr>
                <w:b/>
              </w:rPr>
            </w:pPr>
            <w:r w:rsidRPr="00B73DE6">
              <w:rPr>
                <w:b/>
              </w:rPr>
              <w:t>Cycle length</w:t>
            </w:r>
          </w:p>
        </w:tc>
        <w:tc>
          <w:tcPr>
            <w:tcW w:w="3312" w:type="pct"/>
            <w:tcBorders>
              <w:top w:val="single" w:sz="4" w:space="0" w:color="auto"/>
              <w:left w:val="single" w:sz="4" w:space="0" w:color="auto"/>
              <w:bottom w:val="single" w:sz="4" w:space="0" w:color="auto"/>
              <w:right w:val="single" w:sz="4" w:space="0" w:color="auto"/>
            </w:tcBorders>
            <w:hideMark/>
          </w:tcPr>
          <w:p w14:paraId="6EBF1E58" w14:textId="77777777" w:rsidR="007764B4" w:rsidRPr="00E56ED6" w:rsidRDefault="007764B4" w:rsidP="00E56ED6">
            <w:pPr>
              <w:pStyle w:val="Tabletext"/>
              <w:widowControl w:val="0"/>
            </w:pPr>
            <w:r w:rsidRPr="00B73DE6">
              <w:t>3 months</w:t>
            </w:r>
          </w:p>
        </w:tc>
      </w:tr>
      <w:tr w:rsidR="007764B4" w:rsidRPr="00B73DE6" w14:paraId="0A714BD6"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4572AD2A" w14:textId="77777777" w:rsidR="007764B4" w:rsidRPr="00B73DE6" w:rsidRDefault="007764B4" w:rsidP="00E56ED6">
            <w:pPr>
              <w:pStyle w:val="Tabletext"/>
              <w:widowControl w:val="0"/>
              <w:rPr>
                <w:b/>
              </w:rPr>
            </w:pPr>
            <w:r w:rsidRPr="00B73DE6">
              <w:rPr>
                <w:b/>
              </w:rPr>
              <w:t>Discount rate</w:t>
            </w:r>
          </w:p>
        </w:tc>
        <w:tc>
          <w:tcPr>
            <w:tcW w:w="3312" w:type="pct"/>
            <w:tcBorders>
              <w:top w:val="single" w:sz="4" w:space="0" w:color="auto"/>
              <w:left w:val="single" w:sz="4" w:space="0" w:color="auto"/>
              <w:bottom w:val="single" w:sz="4" w:space="0" w:color="auto"/>
              <w:right w:val="single" w:sz="4" w:space="0" w:color="auto"/>
            </w:tcBorders>
            <w:hideMark/>
          </w:tcPr>
          <w:p w14:paraId="5B69F1E2" w14:textId="77777777" w:rsidR="007764B4" w:rsidRPr="00B73DE6" w:rsidRDefault="007764B4" w:rsidP="00E56ED6">
            <w:pPr>
              <w:pStyle w:val="Tabletext"/>
              <w:widowControl w:val="0"/>
            </w:pPr>
            <w:r w:rsidRPr="00B73DE6">
              <w:t>5% per annum</w:t>
            </w:r>
          </w:p>
        </w:tc>
      </w:tr>
      <w:tr w:rsidR="007764B4" w:rsidRPr="00B73DE6" w14:paraId="564FAEF6" w14:textId="77777777" w:rsidTr="00307E42">
        <w:trPr>
          <w:trHeight w:val="20"/>
        </w:trPr>
        <w:tc>
          <w:tcPr>
            <w:tcW w:w="1688" w:type="pct"/>
            <w:tcBorders>
              <w:top w:val="single" w:sz="4" w:space="0" w:color="auto"/>
              <w:left w:val="single" w:sz="4" w:space="0" w:color="auto"/>
              <w:bottom w:val="single" w:sz="4" w:space="0" w:color="auto"/>
              <w:right w:val="single" w:sz="4" w:space="0" w:color="auto"/>
            </w:tcBorders>
            <w:hideMark/>
          </w:tcPr>
          <w:p w14:paraId="37771753" w14:textId="77777777" w:rsidR="007764B4" w:rsidRPr="00B73DE6" w:rsidRDefault="007764B4" w:rsidP="00E56ED6">
            <w:pPr>
              <w:pStyle w:val="Tabletext"/>
              <w:widowControl w:val="0"/>
              <w:rPr>
                <w:b/>
              </w:rPr>
            </w:pPr>
            <w:r w:rsidRPr="00B73DE6">
              <w:rPr>
                <w:b/>
              </w:rPr>
              <w:t>Software package used</w:t>
            </w:r>
          </w:p>
        </w:tc>
        <w:tc>
          <w:tcPr>
            <w:tcW w:w="3312" w:type="pct"/>
            <w:tcBorders>
              <w:top w:val="single" w:sz="4" w:space="0" w:color="auto"/>
              <w:left w:val="single" w:sz="4" w:space="0" w:color="auto"/>
              <w:bottom w:val="single" w:sz="4" w:space="0" w:color="auto"/>
              <w:right w:val="single" w:sz="4" w:space="0" w:color="auto"/>
            </w:tcBorders>
            <w:hideMark/>
          </w:tcPr>
          <w:p w14:paraId="6EC6A909" w14:textId="77777777" w:rsidR="007764B4" w:rsidRPr="00B73DE6" w:rsidRDefault="007764B4" w:rsidP="00E56ED6">
            <w:pPr>
              <w:pStyle w:val="Tabletext"/>
              <w:widowControl w:val="0"/>
            </w:pPr>
            <w:proofErr w:type="spellStart"/>
            <w:r w:rsidRPr="00B73DE6">
              <w:t>TreeAge</w:t>
            </w:r>
            <w:proofErr w:type="spellEnd"/>
          </w:p>
        </w:tc>
      </w:tr>
    </w:tbl>
    <w:p w14:paraId="49F7F466" w14:textId="77777777" w:rsidR="007764B4" w:rsidRPr="00E56ED6" w:rsidRDefault="007764B4" w:rsidP="00E56ED6">
      <w:pPr>
        <w:pStyle w:val="Executivesummary"/>
        <w:spacing w:before="240" w:after="240"/>
        <w:jc w:val="left"/>
        <w:rPr>
          <w:rFonts w:ascii="Times New Roman" w:hAnsi="Times New Roman" w:cs="Times New Roman"/>
          <w:sz w:val="24"/>
          <w:szCs w:val="24"/>
        </w:rPr>
      </w:pPr>
      <w:r w:rsidRPr="00E56ED6">
        <w:rPr>
          <w:rFonts w:ascii="Times New Roman" w:hAnsi="Times New Roman" w:cs="Times New Roman"/>
          <w:sz w:val="24"/>
          <w:szCs w:val="24"/>
        </w:rPr>
        <w:t>Over the model duration, MIGS therapy is associated with increased</w:t>
      </w:r>
      <w:r w:rsidR="00860DCC">
        <w:rPr>
          <w:rFonts w:ascii="Times New Roman" w:hAnsi="Times New Roman" w:cs="Times New Roman"/>
          <w:sz w:val="24"/>
          <w:szCs w:val="24"/>
        </w:rPr>
        <w:t xml:space="preserve"> healthcare cost savings of $128</w:t>
      </w:r>
      <w:r w:rsidRPr="00E56ED6">
        <w:rPr>
          <w:rFonts w:ascii="Times New Roman" w:hAnsi="Times New Roman" w:cs="Times New Roman"/>
          <w:sz w:val="24"/>
          <w:szCs w:val="24"/>
        </w:rPr>
        <w:t xml:space="preserve"> per patient. In decreasing order of magnitude, the cost of MIGS </w:t>
      </w:r>
      <w:r w:rsidR="00860DCC">
        <w:rPr>
          <w:rFonts w:ascii="Times New Roman" w:hAnsi="Times New Roman" w:cs="Times New Roman"/>
          <w:sz w:val="24"/>
          <w:szCs w:val="24"/>
        </w:rPr>
        <w:t>is offset by lower surgery ($919</w:t>
      </w:r>
      <w:r w:rsidRPr="00E56ED6">
        <w:rPr>
          <w:rFonts w:ascii="Times New Roman" w:hAnsi="Times New Roman" w:cs="Times New Roman"/>
          <w:sz w:val="24"/>
          <w:szCs w:val="24"/>
        </w:rPr>
        <w:t>), laser therapy (</w:t>
      </w:r>
      <w:r w:rsidR="00860DCC">
        <w:rPr>
          <w:rFonts w:ascii="Times New Roman" w:hAnsi="Times New Roman" w:cs="Times New Roman"/>
          <w:sz w:val="24"/>
          <w:szCs w:val="24"/>
        </w:rPr>
        <w:t>$517) and medication costs ($441</w:t>
      </w:r>
      <w:r w:rsidRPr="00E56ED6">
        <w:rPr>
          <w:rFonts w:ascii="Times New Roman" w:hAnsi="Times New Roman" w:cs="Times New Roman"/>
          <w:sz w:val="24"/>
          <w:szCs w:val="24"/>
        </w:rPr>
        <w:t>).</w:t>
      </w:r>
    </w:p>
    <w:p w14:paraId="4867CF83" w14:textId="77777777" w:rsidR="00E56ED6" w:rsidRDefault="007764B4" w:rsidP="00E56ED6">
      <w:pPr>
        <w:pStyle w:val="Executivesummary"/>
        <w:jc w:val="left"/>
        <w:rPr>
          <w:rFonts w:ascii="Times New Roman" w:hAnsi="Times New Roman" w:cs="Times New Roman"/>
          <w:sz w:val="24"/>
          <w:szCs w:val="24"/>
        </w:rPr>
      </w:pPr>
      <w:r w:rsidRPr="00E56ED6">
        <w:rPr>
          <w:rFonts w:ascii="Times New Roman" w:hAnsi="Times New Roman" w:cs="Times New Roman"/>
          <w:sz w:val="24"/>
          <w:szCs w:val="24"/>
        </w:rPr>
        <w:lastRenderedPageBreak/>
        <w:t xml:space="preserve">The </w:t>
      </w:r>
      <w:r w:rsidR="00682300">
        <w:rPr>
          <w:rFonts w:ascii="Times New Roman" w:hAnsi="Times New Roman" w:cs="Times New Roman"/>
          <w:sz w:val="24"/>
          <w:szCs w:val="24"/>
        </w:rPr>
        <w:t xml:space="preserve">updated </w:t>
      </w:r>
      <w:r w:rsidRPr="00E56ED6">
        <w:rPr>
          <w:rFonts w:ascii="Times New Roman" w:hAnsi="Times New Roman" w:cs="Times New Roman"/>
          <w:sz w:val="24"/>
          <w:szCs w:val="24"/>
        </w:rPr>
        <w:t>costs and outcomes</w:t>
      </w:r>
      <w:r w:rsidR="00682300">
        <w:rPr>
          <w:rFonts w:ascii="Times New Roman" w:hAnsi="Times New Roman" w:cs="Times New Roman"/>
          <w:sz w:val="24"/>
          <w:szCs w:val="24"/>
        </w:rPr>
        <w:t xml:space="preserve"> for </w:t>
      </w:r>
      <w:proofErr w:type="gramStart"/>
      <w:r w:rsidR="00682300">
        <w:rPr>
          <w:rFonts w:ascii="Times New Roman" w:hAnsi="Times New Roman" w:cs="Times New Roman"/>
          <w:sz w:val="24"/>
          <w:szCs w:val="24"/>
        </w:rPr>
        <w:t>both populations</w:t>
      </w:r>
      <w:proofErr w:type="gramEnd"/>
      <w:r w:rsidR="00682300">
        <w:rPr>
          <w:rFonts w:ascii="Times New Roman" w:hAnsi="Times New Roman" w:cs="Times New Roman"/>
          <w:sz w:val="24"/>
          <w:szCs w:val="24"/>
        </w:rPr>
        <w:t xml:space="preserve"> (provided in the applicant pre-MSAC response), a</w:t>
      </w:r>
      <w:r w:rsidR="00682300" w:rsidRPr="00682300">
        <w:rPr>
          <w:rFonts w:ascii="Times New Roman" w:hAnsi="Times New Roman" w:cs="Times New Roman"/>
          <w:sz w:val="24"/>
          <w:szCs w:val="24"/>
        </w:rPr>
        <w:t xml:space="preserve">llowing for the cost of stent removal or re-positioning </w:t>
      </w:r>
      <w:r w:rsidR="00682300">
        <w:rPr>
          <w:rFonts w:ascii="Times New Roman" w:hAnsi="Times New Roman" w:cs="Times New Roman"/>
          <w:sz w:val="24"/>
          <w:szCs w:val="24"/>
        </w:rPr>
        <w:t>with</w:t>
      </w:r>
      <w:r w:rsidR="00682300" w:rsidRPr="00682300">
        <w:rPr>
          <w:rFonts w:ascii="Times New Roman" w:hAnsi="Times New Roman" w:cs="Times New Roman"/>
          <w:sz w:val="24"/>
          <w:szCs w:val="24"/>
        </w:rPr>
        <w:t xml:space="preserve"> an additional $105 to the total cost of treatment for patients MIGS+SOC treatment arm</w:t>
      </w:r>
      <w:r w:rsidRPr="00E56ED6">
        <w:rPr>
          <w:rFonts w:ascii="Times New Roman" w:hAnsi="Times New Roman" w:cs="Times New Roman"/>
          <w:sz w:val="24"/>
          <w:szCs w:val="24"/>
        </w:rPr>
        <w:t xml:space="preserve">, are shown in </w:t>
      </w:r>
      <w:r w:rsidR="00E56ED6">
        <w:rPr>
          <w:rFonts w:ascii="Times New Roman" w:hAnsi="Times New Roman" w:cs="Times New Roman"/>
          <w:sz w:val="24"/>
          <w:szCs w:val="24"/>
        </w:rPr>
        <w:t>Table 7</w:t>
      </w:r>
      <w:r w:rsidRPr="00E56ED6">
        <w:rPr>
          <w:rFonts w:ascii="Times New Roman" w:hAnsi="Times New Roman" w:cs="Times New Roman"/>
          <w:sz w:val="24"/>
          <w:szCs w:val="24"/>
        </w:rPr>
        <w:t xml:space="preserve">. </w:t>
      </w:r>
      <w:bookmarkStart w:id="25" w:name="_Ref484164118"/>
      <w:bookmarkStart w:id="26" w:name="_Toc444869021"/>
      <w:bookmarkStart w:id="27" w:name="_Toc484607931"/>
    </w:p>
    <w:p w14:paraId="5190A1FD" w14:textId="77777777" w:rsidR="007764B4" w:rsidRPr="00E56ED6" w:rsidRDefault="007764B4" w:rsidP="00E56ED6">
      <w:pPr>
        <w:pStyle w:val="Executivesummary"/>
        <w:spacing w:before="240" w:after="0"/>
        <w:jc w:val="left"/>
        <w:rPr>
          <w:rFonts w:ascii="Arial Narrow" w:hAnsi="Arial Narrow" w:cs="Times New Roman"/>
          <w:sz w:val="20"/>
          <w:szCs w:val="20"/>
        </w:rPr>
      </w:pPr>
      <w:r w:rsidRPr="00E56ED6">
        <w:rPr>
          <w:rFonts w:ascii="Arial Narrow" w:hAnsi="Arial Narrow" w:cs="Times New Roman"/>
          <w:b/>
          <w:sz w:val="20"/>
          <w:szCs w:val="20"/>
        </w:rPr>
        <w:t xml:space="preserve">Table </w:t>
      </w:r>
      <w:bookmarkEnd w:id="25"/>
      <w:r w:rsidR="00E56ED6">
        <w:rPr>
          <w:rFonts w:ascii="Arial Narrow" w:hAnsi="Arial Narrow" w:cs="Times New Roman"/>
          <w:b/>
          <w:sz w:val="20"/>
          <w:szCs w:val="20"/>
        </w:rPr>
        <w:t>7</w:t>
      </w:r>
      <w:r w:rsidRPr="00E56ED6">
        <w:rPr>
          <w:rFonts w:ascii="Arial Narrow" w:hAnsi="Arial Narrow" w:cs="Times New Roman"/>
          <w:b/>
          <w:sz w:val="20"/>
          <w:szCs w:val="20"/>
        </w:rPr>
        <w:t xml:space="preserve"> </w:t>
      </w:r>
      <w:r w:rsidRPr="00E56ED6">
        <w:rPr>
          <w:rFonts w:ascii="Arial Narrow" w:hAnsi="Arial Narrow" w:cs="Times New Roman"/>
          <w:b/>
          <w:sz w:val="20"/>
          <w:szCs w:val="20"/>
        </w:rPr>
        <w:tab/>
      </w:r>
      <w:bookmarkEnd w:id="26"/>
      <w:r w:rsidR="00682300">
        <w:rPr>
          <w:rFonts w:ascii="Arial Narrow" w:hAnsi="Arial Narrow" w:cs="Times New Roman"/>
          <w:b/>
          <w:sz w:val="20"/>
          <w:szCs w:val="20"/>
        </w:rPr>
        <w:t>Updated i</w:t>
      </w:r>
      <w:r w:rsidRPr="00E56ED6">
        <w:rPr>
          <w:rFonts w:ascii="Arial Narrow" w:hAnsi="Arial Narrow" w:cs="Times New Roman"/>
          <w:b/>
          <w:sz w:val="20"/>
          <w:szCs w:val="20"/>
        </w:rPr>
        <w:t xml:space="preserve">ncremental cost-effectiveness of MIGS </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3"/>
        <w:gridCol w:w="1133"/>
        <w:gridCol w:w="992"/>
        <w:gridCol w:w="1276"/>
        <w:gridCol w:w="1131"/>
        <w:gridCol w:w="850"/>
        <w:gridCol w:w="1234"/>
      </w:tblGrid>
      <w:tr w:rsidR="00682300" w:rsidRPr="009B5F68" w14:paraId="76155165" w14:textId="77777777" w:rsidTr="00682300">
        <w:trPr>
          <w:trHeight w:val="285"/>
        </w:trPr>
        <w:tc>
          <w:tcPr>
            <w:tcW w:w="1380" w:type="pct"/>
            <w:noWrap/>
            <w:tcMar>
              <w:top w:w="15" w:type="dxa"/>
              <w:left w:w="108" w:type="dxa"/>
              <w:bottom w:w="15" w:type="dxa"/>
              <w:right w:w="108" w:type="dxa"/>
            </w:tcMar>
          </w:tcPr>
          <w:p w14:paraId="34A3591A" w14:textId="77777777" w:rsidR="00682300" w:rsidRPr="009B5F68" w:rsidRDefault="00682300" w:rsidP="00B409DF">
            <w:pPr>
              <w:pStyle w:val="TableText0"/>
              <w:rPr>
                <w:b/>
              </w:rPr>
            </w:pPr>
          </w:p>
        </w:tc>
        <w:tc>
          <w:tcPr>
            <w:tcW w:w="1861" w:type="pct"/>
            <w:gridSpan w:val="3"/>
            <w:noWrap/>
            <w:tcMar>
              <w:top w:w="15" w:type="dxa"/>
              <w:left w:w="108" w:type="dxa"/>
              <w:bottom w:w="15" w:type="dxa"/>
              <w:right w:w="108" w:type="dxa"/>
            </w:tcMar>
            <w:vAlign w:val="bottom"/>
          </w:tcPr>
          <w:p w14:paraId="799E0D63" w14:textId="77777777" w:rsidR="00682300" w:rsidRPr="009B5F68" w:rsidRDefault="00682300" w:rsidP="00B409DF">
            <w:pPr>
              <w:pStyle w:val="TableText0"/>
              <w:jc w:val="center"/>
              <w:rPr>
                <w:b/>
              </w:rPr>
            </w:pPr>
            <w:r w:rsidRPr="009B5F68">
              <w:rPr>
                <w:b/>
              </w:rPr>
              <w:t>Population 1</w:t>
            </w:r>
          </w:p>
        </w:tc>
        <w:tc>
          <w:tcPr>
            <w:tcW w:w="1759" w:type="pct"/>
            <w:gridSpan w:val="3"/>
            <w:vAlign w:val="bottom"/>
          </w:tcPr>
          <w:p w14:paraId="3F749217" w14:textId="77777777" w:rsidR="00682300" w:rsidRPr="009B5F68" w:rsidRDefault="00682300" w:rsidP="00B409DF">
            <w:pPr>
              <w:pStyle w:val="TableText0"/>
              <w:ind w:left="113"/>
              <w:jc w:val="center"/>
              <w:rPr>
                <w:b/>
              </w:rPr>
            </w:pPr>
            <w:r w:rsidRPr="009B5F68">
              <w:rPr>
                <w:b/>
              </w:rPr>
              <w:t>Population 2</w:t>
            </w:r>
          </w:p>
        </w:tc>
      </w:tr>
      <w:tr w:rsidR="00682300" w14:paraId="16823745" w14:textId="77777777" w:rsidTr="00682300">
        <w:trPr>
          <w:trHeight w:val="285"/>
        </w:trPr>
        <w:tc>
          <w:tcPr>
            <w:tcW w:w="1380" w:type="pct"/>
            <w:noWrap/>
            <w:tcMar>
              <w:top w:w="15" w:type="dxa"/>
              <w:left w:w="108" w:type="dxa"/>
              <w:bottom w:w="15" w:type="dxa"/>
              <w:right w:w="108" w:type="dxa"/>
            </w:tcMar>
            <w:hideMark/>
          </w:tcPr>
          <w:p w14:paraId="2AE0961D" w14:textId="77777777" w:rsidR="00682300" w:rsidRDefault="00682300" w:rsidP="00B409DF">
            <w:pPr>
              <w:pStyle w:val="TableText0"/>
            </w:pPr>
            <w:r>
              <w:t>Parameter</w:t>
            </w:r>
          </w:p>
        </w:tc>
        <w:tc>
          <w:tcPr>
            <w:tcW w:w="620" w:type="pct"/>
            <w:noWrap/>
            <w:tcMar>
              <w:top w:w="15" w:type="dxa"/>
              <w:left w:w="108" w:type="dxa"/>
              <w:bottom w:w="15" w:type="dxa"/>
              <w:right w:w="108" w:type="dxa"/>
            </w:tcMar>
            <w:vAlign w:val="bottom"/>
            <w:hideMark/>
          </w:tcPr>
          <w:p w14:paraId="04EBAB48" w14:textId="77777777" w:rsidR="00682300" w:rsidRPr="00AC2341" w:rsidRDefault="00682300" w:rsidP="00B409DF">
            <w:pPr>
              <w:pStyle w:val="TableText0"/>
              <w:jc w:val="center"/>
              <w:rPr>
                <w:b/>
              </w:rPr>
            </w:pPr>
            <w:r w:rsidRPr="00AC2341">
              <w:rPr>
                <w:b/>
              </w:rPr>
              <w:t>MIGS+SOC</w:t>
            </w:r>
          </w:p>
        </w:tc>
        <w:tc>
          <w:tcPr>
            <w:tcW w:w="543" w:type="pct"/>
            <w:noWrap/>
            <w:tcMar>
              <w:top w:w="15" w:type="dxa"/>
              <w:left w:w="108" w:type="dxa"/>
              <w:bottom w:w="15" w:type="dxa"/>
              <w:right w:w="108" w:type="dxa"/>
            </w:tcMar>
            <w:vAlign w:val="bottom"/>
            <w:hideMark/>
          </w:tcPr>
          <w:p w14:paraId="6016AD57" w14:textId="77777777" w:rsidR="00682300" w:rsidRPr="00AC2341" w:rsidRDefault="00682300" w:rsidP="00B409DF">
            <w:pPr>
              <w:pStyle w:val="TableText0"/>
              <w:jc w:val="center"/>
              <w:rPr>
                <w:b/>
              </w:rPr>
            </w:pPr>
            <w:r w:rsidRPr="00AC2341">
              <w:rPr>
                <w:b/>
              </w:rPr>
              <w:t>SOC</w:t>
            </w:r>
          </w:p>
        </w:tc>
        <w:tc>
          <w:tcPr>
            <w:tcW w:w="698" w:type="pct"/>
            <w:noWrap/>
            <w:tcMar>
              <w:top w:w="15" w:type="dxa"/>
              <w:left w:w="108" w:type="dxa"/>
              <w:bottom w:w="15" w:type="dxa"/>
              <w:right w:w="108" w:type="dxa"/>
            </w:tcMar>
            <w:vAlign w:val="bottom"/>
            <w:hideMark/>
          </w:tcPr>
          <w:p w14:paraId="6104C7AF" w14:textId="77777777" w:rsidR="00682300" w:rsidRPr="00AC2341" w:rsidRDefault="00682300" w:rsidP="00B409DF">
            <w:pPr>
              <w:pStyle w:val="TableText0"/>
              <w:jc w:val="center"/>
              <w:rPr>
                <w:b/>
              </w:rPr>
            </w:pPr>
            <w:r w:rsidRPr="00AC2341">
              <w:rPr>
                <w:b/>
              </w:rPr>
              <w:t>Incremental</w:t>
            </w:r>
          </w:p>
        </w:tc>
        <w:tc>
          <w:tcPr>
            <w:tcW w:w="619" w:type="pct"/>
            <w:vAlign w:val="bottom"/>
          </w:tcPr>
          <w:p w14:paraId="0F6D5FB1" w14:textId="77777777" w:rsidR="00682300" w:rsidRPr="00AC2341" w:rsidRDefault="00682300" w:rsidP="00B409DF">
            <w:pPr>
              <w:pStyle w:val="TableText0"/>
              <w:ind w:left="113"/>
              <w:jc w:val="center"/>
              <w:rPr>
                <w:b/>
              </w:rPr>
            </w:pPr>
            <w:r w:rsidRPr="00AC2341">
              <w:rPr>
                <w:b/>
              </w:rPr>
              <w:t>MIGS+SOC</w:t>
            </w:r>
          </w:p>
        </w:tc>
        <w:tc>
          <w:tcPr>
            <w:tcW w:w="465" w:type="pct"/>
            <w:vAlign w:val="bottom"/>
          </w:tcPr>
          <w:p w14:paraId="71FCB7FA" w14:textId="77777777" w:rsidR="00682300" w:rsidRPr="00AC2341" w:rsidRDefault="00682300" w:rsidP="00B409DF">
            <w:pPr>
              <w:pStyle w:val="TableText0"/>
              <w:ind w:left="113"/>
              <w:jc w:val="center"/>
              <w:rPr>
                <w:b/>
              </w:rPr>
            </w:pPr>
            <w:r w:rsidRPr="00AC2341">
              <w:rPr>
                <w:b/>
              </w:rPr>
              <w:t>SOC</w:t>
            </w:r>
          </w:p>
        </w:tc>
        <w:tc>
          <w:tcPr>
            <w:tcW w:w="675" w:type="pct"/>
            <w:vAlign w:val="bottom"/>
          </w:tcPr>
          <w:p w14:paraId="072AF83F" w14:textId="77777777" w:rsidR="00682300" w:rsidRPr="00AC2341" w:rsidRDefault="00682300" w:rsidP="00B409DF">
            <w:pPr>
              <w:pStyle w:val="TableText0"/>
              <w:ind w:left="113"/>
              <w:jc w:val="center"/>
              <w:rPr>
                <w:b/>
              </w:rPr>
            </w:pPr>
            <w:r w:rsidRPr="00AC2341">
              <w:rPr>
                <w:b/>
              </w:rPr>
              <w:t>Incremental</w:t>
            </w:r>
          </w:p>
        </w:tc>
      </w:tr>
      <w:tr w:rsidR="00682300" w14:paraId="3F8928A9" w14:textId="77777777" w:rsidTr="00682300">
        <w:trPr>
          <w:trHeight w:val="285"/>
        </w:trPr>
        <w:tc>
          <w:tcPr>
            <w:tcW w:w="1380" w:type="pct"/>
            <w:noWrap/>
            <w:tcMar>
              <w:top w:w="15" w:type="dxa"/>
              <w:left w:w="108" w:type="dxa"/>
              <w:bottom w:w="15" w:type="dxa"/>
              <w:right w:w="108" w:type="dxa"/>
            </w:tcMar>
            <w:hideMark/>
          </w:tcPr>
          <w:p w14:paraId="1C8F1641" w14:textId="77777777" w:rsidR="00682300" w:rsidRDefault="00682300" w:rsidP="00B409DF">
            <w:pPr>
              <w:pStyle w:val="TableText0"/>
            </w:pPr>
            <w:r>
              <w:t>Total costs</w:t>
            </w:r>
          </w:p>
        </w:tc>
        <w:tc>
          <w:tcPr>
            <w:tcW w:w="620" w:type="pct"/>
            <w:noWrap/>
            <w:tcMar>
              <w:top w:w="15" w:type="dxa"/>
              <w:left w:w="108" w:type="dxa"/>
              <w:bottom w:w="15" w:type="dxa"/>
              <w:right w:w="108" w:type="dxa"/>
            </w:tcMar>
            <w:hideMark/>
          </w:tcPr>
          <w:p w14:paraId="38557A54" w14:textId="77777777" w:rsidR="00682300" w:rsidRDefault="00682300" w:rsidP="00B409DF">
            <w:pPr>
              <w:pStyle w:val="TableText0"/>
              <w:jc w:val="center"/>
            </w:pPr>
            <w:r>
              <w:t>$8,693</w:t>
            </w:r>
          </w:p>
        </w:tc>
        <w:tc>
          <w:tcPr>
            <w:tcW w:w="543" w:type="pct"/>
            <w:noWrap/>
            <w:tcMar>
              <w:top w:w="15" w:type="dxa"/>
              <w:left w:w="108" w:type="dxa"/>
              <w:bottom w:w="15" w:type="dxa"/>
              <w:right w:w="108" w:type="dxa"/>
            </w:tcMar>
            <w:hideMark/>
          </w:tcPr>
          <w:p w14:paraId="4242C3A1" w14:textId="77777777" w:rsidR="00682300" w:rsidRDefault="00682300" w:rsidP="00B409DF">
            <w:pPr>
              <w:pStyle w:val="TableText0"/>
              <w:jc w:val="center"/>
            </w:pPr>
            <w:r>
              <w:t>$8,821</w:t>
            </w:r>
          </w:p>
        </w:tc>
        <w:tc>
          <w:tcPr>
            <w:tcW w:w="698" w:type="pct"/>
            <w:noWrap/>
            <w:tcMar>
              <w:top w:w="15" w:type="dxa"/>
              <w:left w:w="108" w:type="dxa"/>
              <w:bottom w:w="15" w:type="dxa"/>
              <w:right w:w="108" w:type="dxa"/>
            </w:tcMar>
            <w:hideMark/>
          </w:tcPr>
          <w:p w14:paraId="1657CC89" w14:textId="77777777" w:rsidR="00682300" w:rsidRDefault="00682300" w:rsidP="00B409DF">
            <w:pPr>
              <w:pStyle w:val="TableText0"/>
              <w:jc w:val="center"/>
            </w:pPr>
            <w:r>
              <w:t>-$128</w:t>
            </w:r>
          </w:p>
        </w:tc>
        <w:tc>
          <w:tcPr>
            <w:tcW w:w="619" w:type="pct"/>
          </w:tcPr>
          <w:p w14:paraId="414E5D77" w14:textId="77777777" w:rsidR="00682300" w:rsidRDefault="00682300" w:rsidP="00B409DF">
            <w:pPr>
              <w:pStyle w:val="TableText0"/>
              <w:ind w:left="113"/>
              <w:jc w:val="center"/>
            </w:pPr>
            <w:r>
              <w:t>$7,619</w:t>
            </w:r>
          </w:p>
        </w:tc>
        <w:tc>
          <w:tcPr>
            <w:tcW w:w="465" w:type="pct"/>
          </w:tcPr>
          <w:p w14:paraId="766472D2" w14:textId="77777777" w:rsidR="00682300" w:rsidRDefault="00682300" w:rsidP="00B409DF">
            <w:pPr>
              <w:pStyle w:val="TableText0"/>
              <w:ind w:left="113"/>
              <w:jc w:val="center"/>
            </w:pPr>
            <w:r>
              <w:t>$6,229</w:t>
            </w:r>
          </w:p>
        </w:tc>
        <w:tc>
          <w:tcPr>
            <w:tcW w:w="675" w:type="pct"/>
          </w:tcPr>
          <w:p w14:paraId="0695E544" w14:textId="77777777" w:rsidR="00682300" w:rsidRDefault="00682300" w:rsidP="00B409DF">
            <w:pPr>
              <w:pStyle w:val="TableText0"/>
              <w:ind w:left="113"/>
              <w:jc w:val="center"/>
            </w:pPr>
            <w:r>
              <w:t>$1,390</w:t>
            </w:r>
          </w:p>
        </w:tc>
      </w:tr>
      <w:tr w:rsidR="00682300" w14:paraId="1706FD85" w14:textId="77777777" w:rsidTr="00682300">
        <w:trPr>
          <w:trHeight w:val="285"/>
        </w:trPr>
        <w:tc>
          <w:tcPr>
            <w:tcW w:w="1380" w:type="pct"/>
            <w:noWrap/>
            <w:tcMar>
              <w:top w:w="15" w:type="dxa"/>
              <w:left w:w="108" w:type="dxa"/>
              <w:bottom w:w="15" w:type="dxa"/>
              <w:right w:w="108" w:type="dxa"/>
            </w:tcMar>
            <w:hideMark/>
          </w:tcPr>
          <w:p w14:paraId="0BE9B5C3" w14:textId="77777777" w:rsidR="00682300" w:rsidRDefault="00682300" w:rsidP="00B409DF">
            <w:pPr>
              <w:pStyle w:val="TableText0"/>
              <w:rPr>
                <w:i/>
                <w:iCs/>
              </w:rPr>
            </w:pPr>
            <w:r>
              <w:rPr>
                <w:i/>
                <w:iCs/>
              </w:rPr>
              <w:t>Total costs (including removal)</w:t>
            </w:r>
          </w:p>
        </w:tc>
        <w:tc>
          <w:tcPr>
            <w:tcW w:w="620" w:type="pct"/>
            <w:noWrap/>
            <w:tcMar>
              <w:top w:w="15" w:type="dxa"/>
              <w:left w:w="108" w:type="dxa"/>
              <w:bottom w:w="15" w:type="dxa"/>
              <w:right w:w="108" w:type="dxa"/>
            </w:tcMar>
            <w:vAlign w:val="bottom"/>
            <w:hideMark/>
          </w:tcPr>
          <w:p w14:paraId="1FEEAF91" w14:textId="77777777" w:rsidR="00682300" w:rsidRDefault="00682300" w:rsidP="00B409DF">
            <w:pPr>
              <w:pStyle w:val="TableText0"/>
              <w:jc w:val="center"/>
              <w:rPr>
                <w:i/>
                <w:iCs/>
                <w:strike/>
              </w:rPr>
            </w:pPr>
            <w:r>
              <w:rPr>
                <w:i/>
                <w:iCs/>
              </w:rPr>
              <w:t>$8,798 (+$105)</w:t>
            </w:r>
          </w:p>
        </w:tc>
        <w:tc>
          <w:tcPr>
            <w:tcW w:w="543" w:type="pct"/>
            <w:noWrap/>
            <w:tcMar>
              <w:top w:w="15" w:type="dxa"/>
              <w:left w:w="108" w:type="dxa"/>
              <w:bottom w:w="15" w:type="dxa"/>
              <w:right w:w="108" w:type="dxa"/>
            </w:tcMar>
            <w:vAlign w:val="center"/>
            <w:hideMark/>
          </w:tcPr>
          <w:p w14:paraId="22D20A38" w14:textId="77777777" w:rsidR="00682300" w:rsidRDefault="00682300" w:rsidP="00682300">
            <w:pPr>
              <w:pStyle w:val="TableText0"/>
              <w:jc w:val="center"/>
              <w:rPr>
                <w:i/>
                <w:iCs/>
              </w:rPr>
            </w:pPr>
            <w:r>
              <w:t>$8,821</w:t>
            </w:r>
          </w:p>
        </w:tc>
        <w:tc>
          <w:tcPr>
            <w:tcW w:w="698" w:type="pct"/>
            <w:noWrap/>
            <w:tcMar>
              <w:top w:w="15" w:type="dxa"/>
              <w:left w:w="108" w:type="dxa"/>
              <w:bottom w:w="15" w:type="dxa"/>
              <w:right w:w="108" w:type="dxa"/>
            </w:tcMar>
            <w:vAlign w:val="center"/>
            <w:hideMark/>
          </w:tcPr>
          <w:p w14:paraId="6EDED730" w14:textId="77777777" w:rsidR="00682300" w:rsidRDefault="00682300" w:rsidP="00682300">
            <w:pPr>
              <w:pStyle w:val="TableText0"/>
              <w:jc w:val="center"/>
              <w:rPr>
                <w:i/>
                <w:iCs/>
                <w:strike/>
              </w:rPr>
            </w:pPr>
            <w:r>
              <w:rPr>
                <w:i/>
                <w:iCs/>
              </w:rPr>
              <w:t>-$23 (+$105)</w:t>
            </w:r>
          </w:p>
        </w:tc>
        <w:tc>
          <w:tcPr>
            <w:tcW w:w="619" w:type="pct"/>
            <w:vAlign w:val="center"/>
          </w:tcPr>
          <w:p w14:paraId="75F24C43" w14:textId="77777777" w:rsidR="00682300" w:rsidRDefault="00682300" w:rsidP="00682300">
            <w:pPr>
              <w:pStyle w:val="TableText0"/>
              <w:ind w:left="113"/>
              <w:jc w:val="center"/>
              <w:rPr>
                <w:i/>
                <w:iCs/>
              </w:rPr>
            </w:pPr>
            <w:r>
              <w:rPr>
                <w:i/>
                <w:iCs/>
              </w:rPr>
              <w:t>$7,724 (+$105)</w:t>
            </w:r>
          </w:p>
        </w:tc>
        <w:tc>
          <w:tcPr>
            <w:tcW w:w="465" w:type="pct"/>
            <w:vAlign w:val="center"/>
          </w:tcPr>
          <w:p w14:paraId="6B64A20B" w14:textId="77777777" w:rsidR="00682300" w:rsidRDefault="00682300" w:rsidP="00682300">
            <w:pPr>
              <w:pStyle w:val="TableText0"/>
              <w:ind w:left="113"/>
              <w:jc w:val="center"/>
              <w:rPr>
                <w:i/>
                <w:iCs/>
              </w:rPr>
            </w:pPr>
            <w:r>
              <w:t>$6,229</w:t>
            </w:r>
          </w:p>
        </w:tc>
        <w:tc>
          <w:tcPr>
            <w:tcW w:w="675" w:type="pct"/>
            <w:vAlign w:val="bottom"/>
          </w:tcPr>
          <w:p w14:paraId="0EA97C01" w14:textId="77777777" w:rsidR="00682300" w:rsidRDefault="00682300" w:rsidP="00B409DF">
            <w:pPr>
              <w:pStyle w:val="TableText0"/>
              <w:ind w:left="113"/>
              <w:jc w:val="center"/>
              <w:rPr>
                <w:i/>
                <w:iCs/>
              </w:rPr>
            </w:pPr>
            <w:r>
              <w:rPr>
                <w:i/>
                <w:iCs/>
              </w:rPr>
              <w:t>$1,495 (+$105)</w:t>
            </w:r>
          </w:p>
        </w:tc>
      </w:tr>
      <w:tr w:rsidR="00682300" w14:paraId="319BA71C" w14:textId="77777777" w:rsidTr="00682300">
        <w:trPr>
          <w:trHeight w:val="285"/>
        </w:trPr>
        <w:tc>
          <w:tcPr>
            <w:tcW w:w="1380" w:type="pct"/>
            <w:noWrap/>
            <w:tcMar>
              <w:top w:w="15" w:type="dxa"/>
              <w:left w:w="108" w:type="dxa"/>
              <w:bottom w:w="15" w:type="dxa"/>
              <w:right w:w="108" w:type="dxa"/>
            </w:tcMar>
            <w:hideMark/>
          </w:tcPr>
          <w:p w14:paraId="023891EA" w14:textId="77777777" w:rsidR="00682300" w:rsidRDefault="00682300" w:rsidP="00B409DF">
            <w:pPr>
              <w:pStyle w:val="TableText0"/>
            </w:pPr>
            <w:r>
              <w:t>Total QALYs</w:t>
            </w:r>
          </w:p>
        </w:tc>
        <w:tc>
          <w:tcPr>
            <w:tcW w:w="620" w:type="pct"/>
            <w:noWrap/>
            <w:tcMar>
              <w:top w:w="15" w:type="dxa"/>
              <w:left w:w="108" w:type="dxa"/>
              <w:bottom w:w="15" w:type="dxa"/>
              <w:right w:w="108" w:type="dxa"/>
            </w:tcMar>
            <w:hideMark/>
          </w:tcPr>
          <w:p w14:paraId="4F427322" w14:textId="77777777" w:rsidR="00682300" w:rsidRDefault="00682300" w:rsidP="00B409DF">
            <w:pPr>
              <w:pStyle w:val="TableText0"/>
              <w:jc w:val="center"/>
            </w:pPr>
            <w:r>
              <w:t>6.719</w:t>
            </w:r>
          </w:p>
        </w:tc>
        <w:tc>
          <w:tcPr>
            <w:tcW w:w="543" w:type="pct"/>
            <w:noWrap/>
            <w:tcMar>
              <w:top w:w="15" w:type="dxa"/>
              <w:left w:w="108" w:type="dxa"/>
              <w:bottom w:w="15" w:type="dxa"/>
              <w:right w:w="108" w:type="dxa"/>
            </w:tcMar>
            <w:hideMark/>
          </w:tcPr>
          <w:p w14:paraId="4347B0E0" w14:textId="77777777" w:rsidR="00682300" w:rsidRDefault="00682300" w:rsidP="00B409DF">
            <w:pPr>
              <w:pStyle w:val="TableText0"/>
              <w:jc w:val="center"/>
            </w:pPr>
            <w:r>
              <w:t>6.579</w:t>
            </w:r>
          </w:p>
        </w:tc>
        <w:tc>
          <w:tcPr>
            <w:tcW w:w="698" w:type="pct"/>
            <w:noWrap/>
            <w:tcMar>
              <w:top w:w="15" w:type="dxa"/>
              <w:left w:w="108" w:type="dxa"/>
              <w:bottom w:w="15" w:type="dxa"/>
              <w:right w:w="108" w:type="dxa"/>
            </w:tcMar>
            <w:hideMark/>
          </w:tcPr>
          <w:p w14:paraId="305963D5" w14:textId="77777777" w:rsidR="00682300" w:rsidRDefault="00682300" w:rsidP="00B409DF">
            <w:pPr>
              <w:pStyle w:val="TableText0"/>
              <w:jc w:val="center"/>
            </w:pPr>
            <w:r>
              <w:t>0.139</w:t>
            </w:r>
          </w:p>
        </w:tc>
        <w:tc>
          <w:tcPr>
            <w:tcW w:w="619" w:type="pct"/>
          </w:tcPr>
          <w:p w14:paraId="7057AFC7" w14:textId="77777777" w:rsidR="00682300" w:rsidRDefault="00682300" w:rsidP="00B409DF">
            <w:pPr>
              <w:pStyle w:val="TableText0"/>
              <w:ind w:left="113"/>
              <w:jc w:val="center"/>
            </w:pPr>
            <w:r>
              <w:t>6.719</w:t>
            </w:r>
          </w:p>
        </w:tc>
        <w:tc>
          <w:tcPr>
            <w:tcW w:w="465" w:type="pct"/>
          </w:tcPr>
          <w:p w14:paraId="6EFF577B" w14:textId="77777777" w:rsidR="00682300" w:rsidRDefault="00682300" w:rsidP="00B409DF">
            <w:pPr>
              <w:pStyle w:val="TableText0"/>
              <w:ind w:left="113"/>
              <w:jc w:val="center"/>
            </w:pPr>
            <w:r>
              <w:t>6.579</w:t>
            </w:r>
          </w:p>
        </w:tc>
        <w:tc>
          <w:tcPr>
            <w:tcW w:w="675" w:type="pct"/>
          </w:tcPr>
          <w:p w14:paraId="54CC02FE" w14:textId="77777777" w:rsidR="00682300" w:rsidRDefault="00682300" w:rsidP="00B409DF">
            <w:pPr>
              <w:pStyle w:val="TableText0"/>
              <w:ind w:left="113"/>
              <w:jc w:val="center"/>
            </w:pPr>
            <w:r>
              <w:t>0.139</w:t>
            </w:r>
          </w:p>
        </w:tc>
      </w:tr>
      <w:tr w:rsidR="00682300" w14:paraId="13ACA542" w14:textId="77777777" w:rsidTr="00682300">
        <w:trPr>
          <w:trHeight w:val="285"/>
        </w:trPr>
        <w:tc>
          <w:tcPr>
            <w:tcW w:w="1380" w:type="pct"/>
            <w:noWrap/>
            <w:tcMar>
              <w:top w:w="15" w:type="dxa"/>
              <w:left w:w="108" w:type="dxa"/>
              <w:bottom w:w="15" w:type="dxa"/>
              <w:right w:w="108" w:type="dxa"/>
            </w:tcMar>
            <w:hideMark/>
          </w:tcPr>
          <w:p w14:paraId="3B66B909" w14:textId="77777777" w:rsidR="00682300" w:rsidRDefault="00682300" w:rsidP="00B409DF">
            <w:pPr>
              <w:pStyle w:val="TableText0"/>
            </w:pPr>
            <w:r>
              <w:t>Incremental cost-effectiveness</w:t>
            </w:r>
          </w:p>
        </w:tc>
        <w:tc>
          <w:tcPr>
            <w:tcW w:w="1163" w:type="pct"/>
            <w:gridSpan w:val="2"/>
            <w:vMerge w:val="restart"/>
            <w:noWrap/>
            <w:tcMar>
              <w:top w:w="15" w:type="dxa"/>
              <w:left w:w="108" w:type="dxa"/>
              <w:bottom w:w="15" w:type="dxa"/>
              <w:right w:w="108" w:type="dxa"/>
            </w:tcMar>
            <w:vAlign w:val="bottom"/>
          </w:tcPr>
          <w:p w14:paraId="6ED55C44" w14:textId="77777777" w:rsidR="00682300" w:rsidRDefault="00682300" w:rsidP="00B409DF">
            <w:pPr>
              <w:pStyle w:val="TableText0"/>
              <w:jc w:val="center"/>
            </w:pPr>
          </w:p>
        </w:tc>
        <w:tc>
          <w:tcPr>
            <w:tcW w:w="698" w:type="pct"/>
            <w:noWrap/>
            <w:tcMar>
              <w:top w:w="15" w:type="dxa"/>
              <w:left w:w="108" w:type="dxa"/>
              <w:bottom w:w="15" w:type="dxa"/>
              <w:right w:w="108" w:type="dxa"/>
            </w:tcMar>
            <w:vAlign w:val="bottom"/>
            <w:hideMark/>
          </w:tcPr>
          <w:p w14:paraId="0A41A048" w14:textId="77777777" w:rsidR="00682300" w:rsidRDefault="00682300" w:rsidP="00B409DF">
            <w:pPr>
              <w:pStyle w:val="TableText0"/>
              <w:jc w:val="center"/>
            </w:pPr>
            <w:r>
              <w:t>MIGS dominant</w:t>
            </w:r>
          </w:p>
        </w:tc>
        <w:tc>
          <w:tcPr>
            <w:tcW w:w="1084" w:type="pct"/>
            <w:gridSpan w:val="2"/>
            <w:vMerge w:val="restart"/>
          </w:tcPr>
          <w:p w14:paraId="12AE9C23" w14:textId="77777777" w:rsidR="00682300" w:rsidRDefault="00682300" w:rsidP="00B409DF">
            <w:pPr>
              <w:pStyle w:val="TableText0"/>
              <w:ind w:left="113"/>
              <w:jc w:val="center"/>
            </w:pPr>
          </w:p>
        </w:tc>
        <w:tc>
          <w:tcPr>
            <w:tcW w:w="675" w:type="pct"/>
          </w:tcPr>
          <w:p w14:paraId="4FA8A41C" w14:textId="77777777" w:rsidR="00682300" w:rsidRDefault="00682300" w:rsidP="00B409DF">
            <w:pPr>
              <w:pStyle w:val="TableText0"/>
              <w:ind w:left="113"/>
              <w:jc w:val="center"/>
            </w:pPr>
            <w:r>
              <w:t>$9,985</w:t>
            </w:r>
          </w:p>
        </w:tc>
      </w:tr>
      <w:tr w:rsidR="00682300" w14:paraId="06ECBA5B" w14:textId="77777777" w:rsidTr="00682300">
        <w:trPr>
          <w:trHeight w:val="285"/>
        </w:trPr>
        <w:tc>
          <w:tcPr>
            <w:tcW w:w="1380" w:type="pct"/>
            <w:noWrap/>
            <w:tcMar>
              <w:top w:w="15" w:type="dxa"/>
              <w:left w:w="108" w:type="dxa"/>
              <w:bottom w:w="15" w:type="dxa"/>
              <w:right w:w="108" w:type="dxa"/>
            </w:tcMar>
            <w:hideMark/>
          </w:tcPr>
          <w:p w14:paraId="614C9BB5" w14:textId="77777777" w:rsidR="00682300" w:rsidRDefault="00682300" w:rsidP="00B409DF">
            <w:pPr>
              <w:pStyle w:val="TableText0"/>
              <w:rPr>
                <w:i/>
                <w:iCs/>
              </w:rPr>
            </w:pPr>
            <w:r>
              <w:rPr>
                <w:i/>
                <w:iCs/>
              </w:rPr>
              <w:t>Incremental cost-effectiveness (including removal)</w:t>
            </w:r>
          </w:p>
        </w:tc>
        <w:tc>
          <w:tcPr>
            <w:tcW w:w="1163" w:type="pct"/>
            <w:gridSpan w:val="2"/>
            <w:vMerge/>
            <w:noWrap/>
            <w:tcMar>
              <w:top w:w="15" w:type="dxa"/>
              <w:left w:w="108" w:type="dxa"/>
              <w:bottom w:w="15" w:type="dxa"/>
              <w:right w:w="108" w:type="dxa"/>
            </w:tcMar>
            <w:vAlign w:val="bottom"/>
          </w:tcPr>
          <w:p w14:paraId="52FE5A93" w14:textId="77777777" w:rsidR="00682300" w:rsidRDefault="00682300" w:rsidP="00B409DF">
            <w:pPr>
              <w:pStyle w:val="TableText0"/>
              <w:jc w:val="center"/>
              <w:rPr>
                <w:rFonts w:ascii="Times New Roman" w:hAnsi="Times New Roman" w:cs="Times New Roman"/>
                <w:i/>
                <w:iCs/>
                <w:szCs w:val="20"/>
              </w:rPr>
            </w:pPr>
          </w:p>
        </w:tc>
        <w:tc>
          <w:tcPr>
            <w:tcW w:w="698" w:type="pct"/>
            <w:noWrap/>
            <w:tcMar>
              <w:top w:w="15" w:type="dxa"/>
              <w:left w:w="108" w:type="dxa"/>
              <w:bottom w:w="15" w:type="dxa"/>
              <w:right w:w="108" w:type="dxa"/>
            </w:tcMar>
            <w:vAlign w:val="center"/>
            <w:hideMark/>
          </w:tcPr>
          <w:p w14:paraId="02E5A1DB" w14:textId="77777777" w:rsidR="00682300" w:rsidRDefault="00682300" w:rsidP="00682300">
            <w:pPr>
              <w:pStyle w:val="TableText0"/>
              <w:jc w:val="center"/>
              <w:rPr>
                <w:rFonts w:ascii="Calibri" w:hAnsi="Calibri" w:cs="Calibri"/>
                <w:i/>
                <w:iCs/>
                <w:strike/>
                <w:szCs w:val="20"/>
              </w:rPr>
            </w:pPr>
            <w:r>
              <w:t>MIGS dominant</w:t>
            </w:r>
          </w:p>
        </w:tc>
        <w:tc>
          <w:tcPr>
            <w:tcW w:w="1084" w:type="pct"/>
            <w:gridSpan w:val="2"/>
            <w:vMerge/>
            <w:vAlign w:val="bottom"/>
          </w:tcPr>
          <w:p w14:paraId="3E7F09FA" w14:textId="77777777" w:rsidR="00682300" w:rsidRDefault="00682300" w:rsidP="00B409DF">
            <w:pPr>
              <w:pStyle w:val="TableText0"/>
              <w:ind w:left="113"/>
              <w:jc w:val="center"/>
            </w:pPr>
          </w:p>
        </w:tc>
        <w:tc>
          <w:tcPr>
            <w:tcW w:w="675" w:type="pct"/>
          </w:tcPr>
          <w:p w14:paraId="2AAE973D" w14:textId="77777777" w:rsidR="00682300" w:rsidRDefault="00682300" w:rsidP="00B409DF">
            <w:pPr>
              <w:pStyle w:val="TableText0"/>
              <w:ind w:left="113"/>
              <w:jc w:val="center"/>
            </w:pPr>
            <w:r>
              <w:rPr>
                <w:i/>
                <w:iCs/>
              </w:rPr>
              <w:t>$10,755</w:t>
            </w:r>
          </w:p>
        </w:tc>
      </w:tr>
    </w:tbl>
    <w:p w14:paraId="5A80C097" w14:textId="77777777" w:rsidR="00967555" w:rsidRDefault="00967555" w:rsidP="00CC2A4E">
      <w:pPr>
        <w:pStyle w:val="Tablenotes"/>
      </w:pPr>
      <w:r>
        <w:t>Sensitivity analyses indicated that t</w:t>
      </w:r>
      <w:r w:rsidRPr="002A7B27">
        <w:t>he ICER had greater sensitivity to medication persistence, non-MIGS surgery costs and modelled time horizon</w:t>
      </w:r>
      <w:r>
        <w:t>.</w:t>
      </w:r>
    </w:p>
    <w:p w14:paraId="186955AC" w14:textId="77777777" w:rsidR="00BC1364" w:rsidRPr="00F715D1" w:rsidRDefault="00BC1364" w:rsidP="00F715D1">
      <w:pPr>
        <w:pStyle w:val="Heading1"/>
      </w:pPr>
      <w:r w:rsidRPr="00F715D1">
        <w:t>Financial/budgetary impacts</w:t>
      </w:r>
    </w:p>
    <w:p w14:paraId="1C0861C8" w14:textId="77777777" w:rsidR="00DF5611" w:rsidRPr="00967555" w:rsidRDefault="00DF5611" w:rsidP="00967555">
      <w:pPr>
        <w:pStyle w:val="Executivesummary"/>
        <w:jc w:val="left"/>
        <w:rPr>
          <w:rFonts w:ascii="Times New Roman" w:hAnsi="Times New Roman" w:cs="Times New Roman"/>
          <w:sz w:val="24"/>
          <w:szCs w:val="24"/>
        </w:rPr>
      </w:pPr>
      <w:r w:rsidRPr="00967555">
        <w:rPr>
          <w:rFonts w:ascii="Times New Roman" w:hAnsi="Times New Roman" w:cs="Times New Roman"/>
          <w:sz w:val="24"/>
          <w:szCs w:val="24"/>
        </w:rPr>
        <w:t xml:space="preserve">A market share approach </w:t>
      </w:r>
      <w:r w:rsidR="00967555">
        <w:rPr>
          <w:rFonts w:ascii="Times New Roman" w:hAnsi="Times New Roman" w:cs="Times New Roman"/>
          <w:sz w:val="24"/>
          <w:szCs w:val="24"/>
        </w:rPr>
        <w:t>was</w:t>
      </w:r>
      <w:r w:rsidRPr="00967555">
        <w:rPr>
          <w:rFonts w:ascii="Times New Roman" w:hAnsi="Times New Roman" w:cs="Times New Roman"/>
          <w:sz w:val="24"/>
          <w:szCs w:val="24"/>
        </w:rPr>
        <w:t xml:space="preserve"> used to estimate the financial implication of listing </w:t>
      </w:r>
      <w:proofErr w:type="spellStart"/>
      <w:r w:rsidRPr="00967555">
        <w:rPr>
          <w:rFonts w:ascii="Times New Roman" w:hAnsi="Times New Roman" w:cs="Times New Roman"/>
          <w:sz w:val="24"/>
          <w:szCs w:val="24"/>
        </w:rPr>
        <w:t>CyPass</w:t>
      </w:r>
      <w:proofErr w:type="spellEnd"/>
      <w:r w:rsidRPr="00967555">
        <w:rPr>
          <w:rFonts w:ascii="Times New Roman" w:hAnsi="Times New Roman" w:cs="Times New Roman"/>
          <w:sz w:val="24"/>
          <w:szCs w:val="24"/>
        </w:rPr>
        <w:t xml:space="preserve"> on the MBS. </w:t>
      </w:r>
    </w:p>
    <w:p w14:paraId="621D3A12" w14:textId="7219279F" w:rsidR="00221A9A" w:rsidRPr="00CC2A4E" w:rsidRDefault="00DF5611" w:rsidP="00CC2A4E">
      <w:pPr>
        <w:pStyle w:val="Executivesummary"/>
        <w:spacing w:before="240"/>
        <w:jc w:val="left"/>
        <w:rPr>
          <w:rFonts w:ascii="Times New Roman" w:hAnsi="Times New Roman" w:cs="Times New Roman"/>
          <w:sz w:val="24"/>
          <w:szCs w:val="24"/>
        </w:rPr>
      </w:pPr>
      <w:r w:rsidRPr="00967555">
        <w:rPr>
          <w:rFonts w:ascii="Times New Roman" w:hAnsi="Times New Roman" w:cs="Times New Roman"/>
          <w:sz w:val="24"/>
          <w:szCs w:val="24"/>
        </w:rPr>
        <w:t xml:space="preserve">The financial implications to the MBS resulting from the proposed listing of </w:t>
      </w:r>
      <w:proofErr w:type="spellStart"/>
      <w:r w:rsidRPr="00967555">
        <w:rPr>
          <w:rFonts w:ascii="Times New Roman" w:hAnsi="Times New Roman" w:cs="Times New Roman"/>
          <w:sz w:val="24"/>
          <w:szCs w:val="24"/>
        </w:rPr>
        <w:t>CyPass</w:t>
      </w:r>
      <w:proofErr w:type="spellEnd"/>
      <w:r w:rsidRPr="00967555">
        <w:rPr>
          <w:rFonts w:ascii="Times New Roman" w:hAnsi="Times New Roman" w:cs="Times New Roman"/>
          <w:sz w:val="24"/>
          <w:szCs w:val="24"/>
        </w:rPr>
        <w:t xml:space="preserve"> are summarised in </w:t>
      </w:r>
      <w:r w:rsidR="00967555">
        <w:rPr>
          <w:rFonts w:ascii="Times New Roman" w:hAnsi="Times New Roman" w:cs="Times New Roman"/>
          <w:sz w:val="24"/>
          <w:szCs w:val="24"/>
        </w:rPr>
        <w:t>Table 8</w:t>
      </w:r>
      <w:r w:rsidRPr="00967555">
        <w:rPr>
          <w:rFonts w:ascii="Times New Roman" w:hAnsi="Times New Roman" w:cs="Times New Roman"/>
          <w:sz w:val="24"/>
          <w:szCs w:val="24"/>
        </w:rPr>
        <w:t xml:space="preserve">. Through reductions in the number of SLT procedures the listing of </w:t>
      </w:r>
      <w:proofErr w:type="spellStart"/>
      <w:r w:rsidRPr="00967555">
        <w:rPr>
          <w:rFonts w:ascii="Times New Roman" w:hAnsi="Times New Roman" w:cs="Times New Roman"/>
          <w:sz w:val="24"/>
          <w:szCs w:val="24"/>
        </w:rPr>
        <w:t>CyPass</w:t>
      </w:r>
      <w:proofErr w:type="spellEnd"/>
      <w:r w:rsidRPr="00967555">
        <w:rPr>
          <w:rFonts w:ascii="Times New Roman" w:hAnsi="Times New Roman" w:cs="Times New Roman"/>
          <w:sz w:val="24"/>
          <w:szCs w:val="24"/>
        </w:rPr>
        <w:t xml:space="preserve"> is estimated to result in a yearly net savings of between $1.1 million and $1.6 million from 2018 to 2022.</w:t>
      </w:r>
      <w:bookmarkStart w:id="28" w:name="_Ref484165723"/>
      <w:bookmarkStart w:id="29" w:name="_Toc484603981"/>
    </w:p>
    <w:p w14:paraId="1649B4DC" w14:textId="77777777" w:rsidR="00DF5611" w:rsidRPr="00967555" w:rsidRDefault="00DF5611" w:rsidP="00967555">
      <w:pPr>
        <w:pStyle w:val="Caption"/>
        <w:widowControl w:val="0"/>
        <w:tabs>
          <w:tab w:val="left" w:pos="1134"/>
        </w:tabs>
        <w:spacing w:after="0"/>
        <w:ind w:left="1134" w:hanging="1134"/>
        <w:rPr>
          <w:rFonts w:ascii="Arial Narrow" w:hAnsi="Arial Narrow"/>
          <w:color w:val="auto"/>
          <w:sz w:val="20"/>
          <w:szCs w:val="20"/>
        </w:rPr>
      </w:pPr>
      <w:r w:rsidRPr="00967555">
        <w:rPr>
          <w:rFonts w:ascii="Arial Narrow" w:hAnsi="Arial Narrow"/>
          <w:color w:val="auto"/>
          <w:sz w:val="20"/>
          <w:szCs w:val="20"/>
        </w:rPr>
        <w:t xml:space="preserve">Table </w:t>
      </w:r>
      <w:bookmarkEnd w:id="28"/>
      <w:r w:rsidR="00967555" w:rsidRPr="00967555">
        <w:rPr>
          <w:rFonts w:ascii="Arial Narrow" w:hAnsi="Arial Narrow"/>
          <w:color w:val="auto"/>
          <w:sz w:val="20"/>
          <w:szCs w:val="20"/>
        </w:rPr>
        <w:t>8</w:t>
      </w:r>
      <w:r w:rsidRPr="00967555">
        <w:rPr>
          <w:rFonts w:ascii="Arial Narrow" w:hAnsi="Arial Narrow"/>
          <w:color w:val="auto"/>
          <w:sz w:val="20"/>
          <w:szCs w:val="20"/>
        </w:rPr>
        <w:tab/>
      </w:r>
      <w:r w:rsidRPr="00967555">
        <w:rPr>
          <w:rFonts w:ascii="Arial Narrow" w:hAnsi="Arial Narrow"/>
          <w:color w:val="auto"/>
          <w:sz w:val="20"/>
          <w:szCs w:val="20"/>
        </w:rPr>
        <w:tab/>
        <w:t xml:space="preserve">Total costs to the MBS associated with </w:t>
      </w:r>
      <w:proofErr w:type="spellStart"/>
      <w:r w:rsidRPr="00967555">
        <w:rPr>
          <w:rFonts w:ascii="Arial Narrow" w:hAnsi="Arial Narrow"/>
          <w:color w:val="auto"/>
          <w:sz w:val="20"/>
          <w:szCs w:val="20"/>
        </w:rPr>
        <w:t>CyPass</w:t>
      </w:r>
      <w:bookmarkEnd w:id="29"/>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330"/>
        <w:gridCol w:w="1330"/>
        <w:gridCol w:w="1328"/>
        <w:gridCol w:w="1328"/>
        <w:gridCol w:w="1324"/>
      </w:tblGrid>
      <w:tr w:rsidR="00366F21" w:rsidRPr="002A7B27" w14:paraId="15B8BF4C" w14:textId="77777777" w:rsidTr="00366F21">
        <w:trPr>
          <w:trHeight w:val="300"/>
        </w:trPr>
        <w:tc>
          <w:tcPr>
            <w:tcW w:w="1409" w:type="pct"/>
            <w:shd w:val="clear" w:color="auto" w:fill="auto"/>
          </w:tcPr>
          <w:p w14:paraId="24AC1A1D" w14:textId="77777777" w:rsidR="00366F21" w:rsidRPr="002A7B27" w:rsidRDefault="00366F21" w:rsidP="00B409DF">
            <w:pPr>
              <w:widowControl w:val="0"/>
              <w:tabs>
                <w:tab w:val="left" w:pos="851"/>
              </w:tabs>
              <w:spacing w:before="40" w:after="40"/>
              <w:ind w:left="851" w:hanging="851"/>
              <w:jc w:val="both"/>
              <w:rPr>
                <w:rFonts w:ascii="Arial Narrow" w:hAnsi="Arial Narrow"/>
                <w:b/>
                <w:sz w:val="20"/>
              </w:rPr>
            </w:pPr>
            <w:r w:rsidRPr="002A7B27">
              <w:rPr>
                <w:rFonts w:ascii="Arial Narrow" w:hAnsi="Arial Narrow"/>
                <w:b/>
                <w:sz w:val="20"/>
              </w:rPr>
              <w:t>Service/Budget</w:t>
            </w:r>
          </w:p>
        </w:tc>
        <w:tc>
          <w:tcPr>
            <w:tcW w:w="719" w:type="pct"/>
          </w:tcPr>
          <w:p w14:paraId="79729B3B"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2018</w:t>
            </w:r>
          </w:p>
        </w:tc>
        <w:tc>
          <w:tcPr>
            <w:tcW w:w="719" w:type="pct"/>
            <w:shd w:val="clear" w:color="auto" w:fill="auto"/>
          </w:tcPr>
          <w:p w14:paraId="3CBA1853"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2019</w:t>
            </w:r>
          </w:p>
        </w:tc>
        <w:tc>
          <w:tcPr>
            <w:tcW w:w="718" w:type="pct"/>
            <w:shd w:val="clear" w:color="auto" w:fill="auto"/>
          </w:tcPr>
          <w:p w14:paraId="4A440596"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2020</w:t>
            </w:r>
          </w:p>
        </w:tc>
        <w:tc>
          <w:tcPr>
            <w:tcW w:w="718" w:type="pct"/>
            <w:shd w:val="clear" w:color="auto" w:fill="auto"/>
          </w:tcPr>
          <w:p w14:paraId="2E9738BD"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2021</w:t>
            </w:r>
          </w:p>
        </w:tc>
        <w:tc>
          <w:tcPr>
            <w:tcW w:w="716" w:type="pct"/>
            <w:shd w:val="clear" w:color="auto" w:fill="auto"/>
          </w:tcPr>
          <w:p w14:paraId="7A687E0D"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2022</w:t>
            </w:r>
          </w:p>
        </w:tc>
      </w:tr>
      <w:tr w:rsidR="00366F21" w:rsidRPr="002A7B27" w14:paraId="0B6AE541" w14:textId="77777777" w:rsidTr="00366F21">
        <w:trPr>
          <w:trHeight w:val="300"/>
        </w:trPr>
        <w:tc>
          <w:tcPr>
            <w:tcW w:w="1409" w:type="pct"/>
            <w:tcBorders>
              <w:bottom w:val="single" w:sz="4" w:space="0" w:color="auto"/>
            </w:tcBorders>
            <w:shd w:val="clear" w:color="auto" w:fill="auto"/>
          </w:tcPr>
          <w:p w14:paraId="6B8F82C6"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Services delivered</w:t>
            </w:r>
          </w:p>
        </w:tc>
        <w:tc>
          <w:tcPr>
            <w:tcW w:w="719" w:type="pct"/>
            <w:tcBorders>
              <w:bottom w:val="single" w:sz="4" w:space="0" w:color="auto"/>
            </w:tcBorders>
          </w:tcPr>
          <w:p w14:paraId="7B98E0A9" w14:textId="5D1CDE2D" w:rsidR="00366F21" w:rsidRPr="002A7B27" w:rsidRDefault="008325E8" w:rsidP="00B409DF">
            <w:pPr>
              <w:widowControl w:val="0"/>
              <w:spacing w:before="40" w:after="40"/>
              <w:rPr>
                <w:rFonts w:ascii="Arial Narrow" w:hAnsi="Arial Narrow"/>
                <w:sz w:val="20"/>
              </w:rPr>
            </w:pPr>
            <w:r w:rsidRPr="008325E8">
              <w:rPr>
                <w:rFonts w:ascii="Arial Narrow" w:hAnsi="Arial Narrow"/>
                <w:b/>
                <w:sz w:val="20"/>
              </w:rPr>
              <w:t>redacted</w:t>
            </w:r>
          </w:p>
        </w:tc>
        <w:tc>
          <w:tcPr>
            <w:tcW w:w="719" w:type="pct"/>
            <w:tcBorders>
              <w:bottom w:val="single" w:sz="4" w:space="0" w:color="auto"/>
            </w:tcBorders>
            <w:shd w:val="clear" w:color="auto" w:fill="auto"/>
          </w:tcPr>
          <w:p w14:paraId="32EFA19D" w14:textId="37845BDC" w:rsidR="00366F21" w:rsidRPr="002A7B27" w:rsidRDefault="008325E8" w:rsidP="00B409DF">
            <w:pPr>
              <w:widowControl w:val="0"/>
              <w:spacing w:before="40" w:after="40"/>
              <w:rPr>
                <w:rFonts w:ascii="Arial Narrow" w:hAnsi="Arial Narrow"/>
                <w:sz w:val="20"/>
              </w:rPr>
            </w:pPr>
            <w:r w:rsidRPr="008325E8">
              <w:rPr>
                <w:rFonts w:ascii="Arial Narrow" w:hAnsi="Arial Narrow"/>
                <w:b/>
                <w:sz w:val="20"/>
              </w:rPr>
              <w:t>redacted</w:t>
            </w:r>
          </w:p>
        </w:tc>
        <w:tc>
          <w:tcPr>
            <w:tcW w:w="718" w:type="pct"/>
            <w:tcBorders>
              <w:bottom w:val="single" w:sz="4" w:space="0" w:color="auto"/>
            </w:tcBorders>
            <w:shd w:val="clear" w:color="auto" w:fill="auto"/>
          </w:tcPr>
          <w:p w14:paraId="2E17E55E" w14:textId="6BC4D5E5" w:rsidR="00366F21" w:rsidRPr="002A7B27" w:rsidRDefault="008325E8" w:rsidP="00B409DF">
            <w:pPr>
              <w:widowControl w:val="0"/>
              <w:spacing w:before="40" w:after="40"/>
              <w:rPr>
                <w:rFonts w:ascii="Arial Narrow" w:hAnsi="Arial Narrow"/>
                <w:sz w:val="20"/>
              </w:rPr>
            </w:pPr>
            <w:r w:rsidRPr="008325E8">
              <w:rPr>
                <w:rFonts w:ascii="Arial Narrow" w:hAnsi="Arial Narrow"/>
                <w:b/>
                <w:sz w:val="20"/>
              </w:rPr>
              <w:t>redacted</w:t>
            </w:r>
          </w:p>
        </w:tc>
        <w:tc>
          <w:tcPr>
            <w:tcW w:w="718" w:type="pct"/>
            <w:tcBorders>
              <w:bottom w:val="single" w:sz="4" w:space="0" w:color="auto"/>
            </w:tcBorders>
            <w:shd w:val="clear" w:color="auto" w:fill="auto"/>
          </w:tcPr>
          <w:p w14:paraId="65C71F1D" w14:textId="794E9D43" w:rsidR="00366F21" w:rsidRPr="002A7B27" w:rsidRDefault="008325E8" w:rsidP="00B409DF">
            <w:pPr>
              <w:widowControl w:val="0"/>
              <w:spacing w:before="40" w:after="40"/>
              <w:rPr>
                <w:rFonts w:ascii="Arial Narrow" w:hAnsi="Arial Narrow"/>
                <w:sz w:val="20"/>
              </w:rPr>
            </w:pPr>
            <w:r w:rsidRPr="008325E8">
              <w:rPr>
                <w:rFonts w:ascii="Arial Narrow" w:hAnsi="Arial Narrow"/>
                <w:b/>
                <w:sz w:val="20"/>
              </w:rPr>
              <w:t>redacted</w:t>
            </w:r>
          </w:p>
        </w:tc>
        <w:tc>
          <w:tcPr>
            <w:tcW w:w="716" w:type="pct"/>
            <w:tcBorders>
              <w:bottom w:val="single" w:sz="4" w:space="0" w:color="auto"/>
            </w:tcBorders>
            <w:shd w:val="clear" w:color="auto" w:fill="auto"/>
          </w:tcPr>
          <w:p w14:paraId="23017ED1" w14:textId="57F402E8" w:rsidR="00366F21" w:rsidRPr="002A7B27" w:rsidRDefault="008325E8" w:rsidP="00B409DF">
            <w:pPr>
              <w:widowControl w:val="0"/>
              <w:spacing w:before="40" w:after="40"/>
              <w:rPr>
                <w:rFonts w:ascii="Arial Narrow" w:hAnsi="Arial Narrow"/>
                <w:sz w:val="20"/>
              </w:rPr>
            </w:pPr>
            <w:r w:rsidRPr="008325E8">
              <w:rPr>
                <w:rFonts w:ascii="Arial Narrow" w:hAnsi="Arial Narrow"/>
                <w:b/>
                <w:sz w:val="20"/>
              </w:rPr>
              <w:t>redacted</w:t>
            </w:r>
          </w:p>
        </w:tc>
      </w:tr>
      <w:tr w:rsidR="00366F21" w:rsidRPr="002A7B27" w14:paraId="1917B054" w14:textId="77777777" w:rsidTr="00366F21">
        <w:trPr>
          <w:trHeight w:val="315"/>
        </w:trPr>
        <w:tc>
          <w:tcPr>
            <w:tcW w:w="1409" w:type="pct"/>
            <w:shd w:val="clear" w:color="auto" w:fill="auto"/>
          </w:tcPr>
          <w:p w14:paraId="1EE9B37A"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Cost of the service to the MBS ($266.08 per service)</w:t>
            </w:r>
          </w:p>
        </w:tc>
        <w:tc>
          <w:tcPr>
            <w:tcW w:w="719" w:type="pct"/>
          </w:tcPr>
          <w:p w14:paraId="06970007" w14:textId="472069F4" w:rsidR="00366F21" w:rsidRPr="002A7B27" w:rsidRDefault="00366F21" w:rsidP="00B409DF">
            <w:pPr>
              <w:rPr>
                <w:rFonts w:ascii="Arial Narrow" w:hAnsi="Arial Narrow"/>
                <w:sz w:val="20"/>
              </w:rPr>
            </w:pPr>
            <w:r w:rsidRPr="002A7B27">
              <w:rPr>
                <w:rFonts w:ascii="Arial Narrow" w:hAnsi="Arial Narrow"/>
                <w:sz w:val="20"/>
              </w:rPr>
              <w:t>$</w:t>
            </w:r>
            <w:r w:rsidR="008325E8" w:rsidRPr="008325E8">
              <w:rPr>
                <w:rFonts w:ascii="Arial Narrow" w:hAnsi="Arial Narrow"/>
                <w:b/>
                <w:sz w:val="20"/>
              </w:rPr>
              <w:t>redacted</w:t>
            </w:r>
          </w:p>
        </w:tc>
        <w:tc>
          <w:tcPr>
            <w:tcW w:w="719" w:type="pct"/>
            <w:shd w:val="clear" w:color="auto" w:fill="auto"/>
          </w:tcPr>
          <w:p w14:paraId="69E8C290" w14:textId="418D9027" w:rsidR="00366F21" w:rsidRPr="002A7B27" w:rsidRDefault="00366F21" w:rsidP="00B409DF">
            <w:pPr>
              <w:rPr>
                <w:rFonts w:ascii="Arial Narrow" w:hAnsi="Arial Narrow"/>
                <w:sz w:val="20"/>
              </w:rPr>
            </w:pPr>
            <w:r w:rsidRPr="002A7B27">
              <w:rPr>
                <w:rFonts w:ascii="Arial Narrow" w:hAnsi="Arial Narrow"/>
                <w:sz w:val="20"/>
              </w:rPr>
              <w:t>$</w:t>
            </w:r>
            <w:r w:rsidR="008325E8" w:rsidRPr="008325E8">
              <w:rPr>
                <w:rFonts w:ascii="Arial Narrow" w:hAnsi="Arial Narrow"/>
                <w:b/>
                <w:sz w:val="20"/>
              </w:rPr>
              <w:t>redacted</w:t>
            </w:r>
          </w:p>
        </w:tc>
        <w:tc>
          <w:tcPr>
            <w:tcW w:w="718" w:type="pct"/>
            <w:shd w:val="clear" w:color="auto" w:fill="auto"/>
          </w:tcPr>
          <w:p w14:paraId="217D0D18" w14:textId="6EE01230" w:rsidR="00366F21" w:rsidRPr="002A7B27" w:rsidRDefault="00366F21" w:rsidP="00B409DF">
            <w:pPr>
              <w:rPr>
                <w:rFonts w:ascii="Arial Narrow" w:hAnsi="Arial Narrow"/>
                <w:sz w:val="20"/>
              </w:rPr>
            </w:pPr>
            <w:r w:rsidRPr="002A7B27">
              <w:rPr>
                <w:rFonts w:ascii="Arial Narrow" w:hAnsi="Arial Narrow"/>
                <w:sz w:val="20"/>
              </w:rPr>
              <w:t>$</w:t>
            </w:r>
            <w:r w:rsidR="008325E8" w:rsidRPr="008325E8">
              <w:rPr>
                <w:rFonts w:ascii="Arial Narrow" w:hAnsi="Arial Narrow"/>
                <w:b/>
                <w:sz w:val="20"/>
              </w:rPr>
              <w:t>redacted</w:t>
            </w:r>
          </w:p>
        </w:tc>
        <w:tc>
          <w:tcPr>
            <w:tcW w:w="718" w:type="pct"/>
            <w:shd w:val="clear" w:color="auto" w:fill="auto"/>
          </w:tcPr>
          <w:p w14:paraId="556C1215" w14:textId="2526BC77" w:rsidR="00366F21" w:rsidRPr="002A7B27" w:rsidRDefault="00366F21" w:rsidP="00B409DF">
            <w:pPr>
              <w:rPr>
                <w:rFonts w:ascii="Arial Narrow" w:hAnsi="Arial Narrow"/>
                <w:sz w:val="20"/>
              </w:rPr>
            </w:pPr>
            <w:r w:rsidRPr="002A7B27">
              <w:rPr>
                <w:rFonts w:ascii="Arial Narrow" w:hAnsi="Arial Narrow"/>
                <w:sz w:val="20"/>
              </w:rPr>
              <w:t>$</w:t>
            </w:r>
            <w:r w:rsidR="008325E8" w:rsidRPr="008325E8">
              <w:rPr>
                <w:rFonts w:ascii="Arial Narrow" w:hAnsi="Arial Narrow"/>
                <w:b/>
                <w:sz w:val="20"/>
              </w:rPr>
              <w:t>redacted</w:t>
            </w:r>
          </w:p>
        </w:tc>
        <w:tc>
          <w:tcPr>
            <w:tcW w:w="716" w:type="pct"/>
            <w:shd w:val="clear" w:color="auto" w:fill="auto"/>
          </w:tcPr>
          <w:p w14:paraId="2DFE8A98" w14:textId="5A18F2D3" w:rsidR="00366F21" w:rsidRPr="002A7B27" w:rsidRDefault="00366F21" w:rsidP="00B409DF">
            <w:pPr>
              <w:rPr>
                <w:rFonts w:ascii="Arial Narrow" w:hAnsi="Arial Narrow"/>
                <w:sz w:val="20"/>
              </w:rPr>
            </w:pPr>
            <w:r w:rsidRPr="002A7B27">
              <w:rPr>
                <w:rFonts w:ascii="Arial Narrow" w:hAnsi="Arial Narrow"/>
                <w:sz w:val="20"/>
              </w:rPr>
              <w:t>$</w:t>
            </w:r>
            <w:r w:rsidR="008325E8" w:rsidRPr="008325E8">
              <w:rPr>
                <w:rFonts w:ascii="Arial Narrow" w:hAnsi="Arial Narrow"/>
                <w:b/>
                <w:sz w:val="20"/>
              </w:rPr>
              <w:t>redacted</w:t>
            </w:r>
          </w:p>
        </w:tc>
      </w:tr>
      <w:tr w:rsidR="00366F21" w:rsidRPr="002A7B27" w14:paraId="5F45EFDC" w14:textId="77777777" w:rsidTr="00366F21">
        <w:trPr>
          <w:trHeight w:val="315"/>
        </w:trPr>
        <w:tc>
          <w:tcPr>
            <w:tcW w:w="1409" w:type="pct"/>
            <w:shd w:val="clear" w:color="auto" w:fill="auto"/>
          </w:tcPr>
          <w:p w14:paraId="3CD44874"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 xml:space="preserve">Laser </w:t>
            </w:r>
            <w:proofErr w:type="spellStart"/>
            <w:r w:rsidRPr="002A7B27">
              <w:rPr>
                <w:rFonts w:ascii="Arial Narrow" w:hAnsi="Arial Narrow"/>
                <w:sz w:val="20"/>
              </w:rPr>
              <w:t>trabeculoplasty</w:t>
            </w:r>
            <w:proofErr w:type="spellEnd"/>
            <w:r w:rsidRPr="002A7B27">
              <w:rPr>
                <w:rFonts w:ascii="Arial Narrow" w:hAnsi="Arial Narrow"/>
                <w:sz w:val="20"/>
              </w:rPr>
              <w:t xml:space="preserve"> (savings of $540 per MIGS service)</w:t>
            </w:r>
          </w:p>
        </w:tc>
        <w:tc>
          <w:tcPr>
            <w:tcW w:w="719" w:type="pct"/>
          </w:tcPr>
          <w:p w14:paraId="36EC5DFC" w14:textId="4EFA7808" w:rsidR="00366F21" w:rsidRPr="002A7B27" w:rsidRDefault="00366F21" w:rsidP="00B409DF">
            <w:pPr>
              <w:pStyle w:val="TableText0"/>
            </w:pPr>
            <w:r w:rsidRPr="007111A4">
              <w:t>$</w:t>
            </w:r>
            <w:r w:rsidR="008325E8" w:rsidRPr="008325E8">
              <w:rPr>
                <w:b/>
              </w:rPr>
              <w:t>redacted</w:t>
            </w:r>
          </w:p>
        </w:tc>
        <w:tc>
          <w:tcPr>
            <w:tcW w:w="719" w:type="pct"/>
            <w:shd w:val="clear" w:color="auto" w:fill="auto"/>
          </w:tcPr>
          <w:p w14:paraId="24DE7034" w14:textId="7DE0FBCD" w:rsidR="00366F21" w:rsidRPr="002A7B27" w:rsidRDefault="00366F21" w:rsidP="00B409DF">
            <w:pPr>
              <w:pStyle w:val="TableText0"/>
            </w:pPr>
            <w:r w:rsidRPr="007111A4">
              <w:t>$</w:t>
            </w:r>
            <w:r w:rsidR="008325E8" w:rsidRPr="008325E8">
              <w:rPr>
                <w:b/>
              </w:rPr>
              <w:t>redacted</w:t>
            </w:r>
          </w:p>
        </w:tc>
        <w:tc>
          <w:tcPr>
            <w:tcW w:w="718" w:type="pct"/>
            <w:shd w:val="clear" w:color="auto" w:fill="auto"/>
          </w:tcPr>
          <w:p w14:paraId="048344B3" w14:textId="29B47BF6" w:rsidR="00366F21" w:rsidRPr="002A7B27" w:rsidRDefault="00366F21" w:rsidP="00B409DF">
            <w:pPr>
              <w:pStyle w:val="TableText0"/>
            </w:pPr>
            <w:r w:rsidRPr="007111A4">
              <w:t>$</w:t>
            </w:r>
            <w:r w:rsidR="008325E8" w:rsidRPr="008325E8">
              <w:rPr>
                <w:b/>
              </w:rPr>
              <w:t>redacted</w:t>
            </w:r>
          </w:p>
        </w:tc>
        <w:tc>
          <w:tcPr>
            <w:tcW w:w="718" w:type="pct"/>
            <w:shd w:val="clear" w:color="auto" w:fill="auto"/>
          </w:tcPr>
          <w:p w14:paraId="3AEF3748" w14:textId="1C81D714" w:rsidR="00366F21" w:rsidRPr="002A7B27" w:rsidRDefault="00366F21" w:rsidP="00B409DF">
            <w:pPr>
              <w:pStyle w:val="TableText0"/>
            </w:pPr>
            <w:r w:rsidRPr="007111A4">
              <w:t>$</w:t>
            </w:r>
            <w:r w:rsidR="008325E8" w:rsidRPr="008325E8">
              <w:rPr>
                <w:b/>
              </w:rPr>
              <w:t>redacted</w:t>
            </w:r>
          </w:p>
        </w:tc>
        <w:tc>
          <w:tcPr>
            <w:tcW w:w="716" w:type="pct"/>
            <w:shd w:val="clear" w:color="auto" w:fill="auto"/>
          </w:tcPr>
          <w:p w14:paraId="06289E1A" w14:textId="6EDB36D1" w:rsidR="00366F21" w:rsidRPr="002A7B27" w:rsidRDefault="00366F21" w:rsidP="00B409DF">
            <w:pPr>
              <w:pStyle w:val="TableText0"/>
            </w:pPr>
            <w:r w:rsidRPr="007111A4">
              <w:t>$</w:t>
            </w:r>
            <w:r w:rsidR="008325E8" w:rsidRPr="008325E8">
              <w:rPr>
                <w:b/>
              </w:rPr>
              <w:t>redacted</w:t>
            </w:r>
          </w:p>
        </w:tc>
      </w:tr>
      <w:tr w:rsidR="00366F21" w:rsidRPr="002A7B27" w14:paraId="7396F900" w14:textId="77777777" w:rsidTr="00366F21">
        <w:trPr>
          <w:trHeight w:val="315"/>
        </w:trPr>
        <w:tc>
          <w:tcPr>
            <w:tcW w:w="1409" w:type="pct"/>
            <w:shd w:val="clear" w:color="auto" w:fill="auto"/>
          </w:tcPr>
          <w:p w14:paraId="190FAF67"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Total MBS</w:t>
            </w:r>
          </w:p>
        </w:tc>
        <w:tc>
          <w:tcPr>
            <w:tcW w:w="719" w:type="pct"/>
          </w:tcPr>
          <w:p w14:paraId="09C8CC27" w14:textId="77777777" w:rsidR="00366F21" w:rsidRPr="002A7B27" w:rsidRDefault="00366F21" w:rsidP="00B409DF">
            <w:pPr>
              <w:pStyle w:val="TableText0"/>
              <w:rPr>
                <w:rFonts w:eastAsiaTheme="minorHAnsi" w:cstheme="minorBidi"/>
                <w:szCs w:val="20"/>
              </w:rPr>
            </w:pPr>
            <w:r w:rsidRPr="007111A4">
              <w:t>-$1,107,717</w:t>
            </w:r>
          </w:p>
        </w:tc>
        <w:tc>
          <w:tcPr>
            <w:tcW w:w="719" w:type="pct"/>
            <w:shd w:val="clear" w:color="auto" w:fill="auto"/>
          </w:tcPr>
          <w:p w14:paraId="774C9D73" w14:textId="77777777" w:rsidR="00366F21" w:rsidRPr="002A7B27" w:rsidRDefault="00366F21" w:rsidP="00B409DF">
            <w:pPr>
              <w:pStyle w:val="TableText0"/>
              <w:rPr>
                <w:rFonts w:eastAsiaTheme="minorHAnsi" w:cstheme="minorBidi"/>
                <w:szCs w:val="20"/>
              </w:rPr>
            </w:pPr>
            <w:r w:rsidRPr="007111A4">
              <w:t>-$1,279,432</w:t>
            </w:r>
          </w:p>
        </w:tc>
        <w:tc>
          <w:tcPr>
            <w:tcW w:w="718" w:type="pct"/>
            <w:shd w:val="clear" w:color="auto" w:fill="auto"/>
          </w:tcPr>
          <w:p w14:paraId="51414833" w14:textId="77777777" w:rsidR="00366F21" w:rsidRPr="002A7B27" w:rsidRDefault="00366F21" w:rsidP="00B409DF">
            <w:pPr>
              <w:pStyle w:val="TableText0"/>
              <w:rPr>
                <w:rFonts w:eastAsiaTheme="minorHAnsi" w:cstheme="minorBidi"/>
                <w:szCs w:val="20"/>
              </w:rPr>
            </w:pPr>
            <w:r w:rsidRPr="007111A4">
              <w:t>-$1,411,371</w:t>
            </w:r>
          </w:p>
        </w:tc>
        <w:tc>
          <w:tcPr>
            <w:tcW w:w="718" w:type="pct"/>
            <w:shd w:val="clear" w:color="auto" w:fill="auto"/>
          </w:tcPr>
          <w:p w14:paraId="507BBD72" w14:textId="77777777" w:rsidR="00366F21" w:rsidRPr="002A7B27" w:rsidRDefault="00366F21" w:rsidP="00B409DF">
            <w:pPr>
              <w:pStyle w:val="TableText0"/>
              <w:rPr>
                <w:rFonts w:eastAsiaTheme="minorHAnsi" w:cstheme="minorBidi"/>
                <w:szCs w:val="20"/>
              </w:rPr>
            </w:pPr>
            <w:r w:rsidRPr="007111A4">
              <w:t>-$1,520,219</w:t>
            </w:r>
          </w:p>
        </w:tc>
        <w:tc>
          <w:tcPr>
            <w:tcW w:w="716" w:type="pct"/>
            <w:shd w:val="clear" w:color="auto" w:fill="auto"/>
          </w:tcPr>
          <w:p w14:paraId="361F8DFD" w14:textId="77777777" w:rsidR="00366F21" w:rsidRPr="002A7B27" w:rsidRDefault="00366F21" w:rsidP="00B409DF">
            <w:pPr>
              <w:pStyle w:val="TableText0"/>
              <w:rPr>
                <w:rFonts w:eastAsiaTheme="minorHAnsi" w:cstheme="minorBidi"/>
                <w:szCs w:val="20"/>
              </w:rPr>
            </w:pPr>
            <w:r w:rsidRPr="007111A4">
              <w:t>-$1,605,976</w:t>
            </w:r>
          </w:p>
        </w:tc>
      </w:tr>
    </w:tbl>
    <w:p w14:paraId="2E66B78A" w14:textId="70AE4CB1" w:rsidR="00DF5611" w:rsidRPr="00CC2A4E" w:rsidRDefault="00967555" w:rsidP="00967555">
      <w:pPr>
        <w:pStyle w:val="Executivesummary"/>
        <w:spacing w:before="240" w:after="240"/>
        <w:jc w:val="left"/>
        <w:rPr>
          <w:szCs w:val="24"/>
        </w:rPr>
      </w:pPr>
      <w:r w:rsidRPr="00967555">
        <w:rPr>
          <w:rFonts w:ascii="Times New Roman" w:hAnsi="Times New Roman" w:cs="Times New Roman"/>
          <w:sz w:val="24"/>
          <w:szCs w:val="24"/>
        </w:rPr>
        <w:t xml:space="preserve">Table 9 </w:t>
      </w:r>
      <w:r w:rsidR="00DF5611" w:rsidRPr="00967555">
        <w:rPr>
          <w:rFonts w:ascii="Times New Roman" w:hAnsi="Times New Roman" w:cs="Times New Roman"/>
          <w:sz w:val="24"/>
          <w:szCs w:val="24"/>
        </w:rPr>
        <w:t xml:space="preserve">outlines the broader budget impact of the MBS listing of </w:t>
      </w:r>
      <w:proofErr w:type="spellStart"/>
      <w:r w:rsidR="00DF5611" w:rsidRPr="00967555">
        <w:rPr>
          <w:rFonts w:ascii="Times New Roman" w:hAnsi="Times New Roman" w:cs="Times New Roman"/>
          <w:sz w:val="24"/>
          <w:szCs w:val="24"/>
        </w:rPr>
        <w:t>CyPass</w:t>
      </w:r>
      <w:proofErr w:type="spellEnd"/>
      <w:r w:rsidR="00DF5611" w:rsidRPr="00967555">
        <w:rPr>
          <w:rFonts w:ascii="Times New Roman" w:hAnsi="Times New Roman" w:cs="Times New Roman"/>
          <w:sz w:val="24"/>
          <w:szCs w:val="24"/>
        </w:rPr>
        <w:t xml:space="preserve">. </w:t>
      </w:r>
      <w:proofErr w:type="spellStart"/>
      <w:r w:rsidR="00DF5611" w:rsidRPr="00967555">
        <w:rPr>
          <w:rFonts w:ascii="Times New Roman" w:hAnsi="Times New Roman" w:cs="Times New Roman"/>
          <w:sz w:val="24"/>
          <w:szCs w:val="24"/>
        </w:rPr>
        <w:t>CyPass</w:t>
      </w:r>
      <w:proofErr w:type="spellEnd"/>
      <w:r w:rsidR="00DF5611" w:rsidRPr="00967555">
        <w:rPr>
          <w:rFonts w:ascii="Times New Roman" w:hAnsi="Times New Roman" w:cs="Times New Roman"/>
          <w:sz w:val="24"/>
          <w:szCs w:val="24"/>
        </w:rPr>
        <w:t xml:space="preserve"> listing is estimated to save the Pharmaceutical Benefits Scheme (PBS) between $330,000 and $2.6</w:t>
      </w:r>
      <w:r w:rsidR="00221A9A">
        <w:rPr>
          <w:rFonts w:ascii="Times New Roman" w:hAnsi="Times New Roman" w:cs="Times New Roman"/>
          <w:sz w:val="24"/>
          <w:szCs w:val="24"/>
        </w:rPr>
        <w:t> </w:t>
      </w:r>
      <w:r w:rsidR="00DF5611" w:rsidRPr="00967555">
        <w:rPr>
          <w:rFonts w:ascii="Times New Roman" w:hAnsi="Times New Roman" w:cs="Times New Roman"/>
          <w:sz w:val="24"/>
          <w:szCs w:val="24"/>
        </w:rPr>
        <w:t>million a year over the next five years. A net cost to private health funds of between $2.1 million and $3.8 million is expected due to the additional costs incurred for MIGS devices despite cost savings through the reduction of trabeculectomy procedures.</w:t>
      </w:r>
      <w:r w:rsidR="00CC2A4E">
        <w:rPr>
          <w:rFonts w:ascii="Times New Roman" w:hAnsi="Times New Roman" w:cs="Times New Roman"/>
          <w:sz w:val="24"/>
          <w:szCs w:val="24"/>
        </w:rPr>
        <w:br w:type="page"/>
      </w:r>
    </w:p>
    <w:p w14:paraId="597A1117" w14:textId="77777777" w:rsidR="00DF5611" w:rsidRPr="00967555" w:rsidRDefault="00DF5611" w:rsidP="00967555">
      <w:pPr>
        <w:pStyle w:val="Caption"/>
        <w:widowControl w:val="0"/>
        <w:tabs>
          <w:tab w:val="left" w:pos="1134"/>
        </w:tabs>
        <w:spacing w:after="0"/>
        <w:ind w:left="1134" w:hanging="1134"/>
        <w:rPr>
          <w:rFonts w:ascii="Arial Narrow" w:hAnsi="Arial Narrow"/>
          <w:color w:val="auto"/>
          <w:sz w:val="20"/>
          <w:szCs w:val="20"/>
        </w:rPr>
      </w:pPr>
      <w:bookmarkStart w:id="30" w:name="_Ref484165974"/>
      <w:bookmarkStart w:id="31" w:name="_Toc484603982"/>
      <w:r w:rsidRPr="00967555">
        <w:rPr>
          <w:rFonts w:ascii="Arial Narrow" w:hAnsi="Arial Narrow"/>
          <w:color w:val="auto"/>
          <w:sz w:val="20"/>
          <w:szCs w:val="20"/>
        </w:rPr>
        <w:lastRenderedPageBreak/>
        <w:t xml:space="preserve">Table </w:t>
      </w:r>
      <w:bookmarkEnd w:id="30"/>
      <w:r w:rsidR="00967555">
        <w:rPr>
          <w:rFonts w:ascii="Arial Narrow" w:hAnsi="Arial Narrow"/>
          <w:color w:val="auto"/>
          <w:sz w:val="20"/>
          <w:szCs w:val="20"/>
        </w:rPr>
        <w:t>9</w:t>
      </w:r>
      <w:r w:rsidRPr="00967555">
        <w:rPr>
          <w:rFonts w:ascii="Arial Narrow" w:hAnsi="Arial Narrow"/>
          <w:color w:val="auto"/>
          <w:sz w:val="20"/>
          <w:szCs w:val="20"/>
        </w:rPr>
        <w:tab/>
      </w:r>
      <w:r w:rsidRPr="00967555">
        <w:rPr>
          <w:rFonts w:ascii="Arial Narrow" w:hAnsi="Arial Narrow"/>
          <w:color w:val="auto"/>
          <w:sz w:val="20"/>
          <w:szCs w:val="20"/>
        </w:rPr>
        <w:tab/>
        <w:t xml:space="preserve">Broader budget impact of </w:t>
      </w:r>
      <w:proofErr w:type="spellStart"/>
      <w:r w:rsidRPr="00967555">
        <w:rPr>
          <w:rFonts w:ascii="Arial Narrow" w:hAnsi="Arial Narrow"/>
          <w:color w:val="auto"/>
          <w:sz w:val="20"/>
          <w:szCs w:val="20"/>
        </w:rPr>
        <w:t>CyPass</w:t>
      </w:r>
      <w:proofErr w:type="spellEnd"/>
      <w:r w:rsidRPr="00967555">
        <w:rPr>
          <w:rFonts w:ascii="Arial Narrow" w:hAnsi="Arial Narrow"/>
          <w:color w:val="auto"/>
          <w:sz w:val="20"/>
          <w:szCs w:val="20"/>
        </w:rPr>
        <w:t xml:space="preserve"> listing on public and private healthcare</w:t>
      </w:r>
      <w:bookmarkEnd w:id="31"/>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551"/>
        <w:gridCol w:w="1522"/>
        <w:gridCol w:w="1537"/>
        <w:gridCol w:w="1537"/>
        <w:gridCol w:w="1688"/>
      </w:tblGrid>
      <w:tr w:rsidR="00366F21" w:rsidRPr="002A7B27" w14:paraId="462A5B23" w14:textId="77777777" w:rsidTr="00366F21">
        <w:trPr>
          <w:trHeight w:val="300"/>
        </w:trPr>
        <w:tc>
          <w:tcPr>
            <w:tcW w:w="762" w:type="pct"/>
            <w:tcBorders>
              <w:bottom w:val="single" w:sz="4" w:space="0" w:color="auto"/>
            </w:tcBorders>
            <w:shd w:val="clear" w:color="auto" w:fill="auto"/>
          </w:tcPr>
          <w:p w14:paraId="3AEE8137" w14:textId="77777777" w:rsidR="00366F21" w:rsidRPr="002A7B27" w:rsidRDefault="00366F21" w:rsidP="00B409DF">
            <w:pPr>
              <w:widowControl w:val="0"/>
              <w:tabs>
                <w:tab w:val="left" w:pos="851"/>
              </w:tabs>
              <w:spacing w:before="40" w:after="40"/>
              <w:ind w:left="851" w:hanging="851"/>
              <w:jc w:val="both"/>
              <w:rPr>
                <w:rFonts w:ascii="Arial Narrow" w:hAnsi="Arial Narrow"/>
                <w:b/>
                <w:sz w:val="20"/>
              </w:rPr>
            </w:pPr>
            <w:r w:rsidRPr="002A7B27">
              <w:rPr>
                <w:rFonts w:ascii="Arial Narrow" w:hAnsi="Arial Narrow"/>
                <w:b/>
                <w:sz w:val="20"/>
              </w:rPr>
              <w:t>Service/Budget</w:t>
            </w:r>
          </w:p>
        </w:tc>
        <w:tc>
          <w:tcPr>
            <w:tcW w:w="839" w:type="pct"/>
            <w:tcBorders>
              <w:bottom w:val="single" w:sz="4" w:space="0" w:color="auto"/>
            </w:tcBorders>
          </w:tcPr>
          <w:p w14:paraId="6ADFEE00"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2018</w:t>
            </w:r>
          </w:p>
        </w:tc>
        <w:tc>
          <w:tcPr>
            <w:tcW w:w="823" w:type="pct"/>
            <w:tcBorders>
              <w:bottom w:val="single" w:sz="4" w:space="0" w:color="auto"/>
            </w:tcBorders>
            <w:shd w:val="clear" w:color="auto" w:fill="auto"/>
          </w:tcPr>
          <w:p w14:paraId="2BBA59BB"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2019</w:t>
            </w:r>
          </w:p>
        </w:tc>
        <w:tc>
          <w:tcPr>
            <w:tcW w:w="831" w:type="pct"/>
            <w:tcBorders>
              <w:bottom w:val="single" w:sz="4" w:space="0" w:color="auto"/>
            </w:tcBorders>
            <w:shd w:val="clear" w:color="auto" w:fill="auto"/>
          </w:tcPr>
          <w:p w14:paraId="27112BC8"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2020</w:t>
            </w:r>
          </w:p>
        </w:tc>
        <w:tc>
          <w:tcPr>
            <w:tcW w:w="831" w:type="pct"/>
            <w:tcBorders>
              <w:bottom w:val="single" w:sz="4" w:space="0" w:color="auto"/>
            </w:tcBorders>
            <w:shd w:val="clear" w:color="auto" w:fill="auto"/>
          </w:tcPr>
          <w:p w14:paraId="58C9711F"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2021</w:t>
            </w:r>
          </w:p>
        </w:tc>
        <w:tc>
          <w:tcPr>
            <w:tcW w:w="913" w:type="pct"/>
            <w:tcBorders>
              <w:bottom w:val="single" w:sz="4" w:space="0" w:color="auto"/>
            </w:tcBorders>
            <w:shd w:val="clear" w:color="auto" w:fill="auto"/>
          </w:tcPr>
          <w:p w14:paraId="43058775" w14:textId="77777777" w:rsidR="00366F21" w:rsidRPr="002A7B27" w:rsidRDefault="00366F21" w:rsidP="00B409DF">
            <w:pPr>
              <w:widowControl w:val="0"/>
              <w:spacing w:before="40" w:after="40"/>
              <w:rPr>
                <w:rFonts w:ascii="Arial Narrow" w:hAnsi="Arial Narrow"/>
                <w:b/>
                <w:sz w:val="20"/>
              </w:rPr>
            </w:pPr>
            <w:r w:rsidRPr="002A7B27">
              <w:rPr>
                <w:rFonts w:ascii="Arial Narrow" w:hAnsi="Arial Narrow"/>
                <w:b/>
                <w:sz w:val="20"/>
              </w:rPr>
              <w:t>2022</w:t>
            </w:r>
          </w:p>
        </w:tc>
      </w:tr>
      <w:tr w:rsidR="00366F21" w:rsidRPr="002A7B27" w14:paraId="37482976" w14:textId="77777777" w:rsidTr="00366F21">
        <w:trPr>
          <w:trHeight w:val="300"/>
        </w:trPr>
        <w:tc>
          <w:tcPr>
            <w:tcW w:w="762" w:type="pct"/>
            <w:tcBorders>
              <w:bottom w:val="single" w:sz="4" w:space="0" w:color="auto"/>
              <w:right w:val="nil"/>
            </w:tcBorders>
            <w:shd w:val="clear" w:color="auto" w:fill="auto"/>
          </w:tcPr>
          <w:p w14:paraId="61F71A11"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PBS perspective</w:t>
            </w:r>
          </w:p>
        </w:tc>
        <w:tc>
          <w:tcPr>
            <w:tcW w:w="839" w:type="pct"/>
            <w:tcBorders>
              <w:left w:val="nil"/>
              <w:bottom w:val="single" w:sz="4" w:space="0" w:color="auto"/>
              <w:right w:val="nil"/>
            </w:tcBorders>
          </w:tcPr>
          <w:p w14:paraId="5FAFDB89" w14:textId="77777777" w:rsidR="00366F21" w:rsidRPr="002A7B27" w:rsidRDefault="00366F21" w:rsidP="00B409DF">
            <w:pPr>
              <w:widowControl w:val="0"/>
              <w:spacing w:before="40" w:after="40"/>
              <w:rPr>
                <w:rFonts w:ascii="Arial Narrow" w:hAnsi="Arial Narrow"/>
                <w:sz w:val="20"/>
              </w:rPr>
            </w:pPr>
          </w:p>
        </w:tc>
        <w:tc>
          <w:tcPr>
            <w:tcW w:w="823" w:type="pct"/>
            <w:tcBorders>
              <w:left w:val="nil"/>
              <w:bottom w:val="single" w:sz="4" w:space="0" w:color="auto"/>
              <w:right w:val="nil"/>
            </w:tcBorders>
            <w:shd w:val="clear" w:color="auto" w:fill="auto"/>
          </w:tcPr>
          <w:p w14:paraId="7885FD0B" w14:textId="77777777" w:rsidR="00366F21" w:rsidRPr="002A7B27" w:rsidRDefault="00366F21" w:rsidP="00B409DF">
            <w:pPr>
              <w:widowControl w:val="0"/>
              <w:spacing w:before="40" w:after="40"/>
              <w:rPr>
                <w:rFonts w:ascii="Arial Narrow" w:hAnsi="Arial Narrow"/>
                <w:sz w:val="20"/>
              </w:rPr>
            </w:pPr>
          </w:p>
        </w:tc>
        <w:tc>
          <w:tcPr>
            <w:tcW w:w="831" w:type="pct"/>
            <w:tcBorders>
              <w:left w:val="nil"/>
              <w:bottom w:val="single" w:sz="4" w:space="0" w:color="auto"/>
              <w:right w:val="nil"/>
            </w:tcBorders>
            <w:shd w:val="clear" w:color="auto" w:fill="auto"/>
          </w:tcPr>
          <w:p w14:paraId="47498CE0" w14:textId="77777777" w:rsidR="00366F21" w:rsidRPr="002A7B27" w:rsidRDefault="00366F21" w:rsidP="00B409DF">
            <w:pPr>
              <w:widowControl w:val="0"/>
              <w:spacing w:before="40" w:after="40"/>
              <w:rPr>
                <w:rFonts w:ascii="Arial Narrow" w:hAnsi="Arial Narrow"/>
                <w:sz w:val="20"/>
              </w:rPr>
            </w:pPr>
          </w:p>
        </w:tc>
        <w:tc>
          <w:tcPr>
            <w:tcW w:w="831" w:type="pct"/>
            <w:tcBorders>
              <w:left w:val="nil"/>
              <w:bottom w:val="single" w:sz="4" w:space="0" w:color="auto"/>
              <w:right w:val="nil"/>
            </w:tcBorders>
            <w:shd w:val="clear" w:color="auto" w:fill="auto"/>
          </w:tcPr>
          <w:p w14:paraId="6BAE4D35" w14:textId="77777777" w:rsidR="00366F21" w:rsidRPr="002A7B27" w:rsidRDefault="00366F21" w:rsidP="00B409DF">
            <w:pPr>
              <w:widowControl w:val="0"/>
              <w:spacing w:before="40" w:after="40"/>
              <w:rPr>
                <w:rFonts w:ascii="Arial Narrow" w:hAnsi="Arial Narrow"/>
                <w:sz w:val="20"/>
              </w:rPr>
            </w:pPr>
          </w:p>
        </w:tc>
        <w:tc>
          <w:tcPr>
            <w:tcW w:w="913" w:type="pct"/>
            <w:tcBorders>
              <w:left w:val="nil"/>
              <w:bottom w:val="single" w:sz="4" w:space="0" w:color="auto"/>
            </w:tcBorders>
            <w:shd w:val="clear" w:color="auto" w:fill="auto"/>
          </w:tcPr>
          <w:p w14:paraId="18D4D04F" w14:textId="77777777" w:rsidR="00366F21" w:rsidRPr="002A7B27" w:rsidRDefault="00366F21" w:rsidP="00B409DF">
            <w:pPr>
              <w:widowControl w:val="0"/>
              <w:spacing w:before="40" w:after="40"/>
              <w:rPr>
                <w:rFonts w:ascii="Arial Narrow" w:hAnsi="Arial Narrow"/>
                <w:sz w:val="20"/>
              </w:rPr>
            </w:pPr>
          </w:p>
        </w:tc>
      </w:tr>
      <w:tr w:rsidR="00366F21" w:rsidRPr="002A7B27" w14:paraId="3EEC0269" w14:textId="77777777" w:rsidTr="00366F21">
        <w:trPr>
          <w:trHeight w:val="300"/>
        </w:trPr>
        <w:tc>
          <w:tcPr>
            <w:tcW w:w="762" w:type="pct"/>
            <w:tcBorders>
              <w:bottom w:val="single" w:sz="4" w:space="0" w:color="auto"/>
            </w:tcBorders>
            <w:shd w:val="clear" w:color="auto" w:fill="auto"/>
          </w:tcPr>
          <w:p w14:paraId="666B67A3"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Hypotensive medication</w:t>
            </w:r>
          </w:p>
        </w:tc>
        <w:tc>
          <w:tcPr>
            <w:tcW w:w="839" w:type="pct"/>
            <w:tcBorders>
              <w:bottom w:val="single" w:sz="4" w:space="0" w:color="auto"/>
            </w:tcBorders>
          </w:tcPr>
          <w:p w14:paraId="4173B4E7" w14:textId="77777777" w:rsidR="00366F21" w:rsidRPr="002A7B27" w:rsidRDefault="00366F21" w:rsidP="00B409DF">
            <w:pPr>
              <w:pStyle w:val="TableText0"/>
            </w:pPr>
            <w:r w:rsidRPr="002D7DEB">
              <w:t>-$324,976</w:t>
            </w:r>
          </w:p>
        </w:tc>
        <w:tc>
          <w:tcPr>
            <w:tcW w:w="823" w:type="pct"/>
            <w:tcBorders>
              <w:bottom w:val="single" w:sz="4" w:space="0" w:color="auto"/>
            </w:tcBorders>
            <w:shd w:val="clear" w:color="auto" w:fill="auto"/>
          </w:tcPr>
          <w:p w14:paraId="0EEFCFD9" w14:textId="77777777" w:rsidR="00366F21" w:rsidRPr="002A7B27" w:rsidRDefault="00366F21" w:rsidP="00B409DF">
            <w:pPr>
              <w:pStyle w:val="TableText0"/>
            </w:pPr>
            <w:r w:rsidRPr="002D7DEB">
              <w:t>-$818,764</w:t>
            </w:r>
          </w:p>
        </w:tc>
        <w:tc>
          <w:tcPr>
            <w:tcW w:w="831" w:type="pct"/>
            <w:tcBorders>
              <w:bottom w:val="single" w:sz="4" w:space="0" w:color="auto"/>
            </w:tcBorders>
            <w:shd w:val="clear" w:color="auto" w:fill="auto"/>
          </w:tcPr>
          <w:p w14:paraId="210567B7" w14:textId="77777777" w:rsidR="00366F21" w:rsidRPr="002A7B27" w:rsidRDefault="00366F21" w:rsidP="00B409DF">
            <w:pPr>
              <w:pStyle w:val="TableText0"/>
            </w:pPr>
            <w:r w:rsidRPr="002D7DEB">
              <w:t>-$1,340,267</w:t>
            </w:r>
          </w:p>
        </w:tc>
        <w:tc>
          <w:tcPr>
            <w:tcW w:w="831" w:type="pct"/>
            <w:tcBorders>
              <w:bottom w:val="single" w:sz="4" w:space="0" w:color="auto"/>
            </w:tcBorders>
            <w:shd w:val="clear" w:color="auto" w:fill="auto"/>
          </w:tcPr>
          <w:p w14:paraId="67688D94" w14:textId="77777777" w:rsidR="00366F21" w:rsidRPr="002A7B27" w:rsidRDefault="00366F21" w:rsidP="00B409DF">
            <w:pPr>
              <w:pStyle w:val="TableText0"/>
            </w:pPr>
            <w:r w:rsidRPr="002D7DEB">
              <w:t>-$1,925,507</w:t>
            </w:r>
          </w:p>
        </w:tc>
        <w:tc>
          <w:tcPr>
            <w:tcW w:w="913" w:type="pct"/>
            <w:tcBorders>
              <w:bottom w:val="single" w:sz="4" w:space="0" w:color="auto"/>
            </w:tcBorders>
            <w:shd w:val="clear" w:color="auto" w:fill="auto"/>
          </w:tcPr>
          <w:p w14:paraId="310C4627" w14:textId="77777777" w:rsidR="00366F21" w:rsidRPr="002A7B27" w:rsidRDefault="00366F21" w:rsidP="00B409DF">
            <w:pPr>
              <w:pStyle w:val="TableText0"/>
            </w:pPr>
            <w:r w:rsidRPr="002D7DEB">
              <w:t>-$2,596,581</w:t>
            </w:r>
          </w:p>
        </w:tc>
      </w:tr>
      <w:tr w:rsidR="00366F21" w:rsidRPr="002A7B27" w14:paraId="4CD0FD69" w14:textId="77777777" w:rsidTr="00366F21">
        <w:trPr>
          <w:trHeight w:val="315"/>
        </w:trPr>
        <w:tc>
          <w:tcPr>
            <w:tcW w:w="762" w:type="pct"/>
            <w:tcBorders>
              <w:right w:val="nil"/>
            </w:tcBorders>
            <w:shd w:val="clear" w:color="auto" w:fill="auto"/>
          </w:tcPr>
          <w:p w14:paraId="7F25517B"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Private health funds perspective</w:t>
            </w:r>
          </w:p>
        </w:tc>
        <w:tc>
          <w:tcPr>
            <w:tcW w:w="839" w:type="pct"/>
            <w:tcBorders>
              <w:left w:val="nil"/>
              <w:right w:val="nil"/>
            </w:tcBorders>
          </w:tcPr>
          <w:p w14:paraId="55B3C5A2" w14:textId="77777777" w:rsidR="00366F21" w:rsidRPr="002A7B27" w:rsidRDefault="00366F21" w:rsidP="00B409DF">
            <w:pPr>
              <w:widowControl w:val="0"/>
              <w:spacing w:before="40" w:after="40"/>
              <w:rPr>
                <w:rFonts w:ascii="Arial Narrow" w:hAnsi="Arial Narrow"/>
                <w:sz w:val="20"/>
              </w:rPr>
            </w:pPr>
          </w:p>
        </w:tc>
        <w:tc>
          <w:tcPr>
            <w:tcW w:w="823" w:type="pct"/>
            <w:tcBorders>
              <w:left w:val="nil"/>
              <w:right w:val="nil"/>
            </w:tcBorders>
            <w:shd w:val="clear" w:color="auto" w:fill="auto"/>
          </w:tcPr>
          <w:p w14:paraId="6CB1ABB2" w14:textId="77777777" w:rsidR="00366F21" w:rsidRPr="002A7B27" w:rsidRDefault="00366F21" w:rsidP="00B409DF">
            <w:pPr>
              <w:widowControl w:val="0"/>
              <w:spacing w:before="40" w:after="40"/>
              <w:rPr>
                <w:rFonts w:ascii="Arial Narrow" w:hAnsi="Arial Narrow"/>
                <w:sz w:val="20"/>
              </w:rPr>
            </w:pPr>
          </w:p>
        </w:tc>
        <w:tc>
          <w:tcPr>
            <w:tcW w:w="831" w:type="pct"/>
            <w:tcBorders>
              <w:left w:val="nil"/>
              <w:right w:val="nil"/>
            </w:tcBorders>
            <w:shd w:val="clear" w:color="auto" w:fill="auto"/>
          </w:tcPr>
          <w:p w14:paraId="7714AF51" w14:textId="77777777" w:rsidR="00366F21" w:rsidRPr="002A7B27" w:rsidRDefault="00366F21" w:rsidP="00B409DF">
            <w:pPr>
              <w:widowControl w:val="0"/>
              <w:spacing w:before="40" w:after="40"/>
              <w:rPr>
                <w:rFonts w:ascii="Arial Narrow" w:hAnsi="Arial Narrow"/>
                <w:sz w:val="20"/>
              </w:rPr>
            </w:pPr>
          </w:p>
        </w:tc>
        <w:tc>
          <w:tcPr>
            <w:tcW w:w="831" w:type="pct"/>
            <w:tcBorders>
              <w:left w:val="nil"/>
              <w:right w:val="nil"/>
            </w:tcBorders>
            <w:shd w:val="clear" w:color="auto" w:fill="auto"/>
          </w:tcPr>
          <w:p w14:paraId="6F96A6BE" w14:textId="77777777" w:rsidR="00366F21" w:rsidRPr="002A7B27" w:rsidRDefault="00366F21" w:rsidP="00B409DF">
            <w:pPr>
              <w:widowControl w:val="0"/>
              <w:spacing w:before="40" w:after="40"/>
              <w:rPr>
                <w:rFonts w:ascii="Arial Narrow" w:hAnsi="Arial Narrow"/>
                <w:sz w:val="20"/>
              </w:rPr>
            </w:pPr>
          </w:p>
        </w:tc>
        <w:tc>
          <w:tcPr>
            <w:tcW w:w="913" w:type="pct"/>
            <w:tcBorders>
              <w:left w:val="nil"/>
            </w:tcBorders>
            <w:shd w:val="clear" w:color="auto" w:fill="auto"/>
          </w:tcPr>
          <w:p w14:paraId="0187ABA8" w14:textId="77777777" w:rsidR="00366F21" w:rsidRPr="002A7B27" w:rsidRDefault="00366F21" w:rsidP="00B409DF">
            <w:pPr>
              <w:widowControl w:val="0"/>
              <w:spacing w:before="40" w:after="40"/>
              <w:rPr>
                <w:rFonts w:ascii="Arial Narrow" w:hAnsi="Arial Narrow"/>
                <w:sz w:val="20"/>
              </w:rPr>
            </w:pPr>
          </w:p>
        </w:tc>
      </w:tr>
      <w:tr w:rsidR="00366F21" w:rsidRPr="002A7B27" w14:paraId="485833C7" w14:textId="77777777" w:rsidTr="00366F21">
        <w:trPr>
          <w:trHeight w:val="315"/>
        </w:trPr>
        <w:tc>
          <w:tcPr>
            <w:tcW w:w="762" w:type="pct"/>
            <w:shd w:val="clear" w:color="auto" w:fill="auto"/>
          </w:tcPr>
          <w:p w14:paraId="08967386"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SC MIGS stent device</w:t>
            </w:r>
          </w:p>
        </w:tc>
        <w:tc>
          <w:tcPr>
            <w:tcW w:w="839" w:type="pct"/>
          </w:tcPr>
          <w:p w14:paraId="0EDA9A79" w14:textId="77777777" w:rsidR="00366F21" w:rsidRPr="002A7B27" w:rsidRDefault="00366F21" w:rsidP="00B409DF">
            <w:pPr>
              <w:pStyle w:val="Tabletext"/>
            </w:pPr>
            <w:r w:rsidRPr="000D7071">
              <w:t>$6,174,933</w:t>
            </w:r>
          </w:p>
        </w:tc>
        <w:tc>
          <w:tcPr>
            <w:tcW w:w="823" w:type="pct"/>
            <w:shd w:val="clear" w:color="auto" w:fill="auto"/>
          </w:tcPr>
          <w:p w14:paraId="7364CFAC" w14:textId="77777777" w:rsidR="00366F21" w:rsidRPr="002A7B27" w:rsidRDefault="00366F21" w:rsidP="00B409DF">
            <w:pPr>
              <w:pStyle w:val="Tabletext"/>
            </w:pPr>
            <w:r w:rsidRPr="000D7071">
              <w:t>$7,407,400</w:t>
            </w:r>
          </w:p>
        </w:tc>
        <w:tc>
          <w:tcPr>
            <w:tcW w:w="831" w:type="pct"/>
            <w:shd w:val="clear" w:color="auto" w:fill="auto"/>
          </w:tcPr>
          <w:p w14:paraId="7D7FF0C4" w14:textId="77777777" w:rsidR="00366F21" w:rsidRPr="002A7B27" w:rsidRDefault="00366F21" w:rsidP="00B409DF">
            <w:pPr>
              <w:pStyle w:val="Tabletext"/>
            </w:pPr>
            <w:r w:rsidRPr="000D7071">
              <w:t>$8,639,867</w:t>
            </w:r>
          </w:p>
        </w:tc>
        <w:tc>
          <w:tcPr>
            <w:tcW w:w="831" w:type="pct"/>
            <w:shd w:val="clear" w:color="auto" w:fill="auto"/>
          </w:tcPr>
          <w:p w14:paraId="30449600" w14:textId="77777777" w:rsidR="00366F21" w:rsidRPr="002A7B27" w:rsidRDefault="00366F21" w:rsidP="00B409DF">
            <w:pPr>
              <w:pStyle w:val="Tabletext"/>
            </w:pPr>
            <w:r w:rsidRPr="000D7071">
              <w:t>$9,872,333</w:t>
            </w:r>
          </w:p>
        </w:tc>
        <w:tc>
          <w:tcPr>
            <w:tcW w:w="913" w:type="pct"/>
            <w:shd w:val="clear" w:color="auto" w:fill="auto"/>
          </w:tcPr>
          <w:p w14:paraId="523B4F26" w14:textId="77777777" w:rsidR="00366F21" w:rsidRPr="002A7B27" w:rsidRDefault="00366F21" w:rsidP="00B409DF">
            <w:pPr>
              <w:pStyle w:val="Tabletext"/>
            </w:pPr>
            <w:r w:rsidRPr="000D7071">
              <w:t>$11,104,800</w:t>
            </w:r>
          </w:p>
        </w:tc>
      </w:tr>
      <w:tr w:rsidR="00366F21" w:rsidRPr="002A7B27" w14:paraId="40214A17" w14:textId="77777777" w:rsidTr="00366F21">
        <w:trPr>
          <w:trHeight w:val="315"/>
        </w:trPr>
        <w:tc>
          <w:tcPr>
            <w:tcW w:w="762" w:type="pct"/>
            <w:shd w:val="clear" w:color="auto" w:fill="auto"/>
          </w:tcPr>
          <w:p w14:paraId="7AC7445D"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Standalone hospitalisations</w:t>
            </w:r>
          </w:p>
        </w:tc>
        <w:tc>
          <w:tcPr>
            <w:tcW w:w="839" w:type="pct"/>
          </w:tcPr>
          <w:p w14:paraId="49969347" w14:textId="77777777" w:rsidR="00366F21" w:rsidRPr="002A7B27" w:rsidRDefault="00366F21" w:rsidP="00B409DF">
            <w:pPr>
              <w:pStyle w:val="Tabletext"/>
            </w:pPr>
            <w:r w:rsidRPr="000D7071">
              <w:t>$65,264</w:t>
            </w:r>
          </w:p>
        </w:tc>
        <w:tc>
          <w:tcPr>
            <w:tcW w:w="823" w:type="pct"/>
            <w:shd w:val="clear" w:color="auto" w:fill="auto"/>
          </w:tcPr>
          <w:p w14:paraId="309CEF6C" w14:textId="77777777" w:rsidR="00366F21" w:rsidRPr="002A7B27" w:rsidRDefault="00366F21" w:rsidP="00B409DF">
            <w:pPr>
              <w:pStyle w:val="Tabletext"/>
            </w:pPr>
            <w:r w:rsidRPr="000D7071">
              <w:t>$271,428</w:t>
            </w:r>
          </w:p>
        </w:tc>
        <w:tc>
          <w:tcPr>
            <w:tcW w:w="831" w:type="pct"/>
            <w:shd w:val="clear" w:color="auto" w:fill="auto"/>
          </w:tcPr>
          <w:p w14:paraId="0F99D9E7" w14:textId="77777777" w:rsidR="00366F21" w:rsidRPr="002A7B27" w:rsidRDefault="00366F21" w:rsidP="00B409DF">
            <w:pPr>
              <w:pStyle w:val="Tabletext"/>
            </w:pPr>
            <w:r w:rsidRPr="000D7071">
              <w:t>$633,179</w:t>
            </w:r>
          </w:p>
        </w:tc>
        <w:tc>
          <w:tcPr>
            <w:tcW w:w="831" w:type="pct"/>
            <w:shd w:val="clear" w:color="auto" w:fill="auto"/>
          </w:tcPr>
          <w:p w14:paraId="1C493A54" w14:textId="77777777" w:rsidR="00366F21" w:rsidRPr="002A7B27" w:rsidRDefault="00366F21" w:rsidP="00B409DF">
            <w:pPr>
              <w:pStyle w:val="Tabletext"/>
            </w:pPr>
            <w:r w:rsidRPr="000D7071">
              <w:t>$1,085,252</w:t>
            </w:r>
          </w:p>
        </w:tc>
        <w:tc>
          <w:tcPr>
            <w:tcW w:w="913" w:type="pct"/>
            <w:shd w:val="clear" w:color="auto" w:fill="auto"/>
          </w:tcPr>
          <w:p w14:paraId="404F5FF6" w14:textId="77777777" w:rsidR="00366F21" w:rsidRPr="002A7B27" w:rsidRDefault="00366F21" w:rsidP="00B409DF">
            <w:pPr>
              <w:pStyle w:val="Tabletext"/>
            </w:pPr>
            <w:r w:rsidRPr="000D7071">
              <w:t>$1,627,646</w:t>
            </w:r>
          </w:p>
        </w:tc>
      </w:tr>
      <w:tr w:rsidR="00366F21" w:rsidRPr="002A7B27" w14:paraId="0630CBBA" w14:textId="77777777" w:rsidTr="00366F21">
        <w:trPr>
          <w:trHeight w:val="315"/>
        </w:trPr>
        <w:tc>
          <w:tcPr>
            <w:tcW w:w="762" w:type="pct"/>
            <w:shd w:val="clear" w:color="auto" w:fill="auto"/>
          </w:tcPr>
          <w:p w14:paraId="58243982"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Trabeculectomy</w:t>
            </w:r>
          </w:p>
        </w:tc>
        <w:tc>
          <w:tcPr>
            <w:tcW w:w="839" w:type="pct"/>
          </w:tcPr>
          <w:p w14:paraId="00BF1250" w14:textId="77777777" w:rsidR="00366F21" w:rsidRPr="002A7B27" w:rsidRDefault="00366F21" w:rsidP="00B409DF">
            <w:pPr>
              <w:pStyle w:val="Tabletext"/>
            </w:pPr>
            <w:r w:rsidRPr="000D7071">
              <w:t>-$4,054,949</w:t>
            </w:r>
          </w:p>
        </w:tc>
        <w:tc>
          <w:tcPr>
            <w:tcW w:w="823" w:type="pct"/>
            <w:shd w:val="clear" w:color="auto" w:fill="auto"/>
          </w:tcPr>
          <w:p w14:paraId="3D2E319F" w14:textId="77777777" w:rsidR="00366F21" w:rsidRPr="002A7B27" w:rsidRDefault="00366F21" w:rsidP="00B409DF">
            <w:pPr>
              <w:pStyle w:val="Tabletext"/>
            </w:pPr>
            <w:r w:rsidRPr="000D7071">
              <w:t>-$4,864,283</w:t>
            </w:r>
          </w:p>
        </w:tc>
        <w:tc>
          <w:tcPr>
            <w:tcW w:w="831" w:type="pct"/>
            <w:shd w:val="clear" w:color="auto" w:fill="auto"/>
          </w:tcPr>
          <w:p w14:paraId="30328132" w14:textId="77777777" w:rsidR="00366F21" w:rsidRPr="002A7B27" w:rsidRDefault="00366F21" w:rsidP="00B409DF">
            <w:pPr>
              <w:pStyle w:val="Tabletext"/>
            </w:pPr>
            <w:r w:rsidRPr="000D7071">
              <w:t>-$5,673,618</w:t>
            </w:r>
          </w:p>
        </w:tc>
        <w:tc>
          <w:tcPr>
            <w:tcW w:w="831" w:type="pct"/>
            <w:shd w:val="clear" w:color="auto" w:fill="auto"/>
          </w:tcPr>
          <w:p w14:paraId="1C9337B4" w14:textId="77777777" w:rsidR="00366F21" w:rsidRPr="002A7B27" w:rsidRDefault="00366F21" w:rsidP="00B409DF">
            <w:pPr>
              <w:pStyle w:val="Tabletext"/>
            </w:pPr>
            <w:r w:rsidRPr="000D7071">
              <w:t>-$6,482,953</w:t>
            </w:r>
          </w:p>
        </w:tc>
        <w:tc>
          <w:tcPr>
            <w:tcW w:w="913" w:type="pct"/>
            <w:shd w:val="clear" w:color="auto" w:fill="auto"/>
          </w:tcPr>
          <w:p w14:paraId="56CCB461" w14:textId="77777777" w:rsidR="00366F21" w:rsidRPr="002A7B27" w:rsidRDefault="00366F21" w:rsidP="00B409DF">
            <w:pPr>
              <w:pStyle w:val="Tabletext"/>
            </w:pPr>
            <w:r w:rsidRPr="000D7071">
              <w:t>-$7,292,288</w:t>
            </w:r>
          </w:p>
        </w:tc>
      </w:tr>
      <w:tr w:rsidR="00366F21" w:rsidRPr="002A7B27" w14:paraId="552B8F47" w14:textId="77777777" w:rsidTr="00366F21">
        <w:trPr>
          <w:trHeight w:val="315"/>
        </w:trPr>
        <w:tc>
          <w:tcPr>
            <w:tcW w:w="762" w:type="pct"/>
            <w:shd w:val="clear" w:color="auto" w:fill="auto"/>
          </w:tcPr>
          <w:p w14:paraId="190453EC" w14:textId="77777777" w:rsidR="00366F21" w:rsidRPr="002A7B27" w:rsidRDefault="00366F21" w:rsidP="00B409DF">
            <w:pPr>
              <w:widowControl w:val="0"/>
              <w:spacing w:before="40" w:after="40"/>
              <w:rPr>
                <w:rFonts w:ascii="Arial Narrow" w:hAnsi="Arial Narrow"/>
                <w:sz w:val="20"/>
              </w:rPr>
            </w:pPr>
            <w:r w:rsidRPr="002A7B27">
              <w:rPr>
                <w:rFonts w:ascii="Arial Narrow" w:hAnsi="Arial Narrow"/>
                <w:sz w:val="20"/>
              </w:rPr>
              <w:t>Total Private Health</w:t>
            </w:r>
          </w:p>
        </w:tc>
        <w:tc>
          <w:tcPr>
            <w:tcW w:w="839" w:type="pct"/>
          </w:tcPr>
          <w:p w14:paraId="561444CC" w14:textId="77777777" w:rsidR="00366F21" w:rsidRPr="002A7B27" w:rsidRDefault="00366F21" w:rsidP="00B409DF">
            <w:pPr>
              <w:pStyle w:val="Tabletext"/>
            </w:pPr>
            <w:r w:rsidRPr="000D7071">
              <w:t>$2,185,249</w:t>
            </w:r>
          </w:p>
        </w:tc>
        <w:tc>
          <w:tcPr>
            <w:tcW w:w="823" w:type="pct"/>
            <w:shd w:val="clear" w:color="auto" w:fill="auto"/>
          </w:tcPr>
          <w:p w14:paraId="62A02B8F" w14:textId="77777777" w:rsidR="00366F21" w:rsidRPr="002A7B27" w:rsidRDefault="00366F21" w:rsidP="00B409DF">
            <w:pPr>
              <w:pStyle w:val="Tabletext"/>
            </w:pPr>
            <w:r w:rsidRPr="000D7071">
              <w:t>$2,814,545</w:t>
            </w:r>
          </w:p>
        </w:tc>
        <w:tc>
          <w:tcPr>
            <w:tcW w:w="831" w:type="pct"/>
            <w:shd w:val="clear" w:color="auto" w:fill="auto"/>
          </w:tcPr>
          <w:p w14:paraId="35B40AE8" w14:textId="77777777" w:rsidR="00366F21" w:rsidRPr="002A7B27" w:rsidRDefault="00366F21" w:rsidP="00B409DF">
            <w:pPr>
              <w:pStyle w:val="Tabletext"/>
            </w:pPr>
            <w:r w:rsidRPr="000D7071">
              <w:t>$3,599,427</w:t>
            </w:r>
          </w:p>
        </w:tc>
        <w:tc>
          <w:tcPr>
            <w:tcW w:w="831" w:type="pct"/>
            <w:shd w:val="clear" w:color="auto" w:fill="auto"/>
          </w:tcPr>
          <w:p w14:paraId="571326B8" w14:textId="77777777" w:rsidR="00366F21" w:rsidRPr="002A7B27" w:rsidRDefault="00366F21" w:rsidP="00B409DF">
            <w:pPr>
              <w:pStyle w:val="Tabletext"/>
            </w:pPr>
            <w:r w:rsidRPr="000D7071">
              <w:t>$4,474,632</w:t>
            </w:r>
          </w:p>
        </w:tc>
        <w:tc>
          <w:tcPr>
            <w:tcW w:w="913" w:type="pct"/>
            <w:shd w:val="clear" w:color="auto" w:fill="auto"/>
          </w:tcPr>
          <w:p w14:paraId="14C142C7" w14:textId="77777777" w:rsidR="00366F21" w:rsidRPr="002A7B27" w:rsidRDefault="00366F21" w:rsidP="00B409DF">
            <w:pPr>
              <w:pStyle w:val="Tabletext"/>
            </w:pPr>
            <w:r w:rsidRPr="000D7071">
              <w:t>$5,440,158</w:t>
            </w:r>
          </w:p>
        </w:tc>
      </w:tr>
    </w:tbl>
    <w:p w14:paraId="03247F79" w14:textId="77777777" w:rsidR="006A0D97" w:rsidRPr="00F715D1" w:rsidRDefault="006A0D97" w:rsidP="00F715D1">
      <w:pPr>
        <w:pStyle w:val="Heading1"/>
      </w:pPr>
      <w:r w:rsidRPr="00F715D1">
        <w:t>Key issues from ESC for MSAC</w:t>
      </w:r>
    </w:p>
    <w:p w14:paraId="2A3AEEEB" w14:textId="77777777" w:rsidR="004C2402" w:rsidRPr="00AB73ED" w:rsidRDefault="004C2402" w:rsidP="004C2402">
      <w:pPr>
        <w:pStyle w:val="BodyText"/>
        <w:spacing w:line="240" w:lineRule="auto"/>
      </w:pPr>
      <w:r w:rsidRPr="00AB73ED">
        <w:t xml:space="preserve">ESC noted that the application is for suprachoroidal micro-invasive glaucoma surgery (SC-MIGS) stent implantation for patients with open-angle glaucoma (OAG). The proposed service involves the insertion of the Cy-pass </w:t>
      </w:r>
      <w:proofErr w:type="spellStart"/>
      <w:r w:rsidRPr="00AB73ED">
        <w:t>Microstent</w:t>
      </w:r>
      <w:proofErr w:type="spellEnd"/>
      <w:r w:rsidRPr="00AB73ED">
        <w:t xml:space="preserve"> with one end in the anterior chamber of the eye and the other in the suprachoroidal space. This augments the drainage of aqueous humour via the </w:t>
      </w:r>
      <w:proofErr w:type="spellStart"/>
      <w:r w:rsidRPr="00AB73ED">
        <w:t>uveoscleral</w:t>
      </w:r>
      <w:proofErr w:type="spellEnd"/>
      <w:r w:rsidRPr="00AB73ED">
        <w:t xml:space="preserve"> pathway, reducing pressure within the eye (intraocular pressure [IOP]) and slowing the progression of glaucoma. The stent is implanted from inside the eye via a corneal incision using an inserter specific to the device.</w:t>
      </w:r>
    </w:p>
    <w:p w14:paraId="31EC7C6D" w14:textId="77777777" w:rsidR="004C2402" w:rsidRPr="00AB73ED" w:rsidRDefault="004C2402" w:rsidP="004C2402">
      <w:pPr>
        <w:pStyle w:val="BodyText"/>
        <w:spacing w:line="240" w:lineRule="auto"/>
      </w:pPr>
      <w:r w:rsidRPr="00AB73ED">
        <w:t xml:space="preserve">ESC noted that a similar application — </w:t>
      </w:r>
      <w:hyperlink r:id="rId13" w:history="1">
        <w:r w:rsidRPr="00AB73ED">
          <w:rPr>
            <w:rStyle w:val="Hyperlink"/>
          </w:rPr>
          <w:t xml:space="preserve">Application 1483: Trabecular bypass micro-invasive glaucoma surgery (TB-MIGS) stent implantation for open angle glaucoma </w:t>
        </w:r>
      </w:hyperlink>
      <w:r w:rsidRPr="00AB73ED">
        <w:t xml:space="preserve">— is also currently under consideration. ESC noted that many of the concerns raised were relevant to both applications. </w:t>
      </w:r>
    </w:p>
    <w:p w14:paraId="586E1DEA" w14:textId="6AD2E51D" w:rsidR="004C2402" w:rsidRDefault="004C2402" w:rsidP="004C2402">
      <w:pPr>
        <w:pStyle w:val="BodyText"/>
        <w:spacing w:line="240" w:lineRule="auto"/>
      </w:pPr>
      <w:r w:rsidRPr="00AB73ED">
        <w:t xml:space="preserve">ESC noted that </w:t>
      </w:r>
      <w:r w:rsidR="008325E8">
        <w:t xml:space="preserve">implantation of </w:t>
      </w:r>
      <w:r w:rsidRPr="00AB73ED">
        <w:t>MIGS</w:t>
      </w:r>
      <w:r w:rsidR="008325E8">
        <w:t xml:space="preserve"> stents</w:t>
      </w:r>
      <w:r w:rsidRPr="00AB73ED">
        <w:t xml:space="preserve"> had previously been performed under MBS item 42758 (goniotomy) despite never having been assessed for safety, clinical effectiveness and cost effectiveness. ESC noted that MBS item 42758 had never been intended to cover implantation of MIGS stents and in May 2017 use of this item to do so was explicitly prohibited. </w:t>
      </w:r>
    </w:p>
    <w:p w14:paraId="137E7C51" w14:textId="77777777" w:rsidR="004C2402" w:rsidRPr="00AB73ED" w:rsidRDefault="004C2402" w:rsidP="004C2402">
      <w:pPr>
        <w:pStyle w:val="BodyText"/>
        <w:spacing w:line="240" w:lineRule="auto"/>
      </w:pPr>
      <w:r w:rsidRPr="00AB73ED">
        <w:t xml:space="preserve">ESC noted that since then, implantation of MIGS stents has been allowed to continue under an interim MBS item (42705) which will lapse </w:t>
      </w:r>
      <w:r>
        <w:t>on</w:t>
      </w:r>
      <w:r w:rsidRPr="00AB73ED">
        <w:t xml:space="preserve"> </w:t>
      </w:r>
      <w:r>
        <w:t xml:space="preserve">31 </w:t>
      </w:r>
      <w:r w:rsidRPr="00AB73ED">
        <w:t xml:space="preserve">December </w:t>
      </w:r>
      <w:r>
        <w:t>2018</w:t>
      </w:r>
      <w:r w:rsidRPr="00AB73ED">
        <w:t xml:space="preserve">. ESC noted that the Cy-Pass </w:t>
      </w:r>
      <w:proofErr w:type="spellStart"/>
      <w:r w:rsidRPr="00AB73ED">
        <w:t>Microstent</w:t>
      </w:r>
      <w:proofErr w:type="spellEnd"/>
      <w:r w:rsidRPr="00AB73ED">
        <w:t xml:space="preserve"> is already listed on the Prostheses List but it was likely that it would be removed if this application is unsuccessful.</w:t>
      </w:r>
    </w:p>
    <w:p w14:paraId="7673EEE3" w14:textId="77777777" w:rsidR="004C2402" w:rsidRDefault="004C2402" w:rsidP="004C2402">
      <w:pPr>
        <w:pStyle w:val="BodyText"/>
        <w:spacing w:line="240" w:lineRule="auto"/>
        <w:rPr>
          <w:iCs/>
        </w:rPr>
      </w:pPr>
      <w:r w:rsidRPr="00B66BC9">
        <w:rPr>
          <w:iCs/>
        </w:rPr>
        <w:t>ESC noted that it was originally proposed that the service be restricted to primary open-angle glaucoma (POAG) but that the patient population has been expanded to OAG. ESC noted arguments that restricting the service to people with POAG would disadvantage patients with rare</w:t>
      </w:r>
      <w:r>
        <w:rPr>
          <w:iCs/>
        </w:rPr>
        <w:t>r</w:t>
      </w:r>
      <w:r w:rsidRPr="00B66BC9">
        <w:rPr>
          <w:iCs/>
        </w:rPr>
        <w:t xml:space="preserve"> types of </w:t>
      </w:r>
      <w:r>
        <w:rPr>
          <w:iCs/>
        </w:rPr>
        <w:t xml:space="preserve">open-angle </w:t>
      </w:r>
      <w:r w:rsidRPr="00B66BC9">
        <w:rPr>
          <w:iCs/>
        </w:rPr>
        <w:t xml:space="preserve">glaucoma (e.g. </w:t>
      </w:r>
      <w:proofErr w:type="spellStart"/>
      <w:r w:rsidRPr="00B66BC9">
        <w:rPr>
          <w:iCs/>
        </w:rPr>
        <w:t>pseudoexfoliation</w:t>
      </w:r>
      <w:proofErr w:type="spellEnd"/>
      <w:r w:rsidRPr="00B66BC9">
        <w:rPr>
          <w:iCs/>
        </w:rPr>
        <w:t xml:space="preserve"> glaucoma, pigmentary glaucoma) who are treated in the same manner. </w:t>
      </w:r>
    </w:p>
    <w:p w14:paraId="58A074E6" w14:textId="77777777" w:rsidR="004C2402" w:rsidRDefault="004C2402" w:rsidP="004C2402">
      <w:pPr>
        <w:pStyle w:val="BodyText"/>
        <w:spacing w:line="240" w:lineRule="auto"/>
        <w:rPr>
          <w:iCs/>
        </w:rPr>
      </w:pPr>
      <w:r w:rsidRPr="00B66BC9">
        <w:rPr>
          <w:iCs/>
        </w:rPr>
        <w:t>ESC noted that other changes to the item descriptor introduced since the PICO Confirmation had the potential to result in leakage.</w:t>
      </w:r>
    </w:p>
    <w:p w14:paraId="1EB16DE7" w14:textId="77777777" w:rsidR="004C2402" w:rsidRPr="00AB73ED" w:rsidRDefault="004C2402" w:rsidP="004C2402">
      <w:pPr>
        <w:pStyle w:val="BodyText"/>
        <w:spacing w:line="240" w:lineRule="auto"/>
      </w:pPr>
      <w:r w:rsidRPr="00AB73ED">
        <w:t>ESC noted that there were two patient populations considered in this application. The populations are:</w:t>
      </w:r>
    </w:p>
    <w:p w14:paraId="17D2024C" w14:textId="77777777" w:rsidR="004C2402" w:rsidRPr="00AB73ED" w:rsidRDefault="004C2402" w:rsidP="00504665">
      <w:pPr>
        <w:pStyle w:val="BodyText"/>
        <w:numPr>
          <w:ilvl w:val="0"/>
          <w:numId w:val="28"/>
        </w:numPr>
        <w:spacing w:before="120" w:line="240" w:lineRule="auto"/>
        <w:ind w:left="714" w:hanging="357"/>
      </w:pPr>
      <w:r w:rsidRPr="00AB73ED">
        <w:lastRenderedPageBreak/>
        <w:t>patients with diagnosed OAG undergoing SC-MIGS stent implantation in conjunction with cataract surgery (population 1); and</w:t>
      </w:r>
    </w:p>
    <w:p w14:paraId="6EAEED1B" w14:textId="77777777" w:rsidR="004C2402" w:rsidRPr="00AB73ED" w:rsidRDefault="004C2402" w:rsidP="004C2402">
      <w:pPr>
        <w:pStyle w:val="BodyText"/>
        <w:numPr>
          <w:ilvl w:val="0"/>
          <w:numId w:val="28"/>
        </w:numPr>
        <w:spacing w:before="0" w:line="240" w:lineRule="auto"/>
        <w:ind w:left="714" w:hanging="357"/>
      </w:pPr>
      <w:proofErr w:type="gramStart"/>
      <w:r w:rsidRPr="00AB73ED">
        <w:t>patients</w:t>
      </w:r>
      <w:proofErr w:type="gramEnd"/>
      <w:r w:rsidRPr="00AB73ED">
        <w:t xml:space="preserve"> with diagnosed OAG undergoing SC-MIGS stent implantation as a standalone procedure (population 2)</w:t>
      </w:r>
      <w:r>
        <w:t>; such patients may have previously undergone cataract extraction and intraocular lens (IOL) implantation (</w:t>
      </w:r>
      <w:proofErr w:type="spellStart"/>
      <w:r>
        <w:t>pseudophakic</w:t>
      </w:r>
      <w:proofErr w:type="spellEnd"/>
      <w:r>
        <w:t>) or may have never undergone cataract surgery (</w:t>
      </w:r>
      <w:proofErr w:type="spellStart"/>
      <w:r>
        <w:t>phakic</w:t>
      </w:r>
      <w:proofErr w:type="spellEnd"/>
      <w:r>
        <w:t>)</w:t>
      </w:r>
      <w:r w:rsidRPr="00AB73ED">
        <w:t>.</w:t>
      </w:r>
    </w:p>
    <w:p w14:paraId="47CB1A4C" w14:textId="77777777" w:rsidR="004C2402" w:rsidRPr="00AB73ED" w:rsidRDefault="004C2402" w:rsidP="004C2402">
      <w:pPr>
        <w:pStyle w:val="BodyText"/>
        <w:spacing w:line="240" w:lineRule="auto"/>
      </w:pPr>
      <w:r w:rsidRPr="00AB73ED">
        <w:t xml:space="preserve">ESC noted that SC-MIGS stent implantation was reasonably safe with a low risk of usually minor adverse events reported in both populations. ESC noted that patients who had an intra-operative adverse event during </w:t>
      </w:r>
      <w:r>
        <w:t xml:space="preserve">and attributed to </w:t>
      </w:r>
      <w:r w:rsidRPr="00AB73ED">
        <w:t xml:space="preserve">cataract surgery were </w:t>
      </w:r>
      <w:r>
        <w:t>excluded from</w:t>
      </w:r>
      <w:r w:rsidRPr="00AB73ED">
        <w:t xml:space="preserve"> the COMPASS study (see below; </w:t>
      </w:r>
      <w:proofErr w:type="spellStart"/>
      <w:r w:rsidRPr="00AB73ED">
        <w:t>Vold</w:t>
      </w:r>
      <w:proofErr w:type="spellEnd"/>
      <w:r w:rsidRPr="00AB73ED">
        <w:t xml:space="preserve"> S et al 2016).</w:t>
      </w:r>
    </w:p>
    <w:p w14:paraId="55BCA841" w14:textId="77777777" w:rsidR="004C2402" w:rsidRPr="00AB73ED" w:rsidRDefault="004C2402" w:rsidP="004C2402">
      <w:pPr>
        <w:pStyle w:val="BodyText"/>
        <w:spacing w:line="240" w:lineRule="auto"/>
      </w:pPr>
      <w:r w:rsidRPr="00AB73ED">
        <w:t>ESC noted that the evidence base for population 1 relied upon a single randomised controlled study, the COMPASS study (n = 505), in which patients undergoing cataract surgery were randomised to SC-MIGS stent implantation or usual care. ESC noted that this study had been assessed as being at moderate risk of bias.</w:t>
      </w:r>
    </w:p>
    <w:p w14:paraId="418FACDD" w14:textId="77777777" w:rsidR="004C2402" w:rsidRPr="00AB73ED" w:rsidRDefault="004C2402" w:rsidP="004C2402">
      <w:pPr>
        <w:pStyle w:val="BodyText"/>
        <w:spacing w:line="240" w:lineRule="auto"/>
      </w:pPr>
      <w:r w:rsidRPr="00AB73ED">
        <w:t>ESC noted that with regards to effectiveness in population 1, the submission argued SC-MIGS stent implantation was superior to cataract surgery alone but the critique argued for non-inferiority. ESC noted that this largely came down to interpretations of what constituted an appropriate minimal clinically important difference (MCID) in the COMPASS study. ESC noted that:</w:t>
      </w:r>
    </w:p>
    <w:p w14:paraId="3FE77FAA" w14:textId="77777777" w:rsidR="004C2402" w:rsidRPr="00AB73ED" w:rsidRDefault="004C2402" w:rsidP="004C2402">
      <w:pPr>
        <w:pStyle w:val="BodyText"/>
        <w:numPr>
          <w:ilvl w:val="0"/>
          <w:numId w:val="30"/>
        </w:numPr>
        <w:spacing w:after="240" w:line="240" w:lineRule="auto"/>
      </w:pPr>
      <w:r w:rsidRPr="00AB73ED">
        <w:t>the submission argued that significantly more patients who underwent SC-MIGS stent implantation achieved a ≥ 20% reduction in IOP compared with cataract surgery alone at 12 months (79% vs 67%, respectively) and at 24 months (73% vs 58%, respectively). The critique argued the MCID for this outcome was a 20% difference in the proportion of patients between the two arms who achieved a ≥ 20% reduction in IOP. The critique argued that because the difference in proportion of patients between the two arms did not reach 20%, the evidence could only be interpreted as indicating non-inferiority. The applicant argued that the 20% difference in the proportion of patients was used for sample size calculation purposes only and was not an MCID.</w:t>
      </w:r>
    </w:p>
    <w:p w14:paraId="2F196D62" w14:textId="77777777" w:rsidR="004C2402" w:rsidRPr="00AB73ED" w:rsidRDefault="004C2402" w:rsidP="004C2402">
      <w:pPr>
        <w:pStyle w:val="BodyText"/>
        <w:numPr>
          <w:ilvl w:val="0"/>
          <w:numId w:val="30"/>
        </w:numPr>
        <w:spacing w:before="0" w:after="240" w:line="240" w:lineRule="auto"/>
        <w:ind w:left="714" w:hanging="357"/>
      </w:pPr>
      <w:proofErr w:type="gramStart"/>
      <w:r w:rsidRPr="00AB73ED">
        <w:t>the</w:t>
      </w:r>
      <w:proofErr w:type="gramEnd"/>
      <w:r w:rsidRPr="00AB73ED">
        <w:t xml:space="preserve"> submission argued that SC-MIGS stent implantation significantly reduced IOP from baseline more than cataract surgery — the mean difference at 12 months between the two groups was 1.4 mmHg. The critique argued that as a 1.5 mmHg </w:t>
      </w:r>
      <w:r>
        <w:t>decrease</w:t>
      </w:r>
      <w:r w:rsidRPr="00AB73ED">
        <w:t xml:space="preserve"> in IOP was an appropriate MCID </w:t>
      </w:r>
      <w:r>
        <w:t>since</w:t>
      </w:r>
      <w:r w:rsidRPr="00AB73ED">
        <w:t xml:space="preserve"> this value is accepted by the PBAC for new glaucoma medicines, this evidence could only be interpreted as indicating non-inferiority. The applicant argued that </w:t>
      </w:r>
      <w:r>
        <w:t>every</w:t>
      </w:r>
      <w:r w:rsidRPr="00AB73ED">
        <w:t xml:space="preserve"> 1 mmHg </w:t>
      </w:r>
      <w:r>
        <w:t>reduction</w:t>
      </w:r>
      <w:r w:rsidRPr="00AB73ED">
        <w:t xml:space="preserve"> in IOP is </w:t>
      </w:r>
      <w:r>
        <w:t>associated with a 10% reduction in glaucoma progression</w:t>
      </w:r>
      <w:r w:rsidRPr="00AB73ED">
        <w:t>.</w:t>
      </w:r>
    </w:p>
    <w:p w14:paraId="7D860D28" w14:textId="77777777" w:rsidR="004C2402" w:rsidRPr="00AB73ED" w:rsidRDefault="004C2402" w:rsidP="004C2402">
      <w:pPr>
        <w:pStyle w:val="BodyText"/>
        <w:spacing w:line="240" w:lineRule="auto"/>
      </w:pPr>
      <w:r w:rsidRPr="00AB73ED">
        <w:t>ESC noted the evidence base for population 2 relied upon two studies — the DUETTE study</w:t>
      </w:r>
      <w:r>
        <w:t xml:space="preserve"> which was a prospective, open-label, single-arm study</w:t>
      </w:r>
      <w:r w:rsidRPr="00AB73ED">
        <w:t xml:space="preserve"> (n = 65)</w:t>
      </w:r>
      <w:r>
        <w:t>,</w:t>
      </w:r>
      <w:r w:rsidRPr="00AB73ED">
        <w:t xml:space="preserve"> and the CYCLE study which was a single-arm registry study which included patients with cataracts (n = 136) and without cataracts (n = 167</w:t>
      </w:r>
      <w:r w:rsidRPr="00AB73ED">
        <w:rPr>
          <w:vertAlign w:val="superscript"/>
        </w:rPr>
        <w:t xml:space="preserve"> </w:t>
      </w:r>
      <w:r w:rsidRPr="00AB73ED">
        <w:t>eyes). Both studies were classified as being at high risk of bias and had attrition rates of 15–50%.</w:t>
      </w:r>
    </w:p>
    <w:p w14:paraId="1AB3BF74" w14:textId="77777777" w:rsidR="004C2402" w:rsidRPr="00AB73ED" w:rsidRDefault="004C2402" w:rsidP="004C2402">
      <w:pPr>
        <w:pStyle w:val="BodyText"/>
        <w:spacing w:line="240" w:lineRule="auto"/>
      </w:pPr>
      <w:r w:rsidRPr="00AB73ED">
        <w:t xml:space="preserve">ESC noted that there was insufficient evidence to assess the effectiveness of standalone SC-MIGS stent implantation (population 2). ESC noted that no attempt to compare standalone SC-MIGS stent implantation to laser </w:t>
      </w:r>
      <w:proofErr w:type="spellStart"/>
      <w:r w:rsidRPr="00AB73ED">
        <w:t>trabeculoplasty</w:t>
      </w:r>
      <w:proofErr w:type="spellEnd"/>
      <w:r w:rsidRPr="00AB73ED">
        <w:t xml:space="preserve"> (SLT) or trabeculectomy was made due to the lack of evidence in this population.</w:t>
      </w:r>
    </w:p>
    <w:p w14:paraId="7CC48BCB" w14:textId="77777777" w:rsidR="004C2402" w:rsidRPr="00AB73ED" w:rsidRDefault="004C2402" w:rsidP="004C2402">
      <w:pPr>
        <w:pStyle w:val="BodyText"/>
        <w:spacing w:line="240" w:lineRule="auto"/>
      </w:pPr>
      <w:r w:rsidRPr="00AB73ED">
        <w:t xml:space="preserve">ESC noted that SC-MIGS stent implantation appeared to be non-inferior when compared to the alternative procedure, TB-MIGS stent implantation, in population 1. ESC noted there </w:t>
      </w:r>
      <w:r w:rsidRPr="00AB73ED">
        <w:lastRenderedPageBreak/>
        <w:t xml:space="preserve">were no significant differences in safety or efficacy outcomes in population 1 (using cataract surgery alone to indirectly compare SC-MIGS and TB-MIGS) regardless of whether one or two TB-MIGS stents were used. ESC noted that while the submission argued that the evidence </w:t>
      </w:r>
      <w:r>
        <w:t>of</w:t>
      </w:r>
      <w:r w:rsidRPr="00AB73ED">
        <w:t xml:space="preserve"> non-inferiority from population 1 could be extrapolated to standalone SC-MIGS stent implantation (population 2); there was no direct or indirect evidence to support this argument.</w:t>
      </w:r>
    </w:p>
    <w:p w14:paraId="1B33F5F7" w14:textId="77777777" w:rsidR="004C2402" w:rsidRDefault="004C2402" w:rsidP="004C2402">
      <w:pPr>
        <w:pStyle w:val="BodyText"/>
        <w:spacing w:line="240" w:lineRule="auto"/>
        <w:rPr>
          <w:iCs/>
        </w:rPr>
      </w:pPr>
      <w:r w:rsidRPr="00AB73ED">
        <w:rPr>
          <w:iCs/>
        </w:rPr>
        <w:t>ESC noted the proposed fee for implantation of SC-MIGS stents in conjunction with cataract surgery, the proposed fee for implantation as a standalone procedure and the current fee for goniotomy were all the same. ESC requested further justification for the proposed fees and also noted that the time and resources needed to implant in conjunction with cataract surgery would be different to a standalone procedure.</w:t>
      </w:r>
    </w:p>
    <w:p w14:paraId="336FCB17" w14:textId="37AC66AC" w:rsidR="004C2402" w:rsidRPr="00AB73ED" w:rsidRDefault="004C2402" w:rsidP="004C2402">
      <w:pPr>
        <w:pStyle w:val="BodyText"/>
        <w:spacing w:line="240" w:lineRule="auto"/>
        <w:rPr>
          <w:iCs/>
        </w:rPr>
      </w:pPr>
      <w:r w:rsidRPr="00AB73ED">
        <w:rPr>
          <w:iCs/>
        </w:rPr>
        <w:t xml:space="preserve">ESC noted that </w:t>
      </w:r>
      <w:r w:rsidR="00B232DB">
        <w:rPr>
          <w:iCs/>
        </w:rPr>
        <w:t xml:space="preserve">when MBS item 42758 was being used </w:t>
      </w:r>
      <w:r w:rsidRPr="00AB73ED">
        <w:rPr>
          <w:iCs/>
        </w:rPr>
        <w:t xml:space="preserve">97.5% of MIGS stents </w:t>
      </w:r>
      <w:r>
        <w:rPr>
          <w:iCs/>
        </w:rPr>
        <w:t>appear to be</w:t>
      </w:r>
      <w:r w:rsidRPr="00AB73ED">
        <w:rPr>
          <w:iCs/>
        </w:rPr>
        <w:t xml:space="preserve"> implanted in conjunction with cataract surgery and as such the benefit paid would be lower than the proposed MBS fee under the multiple services rule. However, ESC noted the application estimated 20% of MIGS implantations would be standalone procedures by 2022. ESC noted that this 20% figure had not been justified.</w:t>
      </w:r>
    </w:p>
    <w:p w14:paraId="62CEFA55" w14:textId="77777777" w:rsidR="004C2402" w:rsidRPr="00AB73ED" w:rsidRDefault="004C2402" w:rsidP="004C2402">
      <w:pPr>
        <w:pStyle w:val="BodyText"/>
        <w:spacing w:line="240" w:lineRule="auto"/>
        <w:rPr>
          <w:iCs/>
        </w:rPr>
      </w:pPr>
      <w:r w:rsidRPr="00AB73ED">
        <w:rPr>
          <w:iCs/>
        </w:rPr>
        <w:t>ESC noted that the fees requested for implantation of a MIGS stent and replacement or removal of a MIGS stent are the same. ESC queried whether the time and resources required to replace or remove a MIGS stent justified paying the same amount for both procedures. In addition, ESC requested information on the proportion of MIGS stents that would require removal or replacement and requested that the associated costs be included in the economic and financial models.</w:t>
      </w:r>
    </w:p>
    <w:p w14:paraId="39668BEF" w14:textId="77777777" w:rsidR="004C2402" w:rsidRDefault="004C2402" w:rsidP="004C2402">
      <w:pPr>
        <w:pStyle w:val="BodyText"/>
        <w:spacing w:line="240" w:lineRule="auto"/>
      </w:pPr>
      <w:r w:rsidRPr="00AB73ED">
        <w:t xml:space="preserve">ESC noted that the economic model comparing SC-MIGS stent implantation plus cataract surgery compared with cataract surgery alone suggested that SC-MIGS stent implantation was dominant in the base case. ESC noted that this was based upon weak clinical evidence and queried whether this was a robust finding. </w:t>
      </w:r>
    </w:p>
    <w:p w14:paraId="2E132FBC" w14:textId="77777777" w:rsidR="004C2402" w:rsidRPr="00AB73ED" w:rsidRDefault="004C2402" w:rsidP="004C2402">
      <w:pPr>
        <w:pStyle w:val="BodyText"/>
        <w:spacing w:line="240" w:lineRule="auto"/>
      </w:pPr>
      <w:r w:rsidRPr="00AB73ED">
        <w:t xml:space="preserve">ESC noted that if the time horizon </w:t>
      </w:r>
      <w:r>
        <w:t>were</w:t>
      </w:r>
      <w:r w:rsidRPr="00AB73ED">
        <w:t xml:space="preserve"> reduced from 15 years in the base case to 5 years SC-MIGS stent implantation </w:t>
      </w:r>
      <w:r>
        <w:t>would no</w:t>
      </w:r>
      <w:r w:rsidRPr="00AB73ED">
        <w:t xml:space="preserve"> longer </w:t>
      </w:r>
      <w:r>
        <w:t xml:space="preserve">be </w:t>
      </w:r>
      <w:r w:rsidRPr="00AB73ED">
        <w:t xml:space="preserve">dominant (ICER ~$12,000). ESC requested a probabilistic sensitivity analysis of the modelling </w:t>
      </w:r>
      <w:r>
        <w:t xml:space="preserve">to </w:t>
      </w:r>
      <w:r w:rsidRPr="00AB73ED">
        <w:t>be undertaken.</w:t>
      </w:r>
    </w:p>
    <w:p w14:paraId="311B05F5" w14:textId="77777777" w:rsidR="004C2402" w:rsidRPr="00AB73ED" w:rsidRDefault="004C2402" w:rsidP="004C2402">
      <w:pPr>
        <w:pStyle w:val="BodyText"/>
        <w:spacing w:line="240" w:lineRule="auto"/>
      </w:pPr>
      <w:r w:rsidRPr="00AB73ED">
        <w:t>ESC noted that information on adherence to hypotensive medicines and treatment failure or revision should be included in the model.</w:t>
      </w:r>
    </w:p>
    <w:p w14:paraId="74C0467E" w14:textId="77777777" w:rsidR="004C2402" w:rsidRPr="00AB73ED" w:rsidRDefault="004C2402" w:rsidP="004C2402">
      <w:pPr>
        <w:pStyle w:val="BodyText"/>
        <w:spacing w:line="240" w:lineRule="auto"/>
      </w:pPr>
      <w:r w:rsidRPr="00AB73ED">
        <w:t xml:space="preserve">ESC noted the economic modelling of standalone SC-MIGS stent implantation was restricted to a sensitivity analysis which compared it to standard of care by removing the costs of </w:t>
      </w:r>
      <w:r w:rsidR="00B232DB">
        <w:t xml:space="preserve">the MBS fee for </w:t>
      </w:r>
      <w:r w:rsidRPr="00AB73ED">
        <w:t>cataract surgery</w:t>
      </w:r>
      <w:r w:rsidR="00B232DB">
        <w:t xml:space="preserve"> (standalone theatre costs were included)</w:t>
      </w:r>
      <w:r w:rsidRPr="00AB73ED">
        <w:t>. ESC questioned whether this was a reasonable approach.</w:t>
      </w:r>
    </w:p>
    <w:p w14:paraId="0F5D3C59" w14:textId="77777777" w:rsidR="004C2402" w:rsidRPr="00AB73ED" w:rsidRDefault="004C2402" w:rsidP="004C2402">
      <w:pPr>
        <w:pStyle w:val="BodyText"/>
        <w:spacing w:line="240" w:lineRule="auto"/>
        <w:rPr>
          <w:iCs/>
        </w:rPr>
      </w:pPr>
      <w:r w:rsidRPr="00AB73ED">
        <w:t>ESC noted that there was no economic modelling comparing SC-MIGS stent implantation with TB-MIGS stent implantation in either population. ESC noted that there was no economic modelling comparing SC-MIGS stent implantation with SLT or trabeculectomy in the standalone population.</w:t>
      </w:r>
    </w:p>
    <w:p w14:paraId="06E0DD74" w14:textId="32FE6483" w:rsidR="004C2402" w:rsidRDefault="004C2402" w:rsidP="004C2402">
      <w:pPr>
        <w:pStyle w:val="BodyText"/>
        <w:spacing w:line="240" w:lineRule="auto"/>
        <w:rPr>
          <w:iCs/>
        </w:rPr>
      </w:pPr>
      <w:r w:rsidRPr="00AB73ED">
        <w:rPr>
          <w:iCs/>
        </w:rPr>
        <w:t xml:space="preserve">ESC noted that both application 1483 and application 1496 extrapolated data from MBS item 42758 (goniotomy) to estimate uptake of MIGS stent implantation. </w:t>
      </w:r>
    </w:p>
    <w:p w14:paraId="7B9C6AAD" w14:textId="77777777" w:rsidR="004C2402" w:rsidRDefault="004C2402" w:rsidP="004C2402">
      <w:pPr>
        <w:pStyle w:val="BodyText"/>
        <w:spacing w:line="240" w:lineRule="auto"/>
        <w:rPr>
          <w:iCs/>
        </w:rPr>
      </w:pPr>
      <w:r w:rsidRPr="00AB73ED">
        <w:rPr>
          <w:iCs/>
        </w:rPr>
        <w:t xml:space="preserve">ESC also noted that as it was not possible to separate the numbers of MBS item 42758 services carried out using TB-MIGS stents from those using SC-MIGS stents, application 1483 assumed that 100% of these services used TB-MIGS stents while application 1496 assumed 100% of these services used SC-MIGS stents. ESC noted that this makes it appear </w:t>
      </w:r>
      <w:r w:rsidRPr="00AB73ED">
        <w:rPr>
          <w:iCs/>
        </w:rPr>
        <w:lastRenderedPageBreak/>
        <w:t xml:space="preserve">that, should both TB-MIGS stent implantation and SC-MIGS stent implantation be listed, the uptake would be double that expected in reality. </w:t>
      </w:r>
    </w:p>
    <w:p w14:paraId="3AB57040" w14:textId="77777777" w:rsidR="004C2402" w:rsidRPr="00AB73ED" w:rsidRDefault="004C2402" w:rsidP="004C2402">
      <w:pPr>
        <w:pStyle w:val="BodyText"/>
        <w:spacing w:line="240" w:lineRule="auto"/>
        <w:rPr>
          <w:iCs/>
        </w:rPr>
      </w:pPr>
      <w:r w:rsidRPr="00AB73ED">
        <w:rPr>
          <w:iCs/>
        </w:rPr>
        <w:t xml:space="preserve">ESC suggested </w:t>
      </w:r>
      <w:r>
        <w:rPr>
          <w:iCs/>
        </w:rPr>
        <w:t>that the Prostheses List Advisory Committee (</w:t>
      </w:r>
      <w:r w:rsidRPr="00AB73ED">
        <w:rPr>
          <w:iCs/>
        </w:rPr>
        <w:t>PLAC</w:t>
      </w:r>
      <w:r>
        <w:rPr>
          <w:iCs/>
        </w:rPr>
        <w:t>)</w:t>
      </w:r>
      <w:r w:rsidRPr="00AB73ED">
        <w:rPr>
          <w:iCs/>
        </w:rPr>
        <w:t xml:space="preserve"> may be able to provide figures on the relative numbers of each type of MIGS stent used in Australian practice which could be used to better model the expected uptake of either or both of these services on the MBS.</w:t>
      </w:r>
    </w:p>
    <w:p w14:paraId="5DA01566" w14:textId="77777777" w:rsidR="004C2402" w:rsidRPr="00AB73ED" w:rsidRDefault="004C2402" w:rsidP="004C2402">
      <w:pPr>
        <w:pStyle w:val="BodyText"/>
        <w:spacing w:line="240" w:lineRule="auto"/>
        <w:rPr>
          <w:iCs/>
        </w:rPr>
      </w:pPr>
      <w:r w:rsidRPr="00AB73ED">
        <w:rPr>
          <w:iCs/>
        </w:rPr>
        <w:t>ESC noted that a lack of information about how many procedures would be undertaken per year and what proportion of services would be undertaken in private or public hospitals added uncertainty to the financial costs.</w:t>
      </w:r>
    </w:p>
    <w:p w14:paraId="6161D533" w14:textId="77777777" w:rsidR="004C2402" w:rsidRPr="00AB73ED" w:rsidRDefault="004C2402" w:rsidP="004C2402">
      <w:pPr>
        <w:tabs>
          <w:tab w:val="left" w:pos="2265"/>
          <w:tab w:val="left" w:pos="3420"/>
          <w:tab w:val="left" w:pos="4320"/>
        </w:tabs>
        <w:spacing w:before="180"/>
        <w:rPr>
          <w:iCs/>
        </w:rPr>
      </w:pPr>
      <w:r w:rsidRPr="00AB73ED">
        <w:rPr>
          <w:iCs/>
        </w:rPr>
        <w:t>ESC expressed concerns that there may be out-of-pocket expenses for consumers. ESC suggested that information from the Department on the fees being charged for MBS items 42758 (goniotomy) prior to the exclusion of MIGS stent implantation, interim MBS item 42705 and MBS item 42702 (cataract surgery) could provide some guidance on potential out-of-pocket expenses.</w:t>
      </w:r>
    </w:p>
    <w:p w14:paraId="013CFBFE" w14:textId="77777777" w:rsidR="004C2402" w:rsidRPr="00AB73ED" w:rsidRDefault="004C2402" w:rsidP="004C2402">
      <w:pPr>
        <w:tabs>
          <w:tab w:val="left" w:pos="2265"/>
          <w:tab w:val="left" w:pos="3420"/>
          <w:tab w:val="left" w:pos="4320"/>
        </w:tabs>
        <w:spacing w:before="180"/>
        <w:rPr>
          <w:iCs/>
        </w:rPr>
      </w:pPr>
      <w:r w:rsidRPr="00AB73ED">
        <w:rPr>
          <w:iCs/>
        </w:rPr>
        <w:t>ESC also noted that if SC-MIGS stent implantation</w:t>
      </w:r>
      <w:r w:rsidRPr="00AB73ED">
        <w:t xml:space="preserve"> </w:t>
      </w:r>
      <w:r>
        <w:rPr>
          <w:iCs/>
        </w:rPr>
        <w:t>were</w:t>
      </w:r>
      <w:r w:rsidRPr="00AB73ED">
        <w:rPr>
          <w:iCs/>
        </w:rPr>
        <w:t xml:space="preserve"> recommended as a standalone procedure (population 2) there was a </w:t>
      </w:r>
      <w:r>
        <w:rPr>
          <w:iCs/>
        </w:rPr>
        <w:t>risk</w:t>
      </w:r>
      <w:r w:rsidRPr="00AB73ED">
        <w:rPr>
          <w:iCs/>
        </w:rPr>
        <w:t xml:space="preserve"> that some patients could undergo cataract surgery and then </w:t>
      </w:r>
      <w:proofErr w:type="gramStart"/>
      <w:r w:rsidRPr="00AB73ED">
        <w:rPr>
          <w:iCs/>
        </w:rPr>
        <w:t>undergo</w:t>
      </w:r>
      <w:proofErr w:type="gramEnd"/>
      <w:r w:rsidRPr="00AB73ED">
        <w:rPr>
          <w:iCs/>
        </w:rPr>
        <w:t xml:space="preserve"> a separate procedure to implant a SC-MIGS stent at some later stage in order to maximise the benefits paid. ESC noted that the items should be structured and priced to encourage the most appropriate use of the items for the patient.</w:t>
      </w:r>
    </w:p>
    <w:p w14:paraId="1B9BF96C" w14:textId="4B266C43" w:rsidR="004C2402" w:rsidRPr="00AB73ED" w:rsidRDefault="004C2402" w:rsidP="004C2402">
      <w:pPr>
        <w:tabs>
          <w:tab w:val="left" w:pos="2265"/>
          <w:tab w:val="left" w:pos="3420"/>
          <w:tab w:val="left" w:pos="4320"/>
        </w:tabs>
        <w:spacing w:before="180"/>
        <w:rPr>
          <w:iCs/>
        </w:rPr>
      </w:pPr>
      <w:r w:rsidRPr="00AB73ED">
        <w:rPr>
          <w:iCs/>
        </w:rPr>
        <w:t xml:space="preserve">ESC consumer </w:t>
      </w:r>
      <w:r w:rsidR="007C2418">
        <w:rPr>
          <w:iCs/>
        </w:rPr>
        <w:t xml:space="preserve">representatives noted </w:t>
      </w:r>
      <w:r w:rsidRPr="00AB73ED">
        <w:rPr>
          <w:iCs/>
        </w:rPr>
        <w:t>concerns that MIGS stent implantation had been inappropriately subsidised on the MBS without an assessment of its safety, effectiveness and cost-effectiveness. ESC noted that should it be shown to be safe and effective, consumers are likely to welcome a procedure which may slow down progression of OAG.</w:t>
      </w:r>
    </w:p>
    <w:p w14:paraId="49BC55EA" w14:textId="77777777" w:rsidR="004C2402" w:rsidRPr="00AB73ED" w:rsidRDefault="004C2402" w:rsidP="004C2402">
      <w:pPr>
        <w:pStyle w:val="BodyText"/>
        <w:spacing w:line="240" w:lineRule="auto"/>
        <w:rPr>
          <w:iCs/>
        </w:rPr>
      </w:pPr>
      <w:r w:rsidRPr="00AB73ED">
        <w:rPr>
          <w:iCs/>
        </w:rPr>
        <w:t>ESC suggested that the item descriptor:</w:t>
      </w:r>
    </w:p>
    <w:p w14:paraId="5938C165" w14:textId="77777777" w:rsidR="004C2402" w:rsidRPr="00AB73ED" w:rsidRDefault="004C2402" w:rsidP="00504665">
      <w:pPr>
        <w:pStyle w:val="BodyText"/>
        <w:numPr>
          <w:ilvl w:val="0"/>
          <w:numId w:val="29"/>
        </w:numPr>
        <w:spacing w:before="120" w:line="240" w:lineRule="auto"/>
        <w:ind w:left="714" w:hanging="357"/>
        <w:rPr>
          <w:iCs/>
        </w:rPr>
      </w:pPr>
      <w:r w:rsidRPr="00AB73ED">
        <w:rPr>
          <w:iCs/>
        </w:rPr>
        <w:t>restrict use to patients with mild to moderate disease;</w:t>
      </w:r>
    </w:p>
    <w:p w14:paraId="71601781" w14:textId="77777777" w:rsidR="004C2402" w:rsidRPr="00AB73ED" w:rsidRDefault="004C2402" w:rsidP="004C2402">
      <w:pPr>
        <w:pStyle w:val="BodyText"/>
        <w:numPr>
          <w:ilvl w:val="0"/>
          <w:numId w:val="29"/>
        </w:numPr>
        <w:spacing w:before="0" w:line="240" w:lineRule="auto"/>
        <w:ind w:left="714" w:hanging="357"/>
        <w:rPr>
          <w:iCs/>
        </w:rPr>
      </w:pPr>
      <w:r w:rsidRPr="00AB73ED">
        <w:rPr>
          <w:iCs/>
        </w:rPr>
        <w:t>specify use of the item to once per lifetime per eye;</w:t>
      </w:r>
    </w:p>
    <w:p w14:paraId="0E72AB93" w14:textId="77777777" w:rsidR="004C2402" w:rsidRPr="00AB73ED" w:rsidRDefault="004C2402" w:rsidP="004C2402">
      <w:pPr>
        <w:pStyle w:val="BodyText"/>
        <w:numPr>
          <w:ilvl w:val="0"/>
          <w:numId w:val="29"/>
        </w:numPr>
        <w:spacing w:before="0" w:line="240" w:lineRule="auto"/>
        <w:ind w:left="714" w:hanging="357"/>
        <w:rPr>
          <w:iCs/>
        </w:rPr>
      </w:pPr>
      <w:r w:rsidRPr="00AB73ED">
        <w:rPr>
          <w:iCs/>
        </w:rPr>
        <w:t xml:space="preserve">specify the co-administered interventions used to deliver the service (i.e. cataract surgery and </w:t>
      </w:r>
      <w:proofErr w:type="spellStart"/>
      <w:r>
        <w:rPr>
          <w:iCs/>
        </w:rPr>
        <w:t>gonioscopy</w:t>
      </w:r>
      <w:proofErr w:type="spellEnd"/>
      <w:r w:rsidRPr="00AB73ED">
        <w:rPr>
          <w:iCs/>
        </w:rPr>
        <w:t>);</w:t>
      </w:r>
    </w:p>
    <w:p w14:paraId="602CD5AE" w14:textId="77777777" w:rsidR="004C2402" w:rsidRPr="00AB73ED" w:rsidRDefault="004C2402" w:rsidP="004C2402">
      <w:pPr>
        <w:pStyle w:val="BodyText"/>
        <w:numPr>
          <w:ilvl w:val="0"/>
          <w:numId w:val="29"/>
        </w:numPr>
        <w:spacing w:before="0" w:line="240" w:lineRule="auto"/>
        <w:ind w:left="714" w:hanging="357"/>
        <w:rPr>
          <w:iCs/>
        </w:rPr>
      </w:pPr>
      <w:r w:rsidRPr="00AB73ED">
        <w:rPr>
          <w:iCs/>
        </w:rPr>
        <w:t>define what constitutes an adequate trial of hypotensive medicines;</w:t>
      </w:r>
    </w:p>
    <w:p w14:paraId="330E65A7" w14:textId="77777777" w:rsidR="004C2402" w:rsidRPr="00AB73ED" w:rsidRDefault="004C2402" w:rsidP="004C2402">
      <w:pPr>
        <w:pStyle w:val="BodyText"/>
        <w:numPr>
          <w:ilvl w:val="0"/>
          <w:numId w:val="29"/>
        </w:numPr>
        <w:spacing w:before="0" w:line="240" w:lineRule="auto"/>
        <w:ind w:left="714" w:hanging="357"/>
        <w:rPr>
          <w:iCs/>
        </w:rPr>
      </w:pPr>
      <w:r w:rsidRPr="00AB73ED">
        <w:rPr>
          <w:iCs/>
        </w:rPr>
        <w:t>more tightly define what is considered to be failure of, or contraindications to, hypotensive medicines and other treatments to prevent first-line use of SC-MIGS stent implantation, particularly in the standalone population;</w:t>
      </w:r>
    </w:p>
    <w:p w14:paraId="4A5E91A8" w14:textId="77777777" w:rsidR="004C2402" w:rsidRPr="00AB73ED" w:rsidRDefault="004C2402" w:rsidP="004C2402">
      <w:pPr>
        <w:pStyle w:val="BodyText"/>
        <w:numPr>
          <w:ilvl w:val="0"/>
          <w:numId w:val="29"/>
        </w:numPr>
        <w:spacing w:before="0" w:line="240" w:lineRule="auto"/>
        <w:ind w:left="714" w:hanging="357"/>
        <w:rPr>
          <w:iCs/>
        </w:rPr>
      </w:pPr>
      <w:r w:rsidRPr="00AB73ED">
        <w:rPr>
          <w:iCs/>
        </w:rPr>
        <w:t>specify whether the service attracts an anaesthetic or an assistant benefit; and</w:t>
      </w:r>
    </w:p>
    <w:p w14:paraId="2906B9A4" w14:textId="77777777" w:rsidR="004C2402" w:rsidRPr="00AB73ED" w:rsidRDefault="004C2402" w:rsidP="004C2402">
      <w:pPr>
        <w:pStyle w:val="BodyText"/>
        <w:numPr>
          <w:ilvl w:val="0"/>
          <w:numId w:val="29"/>
        </w:numPr>
        <w:spacing w:before="0" w:line="240" w:lineRule="auto"/>
        <w:ind w:left="714" w:hanging="357"/>
        <w:rPr>
          <w:iCs/>
        </w:rPr>
      </w:pPr>
      <w:proofErr w:type="gramStart"/>
      <w:r w:rsidRPr="00AB73ED">
        <w:rPr>
          <w:iCs/>
        </w:rPr>
        <w:t>note</w:t>
      </w:r>
      <w:proofErr w:type="gramEnd"/>
      <w:r w:rsidRPr="00AB73ED">
        <w:rPr>
          <w:iCs/>
        </w:rPr>
        <w:t xml:space="preserve"> any training and/or accreditation requirements.</w:t>
      </w:r>
    </w:p>
    <w:p w14:paraId="020C99BB" w14:textId="3FA92E1D" w:rsidR="00CC2A4E" w:rsidRDefault="004C2402" w:rsidP="00504665">
      <w:pPr>
        <w:tabs>
          <w:tab w:val="left" w:pos="2265"/>
          <w:tab w:val="left" w:pos="3420"/>
          <w:tab w:val="left" w:pos="4320"/>
        </w:tabs>
        <w:spacing w:before="180" w:after="240"/>
        <w:rPr>
          <w:iCs/>
        </w:rPr>
      </w:pPr>
      <w:r w:rsidRPr="00AB73ED">
        <w:rPr>
          <w:iCs/>
        </w:rPr>
        <w:t>ESC agreed that using the generic term ‘glaucoma drainage device’ in the item descriptor to describe MIGS stents was probably not appropriate.</w:t>
      </w:r>
      <w:r>
        <w:rPr>
          <w:iCs/>
        </w:rPr>
        <w:t xml:space="preserve"> </w:t>
      </w:r>
    </w:p>
    <w:p w14:paraId="585ADD6F" w14:textId="77777777" w:rsidR="00CC2A4E" w:rsidRDefault="00CC2A4E">
      <w:pPr>
        <w:rPr>
          <w:iCs/>
        </w:rPr>
      </w:pPr>
      <w:r>
        <w:rPr>
          <w:iCs/>
        </w:rPr>
        <w:br w:type="page"/>
      </w:r>
    </w:p>
    <w:tbl>
      <w:tblPr>
        <w:tblW w:w="9533" w:type="dxa"/>
        <w:tblCellMar>
          <w:left w:w="0" w:type="dxa"/>
          <w:right w:w="0" w:type="dxa"/>
        </w:tblCellMar>
        <w:tblLook w:val="04A0" w:firstRow="1" w:lastRow="0" w:firstColumn="1" w:lastColumn="0" w:noHBand="0" w:noVBand="1"/>
      </w:tblPr>
      <w:tblGrid>
        <w:gridCol w:w="2427"/>
        <w:gridCol w:w="7106"/>
      </w:tblGrid>
      <w:tr w:rsidR="004C2402" w:rsidRPr="00B73DE6" w14:paraId="22ECBF2D" w14:textId="77777777" w:rsidTr="00307E42">
        <w:trPr>
          <w:trHeight w:val="560"/>
        </w:trPr>
        <w:tc>
          <w:tcPr>
            <w:tcW w:w="2427"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3872438C" w14:textId="77777777" w:rsidR="004C2402" w:rsidRPr="00B73DE6" w:rsidRDefault="004C2402" w:rsidP="00307E42">
            <w:pPr>
              <w:rPr>
                <w:rFonts w:ascii="Arial Narrow" w:hAnsi="Arial Narrow"/>
                <w:sz w:val="20"/>
              </w:rPr>
            </w:pPr>
            <w:r w:rsidRPr="00B73DE6">
              <w:rPr>
                <w:rFonts w:ascii="Arial Narrow" w:hAnsi="Arial Narrow"/>
                <w:b/>
                <w:bCs/>
                <w:sz w:val="20"/>
              </w:rPr>
              <w:lastRenderedPageBreak/>
              <w:t>ESC Key ISSUES</w:t>
            </w:r>
          </w:p>
        </w:tc>
        <w:tc>
          <w:tcPr>
            <w:tcW w:w="7106" w:type="dxa"/>
            <w:tcBorders>
              <w:top w:val="single" w:sz="8" w:space="0" w:color="FFFFFF"/>
              <w:left w:val="single" w:sz="8" w:space="0" w:color="FFFFFF"/>
              <w:bottom w:val="single" w:sz="24" w:space="0" w:color="FFFFFF"/>
              <w:right w:val="single" w:sz="8" w:space="0" w:color="FFFFFF"/>
            </w:tcBorders>
            <w:shd w:val="clear" w:color="auto" w:fill="31B6FD"/>
            <w:tcMar>
              <w:top w:w="15" w:type="dxa"/>
              <w:left w:w="93" w:type="dxa"/>
              <w:bottom w:w="0" w:type="dxa"/>
              <w:right w:w="93" w:type="dxa"/>
            </w:tcMar>
            <w:vAlign w:val="center"/>
            <w:hideMark/>
          </w:tcPr>
          <w:p w14:paraId="12961693" w14:textId="77777777" w:rsidR="004C2402" w:rsidRPr="00B73DE6" w:rsidRDefault="004C2402" w:rsidP="00307E42">
            <w:pPr>
              <w:rPr>
                <w:rFonts w:ascii="Arial Narrow" w:hAnsi="Arial Narrow"/>
                <w:sz w:val="20"/>
              </w:rPr>
            </w:pPr>
            <w:r w:rsidRPr="00B73DE6">
              <w:rPr>
                <w:rFonts w:ascii="Arial Narrow" w:hAnsi="Arial Narrow"/>
                <w:b/>
                <w:bCs/>
                <w:sz w:val="20"/>
              </w:rPr>
              <w:t>ESC ADVICE</w:t>
            </w:r>
          </w:p>
        </w:tc>
      </w:tr>
      <w:tr w:rsidR="004C2402" w:rsidRPr="00B73DE6" w14:paraId="040AB757" w14:textId="77777777" w:rsidTr="00307E42">
        <w:trPr>
          <w:trHeight w:val="1214"/>
        </w:trPr>
        <w:tc>
          <w:tcPr>
            <w:tcW w:w="2427" w:type="dxa"/>
            <w:tcBorders>
              <w:top w:val="single" w:sz="24"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6F6ED68B" w14:textId="77777777" w:rsidR="004C2402" w:rsidRPr="00B73DE6" w:rsidRDefault="004C2402" w:rsidP="00307E42">
            <w:pPr>
              <w:rPr>
                <w:rFonts w:ascii="Arial Narrow" w:hAnsi="Arial Narrow"/>
                <w:sz w:val="20"/>
              </w:rPr>
            </w:pPr>
            <w:r w:rsidRPr="00B73DE6">
              <w:rPr>
                <w:rFonts w:ascii="Arial Narrow" w:hAnsi="Arial Narrow"/>
                <w:sz w:val="20"/>
              </w:rPr>
              <w:t>Evidence</w:t>
            </w:r>
          </w:p>
        </w:tc>
        <w:tc>
          <w:tcPr>
            <w:tcW w:w="7106" w:type="dxa"/>
            <w:tcBorders>
              <w:top w:val="single" w:sz="24"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0A29915A" w14:textId="77777777" w:rsidR="004C2402" w:rsidRPr="00B73DE6" w:rsidRDefault="004C2402" w:rsidP="004C2402">
            <w:pPr>
              <w:numPr>
                <w:ilvl w:val="0"/>
                <w:numId w:val="27"/>
              </w:numPr>
              <w:tabs>
                <w:tab w:val="clear" w:pos="360"/>
                <w:tab w:val="num" w:pos="720"/>
                <w:tab w:val="left" w:pos="2265"/>
                <w:tab w:val="left" w:pos="3420"/>
                <w:tab w:val="left" w:pos="4320"/>
              </w:tabs>
              <w:rPr>
                <w:rFonts w:ascii="Arial Narrow" w:hAnsi="Arial Narrow"/>
                <w:sz w:val="20"/>
              </w:rPr>
            </w:pPr>
            <w:r w:rsidRPr="00B73DE6">
              <w:rPr>
                <w:rFonts w:ascii="Arial Narrow" w:hAnsi="Arial Narrow"/>
                <w:sz w:val="20"/>
              </w:rPr>
              <w:t xml:space="preserve">Evidence for Population1 based on a single RCT (COMPASS) with moderate risk of bias. </w:t>
            </w:r>
          </w:p>
          <w:p w14:paraId="77B9F119" w14:textId="77777777" w:rsidR="004C2402" w:rsidRPr="00B73DE6" w:rsidRDefault="004C2402" w:rsidP="004C2402">
            <w:pPr>
              <w:numPr>
                <w:ilvl w:val="0"/>
                <w:numId w:val="27"/>
              </w:numPr>
              <w:tabs>
                <w:tab w:val="clear" w:pos="360"/>
                <w:tab w:val="num" w:pos="720"/>
                <w:tab w:val="left" w:pos="2265"/>
                <w:tab w:val="left" w:pos="3420"/>
                <w:tab w:val="left" w:pos="4320"/>
              </w:tabs>
              <w:rPr>
                <w:rFonts w:ascii="Arial Narrow" w:hAnsi="Arial Narrow"/>
                <w:sz w:val="20"/>
              </w:rPr>
            </w:pPr>
            <w:r w:rsidRPr="00B73DE6">
              <w:rPr>
                <w:rFonts w:ascii="Arial Narrow" w:hAnsi="Arial Narrow"/>
                <w:sz w:val="20"/>
              </w:rPr>
              <w:t>Insufficient direct evidence for Population 2. Only 1 registry and 1 single arm study (level IV only)</w:t>
            </w:r>
          </w:p>
          <w:p w14:paraId="33635042" w14:textId="77777777" w:rsidR="004C2402" w:rsidRPr="00B73DE6" w:rsidRDefault="004C2402" w:rsidP="004C2402">
            <w:pPr>
              <w:numPr>
                <w:ilvl w:val="0"/>
                <w:numId w:val="27"/>
              </w:numPr>
              <w:tabs>
                <w:tab w:val="clear" w:pos="360"/>
                <w:tab w:val="num" w:pos="720"/>
                <w:tab w:val="left" w:pos="2265"/>
                <w:tab w:val="left" w:pos="3420"/>
                <w:tab w:val="left" w:pos="4320"/>
              </w:tabs>
              <w:rPr>
                <w:rFonts w:ascii="Arial Narrow" w:hAnsi="Arial Narrow"/>
                <w:sz w:val="20"/>
              </w:rPr>
            </w:pPr>
            <w:r w:rsidRPr="00B73DE6">
              <w:rPr>
                <w:rFonts w:ascii="Arial Narrow" w:hAnsi="Arial Narrow"/>
                <w:i/>
                <w:iCs/>
                <w:sz w:val="20"/>
              </w:rPr>
              <w:t xml:space="preserve">Indirect </w:t>
            </w:r>
            <w:r w:rsidRPr="00B73DE6">
              <w:rPr>
                <w:rFonts w:ascii="Arial Narrow" w:hAnsi="Arial Narrow"/>
                <w:sz w:val="20"/>
              </w:rPr>
              <w:t>evidence of equivalence with TB MIGS</w:t>
            </w:r>
          </w:p>
        </w:tc>
      </w:tr>
      <w:tr w:rsidR="004C2402" w:rsidRPr="00B73DE6" w14:paraId="27B993A3" w14:textId="77777777" w:rsidTr="00307E42">
        <w:trPr>
          <w:trHeight w:val="452"/>
        </w:trPr>
        <w:tc>
          <w:tcPr>
            <w:tcW w:w="2427"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2A284366" w14:textId="77777777" w:rsidR="004C2402" w:rsidRPr="00B73DE6" w:rsidRDefault="004C2402" w:rsidP="00307E42">
            <w:pPr>
              <w:rPr>
                <w:rFonts w:ascii="Arial Narrow" w:hAnsi="Arial Narrow"/>
                <w:sz w:val="20"/>
              </w:rPr>
            </w:pPr>
            <w:r w:rsidRPr="00B73DE6">
              <w:rPr>
                <w:rFonts w:ascii="Arial Narrow" w:hAnsi="Arial Narrow"/>
                <w:sz w:val="20"/>
              </w:rPr>
              <w:t>Descriptor</w:t>
            </w:r>
          </w:p>
        </w:tc>
        <w:tc>
          <w:tcPr>
            <w:tcW w:w="7106" w:type="dxa"/>
            <w:tcBorders>
              <w:top w:val="single" w:sz="8" w:space="0" w:color="FFFFFF"/>
              <w:left w:val="single" w:sz="8" w:space="0" w:color="FFFFFF"/>
              <w:bottom w:val="single" w:sz="8" w:space="0" w:color="FFFFFF"/>
              <w:right w:val="single" w:sz="8" w:space="0" w:color="FFFFFF"/>
            </w:tcBorders>
            <w:shd w:val="clear" w:color="auto" w:fill="E8F3FF"/>
            <w:tcMar>
              <w:top w:w="15" w:type="dxa"/>
              <w:left w:w="93" w:type="dxa"/>
              <w:bottom w:w="0" w:type="dxa"/>
              <w:right w:w="93" w:type="dxa"/>
            </w:tcMar>
            <w:hideMark/>
          </w:tcPr>
          <w:p w14:paraId="65AE5BC5" w14:textId="77777777" w:rsidR="004C2402" w:rsidRPr="00B73DE6" w:rsidRDefault="004C2402" w:rsidP="004C2402">
            <w:pPr>
              <w:numPr>
                <w:ilvl w:val="0"/>
                <w:numId w:val="27"/>
              </w:numPr>
              <w:tabs>
                <w:tab w:val="clear" w:pos="360"/>
                <w:tab w:val="num" w:pos="720"/>
                <w:tab w:val="left" w:pos="2265"/>
                <w:tab w:val="left" w:pos="3420"/>
                <w:tab w:val="left" w:pos="4320"/>
              </w:tabs>
              <w:rPr>
                <w:rFonts w:ascii="Arial Narrow" w:hAnsi="Arial Narrow"/>
                <w:sz w:val="20"/>
              </w:rPr>
            </w:pPr>
            <w:r w:rsidRPr="00B73DE6">
              <w:rPr>
                <w:rFonts w:ascii="Arial Narrow" w:hAnsi="Arial Narrow"/>
                <w:sz w:val="20"/>
              </w:rPr>
              <w:t xml:space="preserve">The issue with the descriptor is the wording “other surgery”. </w:t>
            </w:r>
          </w:p>
          <w:p w14:paraId="6D038BDA" w14:textId="77777777" w:rsidR="004C2402" w:rsidRPr="00B73DE6" w:rsidRDefault="004C2402" w:rsidP="004C2402">
            <w:pPr>
              <w:numPr>
                <w:ilvl w:val="0"/>
                <w:numId w:val="27"/>
              </w:numPr>
              <w:tabs>
                <w:tab w:val="clear" w:pos="360"/>
                <w:tab w:val="num" w:pos="720"/>
                <w:tab w:val="left" w:pos="2265"/>
                <w:tab w:val="left" w:pos="3420"/>
                <w:tab w:val="left" w:pos="4320"/>
              </w:tabs>
              <w:rPr>
                <w:rFonts w:ascii="Arial Narrow" w:hAnsi="Arial Narrow"/>
                <w:sz w:val="20"/>
              </w:rPr>
            </w:pPr>
            <w:r w:rsidRPr="00B73DE6">
              <w:rPr>
                <w:rFonts w:ascii="Arial Narrow" w:hAnsi="Arial Narrow"/>
                <w:sz w:val="20"/>
              </w:rPr>
              <w:t>Should the application include all micro-invasive glaucoma surgery devices that are on the prosthesis list? Should it be included – as a generic listing?</w:t>
            </w:r>
          </w:p>
          <w:p w14:paraId="3C190AA1" w14:textId="77777777" w:rsidR="004C2402" w:rsidRPr="00B73DE6" w:rsidRDefault="004C2402" w:rsidP="00307E42">
            <w:pPr>
              <w:pStyle w:val="ListParagraph"/>
              <w:ind w:left="360"/>
              <w:rPr>
                <w:rFonts w:ascii="Arial Narrow" w:hAnsi="Arial Narrow"/>
                <w:sz w:val="20"/>
              </w:rPr>
            </w:pPr>
          </w:p>
        </w:tc>
      </w:tr>
      <w:tr w:rsidR="004C2402" w:rsidRPr="00B73DE6" w14:paraId="50612479" w14:textId="77777777" w:rsidTr="00307E42">
        <w:trPr>
          <w:trHeight w:val="391"/>
        </w:trPr>
        <w:tc>
          <w:tcPr>
            <w:tcW w:w="2427" w:type="dxa"/>
            <w:tcBorders>
              <w:top w:val="single" w:sz="8" w:space="0" w:color="FFFFFF"/>
              <w:left w:val="single" w:sz="8" w:space="0" w:color="FFFFFF"/>
              <w:bottom w:val="single" w:sz="8" w:space="0" w:color="FFFFFF"/>
              <w:right w:val="single" w:sz="8" w:space="0" w:color="FFFFFF"/>
            </w:tcBorders>
            <w:shd w:val="clear" w:color="auto" w:fill="31B6FD"/>
            <w:tcMar>
              <w:top w:w="15" w:type="dxa"/>
              <w:left w:w="93" w:type="dxa"/>
              <w:bottom w:w="0" w:type="dxa"/>
              <w:right w:w="93" w:type="dxa"/>
            </w:tcMar>
            <w:hideMark/>
          </w:tcPr>
          <w:p w14:paraId="1561A331" w14:textId="77777777" w:rsidR="004C2402" w:rsidRPr="00B73DE6" w:rsidRDefault="004C2402" w:rsidP="00307E42">
            <w:pPr>
              <w:rPr>
                <w:rFonts w:ascii="Arial Narrow" w:hAnsi="Arial Narrow"/>
                <w:sz w:val="20"/>
              </w:rPr>
            </w:pPr>
            <w:r w:rsidRPr="00B73DE6">
              <w:rPr>
                <w:rFonts w:ascii="Arial Narrow" w:hAnsi="Arial Narrow"/>
                <w:sz w:val="20"/>
              </w:rPr>
              <w:t>Safety</w:t>
            </w:r>
          </w:p>
        </w:tc>
        <w:tc>
          <w:tcPr>
            <w:tcW w:w="7106" w:type="dxa"/>
            <w:tcBorders>
              <w:top w:val="single" w:sz="8" w:space="0" w:color="FFFFFF"/>
              <w:left w:val="single" w:sz="8" w:space="0" w:color="FFFFFF"/>
              <w:bottom w:val="single" w:sz="8" w:space="0" w:color="FFFFFF"/>
              <w:right w:val="single" w:sz="8" w:space="0" w:color="FFFFFF"/>
            </w:tcBorders>
            <w:shd w:val="clear" w:color="auto" w:fill="CDE5FE"/>
            <w:tcMar>
              <w:top w:w="15" w:type="dxa"/>
              <w:left w:w="93" w:type="dxa"/>
              <w:bottom w:w="0" w:type="dxa"/>
              <w:right w:w="93" w:type="dxa"/>
            </w:tcMar>
            <w:hideMark/>
          </w:tcPr>
          <w:p w14:paraId="5DBE5382" w14:textId="77777777" w:rsidR="004C2402" w:rsidRPr="00B73DE6" w:rsidRDefault="004C2402" w:rsidP="00307E42">
            <w:pPr>
              <w:rPr>
                <w:rFonts w:ascii="Arial Narrow" w:hAnsi="Arial Narrow"/>
                <w:sz w:val="20"/>
              </w:rPr>
            </w:pPr>
            <w:r w:rsidRPr="00B73DE6">
              <w:rPr>
                <w:rFonts w:ascii="Arial Narrow" w:hAnsi="Arial Narrow"/>
                <w:sz w:val="20"/>
              </w:rPr>
              <w:t>Submission Based Assessment and the Critique conflict in relation to safety</w:t>
            </w:r>
          </w:p>
          <w:p w14:paraId="699691B8" w14:textId="77777777" w:rsidR="004C2402" w:rsidRPr="00B73DE6" w:rsidRDefault="004C2402" w:rsidP="00307E42">
            <w:pPr>
              <w:rPr>
                <w:rFonts w:ascii="Arial Narrow" w:hAnsi="Arial Narrow"/>
                <w:sz w:val="20"/>
              </w:rPr>
            </w:pPr>
          </w:p>
        </w:tc>
      </w:tr>
    </w:tbl>
    <w:p w14:paraId="39C10DA0" w14:textId="77777777" w:rsidR="00D90A38" w:rsidRPr="00F715D1" w:rsidRDefault="00BC1364" w:rsidP="00F715D1">
      <w:pPr>
        <w:pStyle w:val="Heading1"/>
      </w:pPr>
      <w:r w:rsidRPr="00F715D1">
        <w:t>Other significant factors</w:t>
      </w:r>
    </w:p>
    <w:p w14:paraId="3E347A88" w14:textId="77777777" w:rsidR="00BC1364" w:rsidRPr="00504665" w:rsidRDefault="00BC1364" w:rsidP="00F715D1">
      <w:pPr>
        <w:spacing w:after="240"/>
        <w:rPr>
          <w:szCs w:val="24"/>
        </w:rPr>
      </w:pPr>
      <w:r w:rsidRPr="00504665">
        <w:rPr>
          <w:szCs w:val="24"/>
        </w:rPr>
        <w:t>Nil</w:t>
      </w:r>
    </w:p>
    <w:p w14:paraId="7E4D9137" w14:textId="77777777" w:rsidR="00BC1364" w:rsidRPr="00F715D1" w:rsidRDefault="00BC1364" w:rsidP="00F715D1">
      <w:pPr>
        <w:pStyle w:val="Heading1"/>
      </w:pPr>
      <w:r w:rsidRPr="00F715D1">
        <w:t xml:space="preserve">Applicant’s comments on MSAC’s </w:t>
      </w:r>
      <w:r w:rsidR="00DA56AA" w:rsidRPr="00F715D1">
        <w:t>Public Summary Document</w:t>
      </w:r>
    </w:p>
    <w:p w14:paraId="00C8D4B5" w14:textId="77777777" w:rsidR="007C2418" w:rsidRPr="0079165C" w:rsidRDefault="007C2418" w:rsidP="007C2418">
      <w:pPr>
        <w:spacing w:after="240"/>
        <w:rPr>
          <w:szCs w:val="24"/>
        </w:rPr>
      </w:pPr>
      <w:r w:rsidRPr="0079165C">
        <w:rPr>
          <w:szCs w:val="24"/>
        </w:rPr>
        <w:t>Alcon welcomes the recommendation from MSAC for inclusion on the MBS of SC-MIGS in conjunction with cataract. We look forward to working with the Department of Health to implement this advice as soon as possible.</w:t>
      </w:r>
    </w:p>
    <w:p w14:paraId="3394E29F" w14:textId="493D8C3D" w:rsidR="00BC1364" w:rsidRPr="0079165C" w:rsidRDefault="007C2418" w:rsidP="00F715D1">
      <w:pPr>
        <w:spacing w:after="240"/>
        <w:rPr>
          <w:szCs w:val="24"/>
        </w:rPr>
      </w:pPr>
      <w:r w:rsidRPr="0079165C">
        <w:rPr>
          <w:szCs w:val="24"/>
        </w:rPr>
        <w:t>Alcon are disappointed with the decision for the standalone population. Alcon are concerned it will seem counterintuitive to patients with glaucoma that they are only allowed to access this therapeutically important intervention on the basis of a separate condition. Alcon will continue to push for MBS reimbursement for this group of patients with high clinical need.</w:t>
      </w:r>
    </w:p>
    <w:p w14:paraId="71C6B072" w14:textId="77777777" w:rsidR="00BC1364" w:rsidRPr="00F715D1" w:rsidRDefault="00271F18" w:rsidP="00F715D1">
      <w:pPr>
        <w:pStyle w:val="Heading1"/>
      </w:pPr>
      <w:r w:rsidRPr="00F715D1">
        <w:t>Further information on MSAC</w:t>
      </w:r>
    </w:p>
    <w:p w14:paraId="6E6C041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4"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5"/>
      <w:pgSz w:w="11906" w:h="16838"/>
      <w:pgMar w:top="1134" w:right="1440" w:bottom="426"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E17979" w15:done="0"/>
  <w15:commentEx w15:paraId="43EF2C2B" w15:done="0"/>
  <w15:commentEx w15:paraId="497E40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DD3F0" w14:textId="77777777" w:rsidR="00184A4F" w:rsidRDefault="00184A4F" w:rsidP="00065623">
      <w:r>
        <w:separator/>
      </w:r>
    </w:p>
  </w:endnote>
  <w:endnote w:type="continuationSeparator" w:id="0">
    <w:p w14:paraId="31F1190B" w14:textId="77777777" w:rsidR="00184A4F" w:rsidRDefault="00184A4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Humanist 77 7 BT">
    <w:altName w:val="Humanist 77 7 B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74123BA4" w14:textId="77777777" w:rsidR="00184A4F" w:rsidRDefault="00184A4F">
        <w:pPr>
          <w:pStyle w:val="Footer"/>
          <w:jc w:val="right"/>
        </w:pPr>
        <w:r>
          <w:fldChar w:fldCharType="begin"/>
        </w:r>
        <w:r>
          <w:instrText xml:space="preserve"> PAGE   \* MERGEFORMAT </w:instrText>
        </w:r>
        <w:r>
          <w:fldChar w:fldCharType="separate"/>
        </w:r>
        <w:r w:rsidR="004C5C6D">
          <w:rPr>
            <w:noProof/>
          </w:rPr>
          <w:t>1</w:t>
        </w:r>
        <w:r>
          <w:rPr>
            <w:noProof/>
          </w:rPr>
          <w:fldChar w:fldCharType="end"/>
        </w:r>
      </w:p>
    </w:sdtContent>
  </w:sdt>
  <w:p w14:paraId="7A870AF2" w14:textId="77777777" w:rsidR="00184A4F" w:rsidRDefault="00184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F1106" w14:textId="77777777" w:rsidR="00184A4F" w:rsidRDefault="00184A4F" w:rsidP="00065623">
      <w:r>
        <w:separator/>
      </w:r>
    </w:p>
  </w:footnote>
  <w:footnote w:type="continuationSeparator" w:id="0">
    <w:p w14:paraId="2C9C5C9D" w14:textId="77777777" w:rsidR="00184A4F" w:rsidRDefault="00184A4F"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2B0"/>
    <w:multiLevelType w:val="hybridMultilevel"/>
    <w:tmpl w:val="E152B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1E5410"/>
    <w:multiLevelType w:val="hybridMultilevel"/>
    <w:tmpl w:val="0FD2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1F40A7"/>
    <w:multiLevelType w:val="hybridMultilevel"/>
    <w:tmpl w:val="2CF65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2781ABA"/>
    <w:multiLevelType w:val="hybridMultilevel"/>
    <w:tmpl w:val="F98C2B56"/>
    <w:lvl w:ilvl="0" w:tplc="CB46F868">
      <w:start w:val="1"/>
      <w:numFmt w:val="bullet"/>
      <w:lvlText w:val="•"/>
      <w:lvlJc w:val="left"/>
      <w:pPr>
        <w:tabs>
          <w:tab w:val="num" w:pos="360"/>
        </w:tabs>
        <w:ind w:left="360" w:hanging="360"/>
      </w:pPr>
      <w:rPr>
        <w:rFonts w:ascii="Arial" w:hAnsi="Arial" w:hint="default"/>
      </w:rPr>
    </w:lvl>
    <w:lvl w:ilvl="1" w:tplc="6B40E8B8">
      <w:start w:val="5842"/>
      <w:numFmt w:val="bullet"/>
      <w:lvlText w:val="•"/>
      <w:lvlJc w:val="left"/>
      <w:pPr>
        <w:tabs>
          <w:tab w:val="num" w:pos="1080"/>
        </w:tabs>
        <w:ind w:left="1080" w:hanging="360"/>
      </w:pPr>
      <w:rPr>
        <w:rFonts w:ascii="Arial" w:hAnsi="Arial" w:hint="default"/>
      </w:rPr>
    </w:lvl>
    <w:lvl w:ilvl="2" w:tplc="589E13DE" w:tentative="1">
      <w:start w:val="1"/>
      <w:numFmt w:val="bullet"/>
      <w:lvlText w:val="•"/>
      <w:lvlJc w:val="left"/>
      <w:pPr>
        <w:tabs>
          <w:tab w:val="num" w:pos="1800"/>
        </w:tabs>
        <w:ind w:left="1800" w:hanging="360"/>
      </w:pPr>
      <w:rPr>
        <w:rFonts w:ascii="Arial" w:hAnsi="Arial" w:hint="default"/>
      </w:rPr>
    </w:lvl>
    <w:lvl w:ilvl="3" w:tplc="703C08C8" w:tentative="1">
      <w:start w:val="1"/>
      <w:numFmt w:val="bullet"/>
      <w:lvlText w:val="•"/>
      <w:lvlJc w:val="left"/>
      <w:pPr>
        <w:tabs>
          <w:tab w:val="num" w:pos="2520"/>
        </w:tabs>
        <w:ind w:left="2520" w:hanging="360"/>
      </w:pPr>
      <w:rPr>
        <w:rFonts w:ascii="Arial" w:hAnsi="Arial" w:hint="default"/>
      </w:rPr>
    </w:lvl>
    <w:lvl w:ilvl="4" w:tplc="499A1F3A" w:tentative="1">
      <w:start w:val="1"/>
      <w:numFmt w:val="bullet"/>
      <w:lvlText w:val="•"/>
      <w:lvlJc w:val="left"/>
      <w:pPr>
        <w:tabs>
          <w:tab w:val="num" w:pos="3240"/>
        </w:tabs>
        <w:ind w:left="3240" w:hanging="360"/>
      </w:pPr>
      <w:rPr>
        <w:rFonts w:ascii="Arial" w:hAnsi="Arial" w:hint="default"/>
      </w:rPr>
    </w:lvl>
    <w:lvl w:ilvl="5" w:tplc="5C8AB704" w:tentative="1">
      <w:start w:val="1"/>
      <w:numFmt w:val="bullet"/>
      <w:lvlText w:val="•"/>
      <w:lvlJc w:val="left"/>
      <w:pPr>
        <w:tabs>
          <w:tab w:val="num" w:pos="3960"/>
        </w:tabs>
        <w:ind w:left="3960" w:hanging="360"/>
      </w:pPr>
      <w:rPr>
        <w:rFonts w:ascii="Arial" w:hAnsi="Arial" w:hint="default"/>
      </w:rPr>
    </w:lvl>
    <w:lvl w:ilvl="6" w:tplc="A560CD20" w:tentative="1">
      <w:start w:val="1"/>
      <w:numFmt w:val="bullet"/>
      <w:lvlText w:val="•"/>
      <w:lvlJc w:val="left"/>
      <w:pPr>
        <w:tabs>
          <w:tab w:val="num" w:pos="4680"/>
        </w:tabs>
        <w:ind w:left="4680" w:hanging="360"/>
      </w:pPr>
      <w:rPr>
        <w:rFonts w:ascii="Arial" w:hAnsi="Arial" w:hint="default"/>
      </w:rPr>
    </w:lvl>
    <w:lvl w:ilvl="7" w:tplc="F03A7A1E" w:tentative="1">
      <w:start w:val="1"/>
      <w:numFmt w:val="bullet"/>
      <w:lvlText w:val="•"/>
      <w:lvlJc w:val="left"/>
      <w:pPr>
        <w:tabs>
          <w:tab w:val="num" w:pos="5400"/>
        </w:tabs>
        <w:ind w:left="5400" w:hanging="360"/>
      </w:pPr>
      <w:rPr>
        <w:rFonts w:ascii="Arial" w:hAnsi="Arial" w:hint="default"/>
      </w:rPr>
    </w:lvl>
    <w:lvl w:ilvl="8" w:tplc="6A269BEC" w:tentative="1">
      <w:start w:val="1"/>
      <w:numFmt w:val="bullet"/>
      <w:lvlText w:val="•"/>
      <w:lvlJc w:val="left"/>
      <w:pPr>
        <w:tabs>
          <w:tab w:val="num" w:pos="6120"/>
        </w:tabs>
        <w:ind w:left="6120" w:hanging="360"/>
      </w:pPr>
      <w:rPr>
        <w:rFonts w:ascii="Arial" w:hAnsi="Arial"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2A360E2"/>
    <w:multiLevelType w:val="hybridMultilevel"/>
    <w:tmpl w:val="2EE46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340929"/>
    <w:multiLevelType w:val="hybridMultilevel"/>
    <w:tmpl w:val="EA1CC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0E20568"/>
    <w:multiLevelType w:val="hybridMultilevel"/>
    <w:tmpl w:val="FA4E4640"/>
    <w:lvl w:ilvl="0" w:tplc="D102D44A">
      <w:numFmt w:val="bullet"/>
      <w:lvlText w:val="•"/>
      <w:lvlJc w:val="left"/>
      <w:pPr>
        <w:ind w:left="930" w:hanging="570"/>
      </w:pPr>
      <w:rPr>
        <w:rFonts w:ascii="Calibri" w:eastAsia="Times New Roman" w:hAnsi="Calibri" w:cs="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71E1071E"/>
    <w:multiLevelType w:val="hybridMultilevel"/>
    <w:tmpl w:val="F934E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2"/>
  </w:num>
  <w:num w:numId="4">
    <w:abstractNumId w:val="20"/>
  </w:num>
  <w:num w:numId="5">
    <w:abstractNumId w:val="14"/>
  </w:num>
  <w:num w:numId="6">
    <w:abstractNumId w:val="19"/>
  </w:num>
  <w:num w:numId="7">
    <w:abstractNumId w:val="25"/>
  </w:num>
  <w:num w:numId="8">
    <w:abstractNumId w:val="15"/>
  </w:num>
  <w:num w:numId="9">
    <w:abstractNumId w:val="32"/>
  </w:num>
  <w:num w:numId="10">
    <w:abstractNumId w:val="1"/>
  </w:num>
  <w:num w:numId="11">
    <w:abstractNumId w:val="23"/>
  </w:num>
  <w:num w:numId="12">
    <w:abstractNumId w:val="26"/>
  </w:num>
  <w:num w:numId="13">
    <w:abstractNumId w:val="5"/>
  </w:num>
  <w:num w:numId="14">
    <w:abstractNumId w:val="30"/>
  </w:num>
  <w:num w:numId="15">
    <w:abstractNumId w:val="21"/>
  </w:num>
  <w:num w:numId="16">
    <w:abstractNumId w:val="27"/>
  </w:num>
  <w:num w:numId="17">
    <w:abstractNumId w:val="16"/>
  </w:num>
  <w:num w:numId="18">
    <w:abstractNumId w:val="17"/>
  </w:num>
  <w:num w:numId="19">
    <w:abstractNumId w:val="29"/>
  </w:num>
  <w:num w:numId="20">
    <w:abstractNumId w:val="28"/>
  </w:num>
  <w:num w:numId="21">
    <w:abstractNumId w:val="4"/>
  </w:num>
  <w:num w:numId="22">
    <w:abstractNumId w:val="13"/>
  </w:num>
  <w:num w:numId="23">
    <w:abstractNumId w:val="3"/>
  </w:num>
  <w:num w:numId="24">
    <w:abstractNumId w:val="11"/>
  </w:num>
  <w:num w:numId="25">
    <w:abstractNumId w:val="7"/>
  </w:num>
  <w:num w:numId="26">
    <w:abstractNumId w:val="24"/>
  </w:num>
  <w:num w:numId="27">
    <w:abstractNumId w:val="9"/>
  </w:num>
  <w:num w:numId="28">
    <w:abstractNumId w:val="31"/>
  </w:num>
  <w:num w:numId="29">
    <w:abstractNumId w:val="22"/>
  </w:num>
  <w:num w:numId="30">
    <w:abstractNumId w:val="0"/>
  </w:num>
  <w:num w:numId="31">
    <w:abstractNumId w:val="6"/>
  </w:num>
  <w:num w:numId="32">
    <w:abstractNumId w:val="12"/>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 Robyn">
    <w15:presenceInfo w15:providerId="AD" w15:userId="S-1-5-21-220523388-1563985344-839522115-495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1378E"/>
    <w:rsid w:val="0002048B"/>
    <w:rsid w:val="0002621B"/>
    <w:rsid w:val="000463A4"/>
    <w:rsid w:val="00047606"/>
    <w:rsid w:val="00055AD9"/>
    <w:rsid w:val="000570BD"/>
    <w:rsid w:val="00065623"/>
    <w:rsid w:val="000756B9"/>
    <w:rsid w:val="00076FB3"/>
    <w:rsid w:val="00096B67"/>
    <w:rsid w:val="00096DAF"/>
    <w:rsid w:val="000C2F47"/>
    <w:rsid w:val="000D2B9A"/>
    <w:rsid w:val="000D5F5D"/>
    <w:rsid w:val="000D6C00"/>
    <w:rsid w:val="000E4E04"/>
    <w:rsid w:val="000F14B4"/>
    <w:rsid w:val="000F75DF"/>
    <w:rsid w:val="001023DC"/>
    <w:rsid w:val="001122EA"/>
    <w:rsid w:val="001225BC"/>
    <w:rsid w:val="001328FA"/>
    <w:rsid w:val="00147AAF"/>
    <w:rsid w:val="001552C0"/>
    <w:rsid w:val="001640B1"/>
    <w:rsid w:val="0018435E"/>
    <w:rsid w:val="00184A4F"/>
    <w:rsid w:val="00185389"/>
    <w:rsid w:val="001A5D5A"/>
    <w:rsid w:val="002041A1"/>
    <w:rsid w:val="002054F0"/>
    <w:rsid w:val="00221A9A"/>
    <w:rsid w:val="00230D6B"/>
    <w:rsid w:val="00232068"/>
    <w:rsid w:val="002330F2"/>
    <w:rsid w:val="00243D9E"/>
    <w:rsid w:val="00253B66"/>
    <w:rsid w:val="00261DF1"/>
    <w:rsid w:val="00271F18"/>
    <w:rsid w:val="00282779"/>
    <w:rsid w:val="0028334D"/>
    <w:rsid w:val="002B7FFA"/>
    <w:rsid w:val="002C2BCF"/>
    <w:rsid w:val="002D1F90"/>
    <w:rsid w:val="002F279D"/>
    <w:rsid w:val="002F43B8"/>
    <w:rsid w:val="00303DFB"/>
    <w:rsid w:val="00307E42"/>
    <w:rsid w:val="0033627E"/>
    <w:rsid w:val="00336856"/>
    <w:rsid w:val="003429B4"/>
    <w:rsid w:val="0034554D"/>
    <w:rsid w:val="00352224"/>
    <w:rsid w:val="003617B7"/>
    <w:rsid w:val="00366F21"/>
    <w:rsid w:val="003671E6"/>
    <w:rsid w:val="00384272"/>
    <w:rsid w:val="00386D67"/>
    <w:rsid w:val="0039017F"/>
    <w:rsid w:val="003945B8"/>
    <w:rsid w:val="003C04F4"/>
    <w:rsid w:val="003C30FA"/>
    <w:rsid w:val="003D1659"/>
    <w:rsid w:val="003D7F29"/>
    <w:rsid w:val="003E53B4"/>
    <w:rsid w:val="003F7D25"/>
    <w:rsid w:val="00405A6B"/>
    <w:rsid w:val="00407B1F"/>
    <w:rsid w:val="0041184F"/>
    <w:rsid w:val="00414C57"/>
    <w:rsid w:val="0041758C"/>
    <w:rsid w:val="00434C63"/>
    <w:rsid w:val="004539DE"/>
    <w:rsid w:val="004873E7"/>
    <w:rsid w:val="004A2CF1"/>
    <w:rsid w:val="004C2402"/>
    <w:rsid w:val="004C3035"/>
    <w:rsid w:val="004C307F"/>
    <w:rsid w:val="004C5C6D"/>
    <w:rsid w:val="004E4BA8"/>
    <w:rsid w:val="004F340F"/>
    <w:rsid w:val="004F7B7C"/>
    <w:rsid w:val="00504665"/>
    <w:rsid w:val="0052243D"/>
    <w:rsid w:val="0052538F"/>
    <w:rsid w:val="00532435"/>
    <w:rsid w:val="00534AE3"/>
    <w:rsid w:val="00550354"/>
    <w:rsid w:val="00571236"/>
    <w:rsid w:val="00572086"/>
    <w:rsid w:val="005766DD"/>
    <w:rsid w:val="005953A1"/>
    <w:rsid w:val="005A4362"/>
    <w:rsid w:val="005A4A09"/>
    <w:rsid w:val="005B5434"/>
    <w:rsid w:val="005C3CEE"/>
    <w:rsid w:val="005D0332"/>
    <w:rsid w:val="005D0D8C"/>
    <w:rsid w:val="00626F41"/>
    <w:rsid w:val="00643557"/>
    <w:rsid w:val="00643EC8"/>
    <w:rsid w:val="00672F3E"/>
    <w:rsid w:val="006776AE"/>
    <w:rsid w:val="00682300"/>
    <w:rsid w:val="00695A39"/>
    <w:rsid w:val="006A0D97"/>
    <w:rsid w:val="006B1F86"/>
    <w:rsid w:val="006C0A91"/>
    <w:rsid w:val="006E340A"/>
    <w:rsid w:val="007054BB"/>
    <w:rsid w:val="00707064"/>
    <w:rsid w:val="007153A0"/>
    <w:rsid w:val="00716B28"/>
    <w:rsid w:val="00730683"/>
    <w:rsid w:val="0075261F"/>
    <w:rsid w:val="0075468E"/>
    <w:rsid w:val="007665D8"/>
    <w:rsid w:val="00766E36"/>
    <w:rsid w:val="007764B4"/>
    <w:rsid w:val="007765F4"/>
    <w:rsid w:val="00776633"/>
    <w:rsid w:val="00784D53"/>
    <w:rsid w:val="0079165C"/>
    <w:rsid w:val="00797797"/>
    <w:rsid w:val="007A63C9"/>
    <w:rsid w:val="007B32D1"/>
    <w:rsid w:val="007B7095"/>
    <w:rsid w:val="007C2418"/>
    <w:rsid w:val="007D24E1"/>
    <w:rsid w:val="007D45B5"/>
    <w:rsid w:val="007D6288"/>
    <w:rsid w:val="007F4CE9"/>
    <w:rsid w:val="007F4E20"/>
    <w:rsid w:val="00806316"/>
    <w:rsid w:val="00822C7E"/>
    <w:rsid w:val="008325E8"/>
    <w:rsid w:val="00840597"/>
    <w:rsid w:val="00847060"/>
    <w:rsid w:val="00847A36"/>
    <w:rsid w:val="00851562"/>
    <w:rsid w:val="00856A33"/>
    <w:rsid w:val="00860DCC"/>
    <w:rsid w:val="00863D0C"/>
    <w:rsid w:val="00890FBD"/>
    <w:rsid w:val="00892620"/>
    <w:rsid w:val="008B100F"/>
    <w:rsid w:val="008B1F4C"/>
    <w:rsid w:val="008C7D37"/>
    <w:rsid w:val="008D5885"/>
    <w:rsid w:val="00923FA2"/>
    <w:rsid w:val="00940C96"/>
    <w:rsid w:val="0096060D"/>
    <w:rsid w:val="00961E8D"/>
    <w:rsid w:val="00967555"/>
    <w:rsid w:val="00974A50"/>
    <w:rsid w:val="0097585A"/>
    <w:rsid w:val="009924B0"/>
    <w:rsid w:val="009942C9"/>
    <w:rsid w:val="009B35C4"/>
    <w:rsid w:val="009B4DC9"/>
    <w:rsid w:val="009C15FC"/>
    <w:rsid w:val="009C1A93"/>
    <w:rsid w:val="009C630A"/>
    <w:rsid w:val="009E0D98"/>
    <w:rsid w:val="00A068A1"/>
    <w:rsid w:val="00A1207D"/>
    <w:rsid w:val="00A12FD8"/>
    <w:rsid w:val="00A346FC"/>
    <w:rsid w:val="00A846F2"/>
    <w:rsid w:val="00A84F93"/>
    <w:rsid w:val="00A90208"/>
    <w:rsid w:val="00A95AA5"/>
    <w:rsid w:val="00AB1AC5"/>
    <w:rsid w:val="00AB3BFC"/>
    <w:rsid w:val="00AC4F2E"/>
    <w:rsid w:val="00AD0C37"/>
    <w:rsid w:val="00AD385F"/>
    <w:rsid w:val="00AE6E2A"/>
    <w:rsid w:val="00B03EAB"/>
    <w:rsid w:val="00B04523"/>
    <w:rsid w:val="00B232DB"/>
    <w:rsid w:val="00B264D4"/>
    <w:rsid w:val="00B31E9C"/>
    <w:rsid w:val="00B35595"/>
    <w:rsid w:val="00B409DF"/>
    <w:rsid w:val="00B51C6D"/>
    <w:rsid w:val="00B71DD9"/>
    <w:rsid w:val="00B83DD2"/>
    <w:rsid w:val="00B86D64"/>
    <w:rsid w:val="00BA4AC5"/>
    <w:rsid w:val="00BB1019"/>
    <w:rsid w:val="00BC1364"/>
    <w:rsid w:val="00BC2667"/>
    <w:rsid w:val="00BC7DE9"/>
    <w:rsid w:val="00BD23EE"/>
    <w:rsid w:val="00BF479B"/>
    <w:rsid w:val="00C02577"/>
    <w:rsid w:val="00C204FB"/>
    <w:rsid w:val="00C20BEE"/>
    <w:rsid w:val="00C2158D"/>
    <w:rsid w:val="00C33B3D"/>
    <w:rsid w:val="00C42CB5"/>
    <w:rsid w:val="00C67DD2"/>
    <w:rsid w:val="00C70619"/>
    <w:rsid w:val="00C725CB"/>
    <w:rsid w:val="00C76F5C"/>
    <w:rsid w:val="00C77DBE"/>
    <w:rsid w:val="00C87CEE"/>
    <w:rsid w:val="00C902E8"/>
    <w:rsid w:val="00C96BAD"/>
    <w:rsid w:val="00CA6944"/>
    <w:rsid w:val="00CB0B22"/>
    <w:rsid w:val="00CB0F8E"/>
    <w:rsid w:val="00CB7E7D"/>
    <w:rsid w:val="00CC2911"/>
    <w:rsid w:val="00CC2A4E"/>
    <w:rsid w:val="00CD0E39"/>
    <w:rsid w:val="00CD3A78"/>
    <w:rsid w:val="00CF0C6D"/>
    <w:rsid w:val="00CF2D3E"/>
    <w:rsid w:val="00CF7307"/>
    <w:rsid w:val="00CF7C68"/>
    <w:rsid w:val="00D124FA"/>
    <w:rsid w:val="00D3216E"/>
    <w:rsid w:val="00D340DE"/>
    <w:rsid w:val="00D55723"/>
    <w:rsid w:val="00D62FAD"/>
    <w:rsid w:val="00D64355"/>
    <w:rsid w:val="00D70450"/>
    <w:rsid w:val="00D83BFD"/>
    <w:rsid w:val="00D90A38"/>
    <w:rsid w:val="00D959DB"/>
    <w:rsid w:val="00DA0515"/>
    <w:rsid w:val="00DA171E"/>
    <w:rsid w:val="00DA56AA"/>
    <w:rsid w:val="00DB5833"/>
    <w:rsid w:val="00DD2858"/>
    <w:rsid w:val="00DE2B76"/>
    <w:rsid w:val="00DF5611"/>
    <w:rsid w:val="00E025CE"/>
    <w:rsid w:val="00E03E33"/>
    <w:rsid w:val="00E059E0"/>
    <w:rsid w:val="00E3642A"/>
    <w:rsid w:val="00E415C4"/>
    <w:rsid w:val="00E50016"/>
    <w:rsid w:val="00E50EAA"/>
    <w:rsid w:val="00E56ED6"/>
    <w:rsid w:val="00E656D6"/>
    <w:rsid w:val="00E977EE"/>
    <w:rsid w:val="00EA2F24"/>
    <w:rsid w:val="00EA6166"/>
    <w:rsid w:val="00EA67A2"/>
    <w:rsid w:val="00EB630F"/>
    <w:rsid w:val="00EB6B6F"/>
    <w:rsid w:val="00EC4F98"/>
    <w:rsid w:val="00F12F02"/>
    <w:rsid w:val="00F26A77"/>
    <w:rsid w:val="00F32E0D"/>
    <w:rsid w:val="00F35134"/>
    <w:rsid w:val="00F37B9C"/>
    <w:rsid w:val="00F41812"/>
    <w:rsid w:val="00F4372F"/>
    <w:rsid w:val="00F715D1"/>
    <w:rsid w:val="00F72715"/>
    <w:rsid w:val="00F73333"/>
    <w:rsid w:val="00F9177A"/>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386E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3"/>
    <w:next w:val="Normal"/>
    <w:link w:val="Heading2Char"/>
    <w:unhideWhenUsed/>
    <w:qFormat/>
    <w:locked/>
    <w:rsid w:val="005C3CEE"/>
    <w:pPr>
      <w:spacing w:before="120" w:after="120"/>
      <w:outlineLvl w:val="1"/>
    </w:pPr>
    <w:rPr>
      <w:rFonts w:ascii="Times New Roman" w:hAnsi="Times New Roman" w:cs="Times New Roman"/>
      <w:color w:val="auto"/>
      <w:szCs w:val="24"/>
    </w:rPr>
  </w:style>
  <w:style w:type="paragraph" w:styleId="Heading3">
    <w:name w:val="heading 3"/>
    <w:basedOn w:val="Normal"/>
    <w:next w:val="Normal"/>
    <w:link w:val="Heading3Char"/>
    <w:semiHidden/>
    <w:unhideWhenUsed/>
    <w:qFormat/>
    <w:locked/>
    <w:rsid w:val="001A5D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7764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C3CEE"/>
    <w:rPr>
      <w:rFonts w:eastAsiaTheme="majorEastAsia"/>
      <w:b/>
      <w:bCs/>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ExecutivesummaryChar">
    <w:name w:val="Executive summary Char"/>
    <w:basedOn w:val="DefaultParagraphFont"/>
    <w:link w:val="Executivesummary"/>
    <w:locked/>
    <w:rsid w:val="001122EA"/>
    <w:rPr>
      <w:rFonts w:ascii="Calibri" w:eastAsia="Times New Roman" w:hAnsi="Calibri" w:cs="Tahoma"/>
    </w:rPr>
  </w:style>
  <w:style w:type="paragraph" w:customStyle="1" w:styleId="Executivesummary">
    <w:name w:val="Executive summary"/>
    <w:basedOn w:val="Normal"/>
    <w:link w:val="ExecutivesummaryChar"/>
    <w:qFormat/>
    <w:rsid w:val="001122EA"/>
    <w:pPr>
      <w:widowControl w:val="0"/>
      <w:spacing w:before="120" w:after="120"/>
      <w:jc w:val="both"/>
    </w:pPr>
    <w:rPr>
      <w:rFonts w:ascii="Calibri" w:hAnsi="Calibri" w:cs="Tahoma"/>
      <w:sz w:val="22"/>
      <w:szCs w:val="22"/>
    </w:rPr>
  </w:style>
  <w:style w:type="paragraph" w:styleId="BodyText">
    <w:name w:val="Body Text"/>
    <w:basedOn w:val="Normal"/>
    <w:link w:val="BodyTextChar"/>
    <w:uiPriority w:val="1"/>
    <w:qFormat/>
    <w:rsid w:val="001122EA"/>
    <w:pPr>
      <w:spacing w:before="180" w:line="259" w:lineRule="auto"/>
    </w:pPr>
    <w:rPr>
      <w:szCs w:val="24"/>
    </w:rPr>
  </w:style>
  <w:style w:type="character" w:customStyle="1" w:styleId="BodyTextChar">
    <w:name w:val="Body Text Char"/>
    <w:basedOn w:val="DefaultParagraphFont"/>
    <w:link w:val="BodyText"/>
    <w:uiPriority w:val="1"/>
    <w:rsid w:val="001122EA"/>
    <w:rPr>
      <w:rFonts w:eastAsia="Times New Roman"/>
      <w:sz w:val="24"/>
      <w:szCs w:val="24"/>
    </w:rPr>
  </w:style>
  <w:style w:type="paragraph" w:customStyle="1" w:styleId="Tabletext">
    <w:name w:val="Table text"/>
    <w:basedOn w:val="Normal"/>
    <w:link w:val="TabletextChar"/>
    <w:qFormat/>
    <w:rsid w:val="001122EA"/>
    <w:rPr>
      <w:rFonts w:ascii="Arial Narrow" w:hAnsi="Arial Narrow"/>
      <w:sz w:val="20"/>
      <w:szCs w:val="24"/>
      <w:lang w:eastAsia="en-US"/>
    </w:rPr>
  </w:style>
  <w:style w:type="character" w:customStyle="1" w:styleId="TabletextChar">
    <w:name w:val="Table text Char"/>
    <w:basedOn w:val="DefaultParagraphFont"/>
    <w:link w:val="Tabletext"/>
    <w:rsid w:val="001122EA"/>
    <w:rPr>
      <w:rFonts w:ascii="Arial Narrow" w:eastAsia="Times New Roman" w:hAnsi="Arial Narrow"/>
      <w:sz w:val="20"/>
      <w:szCs w:val="24"/>
      <w:lang w:eastAsia="en-US"/>
    </w:rPr>
  </w:style>
  <w:style w:type="character" w:customStyle="1" w:styleId="TableTextChar0">
    <w:name w:val="Table Text Char"/>
    <w:link w:val="TableText0"/>
    <w:locked/>
    <w:rsid w:val="001122EA"/>
    <w:rPr>
      <w:rFonts w:ascii="Arial Narrow" w:eastAsia="Times New Roman" w:hAnsi="Arial Narrow" w:cs="Tahoma"/>
      <w:sz w:val="20"/>
    </w:rPr>
  </w:style>
  <w:style w:type="paragraph" w:customStyle="1" w:styleId="TableText0">
    <w:name w:val="Table Text"/>
    <w:basedOn w:val="Normal"/>
    <w:link w:val="TableTextChar0"/>
    <w:qFormat/>
    <w:rsid w:val="001122EA"/>
    <w:pPr>
      <w:keepNext/>
      <w:spacing w:before="40" w:after="40"/>
    </w:pPr>
    <w:rPr>
      <w:rFonts w:ascii="Arial Narrow" w:hAnsi="Arial Narrow" w:cs="Tahoma"/>
      <w:sz w:val="20"/>
      <w:szCs w:val="22"/>
    </w:rPr>
  </w:style>
  <w:style w:type="paragraph" w:customStyle="1" w:styleId="Caption1">
    <w:name w:val="Caption1"/>
    <w:basedOn w:val="Caption"/>
    <w:link w:val="captionChar"/>
    <w:qFormat/>
    <w:rsid w:val="001122EA"/>
    <w:pPr>
      <w:keepNext/>
      <w:spacing w:after="120"/>
      <w:ind w:left="1077" w:hanging="1077"/>
      <w:jc w:val="both"/>
    </w:pPr>
    <w:rPr>
      <w:rFonts w:ascii="Arial Narrow" w:hAnsi="Arial Narrow" w:cs="Tahoma"/>
      <w:color w:val="auto"/>
      <w:sz w:val="20"/>
      <w:szCs w:val="22"/>
    </w:rPr>
  </w:style>
  <w:style w:type="character" w:customStyle="1" w:styleId="captionChar">
    <w:name w:val="caption Char"/>
    <w:basedOn w:val="DefaultParagraphFont"/>
    <w:link w:val="Caption1"/>
    <w:rsid w:val="001122EA"/>
    <w:rPr>
      <w:rFonts w:ascii="Arial Narrow" w:eastAsia="Times New Roman" w:hAnsi="Arial Narrow" w:cs="Tahoma"/>
      <w:b/>
      <w:bCs/>
      <w:sz w:val="20"/>
    </w:rPr>
  </w:style>
  <w:style w:type="paragraph" w:customStyle="1" w:styleId="BodyText0">
    <w:name w:val="BodyText"/>
    <w:basedOn w:val="Normal"/>
    <w:link w:val="BodyTextChar0"/>
    <w:qFormat/>
    <w:rsid w:val="001122EA"/>
    <w:pPr>
      <w:spacing w:before="120" w:after="240" w:line="288" w:lineRule="auto"/>
      <w:jc w:val="both"/>
    </w:pPr>
    <w:rPr>
      <w:rFonts w:ascii="Calibri" w:hAnsi="Calibri" w:cs="Tahoma"/>
      <w:sz w:val="22"/>
      <w:szCs w:val="22"/>
    </w:rPr>
  </w:style>
  <w:style w:type="character" w:customStyle="1" w:styleId="BodyTextChar0">
    <w:name w:val="BodyText Char"/>
    <w:basedOn w:val="DefaultParagraphFont"/>
    <w:link w:val="BodyText0"/>
    <w:rsid w:val="001122EA"/>
    <w:rPr>
      <w:rFonts w:ascii="Calibri" w:eastAsia="Times New Roman" w:hAnsi="Calibri" w:cs="Tahoma"/>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 Char1 Char Char Char1 Char"/>
    <w:basedOn w:val="Normal"/>
    <w:next w:val="Normal"/>
    <w:link w:val="CaptionChar0"/>
    <w:unhideWhenUsed/>
    <w:qFormat/>
    <w:locked/>
    <w:rsid w:val="001122EA"/>
    <w:pPr>
      <w:spacing w:after="200"/>
    </w:pPr>
    <w:rPr>
      <w:b/>
      <w:bCs/>
      <w:color w:val="4F81BD" w:themeColor="accent1"/>
      <w:sz w:val="18"/>
      <w:szCs w:val="18"/>
    </w:rPr>
  </w:style>
  <w:style w:type="character" w:customStyle="1" w:styleId="CaptionChar0">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1122EA"/>
    <w:rPr>
      <w:rFonts w:eastAsia="Times New Roman"/>
      <w:b/>
      <w:bCs/>
      <w:color w:val="4F81BD" w:themeColor="accent1"/>
      <w:sz w:val="18"/>
      <w:szCs w:val="18"/>
    </w:rPr>
  </w:style>
  <w:style w:type="character" w:customStyle="1" w:styleId="Heading4Char">
    <w:name w:val="Heading 4 Char"/>
    <w:basedOn w:val="DefaultParagraphFont"/>
    <w:link w:val="Heading4"/>
    <w:uiPriority w:val="9"/>
    <w:rsid w:val="007764B4"/>
    <w:rPr>
      <w:rFonts w:asciiTheme="majorHAnsi" w:eastAsiaTheme="majorEastAsia" w:hAnsiTheme="majorHAnsi" w:cstheme="majorBidi"/>
      <w:b/>
      <w:bCs/>
      <w:i/>
      <w:iCs/>
      <w:color w:val="4F81BD" w:themeColor="accent1"/>
      <w:sz w:val="24"/>
      <w:szCs w:val="20"/>
    </w:rPr>
  </w:style>
  <w:style w:type="paragraph" w:customStyle="1" w:styleId="Tablenotes">
    <w:name w:val="Tablenotes"/>
    <w:basedOn w:val="Normal"/>
    <w:link w:val="TablenotesChar"/>
    <w:autoRedefine/>
    <w:qFormat/>
    <w:rsid w:val="00CC2A4E"/>
    <w:pPr>
      <w:widowControl w:val="0"/>
      <w:spacing w:before="240" w:after="240"/>
      <w:contextualSpacing/>
    </w:pPr>
    <w:rPr>
      <w:snapToGrid w:val="0"/>
      <w:szCs w:val="24"/>
      <w:lang w:eastAsia="en-US"/>
    </w:rPr>
  </w:style>
  <w:style w:type="character" w:customStyle="1" w:styleId="TablenotesChar">
    <w:name w:val="Tablenotes Char"/>
    <w:basedOn w:val="DefaultParagraphFont"/>
    <w:link w:val="Tablenotes"/>
    <w:rsid w:val="00CC2A4E"/>
    <w:rPr>
      <w:rFonts w:eastAsia="Times New Roman"/>
      <w:snapToGrid w:val="0"/>
      <w:sz w:val="24"/>
      <w:szCs w:val="24"/>
      <w:lang w:eastAsia="en-US"/>
    </w:rPr>
  </w:style>
  <w:style w:type="table" w:customStyle="1" w:styleId="TableGrid2">
    <w:name w:val="Table Grid2"/>
    <w:basedOn w:val="TableNormal"/>
    <w:next w:val="TableGrid"/>
    <w:rsid w:val="007764B4"/>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styleId="TableGrid">
    <w:name w:val="Table Grid"/>
    <w:aliases w:val="Summary box,Table Gridbeth"/>
    <w:basedOn w:val="TableNormal"/>
    <w:uiPriority w:val="59"/>
    <w:locked/>
    <w:rsid w:val="00776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A5D5A"/>
    <w:rPr>
      <w:rFonts w:asciiTheme="majorHAnsi" w:eastAsiaTheme="majorEastAsia" w:hAnsiTheme="majorHAnsi" w:cstheme="majorBidi"/>
      <w:b/>
      <w:bCs/>
      <w:color w:val="4F81BD" w:themeColor="accent1"/>
      <w:sz w:val="24"/>
      <w:szCs w:val="20"/>
    </w:rPr>
  </w:style>
  <w:style w:type="paragraph" w:customStyle="1" w:styleId="TableHeading">
    <w:name w:val="TableHeading"/>
    <w:basedOn w:val="Normal"/>
    <w:link w:val="TableHeadingChar"/>
    <w:qFormat/>
    <w:rsid w:val="00851562"/>
    <w:pPr>
      <w:keepNext/>
      <w:spacing w:before="40" w:after="40"/>
    </w:pPr>
    <w:rPr>
      <w:rFonts w:ascii="Arial Narrow" w:hAnsi="Arial Narrow" w:cs="Tahoma"/>
      <w:b/>
      <w:sz w:val="20"/>
    </w:rPr>
  </w:style>
  <w:style w:type="character" w:customStyle="1" w:styleId="TableHeadingChar">
    <w:name w:val="TableHeading Char"/>
    <w:link w:val="TableHeading"/>
    <w:rsid w:val="00851562"/>
    <w:rPr>
      <w:rFonts w:ascii="Arial Narrow" w:eastAsia="Times New Roman" w:hAnsi="Arial Narrow" w:cs="Tahoma"/>
      <w:b/>
      <w:sz w:val="20"/>
      <w:szCs w:val="20"/>
    </w:rPr>
  </w:style>
  <w:style w:type="character" w:customStyle="1" w:styleId="TableBold">
    <w:name w:val="Table Bold"/>
    <w:uiPriority w:val="4"/>
    <w:qFormat/>
    <w:rsid w:val="00B71DD9"/>
    <w:rPr>
      <w:rFonts w:ascii="Calibri" w:hAnsi="Calibri" w:hint="default"/>
      <w:b/>
      <w:bCs w:val="0"/>
      <w:sz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Heading3"/>
    <w:next w:val="Normal"/>
    <w:link w:val="Heading2Char"/>
    <w:unhideWhenUsed/>
    <w:qFormat/>
    <w:locked/>
    <w:rsid w:val="005C3CEE"/>
    <w:pPr>
      <w:spacing w:before="120" w:after="120"/>
      <w:outlineLvl w:val="1"/>
    </w:pPr>
    <w:rPr>
      <w:rFonts w:ascii="Times New Roman" w:hAnsi="Times New Roman" w:cs="Times New Roman"/>
      <w:color w:val="auto"/>
      <w:szCs w:val="24"/>
    </w:rPr>
  </w:style>
  <w:style w:type="paragraph" w:styleId="Heading3">
    <w:name w:val="heading 3"/>
    <w:basedOn w:val="Normal"/>
    <w:next w:val="Normal"/>
    <w:link w:val="Heading3Char"/>
    <w:semiHidden/>
    <w:unhideWhenUsed/>
    <w:qFormat/>
    <w:locked/>
    <w:rsid w:val="001A5D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7764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5C3CEE"/>
    <w:rPr>
      <w:rFonts w:eastAsiaTheme="majorEastAsia"/>
      <w:b/>
      <w:bCs/>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character" w:customStyle="1" w:styleId="ExecutivesummaryChar">
    <w:name w:val="Executive summary Char"/>
    <w:basedOn w:val="DefaultParagraphFont"/>
    <w:link w:val="Executivesummary"/>
    <w:locked/>
    <w:rsid w:val="001122EA"/>
    <w:rPr>
      <w:rFonts w:ascii="Calibri" w:eastAsia="Times New Roman" w:hAnsi="Calibri" w:cs="Tahoma"/>
    </w:rPr>
  </w:style>
  <w:style w:type="paragraph" w:customStyle="1" w:styleId="Executivesummary">
    <w:name w:val="Executive summary"/>
    <w:basedOn w:val="Normal"/>
    <w:link w:val="ExecutivesummaryChar"/>
    <w:qFormat/>
    <w:rsid w:val="001122EA"/>
    <w:pPr>
      <w:widowControl w:val="0"/>
      <w:spacing w:before="120" w:after="120"/>
      <w:jc w:val="both"/>
    </w:pPr>
    <w:rPr>
      <w:rFonts w:ascii="Calibri" w:hAnsi="Calibri" w:cs="Tahoma"/>
      <w:sz w:val="22"/>
      <w:szCs w:val="22"/>
    </w:rPr>
  </w:style>
  <w:style w:type="paragraph" w:styleId="BodyText">
    <w:name w:val="Body Text"/>
    <w:basedOn w:val="Normal"/>
    <w:link w:val="BodyTextChar"/>
    <w:uiPriority w:val="1"/>
    <w:qFormat/>
    <w:rsid w:val="001122EA"/>
    <w:pPr>
      <w:spacing w:before="180" w:line="259" w:lineRule="auto"/>
    </w:pPr>
    <w:rPr>
      <w:szCs w:val="24"/>
    </w:rPr>
  </w:style>
  <w:style w:type="character" w:customStyle="1" w:styleId="BodyTextChar">
    <w:name w:val="Body Text Char"/>
    <w:basedOn w:val="DefaultParagraphFont"/>
    <w:link w:val="BodyText"/>
    <w:uiPriority w:val="1"/>
    <w:rsid w:val="001122EA"/>
    <w:rPr>
      <w:rFonts w:eastAsia="Times New Roman"/>
      <w:sz w:val="24"/>
      <w:szCs w:val="24"/>
    </w:rPr>
  </w:style>
  <w:style w:type="paragraph" w:customStyle="1" w:styleId="Tabletext">
    <w:name w:val="Table text"/>
    <w:basedOn w:val="Normal"/>
    <w:link w:val="TabletextChar"/>
    <w:qFormat/>
    <w:rsid w:val="001122EA"/>
    <w:rPr>
      <w:rFonts w:ascii="Arial Narrow" w:hAnsi="Arial Narrow"/>
      <w:sz w:val="20"/>
      <w:szCs w:val="24"/>
      <w:lang w:eastAsia="en-US"/>
    </w:rPr>
  </w:style>
  <w:style w:type="character" w:customStyle="1" w:styleId="TabletextChar">
    <w:name w:val="Table text Char"/>
    <w:basedOn w:val="DefaultParagraphFont"/>
    <w:link w:val="Tabletext"/>
    <w:rsid w:val="001122EA"/>
    <w:rPr>
      <w:rFonts w:ascii="Arial Narrow" w:eastAsia="Times New Roman" w:hAnsi="Arial Narrow"/>
      <w:sz w:val="20"/>
      <w:szCs w:val="24"/>
      <w:lang w:eastAsia="en-US"/>
    </w:rPr>
  </w:style>
  <w:style w:type="character" w:customStyle="1" w:styleId="TableTextChar0">
    <w:name w:val="Table Text Char"/>
    <w:link w:val="TableText0"/>
    <w:locked/>
    <w:rsid w:val="001122EA"/>
    <w:rPr>
      <w:rFonts w:ascii="Arial Narrow" w:eastAsia="Times New Roman" w:hAnsi="Arial Narrow" w:cs="Tahoma"/>
      <w:sz w:val="20"/>
    </w:rPr>
  </w:style>
  <w:style w:type="paragraph" w:customStyle="1" w:styleId="TableText0">
    <w:name w:val="Table Text"/>
    <w:basedOn w:val="Normal"/>
    <w:link w:val="TableTextChar0"/>
    <w:qFormat/>
    <w:rsid w:val="001122EA"/>
    <w:pPr>
      <w:keepNext/>
      <w:spacing w:before="40" w:after="40"/>
    </w:pPr>
    <w:rPr>
      <w:rFonts w:ascii="Arial Narrow" w:hAnsi="Arial Narrow" w:cs="Tahoma"/>
      <w:sz w:val="20"/>
      <w:szCs w:val="22"/>
    </w:rPr>
  </w:style>
  <w:style w:type="paragraph" w:customStyle="1" w:styleId="Caption1">
    <w:name w:val="Caption1"/>
    <w:basedOn w:val="Caption"/>
    <w:link w:val="captionChar"/>
    <w:qFormat/>
    <w:rsid w:val="001122EA"/>
    <w:pPr>
      <w:keepNext/>
      <w:spacing w:after="120"/>
      <w:ind w:left="1077" w:hanging="1077"/>
      <w:jc w:val="both"/>
    </w:pPr>
    <w:rPr>
      <w:rFonts w:ascii="Arial Narrow" w:hAnsi="Arial Narrow" w:cs="Tahoma"/>
      <w:color w:val="auto"/>
      <w:sz w:val="20"/>
      <w:szCs w:val="22"/>
    </w:rPr>
  </w:style>
  <w:style w:type="character" w:customStyle="1" w:styleId="captionChar">
    <w:name w:val="caption Char"/>
    <w:basedOn w:val="DefaultParagraphFont"/>
    <w:link w:val="Caption1"/>
    <w:rsid w:val="001122EA"/>
    <w:rPr>
      <w:rFonts w:ascii="Arial Narrow" w:eastAsia="Times New Roman" w:hAnsi="Arial Narrow" w:cs="Tahoma"/>
      <w:b/>
      <w:bCs/>
      <w:sz w:val="20"/>
    </w:rPr>
  </w:style>
  <w:style w:type="paragraph" w:customStyle="1" w:styleId="BodyText0">
    <w:name w:val="BodyText"/>
    <w:basedOn w:val="Normal"/>
    <w:link w:val="BodyTextChar0"/>
    <w:qFormat/>
    <w:rsid w:val="001122EA"/>
    <w:pPr>
      <w:spacing w:before="120" w:after="240" w:line="288" w:lineRule="auto"/>
      <w:jc w:val="both"/>
    </w:pPr>
    <w:rPr>
      <w:rFonts w:ascii="Calibri" w:hAnsi="Calibri" w:cs="Tahoma"/>
      <w:sz w:val="22"/>
      <w:szCs w:val="22"/>
    </w:rPr>
  </w:style>
  <w:style w:type="character" w:customStyle="1" w:styleId="BodyTextChar0">
    <w:name w:val="BodyText Char"/>
    <w:basedOn w:val="DefaultParagraphFont"/>
    <w:link w:val="BodyText0"/>
    <w:rsid w:val="001122EA"/>
    <w:rPr>
      <w:rFonts w:ascii="Calibri" w:eastAsia="Times New Roman" w:hAnsi="Calibri" w:cs="Tahoma"/>
    </w:rPr>
  </w:style>
  <w:style w:type="paragraph" w:styleId="Caption">
    <w:name w:val="caption"/>
    <w:aliases w:val="Bayer Caption,IB Caption,Medical Caption,CSR Caption,Table and Figure Name,Table and Figure name,Caption Char2 Char,Caption Char Char Char2,Caption Char1 Char Char Char1,Caption Char2 Char Char Char1 Char1,Caption Char Char1 Char Char Char1 Char"/>
    <w:basedOn w:val="Normal"/>
    <w:next w:val="Normal"/>
    <w:link w:val="CaptionChar0"/>
    <w:unhideWhenUsed/>
    <w:qFormat/>
    <w:locked/>
    <w:rsid w:val="001122EA"/>
    <w:pPr>
      <w:spacing w:after="200"/>
    </w:pPr>
    <w:rPr>
      <w:b/>
      <w:bCs/>
      <w:color w:val="4F81BD" w:themeColor="accent1"/>
      <w:sz w:val="18"/>
      <w:szCs w:val="18"/>
    </w:rPr>
  </w:style>
  <w:style w:type="character" w:customStyle="1" w:styleId="CaptionChar0">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1122EA"/>
    <w:rPr>
      <w:rFonts w:eastAsia="Times New Roman"/>
      <w:b/>
      <w:bCs/>
      <w:color w:val="4F81BD" w:themeColor="accent1"/>
      <w:sz w:val="18"/>
      <w:szCs w:val="18"/>
    </w:rPr>
  </w:style>
  <w:style w:type="character" w:customStyle="1" w:styleId="Heading4Char">
    <w:name w:val="Heading 4 Char"/>
    <w:basedOn w:val="DefaultParagraphFont"/>
    <w:link w:val="Heading4"/>
    <w:uiPriority w:val="9"/>
    <w:rsid w:val="007764B4"/>
    <w:rPr>
      <w:rFonts w:asciiTheme="majorHAnsi" w:eastAsiaTheme="majorEastAsia" w:hAnsiTheme="majorHAnsi" w:cstheme="majorBidi"/>
      <w:b/>
      <w:bCs/>
      <w:i/>
      <w:iCs/>
      <w:color w:val="4F81BD" w:themeColor="accent1"/>
      <w:sz w:val="24"/>
      <w:szCs w:val="20"/>
    </w:rPr>
  </w:style>
  <w:style w:type="paragraph" w:customStyle="1" w:styleId="Tablenotes">
    <w:name w:val="Tablenotes"/>
    <w:basedOn w:val="Normal"/>
    <w:link w:val="TablenotesChar"/>
    <w:autoRedefine/>
    <w:qFormat/>
    <w:rsid w:val="00CC2A4E"/>
    <w:pPr>
      <w:widowControl w:val="0"/>
      <w:spacing w:before="240" w:after="240"/>
      <w:contextualSpacing/>
    </w:pPr>
    <w:rPr>
      <w:snapToGrid w:val="0"/>
      <w:szCs w:val="24"/>
      <w:lang w:eastAsia="en-US"/>
    </w:rPr>
  </w:style>
  <w:style w:type="character" w:customStyle="1" w:styleId="TablenotesChar">
    <w:name w:val="Tablenotes Char"/>
    <w:basedOn w:val="DefaultParagraphFont"/>
    <w:link w:val="Tablenotes"/>
    <w:rsid w:val="00CC2A4E"/>
    <w:rPr>
      <w:rFonts w:eastAsia="Times New Roman"/>
      <w:snapToGrid w:val="0"/>
      <w:sz w:val="24"/>
      <w:szCs w:val="24"/>
      <w:lang w:eastAsia="en-US"/>
    </w:rPr>
  </w:style>
  <w:style w:type="table" w:customStyle="1" w:styleId="TableGrid2">
    <w:name w:val="Table Grid2"/>
    <w:basedOn w:val="TableNormal"/>
    <w:next w:val="TableGrid"/>
    <w:rsid w:val="007764B4"/>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table" w:styleId="TableGrid">
    <w:name w:val="Table Grid"/>
    <w:aliases w:val="Summary box,Table Gridbeth"/>
    <w:basedOn w:val="TableNormal"/>
    <w:uiPriority w:val="59"/>
    <w:locked/>
    <w:rsid w:val="00776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1A5D5A"/>
    <w:rPr>
      <w:rFonts w:asciiTheme="majorHAnsi" w:eastAsiaTheme="majorEastAsia" w:hAnsiTheme="majorHAnsi" w:cstheme="majorBidi"/>
      <w:b/>
      <w:bCs/>
      <w:color w:val="4F81BD" w:themeColor="accent1"/>
      <w:sz w:val="24"/>
      <w:szCs w:val="20"/>
    </w:rPr>
  </w:style>
  <w:style w:type="paragraph" w:customStyle="1" w:styleId="TableHeading">
    <w:name w:val="TableHeading"/>
    <w:basedOn w:val="Normal"/>
    <w:link w:val="TableHeadingChar"/>
    <w:qFormat/>
    <w:rsid w:val="00851562"/>
    <w:pPr>
      <w:keepNext/>
      <w:spacing w:before="40" w:after="40"/>
    </w:pPr>
    <w:rPr>
      <w:rFonts w:ascii="Arial Narrow" w:hAnsi="Arial Narrow" w:cs="Tahoma"/>
      <w:b/>
      <w:sz w:val="20"/>
    </w:rPr>
  </w:style>
  <w:style w:type="character" w:customStyle="1" w:styleId="TableHeadingChar">
    <w:name w:val="TableHeading Char"/>
    <w:link w:val="TableHeading"/>
    <w:rsid w:val="00851562"/>
    <w:rPr>
      <w:rFonts w:ascii="Arial Narrow" w:eastAsia="Times New Roman" w:hAnsi="Arial Narrow" w:cs="Tahoma"/>
      <w:b/>
      <w:sz w:val="20"/>
      <w:szCs w:val="20"/>
    </w:rPr>
  </w:style>
  <w:style w:type="character" w:customStyle="1" w:styleId="TableBold">
    <w:name w:val="Table Bold"/>
    <w:uiPriority w:val="4"/>
    <w:qFormat/>
    <w:rsid w:val="00B71DD9"/>
    <w:rPr>
      <w:rFonts w:ascii="Calibri" w:hAnsi="Calibri" w:hint="default"/>
      <w:b/>
      <w:bCs w:val="0"/>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1483-public"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sac.gov.au/internet/msac/publishing.nsf/Content/1483-publi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sac.gov.au/"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51EA3-158D-4C85-858B-97E03952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6121</Words>
  <Characters>35436</Characters>
  <Application>Microsoft Office Word</Application>
  <DocSecurity>0</DocSecurity>
  <Lines>295</Lines>
  <Paragraphs>82</Paragraphs>
  <ScaleCrop>false</ScaleCrop>
  <Company/>
  <LinksUpToDate>false</LinksUpToDate>
  <CharactersWithSpaces>41475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1496-Final-PSD</dc:title>
  <dc:creator/>
  <cp:lastModifiedBy/>
  <cp:revision>1</cp:revision>
  <dcterms:created xsi:type="dcterms:W3CDTF">2018-02-28T02:03:00Z</dcterms:created>
  <dcterms:modified xsi:type="dcterms:W3CDTF">2018-02-28T02:05:00Z</dcterms:modified>
</cp:coreProperties>
</file>