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91196"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3D82730" wp14:editId="1664190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3A4A12D"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DC81496" w14:textId="63F3F8FD" w:rsidR="00BC1364" w:rsidRPr="00F715D1" w:rsidRDefault="00BC1364" w:rsidP="00F715D1">
      <w:pPr>
        <w:pStyle w:val="Subtitle"/>
      </w:pPr>
      <w:r w:rsidRPr="00F715D1">
        <w:t xml:space="preserve">Application No. </w:t>
      </w:r>
      <w:r w:rsidR="00F878CB">
        <w:t>1516</w:t>
      </w:r>
      <w:r w:rsidRPr="00F715D1">
        <w:t xml:space="preserve"> – </w:t>
      </w:r>
      <w:r w:rsidR="00F878CB">
        <w:t xml:space="preserve">Testing for epidermal growth factor receptor (EGFR) status in patients with locally advanced or metastatic </w:t>
      </w:r>
      <w:r w:rsidR="00703059">
        <w:br/>
      </w:r>
      <w:r w:rsidR="00F878CB">
        <w:t>non-small cell lung cancer (NSCLC) to determine</w:t>
      </w:r>
      <w:r w:rsidR="00703059">
        <w:br/>
      </w:r>
      <w:r w:rsidR="00F878CB">
        <w:t xml:space="preserve"> eligibility for osimertinib</w:t>
      </w:r>
    </w:p>
    <w:p w14:paraId="3FCAA525" w14:textId="07913042"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F878CB">
        <w:rPr>
          <w:rFonts w:ascii="Arial" w:hAnsi="Arial" w:cs="Arial"/>
          <w:b/>
          <w:szCs w:val="24"/>
        </w:rPr>
        <w:t>AstraZeneca</w:t>
      </w:r>
      <w:r w:rsidR="00703059">
        <w:rPr>
          <w:rFonts w:ascii="Arial" w:hAnsi="Arial" w:cs="Arial"/>
          <w:b/>
          <w:szCs w:val="24"/>
        </w:rPr>
        <w:t xml:space="preserve"> Pty Ltd</w:t>
      </w:r>
    </w:p>
    <w:p w14:paraId="5C2E506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77D0A3EA"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1A2D2FF0" w14:textId="4125900B" w:rsidR="003D7F29" w:rsidRPr="00F715D1" w:rsidRDefault="003D7F29" w:rsidP="00F715D1">
      <w:pPr>
        <w:pStyle w:val="Heading1"/>
      </w:pPr>
      <w:r w:rsidRPr="00F715D1">
        <w:t>Purpose of application</w:t>
      </w:r>
    </w:p>
    <w:p w14:paraId="5294BB44" w14:textId="77777777" w:rsidR="00CA2D3B" w:rsidRDefault="00CA2D3B" w:rsidP="00CA2D3B">
      <w:pPr>
        <w:spacing w:after="120"/>
        <w:rPr>
          <w:iCs/>
          <w:szCs w:val="24"/>
        </w:rPr>
      </w:pPr>
      <w:r w:rsidRPr="00577F2C">
        <w:rPr>
          <w:iCs/>
          <w:szCs w:val="24"/>
        </w:rPr>
        <w:t xml:space="preserve">An </w:t>
      </w:r>
      <w:r>
        <w:rPr>
          <w:iCs/>
          <w:szCs w:val="24"/>
        </w:rPr>
        <w:t xml:space="preserve">application for a streamlined codependent </w:t>
      </w:r>
      <w:r>
        <w:t xml:space="preserve">consideration </w:t>
      </w:r>
      <w:r>
        <w:rPr>
          <w:iCs/>
          <w:szCs w:val="24"/>
        </w:rPr>
        <w:t>requested:</w:t>
      </w:r>
    </w:p>
    <w:p w14:paraId="2EE0F892" w14:textId="7A0FACFE" w:rsidR="00CA2D3B" w:rsidRDefault="00CA2D3B" w:rsidP="00CA2D3B">
      <w:pPr>
        <w:pStyle w:val="ListParagraph"/>
        <w:numPr>
          <w:ilvl w:val="0"/>
          <w:numId w:val="25"/>
        </w:numPr>
        <w:spacing w:after="240"/>
        <w:rPr>
          <w:iCs/>
          <w:szCs w:val="24"/>
        </w:rPr>
      </w:pPr>
      <w:bookmarkStart w:id="1" w:name="_Hlk36038391"/>
      <w:r w:rsidRPr="00CA2D3B">
        <w:rPr>
          <w:iCs/>
          <w:szCs w:val="24"/>
        </w:rPr>
        <w:t>Pharmaceutical Benefits Schedule (PBS) listing of osimertinib for the first-line treatment of patients with locally advanced or metastatic, epidermal growth factor receptor mutation positive (</w:t>
      </w:r>
      <w:r w:rsidRPr="00CA2D3B">
        <w:rPr>
          <w:i/>
          <w:iCs/>
          <w:szCs w:val="24"/>
        </w:rPr>
        <w:t>EGFR</w:t>
      </w:r>
      <w:r w:rsidRPr="00CA2D3B">
        <w:rPr>
          <w:iCs/>
          <w:szCs w:val="24"/>
        </w:rPr>
        <w:t>m), non</w:t>
      </w:r>
      <w:r w:rsidR="00580A88">
        <w:rPr>
          <w:iCs/>
          <w:szCs w:val="24"/>
        </w:rPr>
        <w:t>-small cell lung cancer (NSCLC)</w:t>
      </w:r>
    </w:p>
    <w:p w14:paraId="07ACBCDA" w14:textId="76D68E0A" w:rsidR="00CA2D3B" w:rsidRDefault="00CA2D3B" w:rsidP="00CA2D3B">
      <w:pPr>
        <w:pStyle w:val="ListParagraph"/>
        <w:numPr>
          <w:ilvl w:val="0"/>
          <w:numId w:val="25"/>
        </w:numPr>
        <w:spacing w:after="240"/>
        <w:rPr>
          <w:iCs/>
          <w:szCs w:val="24"/>
        </w:rPr>
      </w:pPr>
      <w:r>
        <w:rPr>
          <w:iCs/>
          <w:szCs w:val="24"/>
        </w:rPr>
        <w:t xml:space="preserve">an </w:t>
      </w:r>
      <w:r w:rsidRPr="00577F2C">
        <w:rPr>
          <w:iCs/>
          <w:szCs w:val="24"/>
        </w:rPr>
        <w:t xml:space="preserve">amendment of </w:t>
      </w:r>
      <w:r w:rsidRPr="00CA2D3B">
        <w:rPr>
          <w:iCs/>
          <w:szCs w:val="24"/>
        </w:rPr>
        <w:t xml:space="preserve">Medicare Benefits Schedule (MBS) </w:t>
      </w:r>
      <w:r w:rsidR="00465B7B" w:rsidRPr="00CA2D3B">
        <w:rPr>
          <w:iCs/>
          <w:szCs w:val="24"/>
        </w:rPr>
        <w:t>i</w:t>
      </w:r>
      <w:r w:rsidRPr="00CA2D3B">
        <w:rPr>
          <w:iCs/>
          <w:szCs w:val="24"/>
        </w:rPr>
        <w:t>tem 73337 to include osi</w:t>
      </w:r>
      <w:r>
        <w:rPr>
          <w:iCs/>
          <w:szCs w:val="24"/>
        </w:rPr>
        <w:t xml:space="preserve">mertinib in the list of </w:t>
      </w:r>
      <w:r w:rsidRPr="00CA2D3B">
        <w:rPr>
          <w:iCs/>
          <w:szCs w:val="24"/>
        </w:rPr>
        <w:t xml:space="preserve">EGFR </w:t>
      </w:r>
      <w:r>
        <w:rPr>
          <w:iCs/>
          <w:szCs w:val="24"/>
        </w:rPr>
        <w:t>t</w:t>
      </w:r>
      <w:r w:rsidRPr="00CA2D3B">
        <w:rPr>
          <w:iCs/>
          <w:szCs w:val="24"/>
        </w:rPr>
        <w:t>yrosine kinase inhibitors</w:t>
      </w:r>
      <w:r>
        <w:rPr>
          <w:iCs/>
          <w:szCs w:val="24"/>
        </w:rPr>
        <w:t xml:space="preserve"> (TKI)</w:t>
      </w:r>
      <w:r w:rsidRPr="00CA2D3B">
        <w:rPr>
          <w:iCs/>
          <w:szCs w:val="24"/>
        </w:rPr>
        <w:t xml:space="preserve"> agents for which </w:t>
      </w:r>
      <w:r w:rsidRPr="00CA2D3B">
        <w:rPr>
          <w:i/>
          <w:iCs/>
          <w:szCs w:val="24"/>
        </w:rPr>
        <w:t>EGFR</w:t>
      </w:r>
      <w:r w:rsidRPr="00CA2D3B">
        <w:rPr>
          <w:iCs/>
          <w:szCs w:val="24"/>
        </w:rPr>
        <w:t xml:space="preserve"> mutation testing can be used to determine eligibility for access to PBS subsidised treatment.</w:t>
      </w:r>
    </w:p>
    <w:bookmarkEnd w:id="1"/>
    <w:p w14:paraId="08D5B970" w14:textId="77777777" w:rsidR="00E977EE" w:rsidRPr="00F715D1" w:rsidRDefault="00E977EE" w:rsidP="00F715D1">
      <w:pPr>
        <w:pStyle w:val="Heading1"/>
      </w:pPr>
      <w:r w:rsidRPr="00F715D1">
        <w:t>MSAC’s advice to the Minister</w:t>
      </w:r>
    </w:p>
    <w:p w14:paraId="4FE4F96C" w14:textId="0EBAF4F6" w:rsidR="00A65D84" w:rsidRDefault="00A65D84" w:rsidP="00A65D84">
      <w:r w:rsidRPr="00C07E76">
        <w:t xml:space="preserve">In alignment with the extended </w:t>
      </w:r>
      <w:r w:rsidRPr="00A05A5D">
        <w:t xml:space="preserve">Pharmaceutical Benefits Scheme (PBS) </w:t>
      </w:r>
      <w:r w:rsidRPr="00C07E76">
        <w:t xml:space="preserve">listing of osimertinib as recommended by the </w:t>
      </w:r>
      <w:r w:rsidRPr="00C3362A">
        <w:t xml:space="preserve">Pharmaceutical Benefits Advisory Committee (PBAC) </w:t>
      </w:r>
      <w:r w:rsidRPr="00C07E76">
        <w:t xml:space="preserve">in July 2020, MSAC supported the modification of existing </w:t>
      </w:r>
      <w:r w:rsidRPr="00C3362A">
        <w:t xml:space="preserve">Medicare Benefits Schedule (MBS) </w:t>
      </w:r>
      <w:r w:rsidRPr="00C07E76">
        <w:t>item</w:t>
      </w:r>
      <w:r>
        <w:t xml:space="preserve"> number </w:t>
      </w:r>
      <w:r w:rsidRPr="00C07E76">
        <w:t>73337 to include this medicine by replacing the identified medicines with the drug class name of “EGFR tyrosine kinase inhibitor”.</w:t>
      </w:r>
    </w:p>
    <w:p w14:paraId="35544B53" w14:textId="6B782F8C" w:rsidR="005F1528" w:rsidRDefault="005F1528" w:rsidP="00A65D84"/>
    <w:tbl>
      <w:tblPr>
        <w:tblStyle w:val="TableGrid"/>
        <w:tblW w:w="0" w:type="auto"/>
        <w:tblLook w:val="04A0" w:firstRow="1" w:lastRow="0" w:firstColumn="1" w:lastColumn="0" w:noHBand="0" w:noVBand="1"/>
        <w:tblDescription w:val="Consumer summary of MSAC consideration"/>
      </w:tblPr>
      <w:tblGrid>
        <w:gridCol w:w="9016"/>
      </w:tblGrid>
      <w:tr w:rsidR="005F1528" w14:paraId="22D9493D" w14:textId="77777777" w:rsidTr="005F1528">
        <w:trPr>
          <w:tblHeader/>
        </w:trPr>
        <w:tc>
          <w:tcPr>
            <w:tcW w:w="9016" w:type="dxa"/>
          </w:tcPr>
          <w:p w14:paraId="705C5FEF" w14:textId="01188AE6" w:rsidR="005F1528" w:rsidRPr="005F1528" w:rsidRDefault="005F1528" w:rsidP="005F1528">
            <w:pPr>
              <w:spacing w:before="120" w:after="120"/>
              <w:rPr>
                <w:b/>
              </w:rPr>
            </w:pPr>
            <w:r w:rsidRPr="005F1528">
              <w:rPr>
                <w:b/>
              </w:rPr>
              <w:t>Consumer summary</w:t>
            </w:r>
          </w:p>
        </w:tc>
      </w:tr>
      <w:tr w:rsidR="005F1528" w14:paraId="722100FB" w14:textId="77777777" w:rsidTr="005F1528">
        <w:tc>
          <w:tcPr>
            <w:tcW w:w="9016" w:type="dxa"/>
          </w:tcPr>
          <w:p w14:paraId="2322DDDC" w14:textId="77777777" w:rsidR="005F1528" w:rsidRDefault="005F1528" w:rsidP="005F1528">
            <w:r>
              <w:t>AstraZeneca applied for public funding for testing of epidermal growth factor receptor (EGFR) genetic status in people with locally advanced or metastatic non-small cell lung cancer (NSCLC) to help determine eligibility for osimertinib.</w:t>
            </w:r>
          </w:p>
          <w:p w14:paraId="0BA5F48D" w14:textId="77777777" w:rsidR="005F1528" w:rsidRDefault="005F1528" w:rsidP="005F1528">
            <w:pPr>
              <w:spacing w:before="240"/>
            </w:pPr>
            <w:r>
              <w:t>Most lung cancers are part of a group called NSCLC. EGFR is a protein on the surface of both healthy cells and cancer cells. When there is a mutation in the EGFR gene, which can occur in some lung cancer cells, cells grow quickly and this can make the cancer spread more quickly.</w:t>
            </w:r>
          </w:p>
          <w:p w14:paraId="78A37E77" w14:textId="4A4AC223" w:rsidR="005F1528" w:rsidRDefault="005F1528" w:rsidP="005F1528">
            <w:r>
              <w:lastRenderedPageBreak/>
              <w:t xml:space="preserve">Tumour samples from people with NSCLC can be tested for an EGFR mutation. There are other medicines already available to treat people with NSCLC whose tumour cells have an EGFR mutation. MSAC noted acceptance by the Pharmaceutical Benefits Advisory Committee (PBAC) of new data that show that the medicine osimertinib can help these people live longer, </w:t>
            </w:r>
            <w:r w:rsidR="00B65465">
              <w:t>comparable</w:t>
            </w:r>
            <w:r>
              <w:t xml:space="preserve"> with use of these other medicines. Based on this PBAC conclusion, MSAC considered that, in the relevant MBS item descriptor, osimertinib should be added to the list of medicines that can be used to treat people with NSCLC who have an EGFR mutation.</w:t>
            </w:r>
          </w:p>
          <w:p w14:paraId="333792BE" w14:textId="77777777" w:rsidR="005F1528" w:rsidRPr="005F1528" w:rsidRDefault="005F1528" w:rsidP="005F1528">
            <w:pPr>
              <w:spacing w:before="240" w:after="120"/>
              <w:rPr>
                <w:b/>
              </w:rPr>
            </w:pPr>
            <w:r w:rsidRPr="005F1528">
              <w:rPr>
                <w:b/>
              </w:rPr>
              <w:t>MSAC’s advice to the Commonwealth Minister for Health</w:t>
            </w:r>
          </w:p>
          <w:p w14:paraId="04DB74EB" w14:textId="76055212" w:rsidR="005F1528" w:rsidRDefault="005F1528" w:rsidP="005F1528">
            <w:pPr>
              <w:spacing w:after="120"/>
            </w:pPr>
            <w:r>
              <w:t>MSAC supported the modification of existing MBS item 73337 to include osimertinib by replacing the identified medicines in the item descriptor with the drug class name of “EGFR tyrosine kinase inhibitor”.</w:t>
            </w:r>
          </w:p>
        </w:tc>
      </w:tr>
    </w:tbl>
    <w:p w14:paraId="16512452" w14:textId="3A2E2FFF" w:rsidR="00550354" w:rsidRPr="00F715D1" w:rsidRDefault="00550354" w:rsidP="00F715D1">
      <w:pPr>
        <w:pStyle w:val="Heading1"/>
      </w:pPr>
      <w:r w:rsidRPr="00F715D1">
        <w:lastRenderedPageBreak/>
        <w:t xml:space="preserve">Summary of consideration </w:t>
      </w:r>
      <w:r w:rsidR="00580A88">
        <w:t>and rationale for MSAC’s advice</w:t>
      </w:r>
    </w:p>
    <w:p w14:paraId="547963CA" w14:textId="41FACC8B" w:rsidR="00A65D84" w:rsidRDefault="00A65D84" w:rsidP="00A65D84">
      <w:r>
        <w:t>MSAC noted that</w:t>
      </w:r>
      <w:r w:rsidR="00465B7B">
        <w:t>,</w:t>
      </w:r>
      <w:r>
        <w:t xml:space="preserve"> in July 2020, the PBAC recommended the </w:t>
      </w:r>
      <w:r w:rsidR="007F2637">
        <w:t xml:space="preserve">extended </w:t>
      </w:r>
      <w:r w:rsidR="007F2637" w:rsidRPr="00A05A5D">
        <w:t xml:space="preserve">Pharmaceutical Benefits Scheme (PBS) </w:t>
      </w:r>
      <w:r>
        <w:t>listing of osimertinib (Tagrisso</w:t>
      </w:r>
      <w:r w:rsidRPr="00465B7B">
        <w:rPr>
          <w:vertAlign w:val="superscript"/>
        </w:rPr>
        <w:t>®</w:t>
      </w:r>
      <w:r>
        <w:t xml:space="preserve">), sponsored by Astra Zeneca Pty Ltd, </w:t>
      </w:r>
      <w:r w:rsidR="007F2637">
        <w:t>to also include</w:t>
      </w:r>
      <w:r>
        <w:t xml:space="preserve"> first-line treatment of locally advanced or metastatic epidermal growth factor receptor (</w:t>
      </w:r>
      <w:r w:rsidRPr="00465B7B">
        <w:rPr>
          <w:i/>
        </w:rPr>
        <w:t>EGFR</w:t>
      </w:r>
      <w:r>
        <w:t>) mutation positive non-</w:t>
      </w:r>
      <w:r w:rsidR="00465B7B">
        <w:t>small cell lung cancer (NSCLC).</w:t>
      </w:r>
    </w:p>
    <w:p w14:paraId="4FF61985" w14:textId="6F308B1C" w:rsidR="00A65D84" w:rsidRDefault="00A65D84" w:rsidP="005F1528">
      <w:pPr>
        <w:spacing w:before="240"/>
      </w:pPr>
      <w:r>
        <w:t>MSAC noted that th</w:t>
      </w:r>
      <w:r w:rsidRPr="00CD0643">
        <w:t xml:space="preserve">e </w:t>
      </w:r>
      <w:r w:rsidR="007F2637">
        <w:t xml:space="preserve">PBAC relied on an updated </w:t>
      </w:r>
      <w:r w:rsidRPr="00CD0643">
        <w:t xml:space="preserve">clinical assessment and economic model </w:t>
      </w:r>
      <w:r w:rsidR="007F2637">
        <w:t xml:space="preserve">including </w:t>
      </w:r>
      <w:r w:rsidRPr="00CD0643">
        <w:t>overall survival (OS) data</w:t>
      </w:r>
      <w:r w:rsidR="007F2637">
        <w:t xml:space="preserve"> from </w:t>
      </w:r>
      <w:r w:rsidR="007F2637" w:rsidRPr="00CD0643">
        <w:t>the FLAURA trial</w:t>
      </w:r>
      <w:r w:rsidRPr="00CD0643">
        <w:t>. At 58% maturity, the updated results of th</w:t>
      </w:r>
      <w:r w:rsidR="007F2637">
        <w:t>is</w:t>
      </w:r>
      <w:r w:rsidRPr="00CD0643">
        <w:t xml:space="preserve"> trial continue</w:t>
      </w:r>
      <w:r w:rsidR="007F2637">
        <w:t>d</w:t>
      </w:r>
      <w:r w:rsidRPr="00CD0643">
        <w:t xml:space="preserve"> to show that osimertinib is associated with a statistically significant and clinically meaningful improvement in OS (</w:t>
      </w:r>
      <w:r>
        <w:t>hazard ratio </w:t>
      </w:r>
      <w:r w:rsidRPr="00CD0643">
        <w:t>=</w:t>
      </w:r>
      <w:r>
        <w:t> </w:t>
      </w:r>
      <w:r w:rsidRPr="00CD0643">
        <w:t xml:space="preserve">0.799; 95.05% </w:t>
      </w:r>
      <w:r>
        <w:t>confidence interval</w:t>
      </w:r>
      <w:r w:rsidRPr="00CD0643">
        <w:t>, 0.640</w:t>
      </w:r>
      <w:r w:rsidR="00D558E5">
        <w:t>,</w:t>
      </w:r>
      <w:r w:rsidR="00490F7A">
        <w:t xml:space="preserve"> </w:t>
      </w:r>
      <w:r w:rsidR="00490F7A" w:rsidRPr="00B55785">
        <w:t>0.996; p</w:t>
      </w:r>
      <w:r w:rsidR="00490F7A" w:rsidRPr="00B55785">
        <w:noBreakHyphen/>
        <w:t>value=0.0462</w:t>
      </w:r>
      <w:r>
        <w:t>).</w:t>
      </w:r>
    </w:p>
    <w:p w14:paraId="64D46961" w14:textId="44FE70EE" w:rsidR="00A65D84" w:rsidRPr="005F1528" w:rsidRDefault="007F2637" w:rsidP="005F1528">
      <w:pPr>
        <w:spacing w:before="240" w:after="240"/>
      </w:pPr>
      <w:r>
        <w:t>To implement the intent of the requested amendment</w:t>
      </w:r>
      <w:r w:rsidR="003421D5">
        <w:t xml:space="preserve"> in the MBS item</w:t>
      </w:r>
      <w:r>
        <w:t xml:space="preserve">, </w:t>
      </w:r>
      <w:r w:rsidR="00A65D84">
        <w:t xml:space="preserve">MSAC </w:t>
      </w:r>
      <w:r>
        <w:t xml:space="preserve">instead advised that </w:t>
      </w:r>
      <w:r w:rsidR="00A65D84" w:rsidRPr="00624A2C">
        <w:t xml:space="preserve">the drug group term </w:t>
      </w:r>
      <w:r w:rsidR="00A65D84">
        <w:t>“</w:t>
      </w:r>
      <w:r w:rsidR="00A65D84" w:rsidRPr="00624A2C">
        <w:t xml:space="preserve">EGFR </w:t>
      </w:r>
      <w:r w:rsidRPr="00624A2C">
        <w:t>tyrosine kinase in</w:t>
      </w:r>
      <w:r w:rsidR="00A65D84" w:rsidRPr="00624A2C">
        <w:t>hibitor</w:t>
      </w:r>
      <w:r w:rsidR="00A65D84">
        <w:t>”</w:t>
      </w:r>
      <w:r w:rsidR="00A65D84" w:rsidRPr="00624A2C">
        <w:t xml:space="preserve"> </w:t>
      </w:r>
      <w:r>
        <w:t>be used</w:t>
      </w:r>
      <w:r w:rsidR="00FF3F8C">
        <w:t>,</w:t>
      </w:r>
      <w:r>
        <w:t xml:space="preserve"> </w:t>
      </w:r>
      <w:r w:rsidR="00A65D84" w:rsidRPr="00624A2C">
        <w:t xml:space="preserve">rather than list </w:t>
      </w:r>
      <w:r>
        <w:t xml:space="preserve">the </w:t>
      </w:r>
      <w:r w:rsidR="00A65D84" w:rsidRPr="00624A2C">
        <w:t>individual PBS</w:t>
      </w:r>
      <w:r w:rsidR="00A65D84">
        <w:t>-</w:t>
      </w:r>
      <w:r w:rsidR="00A65D84" w:rsidRPr="00624A2C">
        <w:t>listed medicines</w:t>
      </w:r>
      <w:r w:rsidR="00A65D84">
        <w:t>, as follows:</w:t>
      </w:r>
    </w:p>
    <w:tbl>
      <w:tblPr>
        <w:tblStyle w:val="TableGrid"/>
        <w:tblW w:w="0" w:type="auto"/>
        <w:tblBorders>
          <w:insideH w:val="none" w:sz="0" w:space="0" w:color="auto"/>
        </w:tblBorders>
        <w:tblLook w:val="04A0" w:firstRow="1" w:lastRow="0" w:firstColumn="1" w:lastColumn="0" w:noHBand="0" w:noVBand="1"/>
        <w:tblDescription w:val="MSAC recommended MBS item"/>
      </w:tblPr>
      <w:tblGrid>
        <w:gridCol w:w="9016"/>
      </w:tblGrid>
      <w:tr w:rsidR="003421D5" w14:paraId="3457B5AB" w14:textId="77777777" w:rsidTr="003276AA">
        <w:trPr>
          <w:tblHeader/>
        </w:trPr>
        <w:tc>
          <w:tcPr>
            <w:tcW w:w="9016" w:type="dxa"/>
          </w:tcPr>
          <w:p w14:paraId="1491B19E" w14:textId="6724C5BD" w:rsidR="003421D5" w:rsidRPr="003421D5" w:rsidRDefault="003421D5" w:rsidP="00A65D84">
            <w:pPr>
              <w:rPr>
                <w:i/>
                <w:iCs/>
              </w:rPr>
            </w:pPr>
            <w:r w:rsidRPr="00624A2C">
              <w:rPr>
                <w:i/>
                <w:iCs/>
              </w:rPr>
              <w:t>Category 6 – PATHOLOGY SERVICES</w:t>
            </w:r>
          </w:p>
        </w:tc>
      </w:tr>
      <w:tr w:rsidR="005F1528" w14:paraId="2D0D443E" w14:textId="77777777" w:rsidTr="005F1528">
        <w:tc>
          <w:tcPr>
            <w:tcW w:w="9016" w:type="dxa"/>
          </w:tcPr>
          <w:p w14:paraId="3C589307" w14:textId="28848768" w:rsidR="005F1528" w:rsidRPr="00624A2C" w:rsidRDefault="005F1528" w:rsidP="005F1528">
            <w:pPr>
              <w:jc w:val="right"/>
              <w:rPr>
                <w:i/>
                <w:iCs/>
              </w:rPr>
            </w:pPr>
            <w:r>
              <w:rPr>
                <w:i/>
                <w:iCs/>
              </w:rPr>
              <w:t>P7 - Genetics</w:t>
            </w:r>
          </w:p>
        </w:tc>
      </w:tr>
      <w:tr w:rsidR="003421D5" w14:paraId="10C57662" w14:textId="77777777" w:rsidTr="005F1528">
        <w:tc>
          <w:tcPr>
            <w:tcW w:w="9016" w:type="dxa"/>
          </w:tcPr>
          <w:p w14:paraId="1C47AB85" w14:textId="4B32EE78" w:rsidR="009E1606" w:rsidRPr="00624A2C" w:rsidRDefault="003421D5" w:rsidP="005F1528">
            <w:pPr>
              <w:tabs>
                <w:tab w:val="left" w:pos="7575"/>
              </w:tabs>
              <w:rPr>
                <w:i/>
                <w:iCs/>
              </w:rPr>
            </w:pPr>
            <w:r>
              <w:rPr>
                <w:i/>
                <w:iCs/>
              </w:rPr>
              <w:t>73337</w:t>
            </w:r>
          </w:p>
          <w:p w14:paraId="2C63BFB5" w14:textId="2954BB94" w:rsidR="003421D5" w:rsidRDefault="003421D5" w:rsidP="005F1528">
            <w:pPr>
              <w:spacing w:before="240"/>
              <w:rPr>
                <w:i/>
                <w:iCs/>
              </w:rPr>
            </w:pPr>
            <w:r w:rsidRPr="00624A2C">
              <w:rPr>
                <w:i/>
                <w:iCs/>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an EGFR tyrosine kinase inhibitor listed under the Pharmaceutical Benefits Scheme (PBS) are fulfilled.</w:t>
            </w:r>
          </w:p>
          <w:p w14:paraId="23E12E99" w14:textId="26033227" w:rsidR="003421D5" w:rsidRPr="003421D5" w:rsidRDefault="003421D5" w:rsidP="005F1528">
            <w:pPr>
              <w:spacing w:before="240"/>
              <w:rPr>
                <w:i/>
                <w:iCs/>
              </w:rPr>
            </w:pPr>
            <w:r w:rsidRPr="003421D5">
              <w:rPr>
                <w:i/>
                <w:iCs/>
              </w:rPr>
              <w:t xml:space="preserve">Fee: $397.35 </w:t>
            </w:r>
            <w:r>
              <w:rPr>
                <w:i/>
                <w:iCs/>
              </w:rPr>
              <w:t xml:space="preserve"> </w:t>
            </w:r>
            <w:r w:rsidRPr="003421D5">
              <w:rPr>
                <w:i/>
                <w:iCs/>
              </w:rPr>
              <w:t>Benefit: 75% = $298.05</w:t>
            </w:r>
            <w:r>
              <w:rPr>
                <w:i/>
                <w:iCs/>
              </w:rPr>
              <w:t xml:space="preserve"> </w:t>
            </w:r>
            <w:r w:rsidRPr="003421D5">
              <w:rPr>
                <w:i/>
                <w:iCs/>
              </w:rPr>
              <w:t xml:space="preserve"> 85% = $337.75</w:t>
            </w:r>
          </w:p>
        </w:tc>
      </w:tr>
    </w:tbl>
    <w:p w14:paraId="0C178A9D" w14:textId="6215158B" w:rsidR="00A65D84" w:rsidRDefault="00A65D84" w:rsidP="005F1528">
      <w:pPr>
        <w:spacing w:before="240"/>
      </w:pPr>
      <w:r>
        <w:t xml:space="preserve">MSAC </w:t>
      </w:r>
      <w:r w:rsidR="007F2637">
        <w:t xml:space="preserve">advised </w:t>
      </w:r>
      <w:r>
        <w:t>that there would be n</w:t>
      </w:r>
      <w:r w:rsidRPr="00CD0643">
        <w:t xml:space="preserve">o immediate change predicted for </w:t>
      </w:r>
      <w:r w:rsidR="007F2637">
        <w:t xml:space="preserve">the MBS </w:t>
      </w:r>
      <w:r w:rsidRPr="00CD0643">
        <w:t>budget</w:t>
      </w:r>
      <w:r w:rsidR="007F2637">
        <w:t xml:space="preserve">, considering that the consequential small reduction in </w:t>
      </w:r>
      <w:r w:rsidR="007F2637" w:rsidRPr="007F2637">
        <w:rPr>
          <w:i/>
        </w:rPr>
        <w:t>T790M</w:t>
      </w:r>
      <w:r w:rsidR="007F2637">
        <w:t xml:space="preserve"> testing (MBS item </w:t>
      </w:r>
      <w:r w:rsidR="00FF3F8C">
        <w:t>73351</w:t>
      </w:r>
      <w:r w:rsidR="007F2637">
        <w:t xml:space="preserve">) would take several years </w:t>
      </w:r>
      <w:r w:rsidR="00FF3F8C">
        <w:t>to become noticeable</w:t>
      </w:r>
      <w:r>
        <w:t>.</w:t>
      </w:r>
    </w:p>
    <w:p w14:paraId="6AE68A21" w14:textId="77777777" w:rsidR="00BC1364" w:rsidRPr="00F715D1" w:rsidRDefault="00BC1364" w:rsidP="00F715D1">
      <w:pPr>
        <w:pStyle w:val="Heading1"/>
      </w:pPr>
      <w:r w:rsidRPr="00F715D1">
        <w:t>Background</w:t>
      </w:r>
    </w:p>
    <w:p w14:paraId="294E128B" w14:textId="77777777" w:rsidR="00BC3EBD" w:rsidRDefault="00BC3EBD" w:rsidP="00BC3EBD">
      <w:pPr>
        <w:spacing w:after="240"/>
      </w:pPr>
      <w:r>
        <w:t>MSAC has not previously considered this application.</w:t>
      </w:r>
    </w:p>
    <w:p w14:paraId="748F5A9F" w14:textId="77285B52" w:rsidR="00BC3EBD" w:rsidRPr="005F1528" w:rsidRDefault="00BC3EBD" w:rsidP="00BC3EBD">
      <w:r>
        <w:rPr>
          <w:color w:val="000000"/>
          <w:szCs w:val="24"/>
        </w:rPr>
        <w:lastRenderedPageBreak/>
        <w:t xml:space="preserve">MSAC had previously </w:t>
      </w:r>
      <w:r>
        <w:t xml:space="preserve">considered and supported public funding on the MBS for </w:t>
      </w:r>
      <w:r w:rsidR="00FF3F8C" w:rsidRPr="00FF3F8C">
        <w:rPr>
          <w:i/>
        </w:rPr>
        <w:t>EGFR</w:t>
      </w:r>
      <w:r w:rsidR="00FF3F8C">
        <w:t xml:space="preserve"> testing to help determine eligibility for </w:t>
      </w:r>
      <w:r>
        <w:t>erlotinib (Application 1173), gefitinib (Application 1161), and afat</w:t>
      </w:r>
      <w:r w:rsidR="009144A7">
        <w:t>i</w:t>
      </w:r>
      <w:r>
        <w:t>nib (Application 1293).</w:t>
      </w:r>
    </w:p>
    <w:p w14:paraId="3A946DFD" w14:textId="52664B75" w:rsidR="00BC3EBD" w:rsidRPr="00455560" w:rsidRDefault="00BC3EBD" w:rsidP="005F1528">
      <w:pPr>
        <w:autoSpaceDE w:val="0"/>
        <w:autoSpaceDN w:val="0"/>
        <w:adjustRightInd w:val="0"/>
        <w:spacing w:before="240"/>
        <w:rPr>
          <w:color w:val="000000"/>
          <w:szCs w:val="24"/>
        </w:rPr>
      </w:pPr>
      <w:r>
        <w:rPr>
          <w:color w:val="000000"/>
          <w:szCs w:val="24"/>
        </w:rPr>
        <w:t>The MSAC Executive</w:t>
      </w:r>
      <w:r w:rsidR="000A1212">
        <w:rPr>
          <w:color w:val="000000"/>
          <w:szCs w:val="24"/>
        </w:rPr>
        <w:t>, at its March 2019 meeting,</w:t>
      </w:r>
      <w:r>
        <w:rPr>
          <w:color w:val="000000"/>
          <w:szCs w:val="24"/>
        </w:rPr>
        <w:t xml:space="preserve"> suggested that the MBS item 73337 descriptor should be amended to refer to the drug group term ‘</w:t>
      </w:r>
      <w:r w:rsidRPr="001D7632">
        <w:rPr>
          <w:i/>
          <w:color w:val="000000"/>
          <w:szCs w:val="24"/>
        </w:rPr>
        <w:t>EGFR</w:t>
      </w:r>
      <w:r>
        <w:rPr>
          <w:color w:val="000000"/>
          <w:szCs w:val="24"/>
        </w:rPr>
        <w:t xml:space="preserve"> TKI’ rather than list each individual PBS listed medicine.</w:t>
      </w:r>
    </w:p>
    <w:p w14:paraId="6B4C4FDC" w14:textId="77777777" w:rsidR="00BC1364" w:rsidRPr="00F715D1" w:rsidRDefault="00BC1364" w:rsidP="00F715D1">
      <w:pPr>
        <w:pStyle w:val="Heading1"/>
      </w:pPr>
      <w:r w:rsidRPr="00F715D1">
        <w:t>Prerequisites to implementation of any funding advice</w:t>
      </w:r>
    </w:p>
    <w:p w14:paraId="5133FA94" w14:textId="04DBF92D" w:rsidR="0081024E" w:rsidRDefault="00412438" w:rsidP="00412438">
      <w:r>
        <w:t xml:space="preserve">Diagnostic laboratories must be National Association of Testing Authorities (NATA) accredited to receive MBS funding for </w:t>
      </w:r>
      <w:r w:rsidRPr="001D7632">
        <w:rPr>
          <w:i/>
        </w:rPr>
        <w:t>EGFR</w:t>
      </w:r>
      <w:r>
        <w:t xml:space="preserve"> mutation testing.</w:t>
      </w:r>
    </w:p>
    <w:p w14:paraId="5220E837" w14:textId="77777777" w:rsidR="0081024E" w:rsidRDefault="0081024E" w:rsidP="005F1528">
      <w:pPr>
        <w:spacing w:before="240"/>
      </w:pPr>
      <w:r>
        <w:t xml:space="preserve">Australian pathology service providers participate in a local </w:t>
      </w:r>
      <w:r w:rsidRPr="0081024E">
        <w:rPr>
          <w:i/>
        </w:rPr>
        <w:t>EGFR</w:t>
      </w:r>
      <w:r>
        <w:t xml:space="preserve"> mutation testing quality assurance program that is administered by the Royal College of Pathologists of Australasia Quality Assurance Programs Pty Limited (RCPAQAP).</w:t>
      </w:r>
    </w:p>
    <w:p w14:paraId="537967C3" w14:textId="77777777" w:rsidR="00BC1364" w:rsidRPr="00F715D1" w:rsidRDefault="00BC1364" w:rsidP="00F715D1">
      <w:pPr>
        <w:pStyle w:val="Heading1"/>
      </w:pPr>
      <w:r w:rsidRPr="00F715D1">
        <w:t>Proposal for public funding</w:t>
      </w:r>
    </w:p>
    <w:p w14:paraId="3CB4AB2B" w14:textId="556582AD" w:rsidR="00412438" w:rsidRPr="005F1528" w:rsidRDefault="00412438" w:rsidP="005F1528">
      <w:r>
        <w:t xml:space="preserve">This application requests the addition of </w:t>
      </w:r>
      <w:r w:rsidRPr="00FC604F">
        <w:t xml:space="preserve">osimertinib to the list of </w:t>
      </w:r>
      <w:r w:rsidR="00FF3F8C">
        <w:t>medicines</w:t>
      </w:r>
      <w:r w:rsidRPr="00FC604F">
        <w:t xml:space="preserve"> for which MBS </w:t>
      </w:r>
      <w:r w:rsidR="00FF3F8C" w:rsidRPr="00FC604F">
        <w:t>i</w:t>
      </w:r>
      <w:r w:rsidRPr="00FC604F">
        <w:t xml:space="preserve">tem 73337 can be used to </w:t>
      </w:r>
      <w:r w:rsidR="00FF3F8C">
        <w:t xml:space="preserve">help </w:t>
      </w:r>
      <w:r w:rsidRPr="00FC604F">
        <w:t xml:space="preserve">determine </w:t>
      </w:r>
      <w:r w:rsidR="00FF3F8C">
        <w:t xml:space="preserve">patient’s </w:t>
      </w:r>
      <w:r w:rsidRPr="00FC604F">
        <w:t xml:space="preserve">eligibility </w:t>
      </w:r>
      <w:r w:rsidR="00FF3F8C">
        <w:t xml:space="preserve">under the PBS </w:t>
      </w:r>
      <w:r w:rsidRPr="00FC604F">
        <w:t>(</w:t>
      </w:r>
      <w:r w:rsidR="00295D77">
        <w:fldChar w:fldCharType="begin"/>
      </w:r>
      <w:r w:rsidR="00295D77">
        <w:instrText xml:space="preserve"> REF _Ref49933212 \h </w:instrText>
      </w:r>
      <w:r w:rsidR="00295D77">
        <w:fldChar w:fldCharType="separate"/>
      </w:r>
      <w:r w:rsidR="00295D77">
        <w:t xml:space="preserve">Table </w:t>
      </w:r>
      <w:r w:rsidR="00295D77">
        <w:rPr>
          <w:noProof/>
        </w:rPr>
        <w:t>1</w:t>
      </w:r>
      <w:r w:rsidR="00295D77">
        <w:fldChar w:fldCharType="end"/>
      </w:r>
      <w:r w:rsidRPr="00FC604F">
        <w:t>).</w:t>
      </w:r>
    </w:p>
    <w:p w14:paraId="7A176044" w14:textId="2470FB0C" w:rsidR="00412438" w:rsidRPr="00FC604F" w:rsidRDefault="00295D77" w:rsidP="00295D77">
      <w:pPr>
        <w:pStyle w:val="Caption"/>
        <w:spacing w:before="240" w:after="0"/>
        <w:rPr>
          <w:rFonts w:eastAsia="Calibri" w:cs="Arial"/>
          <w:b w:val="0"/>
          <w:color w:val="000000"/>
          <w:szCs w:val="24"/>
        </w:rPr>
      </w:pPr>
      <w:bookmarkStart w:id="2" w:name="_Ref49933212"/>
      <w:r>
        <w:t xml:space="preserve">Table </w:t>
      </w:r>
      <w:fldSimple w:instr=" SEQ Table \* ARABIC ">
        <w:r>
          <w:rPr>
            <w:noProof/>
          </w:rPr>
          <w:t>1</w:t>
        </w:r>
      </w:fldSimple>
      <w:bookmarkEnd w:id="2"/>
      <w:r>
        <w:t xml:space="preserve"> </w:t>
      </w:r>
      <w:r w:rsidR="00412438" w:rsidRPr="001D7632">
        <w:t>Prop</w:t>
      </w:r>
      <w:r w:rsidR="00412438">
        <w:t>osed amendment to MBS item 73337 (</w:t>
      </w:r>
      <w:r w:rsidR="00412438" w:rsidRPr="001D7632">
        <w:rPr>
          <w:u w:val="single"/>
        </w:rPr>
        <w:t>amendment underlined</w:t>
      </w:r>
      <w:r w:rsidR="00412438">
        <w:t>)</w:t>
      </w:r>
    </w:p>
    <w:tbl>
      <w:tblPr>
        <w:tblStyle w:val="TableGrid"/>
        <w:tblW w:w="5000" w:type="pct"/>
        <w:tblLook w:val="0000" w:firstRow="0" w:lastRow="0" w:firstColumn="0" w:lastColumn="0" w:noHBand="0" w:noVBand="0"/>
        <w:tblCaption w:val="Requested MBS restriction"/>
        <w:tblDescription w:val="proposed amended MBS item descriptor"/>
      </w:tblPr>
      <w:tblGrid>
        <w:gridCol w:w="9016"/>
      </w:tblGrid>
      <w:tr w:rsidR="00412438" w:rsidRPr="00FC604F" w14:paraId="2272008B" w14:textId="77777777" w:rsidTr="003276AA">
        <w:trPr>
          <w:trHeight w:val="103"/>
          <w:tblHeader/>
        </w:trPr>
        <w:tc>
          <w:tcPr>
            <w:tcW w:w="5000" w:type="pct"/>
          </w:tcPr>
          <w:p w14:paraId="6DD51420" w14:textId="77777777" w:rsidR="00412438" w:rsidRPr="00FC604F" w:rsidRDefault="00412438" w:rsidP="00ED4620">
            <w:pPr>
              <w:autoSpaceDE w:val="0"/>
              <w:autoSpaceDN w:val="0"/>
              <w:adjustRightInd w:val="0"/>
              <w:rPr>
                <w:rFonts w:ascii="Arial Narrow" w:eastAsia="Calibri" w:hAnsi="Arial Narrow" w:cs="Arial"/>
                <w:color w:val="000000"/>
                <w:sz w:val="20"/>
                <w:szCs w:val="22"/>
              </w:rPr>
            </w:pPr>
            <w:r w:rsidRPr="00FC604F">
              <w:rPr>
                <w:rFonts w:ascii="Arial Narrow" w:eastAsia="Calibri" w:hAnsi="Arial Narrow" w:cs="Arial"/>
                <w:color w:val="000000"/>
                <w:sz w:val="20"/>
                <w:szCs w:val="24"/>
              </w:rPr>
              <w:t xml:space="preserve"> </w:t>
            </w:r>
            <w:r w:rsidRPr="00FC604F">
              <w:rPr>
                <w:rFonts w:ascii="Arial Narrow" w:eastAsia="Calibri" w:hAnsi="Arial Narrow" w:cs="Arial"/>
                <w:color w:val="000000"/>
                <w:sz w:val="20"/>
                <w:szCs w:val="22"/>
              </w:rPr>
              <w:t xml:space="preserve">Category 6 – PATHOLOGY SERVICES </w:t>
            </w:r>
          </w:p>
        </w:tc>
      </w:tr>
      <w:tr w:rsidR="00412438" w:rsidRPr="00FC604F" w14:paraId="237237B5" w14:textId="77777777" w:rsidTr="003276AA">
        <w:trPr>
          <w:trHeight w:val="684"/>
        </w:trPr>
        <w:tc>
          <w:tcPr>
            <w:tcW w:w="5000" w:type="pct"/>
          </w:tcPr>
          <w:p w14:paraId="2A24FC81" w14:textId="7B744151" w:rsidR="00412438" w:rsidRDefault="00412438" w:rsidP="00ED4620">
            <w:pPr>
              <w:autoSpaceDE w:val="0"/>
              <w:autoSpaceDN w:val="0"/>
              <w:adjustRightInd w:val="0"/>
              <w:rPr>
                <w:rFonts w:ascii="Arial Narrow" w:eastAsia="Calibri" w:hAnsi="Arial Narrow" w:cs="Arial"/>
                <w:color w:val="000000"/>
                <w:sz w:val="20"/>
                <w:szCs w:val="22"/>
              </w:rPr>
            </w:pPr>
            <w:r w:rsidRPr="00FC604F">
              <w:rPr>
                <w:rFonts w:ascii="Arial Narrow" w:eastAsia="Calibri" w:hAnsi="Arial Narrow" w:cs="Arial"/>
                <w:color w:val="000000"/>
                <w:sz w:val="20"/>
                <w:szCs w:val="22"/>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w:t>
            </w:r>
            <w:r w:rsidRPr="00FC604F">
              <w:rPr>
                <w:rFonts w:ascii="Arial Narrow" w:eastAsia="Calibri" w:hAnsi="Arial Narrow" w:cs="Arial"/>
                <w:i/>
                <w:color w:val="000000"/>
                <w:sz w:val="20"/>
                <w:szCs w:val="22"/>
              </w:rPr>
              <w:t>EGFR</w:t>
            </w:r>
            <w:r w:rsidRPr="00FC604F">
              <w:rPr>
                <w:rFonts w:ascii="Arial Narrow" w:eastAsia="Calibri" w:hAnsi="Arial Narrow" w:cs="Arial"/>
                <w:color w:val="000000"/>
                <w:sz w:val="20"/>
                <w:szCs w:val="22"/>
              </w:rPr>
              <w:t xml:space="preserve">) gene status for access to erlotinib, gefitinib, afatinib </w:t>
            </w:r>
            <w:r w:rsidRPr="00FC604F">
              <w:rPr>
                <w:rFonts w:ascii="Arial Narrow" w:eastAsia="Calibri" w:hAnsi="Arial Narrow" w:cs="Arial"/>
                <w:color w:val="000000"/>
                <w:sz w:val="20"/>
                <w:szCs w:val="22"/>
                <w:u w:val="single"/>
              </w:rPr>
              <w:t>or osimertinib</w:t>
            </w:r>
            <w:r w:rsidRPr="00FC604F">
              <w:rPr>
                <w:rFonts w:ascii="Arial Narrow" w:eastAsia="Calibri" w:hAnsi="Arial Narrow" w:cs="Arial"/>
                <w:color w:val="000000"/>
                <w:sz w:val="20"/>
                <w:szCs w:val="22"/>
              </w:rPr>
              <w:t xml:space="preserve"> under the Pharmaceutical Benefits Scheme (PBS) are fulfilled. </w:t>
            </w:r>
          </w:p>
          <w:p w14:paraId="67F7AB44" w14:textId="77777777" w:rsidR="00412438" w:rsidRPr="00FC604F" w:rsidRDefault="00412438" w:rsidP="00295D77">
            <w:pPr>
              <w:autoSpaceDE w:val="0"/>
              <w:autoSpaceDN w:val="0"/>
              <w:adjustRightInd w:val="0"/>
              <w:spacing w:before="240"/>
              <w:rPr>
                <w:rFonts w:ascii="Arial Narrow" w:eastAsia="Calibri" w:hAnsi="Arial Narrow" w:cs="Arial"/>
                <w:color w:val="000000"/>
                <w:sz w:val="20"/>
                <w:szCs w:val="22"/>
              </w:rPr>
            </w:pPr>
            <w:r w:rsidRPr="00FC604F">
              <w:rPr>
                <w:rFonts w:ascii="Arial Narrow" w:eastAsia="Calibri" w:hAnsi="Arial Narrow" w:cs="Arial"/>
                <w:color w:val="000000"/>
                <w:sz w:val="20"/>
                <w:szCs w:val="22"/>
              </w:rPr>
              <w:t xml:space="preserve">Proposed Fee: $397.35 Benefit: 75% = $298.05 85% = $337.75 </w:t>
            </w:r>
          </w:p>
        </w:tc>
      </w:tr>
    </w:tbl>
    <w:p w14:paraId="78544A9F" w14:textId="6EB3443D" w:rsidR="009E1606" w:rsidRPr="00295D77" w:rsidRDefault="00412438" w:rsidP="009E1606">
      <w:pPr>
        <w:rPr>
          <w:rFonts w:ascii="Arial Narrow" w:hAnsi="Arial Narrow"/>
          <w:sz w:val="18"/>
        </w:rPr>
      </w:pPr>
      <w:r>
        <w:rPr>
          <w:rFonts w:ascii="Arial Narrow" w:hAnsi="Arial Narrow"/>
          <w:sz w:val="18"/>
        </w:rPr>
        <w:t>Source: p1 of Minor Submission</w:t>
      </w:r>
    </w:p>
    <w:p w14:paraId="6FCFD2B9" w14:textId="13C8D268" w:rsidR="00412438" w:rsidRDefault="009E1606" w:rsidP="00295D77">
      <w:pPr>
        <w:spacing w:before="240"/>
        <w:rPr>
          <w:rFonts w:ascii="Arial Narrow" w:hAnsi="Arial Narrow"/>
          <w:sz w:val="18"/>
        </w:rPr>
      </w:pPr>
      <w:r>
        <w:t xml:space="preserve">After considering the applicant’s proposed amendment to MBS item 73337, MSAC instead advised that </w:t>
      </w:r>
      <w:r w:rsidRPr="00624A2C">
        <w:t xml:space="preserve">the drug group term </w:t>
      </w:r>
      <w:r>
        <w:t>“</w:t>
      </w:r>
      <w:r w:rsidRPr="00624A2C">
        <w:t>EGFR tyrosine kinase inhibitor</w:t>
      </w:r>
      <w:r>
        <w:t>”</w:t>
      </w:r>
      <w:r w:rsidRPr="00624A2C">
        <w:t xml:space="preserve"> </w:t>
      </w:r>
      <w:r>
        <w:t xml:space="preserve">be used, </w:t>
      </w:r>
      <w:r w:rsidRPr="00624A2C">
        <w:t xml:space="preserve">rather than list </w:t>
      </w:r>
      <w:r>
        <w:t xml:space="preserve">the </w:t>
      </w:r>
      <w:r w:rsidRPr="00624A2C">
        <w:t>individual PBS</w:t>
      </w:r>
      <w:r>
        <w:t>-</w:t>
      </w:r>
      <w:r w:rsidRPr="00624A2C">
        <w:t>listed medicines</w:t>
      </w:r>
      <w:r>
        <w:t>.</w:t>
      </w:r>
    </w:p>
    <w:p w14:paraId="12D3F759" w14:textId="77777777" w:rsidR="00BC1364" w:rsidRPr="00F715D1" w:rsidRDefault="00BC1364" w:rsidP="00F715D1">
      <w:pPr>
        <w:pStyle w:val="Heading1"/>
      </w:pPr>
      <w:r w:rsidRPr="00F715D1">
        <w:t>Proposed intervention’s place in clinical management</w:t>
      </w:r>
    </w:p>
    <w:p w14:paraId="68C4D9C9" w14:textId="5A116F5F" w:rsidR="00CF4E81" w:rsidRDefault="00412438" w:rsidP="00412438">
      <w:r>
        <w:t xml:space="preserve">The </w:t>
      </w:r>
      <w:r w:rsidR="009E1606">
        <w:t xml:space="preserve">effective </w:t>
      </w:r>
      <w:r>
        <w:t>inclusion of osimertinib</w:t>
      </w:r>
      <w:r w:rsidR="00352732">
        <w:t xml:space="preserve"> in the proposed MBS item 73337 descriptor</w:t>
      </w:r>
      <w:r w:rsidR="009E1606">
        <w:t>,</w:t>
      </w:r>
      <w:r w:rsidR="009E1606" w:rsidRPr="009E1606">
        <w:t xml:space="preserve"> </w:t>
      </w:r>
      <w:r w:rsidR="009E1606">
        <w:t xml:space="preserve">by replacing the individual PBS-listed medicines with </w:t>
      </w:r>
      <w:r w:rsidR="009E1606" w:rsidRPr="00624A2C">
        <w:t xml:space="preserve">the drug group term </w:t>
      </w:r>
      <w:r w:rsidR="009E1606">
        <w:t>“</w:t>
      </w:r>
      <w:r w:rsidR="009E1606" w:rsidRPr="00624A2C">
        <w:t>EGFR tyrosine kinase inhibitor</w:t>
      </w:r>
      <w:r w:rsidR="009E1606">
        <w:t>,</w:t>
      </w:r>
      <w:r>
        <w:t xml:space="preserve"> </w:t>
      </w:r>
      <w:r w:rsidR="00352732">
        <w:t xml:space="preserve">would not </w:t>
      </w:r>
      <w:r w:rsidR="00FF3F8C">
        <w:t xml:space="preserve">affect </w:t>
      </w:r>
      <w:r w:rsidR="00352732">
        <w:t xml:space="preserve">the </w:t>
      </w:r>
      <w:r w:rsidR="00FF3F8C">
        <w:t>utilisation</w:t>
      </w:r>
      <w:r w:rsidR="00352732">
        <w:t xml:space="preserve"> of </w:t>
      </w:r>
      <w:r w:rsidR="00352732" w:rsidRPr="00CA2D3B">
        <w:rPr>
          <w:i/>
          <w:iCs/>
          <w:szCs w:val="24"/>
        </w:rPr>
        <w:t>EGFR</w:t>
      </w:r>
      <w:r w:rsidR="00352732" w:rsidRPr="00CA2D3B">
        <w:rPr>
          <w:iCs/>
          <w:szCs w:val="24"/>
        </w:rPr>
        <w:t xml:space="preserve"> mutation testing</w:t>
      </w:r>
      <w:r w:rsidR="00352732">
        <w:rPr>
          <w:iCs/>
          <w:szCs w:val="24"/>
        </w:rPr>
        <w:t xml:space="preserve"> in patients with NSCLC.</w:t>
      </w:r>
    </w:p>
    <w:p w14:paraId="62E3E6A8" w14:textId="77777777" w:rsidR="00BC1364" w:rsidRPr="00F715D1" w:rsidRDefault="00BC1364" w:rsidP="00F715D1">
      <w:pPr>
        <w:pStyle w:val="Heading1"/>
      </w:pPr>
      <w:r w:rsidRPr="00F715D1">
        <w:t>Comparative effectiveness</w:t>
      </w:r>
    </w:p>
    <w:p w14:paraId="5C14B7C9" w14:textId="77777777" w:rsidR="0081024E" w:rsidRDefault="0081024E" w:rsidP="0081024E">
      <w:pPr>
        <w:pStyle w:val="Heading2"/>
      </w:pPr>
      <w:r>
        <w:t>Test methodology</w:t>
      </w:r>
    </w:p>
    <w:p w14:paraId="7D73D402" w14:textId="13247842" w:rsidR="0081024E" w:rsidRDefault="0081024E" w:rsidP="00295D77">
      <w:pPr>
        <w:spacing w:after="240"/>
      </w:pPr>
      <w:r>
        <w:t xml:space="preserve">The Applicant stated there are at least 18 different Australian molecular pathology service providers that routinely offer </w:t>
      </w:r>
      <w:r w:rsidRPr="00FF3F8C">
        <w:rPr>
          <w:i/>
        </w:rPr>
        <w:t>E</w:t>
      </w:r>
      <w:r w:rsidRPr="00783773">
        <w:rPr>
          <w:i/>
        </w:rPr>
        <w:t xml:space="preserve">GFR </w:t>
      </w:r>
      <w:r>
        <w:t>mutation testing for patients with NSCLC</w:t>
      </w:r>
      <w:r w:rsidR="00180928">
        <w:t>. Australian molecular pathology service providers currently use a number of different commercial test kits and locally developed methods, the most common of which are the cobas® EGFR mutation test kit (Roche Molecular Systems, Inc.), Therascreen® EGFR RGQ (Qiagen NV), OncoFOCUS Panel (Agena Bioscience) and TruSight Tumor 26 (Illumina) (RCPAQAP, 2017).</w:t>
      </w:r>
    </w:p>
    <w:p w14:paraId="192F9BDC" w14:textId="41EE8AF7" w:rsidR="0081024E" w:rsidRPr="009676A3" w:rsidRDefault="0081024E" w:rsidP="0081024E">
      <w:r>
        <w:lastRenderedPageBreak/>
        <w:t>The Applicant also report</w:t>
      </w:r>
      <w:r w:rsidR="00FF3F8C">
        <w:t>ed</w:t>
      </w:r>
      <w:r>
        <w:t xml:space="preserve"> that the primary studies for erlo</w:t>
      </w:r>
      <w:r w:rsidRPr="009676A3">
        <w:t>tinib (IPASS), afatinib (LUX Lung 3) and osimertinib (FLAURA) all utilised real time PCR</w:t>
      </w:r>
      <w:r w:rsidR="00FF3F8C">
        <w:t>-</w:t>
      </w:r>
      <w:r w:rsidRPr="009676A3">
        <w:t xml:space="preserve">based </w:t>
      </w:r>
      <w:r w:rsidRPr="00FF3F8C">
        <w:rPr>
          <w:i/>
        </w:rPr>
        <w:t>EGFR</w:t>
      </w:r>
      <w:r w:rsidRPr="009676A3">
        <w:t xml:space="preserve"> testing. Specifically, the Qiagen Therascreen kit was included in the IPASS and LUX Lung 3 studies while the Roche Cobas kit wa</w:t>
      </w:r>
      <w:r w:rsidR="00FF3F8C">
        <w:t>s utilised in FLAURA.</w:t>
      </w:r>
    </w:p>
    <w:p w14:paraId="56F85DC8" w14:textId="0EF1121F" w:rsidR="0081024E" w:rsidRDefault="0081024E" w:rsidP="00295D77">
      <w:pPr>
        <w:spacing w:before="240"/>
      </w:pPr>
      <w:r>
        <w:t>The Applicant advise</w:t>
      </w:r>
      <w:r w:rsidR="00FF3F8C">
        <w:t>d</w:t>
      </w:r>
      <w:r>
        <w:t xml:space="preserve"> that</w:t>
      </w:r>
      <w:r w:rsidRPr="009676A3">
        <w:t xml:space="preserve"> these kits were included in the 2017 </w:t>
      </w:r>
      <w:r w:rsidR="00180928">
        <w:t>RCPA</w:t>
      </w:r>
      <w:r w:rsidRPr="009676A3">
        <w:t xml:space="preserve">QAP which demonstrated 100% concordance for </w:t>
      </w:r>
      <w:r w:rsidRPr="00FF3F8C">
        <w:rPr>
          <w:i/>
        </w:rPr>
        <w:t>EGFR</w:t>
      </w:r>
      <w:r w:rsidRPr="009676A3">
        <w:t xml:space="preserve"> mutation testing at Australian laboratories. This is consistent with international data</w:t>
      </w:r>
      <w:r w:rsidR="00FF3F8C">
        <w:t>,</w:t>
      </w:r>
      <w:r w:rsidRPr="009676A3">
        <w:t xml:space="preserve"> which reported a concordance rate of 98.0% between the two test kits (Kimura, 2014). Both Cobas and Therascreen have also been demonstrated to deliver concordant results with Sanger sequencing which was utilised in the primary study for gefitinib (EURTAC): 96% and 98% respectively for Cobas and Therascreen (Wong, 2013).</w:t>
      </w:r>
    </w:p>
    <w:p w14:paraId="11329B46" w14:textId="77777777" w:rsidR="00BC1364" w:rsidRPr="00F715D1" w:rsidRDefault="00BC1364" w:rsidP="00F715D1">
      <w:pPr>
        <w:pStyle w:val="Heading1"/>
      </w:pPr>
      <w:r w:rsidRPr="00F715D1">
        <w:t>Financial/budgetary impacts</w:t>
      </w:r>
    </w:p>
    <w:p w14:paraId="5D7B8932" w14:textId="77777777" w:rsidR="0081024E" w:rsidRDefault="0081024E" w:rsidP="0081024E">
      <w:r w:rsidRPr="00783773">
        <w:t xml:space="preserve">There is no financial impact anticipated for the change proposed by </w:t>
      </w:r>
      <w:r>
        <w:t>the application</w:t>
      </w:r>
      <w:r w:rsidRPr="00783773">
        <w:t>, as the eligible population for testing is not expected to change.</w:t>
      </w:r>
    </w:p>
    <w:p w14:paraId="674B28EA"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496D8C79" w14:textId="2481CBF6" w:rsidR="00BC1364" w:rsidRPr="00C21B60" w:rsidRDefault="000B75C7" w:rsidP="00F715D1">
      <w:pPr>
        <w:spacing w:after="240"/>
        <w:rPr>
          <w:szCs w:val="24"/>
        </w:rPr>
      </w:pPr>
      <w:r w:rsidRPr="00C21B60">
        <w:rPr>
          <w:szCs w:val="24"/>
        </w:rPr>
        <w:t>The applicant had no comment.</w:t>
      </w:r>
    </w:p>
    <w:p w14:paraId="0AB2D447" w14:textId="77777777" w:rsidR="00BC1364" w:rsidRPr="00F715D1" w:rsidRDefault="00271F18" w:rsidP="00F715D1">
      <w:pPr>
        <w:pStyle w:val="Heading1"/>
      </w:pPr>
      <w:r w:rsidRPr="00F715D1">
        <w:t>Further information on MSAC</w:t>
      </w:r>
    </w:p>
    <w:p w14:paraId="098664D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21118" w16cex:dateUtc="2020-08-14T2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133E" w14:textId="77777777" w:rsidR="00BF14D1" w:rsidRDefault="00BF14D1" w:rsidP="00065623">
      <w:r>
        <w:separator/>
      </w:r>
    </w:p>
  </w:endnote>
  <w:endnote w:type="continuationSeparator" w:id="0">
    <w:p w14:paraId="148DE07A" w14:textId="77777777" w:rsidR="00BF14D1" w:rsidRDefault="00BF14D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8F42" w14:textId="77777777" w:rsidR="009A1900" w:rsidRDefault="009A1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73FC426" w14:textId="7B433992" w:rsidR="00352224" w:rsidRDefault="00352224">
        <w:pPr>
          <w:pStyle w:val="Footer"/>
          <w:jc w:val="right"/>
        </w:pPr>
        <w:r>
          <w:fldChar w:fldCharType="begin"/>
        </w:r>
        <w:r>
          <w:instrText xml:space="preserve"> PAGE   \* MERGEFORMAT </w:instrText>
        </w:r>
        <w:r>
          <w:fldChar w:fldCharType="separate"/>
        </w:r>
        <w:r w:rsidR="00451310">
          <w:rPr>
            <w:noProof/>
          </w:rPr>
          <w:t>1</w:t>
        </w:r>
        <w:r>
          <w:rPr>
            <w:noProof/>
          </w:rPr>
          <w:fldChar w:fldCharType="end"/>
        </w:r>
      </w:p>
    </w:sdtContent>
  </w:sdt>
  <w:p w14:paraId="2454BC33"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3C92" w14:textId="77777777" w:rsidR="009A1900" w:rsidRDefault="009A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9772" w14:textId="77777777" w:rsidR="00BF14D1" w:rsidRDefault="00BF14D1" w:rsidP="00065623">
      <w:r>
        <w:separator/>
      </w:r>
    </w:p>
  </w:footnote>
  <w:footnote w:type="continuationSeparator" w:id="0">
    <w:p w14:paraId="07FE4966" w14:textId="77777777" w:rsidR="00BF14D1" w:rsidRDefault="00BF14D1"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5728" w14:textId="77777777" w:rsidR="009A1900" w:rsidRDefault="009A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188B" w14:textId="77777777" w:rsidR="009A1900" w:rsidRDefault="009A1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2646" w14:textId="77777777" w:rsidR="009A1900" w:rsidRDefault="009A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4"/>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317F2"/>
    <w:rsid w:val="00047606"/>
    <w:rsid w:val="000620DF"/>
    <w:rsid w:val="00065623"/>
    <w:rsid w:val="000756B9"/>
    <w:rsid w:val="00096B67"/>
    <w:rsid w:val="00096DAF"/>
    <w:rsid w:val="000A1212"/>
    <w:rsid w:val="000B75C7"/>
    <w:rsid w:val="000C2F47"/>
    <w:rsid w:val="000D2B9A"/>
    <w:rsid w:val="000D6C00"/>
    <w:rsid w:val="000E4E04"/>
    <w:rsid w:val="000F14B4"/>
    <w:rsid w:val="000F75DF"/>
    <w:rsid w:val="001023DC"/>
    <w:rsid w:val="001328FA"/>
    <w:rsid w:val="00147AAF"/>
    <w:rsid w:val="001552C0"/>
    <w:rsid w:val="001640B1"/>
    <w:rsid w:val="00180928"/>
    <w:rsid w:val="0018435E"/>
    <w:rsid w:val="002041A1"/>
    <w:rsid w:val="002054F0"/>
    <w:rsid w:val="00227E6F"/>
    <w:rsid w:val="00230D6B"/>
    <w:rsid w:val="00232068"/>
    <w:rsid w:val="002330F2"/>
    <w:rsid w:val="00243D9E"/>
    <w:rsid w:val="00253B66"/>
    <w:rsid w:val="00261DF1"/>
    <w:rsid w:val="00271F18"/>
    <w:rsid w:val="00282779"/>
    <w:rsid w:val="0028334D"/>
    <w:rsid w:val="00295D77"/>
    <w:rsid w:val="002B7FFA"/>
    <w:rsid w:val="002C2BCF"/>
    <w:rsid w:val="002F279D"/>
    <w:rsid w:val="002F43B8"/>
    <w:rsid w:val="003209DB"/>
    <w:rsid w:val="003276AA"/>
    <w:rsid w:val="00336856"/>
    <w:rsid w:val="003421D5"/>
    <w:rsid w:val="0034554D"/>
    <w:rsid w:val="00352224"/>
    <w:rsid w:val="00352732"/>
    <w:rsid w:val="003671E6"/>
    <w:rsid w:val="00384272"/>
    <w:rsid w:val="00386D67"/>
    <w:rsid w:val="003945B8"/>
    <w:rsid w:val="003B7156"/>
    <w:rsid w:val="003D7F29"/>
    <w:rsid w:val="003E70F4"/>
    <w:rsid w:val="00405A6B"/>
    <w:rsid w:val="00407B1F"/>
    <w:rsid w:val="0041184F"/>
    <w:rsid w:val="00412438"/>
    <w:rsid w:val="00414C57"/>
    <w:rsid w:val="0041758C"/>
    <w:rsid w:val="00451310"/>
    <w:rsid w:val="004539DE"/>
    <w:rsid w:val="00465B7B"/>
    <w:rsid w:val="00490F7A"/>
    <w:rsid w:val="004A2CF1"/>
    <w:rsid w:val="004C3035"/>
    <w:rsid w:val="004C307F"/>
    <w:rsid w:val="004E4BA8"/>
    <w:rsid w:val="004F340F"/>
    <w:rsid w:val="004F7B7C"/>
    <w:rsid w:val="0052243D"/>
    <w:rsid w:val="00532435"/>
    <w:rsid w:val="00550354"/>
    <w:rsid w:val="005614FE"/>
    <w:rsid w:val="00571236"/>
    <w:rsid w:val="00580A88"/>
    <w:rsid w:val="005953A1"/>
    <w:rsid w:val="005A4362"/>
    <w:rsid w:val="005B5434"/>
    <w:rsid w:val="005D0332"/>
    <w:rsid w:val="005D0D8C"/>
    <w:rsid w:val="005F1528"/>
    <w:rsid w:val="006776AE"/>
    <w:rsid w:val="006A0D97"/>
    <w:rsid w:val="006B066C"/>
    <w:rsid w:val="006B1F86"/>
    <w:rsid w:val="006C0A91"/>
    <w:rsid w:val="00703059"/>
    <w:rsid w:val="007054BB"/>
    <w:rsid w:val="00707064"/>
    <w:rsid w:val="00730683"/>
    <w:rsid w:val="0075261F"/>
    <w:rsid w:val="0075468E"/>
    <w:rsid w:val="007665D8"/>
    <w:rsid w:val="00766E36"/>
    <w:rsid w:val="007765F4"/>
    <w:rsid w:val="00776633"/>
    <w:rsid w:val="00784D53"/>
    <w:rsid w:val="00795205"/>
    <w:rsid w:val="00797797"/>
    <w:rsid w:val="007A63C9"/>
    <w:rsid w:val="007B32D1"/>
    <w:rsid w:val="007B7095"/>
    <w:rsid w:val="007D24E1"/>
    <w:rsid w:val="007D6288"/>
    <w:rsid w:val="007D63F2"/>
    <w:rsid w:val="007F2637"/>
    <w:rsid w:val="007F4CE9"/>
    <w:rsid w:val="007F4E20"/>
    <w:rsid w:val="0081024E"/>
    <w:rsid w:val="00822C7E"/>
    <w:rsid w:val="00830263"/>
    <w:rsid w:val="00847060"/>
    <w:rsid w:val="00847A36"/>
    <w:rsid w:val="00852EBA"/>
    <w:rsid w:val="00856A33"/>
    <w:rsid w:val="00892620"/>
    <w:rsid w:val="008C778E"/>
    <w:rsid w:val="008C7D37"/>
    <w:rsid w:val="008D5885"/>
    <w:rsid w:val="009144A7"/>
    <w:rsid w:val="00923FA2"/>
    <w:rsid w:val="0096060D"/>
    <w:rsid w:val="00974A50"/>
    <w:rsid w:val="0097585A"/>
    <w:rsid w:val="009924B0"/>
    <w:rsid w:val="009942C9"/>
    <w:rsid w:val="009A1900"/>
    <w:rsid w:val="009B35C4"/>
    <w:rsid w:val="009C630A"/>
    <w:rsid w:val="009E0D98"/>
    <w:rsid w:val="009E1606"/>
    <w:rsid w:val="00A068A1"/>
    <w:rsid w:val="00A11E73"/>
    <w:rsid w:val="00A1207D"/>
    <w:rsid w:val="00A12FD8"/>
    <w:rsid w:val="00A346FC"/>
    <w:rsid w:val="00A46D77"/>
    <w:rsid w:val="00A6376C"/>
    <w:rsid w:val="00A65D84"/>
    <w:rsid w:val="00A846F2"/>
    <w:rsid w:val="00A84F93"/>
    <w:rsid w:val="00AB188F"/>
    <w:rsid w:val="00AB1AC5"/>
    <w:rsid w:val="00AB3BFC"/>
    <w:rsid w:val="00AC4F2E"/>
    <w:rsid w:val="00AD0C37"/>
    <w:rsid w:val="00AD385F"/>
    <w:rsid w:val="00AE6E2A"/>
    <w:rsid w:val="00B03EAB"/>
    <w:rsid w:val="00B31E9C"/>
    <w:rsid w:val="00B35595"/>
    <w:rsid w:val="00B51C6D"/>
    <w:rsid w:val="00B65465"/>
    <w:rsid w:val="00B83DD2"/>
    <w:rsid w:val="00B86D64"/>
    <w:rsid w:val="00BA4AC5"/>
    <w:rsid w:val="00BC1364"/>
    <w:rsid w:val="00BC2667"/>
    <w:rsid w:val="00BC3EBD"/>
    <w:rsid w:val="00BC7DE9"/>
    <w:rsid w:val="00BF14D1"/>
    <w:rsid w:val="00BF479B"/>
    <w:rsid w:val="00C02577"/>
    <w:rsid w:val="00C06B0B"/>
    <w:rsid w:val="00C204FB"/>
    <w:rsid w:val="00C20BEE"/>
    <w:rsid w:val="00C2158D"/>
    <w:rsid w:val="00C21B60"/>
    <w:rsid w:val="00C67DD2"/>
    <w:rsid w:val="00C725CB"/>
    <w:rsid w:val="00C76F5C"/>
    <w:rsid w:val="00C96BAD"/>
    <w:rsid w:val="00CA2D3B"/>
    <w:rsid w:val="00CA6944"/>
    <w:rsid w:val="00CB0F8E"/>
    <w:rsid w:val="00CB7E7D"/>
    <w:rsid w:val="00CC2911"/>
    <w:rsid w:val="00CF0C6D"/>
    <w:rsid w:val="00CF4E81"/>
    <w:rsid w:val="00CF7307"/>
    <w:rsid w:val="00CF7C68"/>
    <w:rsid w:val="00D124FA"/>
    <w:rsid w:val="00D340DE"/>
    <w:rsid w:val="00D55723"/>
    <w:rsid w:val="00D558E5"/>
    <w:rsid w:val="00D62FAD"/>
    <w:rsid w:val="00D64355"/>
    <w:rsid w:val="00D70450"/>
    <w:rsid w:val="00D83BFD"/>
    <w:rsid w:val="00D90A38"/>
    <w:rsid w:val="00D95739"/>
    <w:rsid w:val="00DA0515"/>
    <w:rsid w:val="00DA171E"/>
    <w:rsid w:val="00DA56AA"/>
    <w:rsid w:val="00DB5833"/>
    <w:rsid w:val="00DD2858"/>
    <w:rsid w:val="00DF489D"/>
    <w:rsid w:val="00E03E33"/>
    <w:rsid w:val="00E059E0"/>
    <w:rsid w:val="00E30737"/>
    <w:rsid w:val="00E3642A"/>
    <w:rsid w:val="00E415C4"/>
    <w:rsid w:val="00E50016"/>
    <w:rsid w:val="00E50EAA"/>
    <w:rsid w:val="00E656D6"/>
    <w:rsid w:val="00E977EE"/>
    <w:rsid w:val="00EA2F24"/>
    <w:rsid w:val="00EA5C0E"/>
    <w:rsid w:val="00EA67A2"/>
    <w:rsid w:val="00EB630F"/>
    <w:rsid w:val="00EB6B6F"/>
    <w:rsid w:val="00EC4F98"/>
    <w:rsid w:val="00F12F02"/>
    <w:rsid w:val="00F32E0D"/>
    <w:rsid w:val="00F35134"/>
    <w:rsid w:val="00F37B9C"/>
    <w:rsid w:val="00F41812"/>
    <w:rsid w:val="00F56D7F"/>
    <w:rsid w:val="00F715D1"/>
    <w:rsid w:val="00F72715"/>
    <w:rsid w:val="00F73333"/>
    <w:rsid w:val="00F878CB"/>
    <w:rsid w:val="00F95D8F"/>
    <w:rsid w:val="00FB350A"/>
    <w:rsid w:val="00FB4C5D"/>
    <w:rsid w:val="00FB7BC5"/>
    <w:rsid w:val="00FE1C3F"/>
    <w:rsid w:val="00FE731D"/>
    <w:rsid w:val="00FF3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3B6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1024E"/>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1024E"/>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qFormat/>
    <w:rsid w:val="00A65D84"/>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A65D84"/>
    <w:pPr>
      <w:keepNext/>
      <w:spacing w:before="180"/>
      <w:ind w:left="1080" w:hanging="1080"/>
    </w:pPr>
    <w:rPr>
      <w:b/>
      <w:bCs/>
    </w:rPr>
  </w:style>
  <w:style w:type="paragraph" w:customStyle="1" w:styleId="BoxHeading">
    <w:name w:val="BoxHeading"/>
    <w:basedOn w:val="BoxText"/>
    <w:rsid w:val="00A65D84"/>
    <w:pPr>
      <w:keepNext/>
      <w:spacing w:before="120" w:after="60"/>
    </w:pPr>
    <w:rPr>
      <w:b/>
      <w:bCs/>
    </w:rPr>
  </w:style>
  <w:style w:type="paragraph" w:styleId="Caption">
    <w:name w:val="caption"/>
    <w:basedOn w:val="Normal"/>
    <w:next w:val="Normal"/>
    <w:unhideWhenUsed/>
    <w:qFormat/>
    <w:locked/>
    <w:rsid w:val="00295D77"/>
    <w:pPr>
      <w:spacing w:after="200"/>
    </w:pPr>
    <w:rPr>
      <w:rFonts w:ascii="Arial Narrow" w:hAnsi="Arial Narrow"/>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3D67-DF03-4D11-905F-6FFFF6FF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7681</Characters>
  <Application>Microsoft Office Word</Application>
  <DocSecurity>0</DocSecurity>
  <Lines>64</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1516 - Final PSD_Jul2020</dc:title>
  <dc:creator/>
  <cp:lastModifiedBy/>
  <cp:revision>1</cp:revision>
  <dcterms:created xsi:type="dcterms:W3CDTF">2020-10-07T00:54:00Z</dcterms:created>
  <dcterms:modified xsi:type="dcterms:W3CDTF">2020-10-07T00:54:00Z</dcterms:modified>
</cp:coreProperties>
</file>